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8" w:lineRule="exact"/>
        <w:rPr>
          <w:sz w:val="24"/>
          <w:szCs w:val="24"/>
          <w:color w:val="auto"/>
        </w:rPr>
      </w:pPr>
    </w:p>
    <w:p>
      <w:pPr>
        <w:ind w:left="3820" w:right="1580" w:hanging="3812"/>
        <w:spacing w:after="0" w:line="319" w:lineRule="auto"/>
        <w:tabs>
          <w:tab w:leader="none" w:pos="516"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March 31, 2021</w:t>
      </w:r>
    </w:p>
    <w:p>
      <w:pPr>
        <w:spacing w:after="0" w:line="30"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pacing w:after="0" w:line="88" w:lineRule="exact"/>
        <w:rPr>
          <w:sz w:val="24"/>
          <w:szCs w:val="24"/>
          <w:color w:val="auto"/>
        </w:rPr>
      </w:pPr>
    </w:p>
    <w:p>
      <w:pPr>
        <w:ind w:left="4540"/>
        <w:spacing w:after="0"/>
        <w:tabs>
          <w:tab w:leader="none" w:pos="73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8"/>
          <w:szCs w:val="18"/>
          <w:b w:val="1"/>
          <w:bCs w:val="1"/>
          <w:color w:val="auto"/>
        </w:rPr>
        <w:t>Commission File No. 814-00735</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Portman Ridge Finance Corporation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p>
      <w:pPr>
        <w:spacing w:after="0" w:line="192" w:lineRule="exact"/>
        <w:rPr>
          <w:sz w:val="24"/>
          <w:szCs w:val="24"/>
          <w:color w:val="auto"/>
        </w:rPr>
      </w:pPr>
    </w:p>
    <w:p>
      <w:pPr>
        <w:ind w:left="24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20-5951150</w:t>
      </w:r>
    </w:p>
    <w:p>
      <w:pPr>
        <w:spacing w:after="0" w:line="31" w:lineRule="exact"/>
        <w:rPr>
          <w:sz w:val="24"/>
          <w:szCs w:val="24"/>
          <w:color w:val="auto"/>
        </w:rPr>
      </w:pPr>
    </w:p>
    <w:p>
      <w:pPr>
        <w:sectPr>
          <w:pgSz w:w="11900" w:h="16838" w:orient="portrait"/>
          <w:cols w:equalWidth="0" w:num="2">
            <w:col w:w="7320" w:space="720"/>
            <w:col w:w="3200"/>
          </w:cols>
          <w:pgMar w:left="320" w:top="332" w:right="339" w:bottom="1440" w:gutter="0" w:footer="0" w:header="0"/>
          <w:type w:val="continuous"/>
        </w:sectPr>
      </w:pPr>
    </w:p>
    <w:p>
      <w:pPr>
        <w:spacing w:after="0" w:line="12" w:lineRule="exact"/>
        <w:rPr>
          <w:sz w:val="24"/>
          <w:szCs w:val="24"/>
          <w:color w:val="auto"/>
        </w:rPr>
      </w:pPr>
    </w:p>
    <w:p>
      <w:pPr>
        <w:ind w:left="1900"/>
        <w:spacing w:after="0"/>
        <w:rPr>
          <w:sz w:val="20"/>
          <w:szCs w:val="20"/>
          <w:color w:val="auto"/>
        </w:rPr>
      </w:pPr>
      <w:r>
        <w:rPr>
          <w:rFonts w:ascii="Arial" w:cs="Arial" w:eastAsia="Arial" w:hAnsi="Arial"/>
          <w:sz w:val="13"/>
          <w:szCs w:val="13"/>
          <w:b w:val="1"/>
          <w:bCs w:val="1"/>
          <w:color w:val="auto"/>
        </w:rPr>
        <w:t>(State or other jurisdiction of</w:t>
      </w:r>
    </w:p>
    <w:p>
      <w:pPr>
        <w:ind w:left="184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060"/>
        <w:spacing w:after="0"/>
        <w:rPr>
          <w:sz w:val="20"/>
          <w:szCs w:val="20"/>
          <w:color w:val="auto"/>
        </w:rPr>
      </w:pPr>
      <w:r>
        <w:rPr>
          <w:rFonts w:ascii="Arial" w:cs="Arial" w:eastAsia="Arial" w:hAnsi="Arial"/>
          <w:sz w:val="14"/>
          <w:szCs w:val="14"/>
          <w:b w:val="1"/>
          <w:bCs w:val="1"/>
          <w:color w:val="auto"/>
        </w:rPr>
        <w:t>(I.R.S. Employer</w:t>
      </w:r>
    </w:p>
    <w:p>
      <w:pPr>
        <w:jc w:val="center"/>
        <w:ind w:right="2060"/>
        <w:spacing w:after="0"/>
        <w:rPr>
          <w:sz w:val="20"/>
          <w:szCs w:val="20"/>
          <w:color w:val="auto"/>
        </w:rPr>
      </w:pPr>
      <w:r>
        <w:rPr>
          <w:rFonts w:ascii="Arial" w:cs="Arial" w:eastAsia="Arial" w:hAnsi="Arial"/>
          <w:sz w:val="13"/>
          <w:szCs w:val="13"/>
          <w:b w:val="1"/>
          <w:bCs w:val="1"/>
          <w:color w:val="auto"/>
        </w:rPr>
        <w:t>Identification Number)</w:t>
      </w:r>
    </w:p>
    <w:p>
      <w:pPr>
        <w:spacing w:after="0" w:line="55" w:lineRule="exact"/>
        <w:rPr>
          <w:sz w:val="24"/>
          <w:szCs w:val="24"/>
          <w:color w:val="auto"/>
        </w:rPr>
      </w:pPr>
    </w:p>
    <w:p>
      <w:pPr>
        <w:sectPr>
          <w:pgSz w:w="11900" w:h="16838" w:orient="portrait"/>
          <w:cols w:equalWidth="0" w:num="2">
            <w:col w:w="7040" w:space="720"/>
            <w:col w:w="3480"/>
          </w:cols>
          <w:pgMar w:left="320" w:top="332" w:right="3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650 Madison Avenue, 23rd Floor</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New York, New York 10022</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(Address of principal executive offices)</w:t>
      </w:r>
    </w:p>
    <w:p>
      <w:pPr>
        <w:sectPr>
          <w:pgSz w:w="11900" w:h="16838" w:orient="portrait"/>
          <w:cols w:equalWidth="0" w:num="1">
            <w:col w:w="11240"/>
          </w:cols>
          <w:pgMar w:left="320" w:top="332" w:right="339" w:bottom="1440" w:gutter="0" w:footer="0" w:header="0"/>
          <w:type w:val="continuous"/>
        </w:sectPr>
      </w:pPr>
    </w:p>
    <w:p>
      <w:pPr>
        <w:spacing w:after="0" w:line="9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891-2880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80" w:lineRule="exact"/>
        <w:rPr>
          <w:sz w:val="24"/>
          <w:szCs w:val="24"/>
          <w:color w:val="auto"/>
        </w:rPr>
      </w:pPr>
    </w:p>
    <w:tbl>
      <w:tblPr>
        <w:tblLayout w:type="fixed"/>
        <w:tblInd w:w="0" w:type="dxa"/>
        <w:tblCellMar>
          <w:top w:w="0" w:type="dxa"/>
          <w:left w:w="0" w:type="dxa"/>
          <w:bottom w:w="0" w:type="dxa"/>
          <w:right w:w="0" w:type="dxa"/>
        </w:tblCellMar>
      </w:tblPr>
      <w:tr>
        <w:trPr>
          <w:trHeight w:val="198"/>
        </w:trPr>
        <w:tc>
          <w:tcPr>
            <w:tcW w:w="3680" w:type="dxa"/>
            <w:vAlign w:val="bottom"/>
          </w:tcPr>
          <w:p>
            <w:pPr>
              <w:spacing w:after="0"/>
              <w:rPr>
                <w:sz w:val="17"/>
                <w:szCs w:val="17"/>
                <w:color w:val="auto"/>
              </w:rPr>
            </w:pPr>
          </w:p>
        </w:tc>
        <w:tc>
          <w:tcPr>
            <w:tcW w:w="3820" w:type="dxa"/>
            <w:vAlign w:val="bottom"/>
            <w:gridSpan w:val="5"/>
          </w:tcPr>
          <w:p>
            <w:pPr>
              <w:jc w:val="center"/>
              <w:spacing w:after="0"/>
              <w:rPr>
                <w:sz w:val="20"/>
                <w:szCs w:val="20"/>
                <w:color w:val="auto"/>
              </w:rPr>
            </w:pPr>
            <w:r>
              <w:rPr>
                <w:rFonts w:ascii="Arial" w:cs="Arial" w:eastAsia="Arial" w:hAnsi="Arial"/>
                <w:sz w:val="16"/>
                <w:szCs w:val="16"/>
                <w:color w:val="auto"/>
                <w:w w:val="92"/>
              </w:rPr>
              <w:t>Securities registered pursuant to Section 12(b) of the Act:</w:t>
            </w:r>
          </w:p>
        </w:tc>
        <w:tc>
          <w:tcPr>
            <w:tcW w:w="3740" w:type="dxa"/>
            <w:vAlign w:val="bottom"/>
          </w:tcPr>
          <w:p>
            <w:pPr>
              <w:spacing w:after="0"/>
              <w:rPr>
                <w:sz w:val="17"/>
                <w:szCs w:val="17"/>
                <w:color w:val="auto"/>
              </w:rPr>
            </w:pPr>
          </w:p>
        </w:tc>
      </w:tr>
      <w:tr>
        <w:trPr>
          <w:trHeight w:val="213"/>
        </w:trPr>
        <w:tc>
          <w:tcPr>
            <w:tcW w:w="3680" w:type="dxa"/>
            <w:vAlign w:val="bottom"/>
          </w:tcPr>
          <w:p>
            <w:pPr>
              <w:jc w:val="center"/>
              <w:ind w:left="739"/>
              <w:spacing w:after="0"/>
              <w:rPr>
                <w:sz w:val="20"/>
                <w:szCs w:val="20"/>
                <w:color w:val="auto"/>
              </w:rPr>
            </w:pPr>
            <w:r>
              <w:rPr>
                <w:rFonts w:ascii="Arial" w:cs="Arial" w:eastAsia="Arial" w:hAnsi="Arial"/>
                <w:sz w:val="16"/>
                <w:szCs w:val="16"/>
                <w:b w:val="1"/>
                <w:bCs w:val="1"/>
                <w:color w:val="auto"/>
                <w:w w:val="88"/>
              </w:rPr>
              <w:t>Title of each class</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60" w:type="dxa"/>
            <w:vAlign w:val="bottom"/>
            <w:gridSpan w:val="3"/>
          </w:tcPr>
          <w:p>
            <w:pPr>
              <w:jc w:val="center"/>
              <w:ind w:right="860"/>
              <w:spacing w:after="0"/>
              <w:rPr>
                <w:sz w:val="20"/>
                <w:szCs w:val="20"/>
                <w:color w:val="auto"/>
              </w:rPr>
            </w:pPr>
            <w:r>
              <w:rPr>
                <w:rFonts w:ascii="Arial" w:cs="Arial" w:eastAsia="Arial" w:hAnsi="Arial"/>
                <w:sz w:val="16"/>
                <w:szCs w:val="16"/>
                <w:b w:val="1"/>
                <w:bCs w:val="1"/>
                <w:color w:val="auto"/>
                <w:w w:val="91"/>
              </w:rPr>
              <w:t>Trading Symbol(s)</w:t>
            </w:r>
          </w:p>
        </w:tc>
        <w:tc>
          <w:tcPr>
            <w:tcW w:w="3740" w:type="dxa"/>
            <w:vAlign w:val="bottom"/>
          </w:tcPr>
          <w:p>
            <w:pPr>
              <w:jc w:val="center"/>
              <w:ind w:right="659"/>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189"/>
        </w:trPr>
        <w:tc>
          <w:tcPr>
            <w:tcW w:w="3680" w:type="dxa"/>
            <w:vAlign w:val="bottom"/>
            <w:tcBorders>
              <w:top w:val="single" w:sz="8" w:color="auto"/>
            </w:tcBorders>
          </w:tcPr>
          <w:p>
            <w:pPr>
              <w:jc w:val="center"/>
              <w:ind w:left="759"/>
              <w:spacing w:after="0"/>
              <w:rPr>
                <w:sz w:val="20"/>
                <w:szCs w:val="20"/>
                <w:color w:val="auto"/>
              </w:rPr>
            </w:pPr>
            <w:r>
              <w:rPr>
                <w:rFonts w:ascii="Arial" w:cs="Arial" w:eastAsia="Arial" w:hAnsi="Arial"/>
                <w:sz w:val="16"/>
                <w:szCs w:val="16"/>
                <w:color w:val="auto"/>
                <w:w w:val="90"/>
              </w:rPr>
              <w:t>Common Stock, par value $0.01 per share</w:t>
            </w:r>
          </w:p>
        </w:tc>
        <w:tc>
          <w:tcPr>
            <w:tcW w:w="8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0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6"/>
              </w:rPr>
              <w:t>PTMN</w:t>
            </w:r>
          </w:p>
        </w:tc>
        <w:tc>
          <w:tcPr>
            <w:tcW w:w="120" w:type="dxa"/>
            <w:vAlign w:val="bottom"/>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3740" w:type="dxa"/>
            <w:vAlign w:val="bottom"/>
            <w:tcBorders>
              <w:top w:val="single" w:sz="8" w:color="auto"/>
            </w:tcBorders>
          </w:tcPr>
          <w:p>
            <w:pPr>
              <w:jc w:val="center"/>
              <w:ind w:right="659"/>
              <w:spacing w:after="0"/>
              <w:rPr>
                <w:sz w:val="20"/>
                <w:szCs w:val="20"/>
                <w:color w:val="auto"/>
              </w:rPr>
            </w:pPr>
            <w:r>
              <w:rPr>
                <w:rFonts w:ascii="Arial" w:cs="Arial" w:eastAsia="Arial" w:hAnsi="Arial"/>
                <w:sz w:val="16"/>
                <w:szCs w:val="16"/>
                <w:color w:val="auto"/>
                <w:w w:val="95"/>
              </w:rPr>
              <w:t>The NASDAQ Global Select Market</w:t>
            </w:r>
          </w:p>
        </w:tc>
      </w:tr>
      <w:tr>
        <w:trPr>
          <w:trHeight w:val="206"/>
        </w:trPr>
        <w:tc>
          <w:tcPr>
            <w:tcW w:w="3680" w:type="dxa"/>
            <w:vAlign w:val="bottom"/>
          </w:tcPr>
          <w:p>
            <w:pPr>
              <w:jc w:val="center"/>
              <w:ind w:left="759"/>
              <w:spacing w:after="0"/>
              <w:rPr>
                <w:sz w:val="20"/>
                <w:szCs w:val="20"/>
                <w:color w:val="auto"/>
              </w:rPr>
            </w:pPr>
            <w:r>
              <w:rPr>
                <w:rFonts w:ascii="Arial" w:cs="Arial" w:eastAsia="Arial" w:hAnsi="Arial"/>
                <w:sz w:val="16"/>
                <w:szCs w:val="16"/>
                <w:color w:val="auto"/>
                <w:w w:val="90"/>
              </w:rPr>
              <w:t>6.125% Notes due 2022</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60" w:type="dxa"/>
            <w:vAlign w:val="bottom"/>
            <w:gridSpan w:val="3"/>
          </w:tcPr>
          <w:p>
            <w:pPr>
              <w:jc w:val="center"/>
              <w:ind w:right="860"/>
              <w:spacing w:after="0"/>
              <w:rPr>
                <w:sz w:val="20"/>
                <w:szCs w:val="20"/>
                <w:color w:val="auto"/>
              </w:rPr>
            </w:pPr>
            <w:r>
              <w:rPr>
                <w:rFonts w:ascii="Arial" w:cs="Arial" w:eastAsia="Arial" w:hAnsi="Arial"/>
                <w:sz w:val="16"/>
                <w:szCs w:val="16"/>
                <w:color w:val="auto"/>
                <w:w w:val="99"/>
              </w:rPr>
              <w:t>KCAPL</w:t>
            </w:r>
          </w:p>
        </w:tc>
        <w:tc>
          <w:tcPr>
            <w:tcW w:w="3740" w:type="dxa"/>
            <w:vAlign w:val="bottom"/>
          </w:tcPr>
          <w:p>
            <w:pPr>
              <w:jc w:val="center"/>
              <w:ind w:right="659"/>
              <w:spacing w:after="0"/>
              <w:rPr>
                <w:sz w:val="20"/>
                <w:szCs w:val="20"/>
                <w:color w:val="auto"/>
              </w:rPr>
            </w:pPr>
            <w:r>
              <w:rPr>
                <w:rFonts w:ascii="Arial" w:cs="Arial" w:eastAsia="Arial" w:hAnsi="Arial"/>
                <w:sz w:val="16"/>
                <w:szCs w:val="16"/>
                <w:color w:val="auto"/>
                <w:w w:val="95"/>
              </w:rPr>
              <w:t>The NASDAQ Global Select Market</w:t>
            </w:r>
          </w:p>
        </w:tc>
      </w:tr>
    </w:tbl>
    <w:p>
      <w:pPr>
        <w:spacing w:after="0" w:line="64" w:lineRule="exact"/>
        <w:rPr>
          <w:sz w:val="24"/>
          <w:szCs w:val="24"/>
          <w:color w:val="auto"/>
        </w:rPr>
      </w:pPr>
    </w:p>
    <w:p>
      <w:pPr>
        <w:ind w:right="260" w:firstLine="374"/>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7" w:lineRule="exact"/>
        <w:rPr>
          <w:sz w:val="24"/>
          <w:szCs w:val="24"/>
          <w:color w:val="auto"/>
        </w:rPr>
      </w:pPr>
    </w:p>
    <w:p>
      <w:pPr>
        <w:ind w:right="40" w:firstLine="374"/>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61" w:lineRule="exact"/>
        <w:rPr>
          <w:sz w:val="24"/>
          <w:szCs w:val="24"/>
          <w:color w:val="auto"/>
        </w:rPr>
      </w:pPr>
    </w:p>
    <w:p>
      <w:pPr>
        <w:ind w:right="380" w:firstLine="374"/>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20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0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140" w:type="dxa"/>
            <w:vAlign w:val="bottom"/>
          </w:tcPr>
          <w:p>
            <w:pPr>
              <w:ind w:left="3060"/>
              <w:spacing w:after="0"/>
              <w:rPr>
                <w:sz w:val="20"/>
                <w:szCs w:val="20"/>
                <w:color w:val="auto"/>
              </w:rPr>
            </w:pPr>
            <w:r>
              <w:rPr>
                <w:rFonts w:ascii="Arial" w:cs="Arial" w:eastAsia="Arial" w:hAnsi="Arial"/>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080" w:type="dxa"/>
            <w:vAlign w:val="bottom"/>
          </w:tcPr>
          <w:p>
            <w:pPr>
              <w:spacing w:after="0"/>
              <w:rPr>
                <w:sz w:val="20"/>
                <w:szCs w:val="20"/>
                <w:color w:val="auto"/>
              </w:rPr>
            </w:pPr>
            <w:r>
              <w:rPr>
                <w:rFonts w:ascii="Arial" w:cs="Arial" w:eastAsia="Arial" w:hAnsi="Arial"/>
                <w:sz w:val="16"/>
                <w:szCs w:val="16"/>
                <w:color w:val="auto"/>
              </w:rPr>
              <w:t>Non-accelerated filer</w:t>
            </w:r>
          </w:p>
        </w:tc>
        <w:tc>
          <w:tcPr>
            <w:tcW w:w="350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140" w:type="dxa"/>
            <w:vAlign w:val="bottom"/>
          </w:tcPr>
          <w:p>
            <w:pPr>
              <w:ind w:left="3060"/>
              <w:spacing w:after="0"/>
              <w:rPr>
                <w:sz w:val="20"/>
                <w:szCs w:val="20"/>
                <w:color w:val="auto"/>
              </w:rPr>
            </w:pPr>
            <w:r>
              <w:rPr>
                <w:rFonts w:ascii="Arial" w:cs="Arial" w:eastAsia="Arial" w:hAnsi="Arial"/>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8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0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140" w:type="dxa"/>
            <w:vAlign w:val="bottom"/>
          </w:tcPr>
          <w:p>
            <w:pPr>
              <w:spacing w:after="0"/>
              <w:rPr>
                <w:sz w:val="22"/>
                <w:szCs w:val="22"/>
                <w:color w:val="auto"/>
              </w:rPr>
            </w:pPr>
          </w:p>
        </w:tc>
        <w:tc>
          <w:tcPr>
            <w:tcW w:w="460" w:type="dxa"/>
            <w:vAlign w:val="bottom"/>
          </w:tcPr>
          <w:p>
            <w:pPr>
              <w:spacing w:after="0"/>
              <w:rPr>
                <w:sz w:val="22"/>
                <w:szCs w:val="22"/>
                <w:color w:val="auto"/>
              </w:rPr>
            </w:pPr>
          </w:p>
        </w:tc>
      </w:tr>
    </w:tbl>
    <w:p>
      <w:pPr>
        <w:spacing w:after="0" w:line="46" w:lineRule="exact"/>
        <w:rPr>
          <w:sz w:val="24"/>
          <w:szCs w:val="24"/>
          <w:color w:val="auto"/>
        </w:rPr>
      </w:pPr>
    </w:p>
    <w:p>
      <w:pPr>
        <w:ind w:right="200" w:firstLine="374"/>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16" w:lineRule="exact"/>
        <w:rPr>
          <w:sz w:val="24"/>
          <w:szCs w:val="24"/>
          <w:color w:val="auto"/>
        </w:rPr>
      </w:pPr>
    </w:p>
    <w:p>
      <w:pPr>
        <w:ind w:left="38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6" w:lineRule="exact"/>
        <w:rPr>
          <w:sz w:val="24"/>
          <w:szCs w:val="24"/>
          <w:color w:val="auto"/>
        </w:rPr>
      </w:pPr>
    </w:p>
    <w:p>
      <w:pPr>
        <w:ind w:left="380"/>
        <w:spacing w:after="0"/>
        <w:rPr>
          <w:sz w:val="20"/>
          <w:szCs w:val="20"/>
          <w:color w:val="auto"/>
        </w:rPr>
      </w:pPr>
      <w:r>
        <w:rPr>
          <w:rFonts w:ascii="Arial" w:cs="Arial" w:eastAsia="Arial" w:hAnsi="Arial"/>
          <w:sz w:val="18"/>
          <w:szCs w:val="18"/>
          <w:color w:val="auto"/>
        </w:rPr>
        <w:t>The number of outstanding shares of common stock of the registrant as of May 3, 2021 was 75,195,141.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533400</wp:posOffset>
            </wp:positionV>
            <wp:extent cx="71748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060" w:type="dxa"/>
            <w:vAlign w:val="bottom"/>
            <w:gridSpan w:val="16"/>
          </w:tcPr>
          <w:p>
            <w:pPr>
              <w:ind w:left="1200"/>
              <w:spacing w:after="0"/>
              <w:rPr>
                <w:sz w:val="20"/>
                <w:szCs w:val="20"/>
                <w:color w:val="auto"/>
              </w:rPr>
            </w:pPr>
            <w:r>
              <w:rPr>
                <w:rFonts w:ascii="Arial" w:cs="Arial" w:eastAsia="Arial" w:hAnsi="Arial"/>
                <w:sz w:val="18"/>
                <w:szCs w:val="18"/>
                <w:b w:val="1"/>
                <w:bCs w:val="1"/>
                <w:color w:val="auto"/>
              </w:rPr>
              <w:t>TABLE OF CONTENTS</w:t>
            </w: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Page</w:t>
            </w:r>
          </w:p>
        </w:tc>
        <w:tc>
          <w:tcPr>
            <w:tcW w:w="20" w:type="dxa"/>
            <w:vAlign w:val="bottom"/>
          </w:tcPr>
          <w:p>
            <w:pPr>
              <w:spacing w:after="0"/>
              <w:rPr>
                <w:sz w:val="24"/>
                <w:szCs w:val="24"/>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6"/>
        </w:trPr>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5820" w:type="dxa"/>
            <w:vAlign w:val="bottom"/>
            <w:gridSpan w:val="15"/>
            <w:shd w:val="clear" w:color="auto" w:fill="CCEEFF"/>
          </w:tcPr>
          <w:p>
            <w:pPr>
              <w:jc w:val="center"/>
              <w:ind w:right="3560"/>
              <w:spacing w:after="0" w:line="176" w:lineRule="exact"/>
              <w:rPr>
                <w:sz w:val="20"/>
                <w:szCs w:val="20"/>
                <w:color w:val="auto"/>
              </w:rPr>
            </w:pPr>
            <w:r>
              <w:rPr>
                <w:rFonts w:ascii="Arial" w:cs="Arial" w:eastAsia="Arial" w:hAnsi="Arial"/>
                <w:sz w:val="18"/>
                <w:szCs w:val="18"/>
                <w:b w:val="1"/>
                <w:bCs w:val="1"/>
                <w:color w:val="auto"/>
                <w:w w:val="95"/>
              </w:rPr>
              <w:t>Part I. Financial Information</w:t>
            </w:r>
          </w:p>
        </w:tc>
        <w:tc>
          <w:tcPr>
            <w:tcW w:w="7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Item 1.</w:t>
            </w:r>
          </w:p>
        </w:tc>
        <w:tc>
          <w:tcPr>
            <w:tcW w:w="9380" w:type="dxa"/>
            <w:vAlign w:val="bottom"/>
            <w:gridSpan w:val="22"/>
            <w:shd w:val="clear" w:color="auto" w:fill="CCEEFF"/>
          </w:tcPr>
          <w:p>
            <w:pPr>
              <w:spacing w:after="0"/>
              <w:rPr>
                <w:sz w:val="20"/>
                <w:szCs w:val="20"/>
                <w:color w:val="auto"/>
              </w:rPr>
            </w:pPr>
            <w:r>
              <w:rPr>
                <w:rFonts w:ascii="Arial" w:cs="Arial" w:eastAsia="Arial" w:hAnsi="Arial"/>
                <w:sz w:val="18"/>
                <w:szCs w:val="18"/>
                <w:color w:val="auto"/>
              </w:rPr>
              <w:t>Consolidated Financial Statements</w:t>
            </w: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6"/>
        </w:trPr>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380" w:type="dxa"/>
            <w:vAlign w:val="bottom"/>
            <w:gridSpan w:val="22"/>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Consolidated Balance Sheets as of March 31, 2021 (unaudited) and December 31, 2020</w:t>
              </w:r>
            </w:hyperlink>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tcPr>
          <w:p>
            <w:pPr>
              <w:spacing w:after="0"/>
              <w:rPr>
                <w:sz w:val="17"/>
                <w:szCs w:val="17"/>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3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r>
      <w:tr>
        <w:trPr>
          <w:trHeight w:val="196"/>
        </w:trPr>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380" w:type="dxa"/>
            <w:vAlign w:val="bottom"/>
            <w:gridSpan w:val="22"/>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Operations (unaudited) for the three months ended March 31, 2021 and 2020</w:t>
              </w:r>
            </w:hyperlink>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w:t>
            </w:r>
          </w:p>
        </w:tc>
        <w:tc>
          <w:tcPr>
            <w:tcW w:w="20" w:type="dxa"/>
            <w:vAlign w:val="bottom"/>
          </w:tcPr>
          <w:p>
            <w:pPr>
              <w:spacing w:after="0"/>
              <w:rPr>
                <w:sz w:val="17"/>
                <w:szCs w:val="17"/>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3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r>
      <w:tr>
        <w:trPr>
          <w:trHeight w:val="196"/>
        </w:trPr>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380" w:type="dxa"/>
            <w:vAlign w:val="bottom"/>
            <w:gridSpan w:val="22"/>
            <w:shd w:val="clear" w:color="auto" w:fill="CCEEFF"/>
          </w:tcPr>
          <w:p>
            <w:pPr>
              <w:spacing w:after="0" w:line="176" w:lineRule="exact"/>
              <w:rPr>
                <w:rFonts w:ascii="Arial" w:cs="Arial" w:eastAsia="Arial" w:hAnsi="Arial"/>
                <w:sz w:val="18"/>
                <w:szCs w:val="18"/>
                <w:color w:val="0000EE"/>
                <w:w w:val="99"/>
              </w:rPr>
            </w:pPr>
            <w:hyperlink w:anchor="page7">
              <w:r>
                <w:rPr>
                  <w:rFonts w:ascii="Arial" w:cs="Arial" w:eastAsia="Arial" w:hAnsi="Arial"/>
                  <w:sz w:val="18"/>
                  <w:szCs w:val="18"/>
                  <w:color w:val="0000EE"/>
                  <w:w w:val="99"/>
                </w:rPr>
                <w:t>Consolidated Statements of Changes in Net Assets (unaudited) for the three months ended March 31, 2021 and 2020</w:t>
              </w:r>
            </w:hyperlink>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w:t>
            </w:r>
          </w:p>
        </w:tc>
        <w:tc>
          <w:tcPr>
            <w:tcW w:w="20" w:type="dxa"/>
            <w:vAlign w:val="bottom"/>
          </w:tcPr>
          <w:p>
            <w:pPr>
              <w:spacing w:after="0"/>
              <w:rPr>
                <w:sz w:val="17"/>
                <w:szCs w:val="17"/>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3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r>
      <w:tr>
        <w:trPr>
          <w:trHeight w:val="196"/>
        </w:trPr>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380" w:type="dxa"/>
            <w:vAlign w:val="bottom"/>
            <w:gridSpan w:val="22"/>
            <w:shd w:val="clear" w:color="auto" w:fill="CCEEFF"/>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Consolidated Statements of Cash Flows (unaudited) for the three months ended March 31, 2021 and 2020</w:t>
              </w:r>
            </w:hyperlink>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w:t>
            </w:r>
          </w:p>
        </w:tc>
        <w:tc>
          <w:tcPr>
            <w:tcW w:w="20" w:type="dxa"/>
            <w:vAlign w:val="bottom"/>
          </w:tcPr>
          <w:p>
            <w:pPr>
              <w:spacing w:after="0"/>
              <w:rPr>
                <w:sz w:val="17"/>
                <w:szCs w:val="17"/>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3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r>
      <w:tr>
        <w:trPr>
          <w:trHeight w:val="196"/>
        </w:trPr>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380" w:type="dxa"/>
            <w:vAlign w:val="bottom"/>
            <w:gridSpan w:val="22"/>
            <w:shd w:val="clear" w:color="auto" w:fill="CCEEFF"/>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Consolidated Schedules of Investments as of March 31, 2021 (unaudited) and December 31, 2020</w:t>
              </w:r>
            </w:hyperlink>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w:t>
            </w:r>
          </w:p>
        </w:tc>
        <w:tc>
          <w:tcPr>
            <w:tcW w:w="20" w:type="dxa"/>
            <w:vAlign w:val="bottom"/>
          </w:tcPr>
          <w:p>
            <w:pPr>
              <w:spacing w:after="0"/>
              <w:rPr>
                <w:sz w:val="17"/>
                <w:szCs w:val="17"/>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3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r>
      <w:tr>
        <w:trPr>
          <w:trHeight w:val="196"/>
        </w:trPr>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380" w:type="dxa"/>
            <w:vAlign w:val="bottom"/>
            <w:gridSpan w:val="22"/>
            <w:shd w:val="clear" w:color="auto" w:fill="CCEEFF"/>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Consolidated Financial Highlights (unaudited) for the three months ended March 31, 2021 and 2020</w:t>
              </w:r>
            </w:hyperlink>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40</w:t>
            </w:r>
          </w:p>
        </w:tc>
        <w:tc>
          <w:tcPr>
            <w:tcW w:w="20" w:type="dxa"/>
            <w:vAlign w:val="bottom"/>
          </w:tcPr>
          <w:p>
            <w:pPr>
              <w:spacing w:after="0"/>
              <w:rPr>
                <w:sz w:val="17"/>
                <w:szCs w:val="17"/>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3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r>
      <w:tr>
        <w:trPr>
          <w:trHeight w:val="196"/>
        </w:trPr>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380" w:type="dxa"/>
            <w:vAlign w:val="bottom"/>
            <w:gridSpan w:val="22"/>
            <w:shd w:val="clear" w:color="auto" w:fill="CCEEFF"/>
          </w:tcPr>
          <w:p>
            <w:pPr>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Notes to Consolidated Financial Statements (unaudited)</w:t>
              </w:r>
            </w:hyperlink>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41</w:t>
            </w:r>
          </w:p>
        </w:tc>
        <w:tc>
          <w:tcPr>
            <w:tcW w:w="20" w:type="dxa"/>
            <w:vAlign w:val="bottom"/>
          </w:tcPr>
          <w:p>
            <w:pPr>
              <w:spacing w:after="0"/>
              <w:rPr>
                <w:sz w:val="17"/>
                <w:szCs w:val="17"/>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380" w:type="dxa"/>
            <w:vAlign w:val="bottom"/>
            <w:gridSpan w:val="22"/>
            <w:shd w:val="clear" w:color="auto" w:fill="CCEEFF"/>
          </w:tcPr>
          <w:p>
            <w:pPr>
              <w:spacing w:after="0" w:line="176" w:lineRule="exact"/>
              <w:rPr>
                <w:rFonts w:ascii="Arial" w:cs="Arial" w:eastAsia="Arial" w:hAnsi="Arial"/>
                <w:sz w:val="18"/>
                <w:szCs w:val="18"/>
                <w:color w:val="0000EE"/>
              </w:rPr>
            </w:pPr>
            <w:hyperlink w:anchor="page78">
              <w:r>
                <w:rPr>
                  <w:rFonts w:ascii="Arial" w:cs="Arial" w:eastAsia="Arial" w:hAnsi="Arial"/>
                  <w:sz w:val="18"/>
                  <w:szCs w:val="18"/>
                  <w:color w:val="0000EE"/>
                </w:rPr>
                <w:t>Management’s Discussion and Analysis of Financial Condition and Results of Operations</w:t>
              </w:r>
            </w:hyperlink>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78</w:t>
            </w:r>
          </w:p>
        </w:tc>
        <w:tc>
          <w:tcPr>
            <w:tcW w:w="20" w:type="dxa"/>
            <w:vAlign w:val="bottom"/>
          </w:tcPr>
          <w:p>
            <w:pPr>
              <w:spacing w:after="0"/>
              <w:rPr>
                <w:sz w:val="17"/>
                <w:szCs w:val="17"/>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3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380" w:type="dxa"/>
            <w:vAlign w:val="bottom"/>
            <w:gridSpan w:val="22"/>
            <w:shd w:val="clear" w:color="auto" w:fill="CCEEFF"/>
          </w:tcPr>
          <w:p>
            <w:pPr>
              <w:spacing w:after="0" w:line="176" w:lineRule="exact"/>
              <w:rPr>
                <w:rFonts w:ascii="Arial" w:cs="Arial" w:eastAsia="Arial" w:hAnsi="Arial"/>
                <w:sz w:val="18"/>
                <w:szCs w:val="18"/>
                <w:color w:val="0000EE"/>
              </w:rPr>
            </w:pPr>
            <w:hyperlink w:anchor="page101">
              <w:r>
                <w:rPr>
                  <w:rFonts w:ascii="Arial" w:cs="Arial" w:eastAsia="Arial" w:hAnsi="Arial"/>
                  <w:sz w:val="18"/>
                  <w:szCs w:val="18"/>
                  <w:color w:val="0000EE"/>
                </w:rPr>
                <w:t>Quantitative and Qualitative Disclosures About Market Risk</w:t>
              </w:r>
            </w:hyperlink>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101</w:t>
            </w:r>
          </w:p>
        </w:tc>
        <w:tc>
          <w:tcPr>
            <w:tcW w:w="20" w:type="dxa"/>
            <w:vAlign w:val="bottom"/>
          </w:tcPr>
          <w:p>
            <w:pPr>
              <w:spacing w:after="0"/>
              <w:rPr>
                <w:sz w:val="17"/>
                <w:szCs w:val="17"/>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380" w:type="dxa"/>
            <w:vAlign w:val="bottom"/>
            <w:gridSpan w:val="22"/>
            <w:shd w:val="clear" w:color="auto" w:fill="CCEEFF"/>
          </w:tcPr>
          <w:p>
            <w:pPr>
              <w:spacing w:after="0" w:line="176" w:lineRule="exact"/>
              <w:rPr>
                <w:rFonts w:ascii="Arial" w:cs="Arial" w:eastAsia="Arial" w:hAnsi="Arial"/>
                <w:sz w:val="18"/>
                <w:szCs w:val="18"/>
                <w:color w:val="0000EE"/>
              </w:rPr>
            </w:pPr>
            <w:hyperlink w:anchor="page103">
              <w:r>
                <w:rPr>
                  <w:rFonts w:ascii="Arial" w:cs="Arial" w:eastAsia="Arial" w:hAnsi="Arial"/>
                  <w:sz w:val="18"/>
                  <w:szCs w:val="18"/>
                  <w:color w:val="0000EE"/>
                </w:rPr>
                <w:t>Changes in and Disagreements with Accountants on Accounting and Financial Disclosure</w:t>
              </w:r>
            </w:hyperlink>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103</w:t>
            </w:r>
          </w:p>
        </w:tc>
        <w:tc>
          <w:tcPr>
            <w:tcW w:w="20" w:type="dxa"/>
            <w:vAlign w:val="bottom"/>
          </w:tcPr>
          <w:p>
            <w:pPr>
              <w:spacing w:after="0"/>
              <w:rPr>
                <w:sz w:val="17"/>
                <w:szCs w:val="17"/>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3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9380" w:type="dxa"/>
            <w:vAlign w:val="bottom"/>
            <w:gridSpan w:val="22"/>
            <w:shd w:val="clear" w:color="auto" w:fill="CCEEFF"/>
          </w:tcPr>
          <w:p>
            <w:pPr>
              <w:spacing w:after="0" w:line="176" w:lineRule="exact"/>
              <w:rPr>
                <w:rFonts w:ascii="Arial" w:cs="Arial" w:eastAsia="Arial" w:hAnsi="Arial"/>
                <w:sz w:val="18"/>
                <w:szCs w:val="18"/>
                <w:color w:val="0000EE"/>
              </w:rPr>
            </w:pPr>
            <w:hyperlink w:anchor="page103">
              <w:r>
                <w:rPr>
                  <w:rFonts w:ascii="Arial" w:cs="Arial" w:eastAsia="Arial" w:hAnsi="Arial"/>
                  <w:sz w:val="18"/>
                  <w:szCs w:val="18"/>
                  <w:color w:val="0000EE"/>
                </w:rPr>
                <w:t>Controls and Procedures</w:t>
              </w:r>
            </w:hyperlink>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103</w:t>
            </w:r>
          </w:p>
        </w:tc>
        <w:tc>
          <w:tcPr>
            <w:tcW w:w="20" w:type="dxa"/>
            <w:vAlign w:val="bottom"/>
          </w:tcPr>
          <w:p>
            <w:pPr>
              <w:spacing w:after="0"/>
              <w:rPr>
                <w:sz w:val="17"/>
                <w:szCs w:val="17"/>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r>
      <w:tr>
        <w:trPr>
          <w:trHeight w:val="196"/>
        </w:trPr>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720" w:type="dxa"/>
            <w:vAlign w:val="bottom"/>
            <w:gridSpan w:val="14"/>
            <w:shd w:val="clear" w:color="auto" w:fill="CCEEFF"/>
          </w:tcPr>
          <w:p>
            <w:pPr>
              <w:jc w:val="center"/>
              <w:ind w:right="3660"/>
              <w:spacing w:after="0" w:line="176" w:lineRule="exact"/>
              <w:rPr>
                <w:rFonts w:ascii="Arial" w:cs="Arial" w:eastAsia="Arial" w:hAnsi="Arial"/>
                <w:sz w:val="18"/>
                <w:szCs w:val="18"/>
                <w:b w:val="1"/>
                <w:bCs w:val="1"/>
                <w:color w:val="0000EE"/>
                <w:w w:val="97"/>
              </w:rPr>
            </w:pPr>
            <w:hyperlink w:anchor="page104">
              <w:r>
                <w:rPr>
                  <w:rFonts w:ascii="Arial" w:cs="Arial" w:eastAsia="Arial" w:hAnsi="Arial"/>
                  <w:sz w:val="18"/>
                  <w:szCs w:val="18"/>
                  <w:b w:val="1"/>
                  <w:bCs w:val="1"/>
                  <w:color w:val="0000EE"/>
                  <w:w w:val="97"/>
                </w:rPr>
                <w:t>Part II. Other Information</w:t>
              </w:r>
            </w:hyperlink>
          </w:p>
        </w:tc>
        <w:tc>
          <w:tcPr>
            <w:tcW w:w="7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36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380" w:type="dxa"/>
            <w:vAlign w:val="bottom"/>
            <w:gridSpan w:val="22"/>
            <w:shd w:val="clear" w:color="auto" w:fill="CCEEFF"/>
          </w:tcPr>
          <w:p>
            <w:pPr>
              <w:spacing w:after="0" w:line="176" w:lineRule="exact"/>
              <w:rPr>
                <w:rFonts w:ascii="Arial" w:cs="Arial" w:eastAsia="Arial" w:hAnsi="Arial"/>
                <w:sz w:val="18"/>
                <w:szCs w:val="18"/>
                <w:color w:val="0000EE"/>
              </w:rPr>
            </w:pPr>
            <w:hyperlink w:anchor="page104">
              <w:r>
                <w:rPr>
                  <w:rFonts w:ascii="Arial" w:cs="Arial" w:eastAsia="Arial" w:hAnsi="Arial"/>
                  <w:sz w:val="18"/>
                  <w:szCs w:val="18"/>
                  <w:color w:val="0000EE"/>
                </w:rPr>
                <w:t>Legal Proceedings</w:t>
              </w:r>
            </w:hyperlink>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104</w:t>
            </w:r>
          </w:p>
        </w:tc>
        <w:tc>
          <w:tcPr>
            <w:tcW w:w="20" w:type="dxa"/>
            <w:vAlign w:val="bottom"/>
          </w:tcPr>
          <w:p>
            <w:pPr>
              <w:spacing w:after="0"/>
              <w:rPr>
                <w:sz w:val="17"/>
                <w:szCs w:val="17"/>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9380" w:type="dxa"/>
            <w:vAlign w:val="bottom"/>
            <w:gridSpan w:val="22"/>
            <w:shd w:val="clear" w:color="auto" w:fill="CCEEFF"/>
          </w:tcPr>
          <w:p>
            <w:pPr>
              <w:spacing w:after="0" w:line="176" w:lineRule="exact"/>
              <w:rPr>
                <w:rFonts w:ascii="Arial" w:cs="Arial" w:eastAsia="Arial" w:hAnsi="Arial"/>
                <w:sz w:val="18"/>
                <w:szCs w:val="18"/>
                <w:color w:val="0000EE"/>
              </w:rPr>
            </w:pPr>
            <w:hyperlink w:anchor="page104">
              <w:r>
                <w:rPr>
                  <w:rFonts w:ascii="Arial" w:cs="Arial" w:eastAsia="Arial" w:hAnsi="Arial"/>
                  <w:sz w:val="18"/>
                  <w:szCs w:val="18"/>
                  <w:color w:val="0000EE"/>
                </w:rPr>
                <w:t>Risk Factors</w:t>
              </w:r>
            </w:hyperlink>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104</w:t>
            </w:r>
          </w:p>
        </w:tc>
        <w:tc>
          <w:tcPr>
            <w:tcW w:w="20" w:type="dxa"/>
            <w:vAlign w:val="bottom"/>
          </w:tcPr>
          <w:p>
            <w:pPr>
              <w:spacing w:after="0"/>
              <w:rPr>
                <w:sz w:val="17"/>
                <w:szCs w:val="17"/>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380" w:type="dxa"/>
            <w:vAlign w:val="bottom"/>
            <w:gridSpan w:val="22"/>
            <w:shd w:val="clear" w:color="auto" w:fill="CCEEFF"/>
          </w:tcPr>
          <w:p>
            <w:pPr>
              <w:spacing w:after="0" w:line="176" w:lineRule="exact"/>
              <w:rPr>
                <w:rFonts w:ascii="Arial" w:cs="Arial" w:eastAsia="Arial" w:hAnsi="Arial"/>
                <w:sz w:val="18"/>
                <w:szCs w:val="18"/>
                <w:color w:val="0000EE"/>
              </w:rPr>
            </w:pPr>
            <w:hyperlink w:anchor="page107">
              <w:r>
                <w:rPr>
                  <w:rFonts w:ascii="Arial" w:cs="Arial" w:eastAsia="Arial" w:hAnsi="Arial"/>
                  <w:sz w:val="18"/>
                  <w:szCs w:val="18"/>
                  <w:color w:val="0000EE"/>
                </w:rPr>
                <w:t>Unregistered Sales of Equity Securities and Use of Proceeds</w:t>
              </w:r>
            </w:hyperlink>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107</w:t>
            </w:r>
          </w:p>
        </w:tc>
        <w:tc>
          <w:tcPr>
            <w:tcW w:w="20" w:type="dxa"/>
            <w:vAlign w:val="bottom"/>
          </w:tcPr>
          <w:p>
            <w:pPr>
              <w:spacing w:after="0"/>
              <w:rPr>
                <w:sz w:val="17"/>
                <w:szCs w:val="17"/>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380" w:type="dxa"/>
            <w:vAlign w:val="bottom"/>
            <w:gridSpan w:val="22"/>
            <w:shd w:val="clear" w:color="auto" w:fill="CCEEFF"/>
          </w:tcPr>
          <w:p>
            <w:pPr>
              <w:spacing w:after="0" w:line="176" w:lineRule="exact"/>
              <w:rPr>
                <w:rFonts w:ascii="Arial" w:cs="Arial" w:eastAsia="Arial" w:hAnsi="Arial"/>
                <w:sz w:val="18"/>
                <w:szCs w:val="18"/>
                <w:color w:val="0000EE"/>
              </w:rPr>
            </w:pPr>
            <w:hyperlink w:anchor="page108">
              <w:r>
                <w:rPr>
                  <w:rFonts w:ascii="Arial" w:cs="Arial" w:eastAsia="Arial" w:hAnsi="Arial"/>
                  <w:sz w:val="18"/>
                  <w:szCs w:val="18"/>
                  <w:color w:val="0000EE"/>
                </w:rPr>
                <w:t>Defaults Upon Senior Securities</w:t>
              </w:r>
            </w:hyperlink>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108</w:t>
            </w:r>
          </w:p>
        </w:tc>
        <w:tc>
          <w:tcPr>
            <w:tcW w:w="20" w:type="dxa"/>
            <w:vAlign w:val="bottom"/>
          </w:tcPr>
          <w:p>
            <w:pPr>
              <w:spacing w:after="0"/>
              <w:rPr>
                <w:sz w:val="17"/>
                <w:szCs w:val="17"/>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380" w:type="dxa"/>
            <w:vAlign w:val="bottom"/>
            <w:gridSpan w:val="22"/>
            <w:shd w:val="clear" w:color="auto" w:fill="CCEEFF"/>
          </w:tcPr>
          <w:p>
            <w:pPr>
              <w:spacing w:after="0" w:line="176" w:lineRule="exact"/>
              <w:rPr>
                <w:rFonts w:ascii="Arial" w:cs="Arial" w:eastAsia="Arial" w:hAnsi="Arial"/>
                <w:sz w:val="18"/>
                <w:szCs w:val="18"/>
                <w:color w:val="0000EE"/>
              </w:rPr>
            </w:pPr>
            <w:hyperlink w:anchor="page108">
              <w:r>
                <w:rPr>
                  <w:rFonts w:ascii="Arial" w:cs="Arial" w:eastAsia="Arial" w:hAnsi="Arial"/>
                  <w:sz w:val="18"/>
                  <w:szCs w:val="18"/>
                  <w:color w:val="0000EE"/>
                </w:rPr>
                <w:t>Mine Safety Disclosures</w:t>
              </w:r>
            </w:hyperlink>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108</w:t>
            </w:r>
          </w:p>
        </w:tc>
        <w:tc>
          <w:tcPr>
            <w:tcW w:w="20" w:type="dxa"/>
            <w:vAlign w:val="bottom"/>
          </w:tcPr>
          <w:p>
            <w:pPr>
              <w:spacing w:after="0"/>
              <w:rPr>
                <w:sz w:val="17"/>
                <w:szCs w:val="17"/>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9380" w:type="dxa"/>
            <w:vAlign w:val="bottom"/>
            <w:gridSpan w:val="22"/>
            <w:shd w:val="clear" w:color="auto" w:fill="CCEEFF"/>
          </w:tcPr>
          <w:p>
            <w:pPr>
              <w:spacing w:after="0" w:line="176" w:lineRule="exact"/>
              <w:rPr>
                <w:rFonts w:ascii="Arial" w:cs="Arial" w:eastAsia="Arial" w:hAnsi="Arial"/>
                <w:sz w:val="18"/>
                <w:szCs w:val="18"/>
                <w:color w:val="0000EE"/>
              </w:rPr>
            </w:pPr>
            <w:hyperlink w:anchor="page108">
              <w:r>
                <w:rPr>
                  <w:rFonts w:ascii="Arial" w:cs="Arial" w:eastAsia="Arial" w:hAnsi="Arial"/>
                  <w:sz w:val="18"/>
                  <w:szCs w:val="18"/>
                  <w:color w:val="0000EE"/>
                </w:rPr>
                <w:t>Other Information</w:t>
              </w:r>
            </w:hyperlink>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108</w:t>
            </w:r>
          </w:p>
        </w:tc>
        <w:tc>
          <w:tcPr>
            <w:tcW w:w="20" w:type="dxa"/>
            <w:vAlign w:val="bottom"/>
          </w:tcPr>
          <w:p>
            <w:pPr>
              <w:spacing w:after="0"/>
              <w:rPr>
                <w:sz w:val="17"/>
                <w:szCs w:val="17"/>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9380" w:type="dxa"/>
            <w:vAlign w:val="bottom"/>
            <w:gridSpan w:val="22"/>
            <w:shd w:val="clear" w:color="auto" w:fill="CCEEFF"/>
          </w:tcPr>
          <w:p>
            <w:pPr>
              <w:spacing w:after="0" w:line="176" w:lineRule="exact"/>
              <w:rPr>
                <w:rFonts w:ascii="Arial" w:cs="Arial" w:eastAsia="Arial" w:hAnsi="Arial"/>
                <w:sz w:val="18"/>
                <w:szCs w:val="18"/>
                <w:color w:val="0000EE"/>
              </w:rPr>
            </w:pPr>
            <w:hyperlink w:anchor="page108">
              <w:r>
                <w:rPr>
                  <w:rFonts w:ascii="Arial" w:cs="Arial" w:eastAsia="Arial" w:hAnsi="Arial"/>
                  <w:sz w:val="18"/>
                  <w:szCs w:val="18"/>
                  <w:color w:val="0000EE"/>
                </w:rPr>
                <w:t>Exhibits</w:t>
              </w:r>
            </w:hyperlink>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108</w:t>
            </w:r>
          </w:p>
        </w:tc>
        <w:tc>
          <w:tcPr>
            <w:tcW w:w="20" w:type="dxa"/>
            <w:vAlign w:val="bottom"/>
          </w:tcPr>
          <w:p>
            <w:pPr>
              <w:spacing w:after="0"/>
              <w:rPr>
                <w:sz w:val="17"/>
                <w:szCs w:val="17"/>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r>
      <w:tr>
        <w:trPr>
          <w:trHeight w:val="196"/>
        </w:trPr>
        <w:tc>
          <w:tcPr>
            <w:tcW w:w="1140" w:type="dxa"/>
            <w:vAlign w:val="bottom"/>
            <w:gridSpan w:val="2"/>
            <w:shd w:val="clear" w:color="auto" w:fill="CCEEFF"/>
          </w:tcPr>
          <w:p>
            <w:pPr>
              <w:spacing w:after="0" w:line="176" w:lineRule="exact"/>
              <w:rPr>
                <w:rFonts w:ascii="Arial" w:cs="Arial" w:eastAsia="Arial" w:hAnsi="Arial"/>
                <w:sz w:val="18"/>
                <w:szCs w:val="18"/>
                <w:color w:val="0000EE"/>
              </w:rPr>
            </w:pPr>
            <w:hyperlink w:anchor="page110">
              <w:r>
                <w:rPr>
                  <w:rFonts w:ascii="Arial" w:cs="Arial" w:eastAsia="Arial" w:hAnsi="Arial"/>
                  <w:sz w:val="18"/>
                  <w:szCs w:val="18"/>
                  <w:color w:val="0000EE"/>
                </w:rPr>
                <w:t>Signatures</w:t>
              </w:r>
            </w:hyperlink>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110</w:t>
            </w:r>
          </w:p>
        </w:tc>
        <w:tc>
          <w:tcPr>
            <w:tcW w:w="20" w:type="dxa"/>
            <w:vAlign w:val="bottom"/>
          </w:tcPr>
          <w:p>
            <w:pPr>
              <w:spacing w:after="0"/>
              <w:rPr>
                <w:sz w:val="17"/>
                <w:szCs w:val="17"/>
                <w:color w:val="auto"/>
              </w:rPr>
            </w:pPr>
          </w:p>
        </w:tc>
      </w:tr>
      <w:tr>
        <w:trPr>
          <w:trHeight w:val="648"/>
        </w:trPr>
        <w:tc>
          <w:tcPr>
            <w:tcW w:w="760" w:type="dxa"/>
            <w:vAlign w:val="bottom"/>
            <w:tcBorders>
              <w:top w:val="single" w:sz="8" w:color="0000EE"/>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5720" w:type="dxa"/>
            <w:vAlign w:val="bottom"/>
            <w:tcBorders>
              <w:top w:val="single" w:sz="8" w:color="CCEEFF"/>
            </w:tcBorders>
            <w:gridSpan w:val="12"/>
          </w:tcPr>
          <w:p>
            <w:pPr>
              <w:ind w:left="4440"/>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780" w:type="dxa"/>
            <w:vAlign w:val="bottom"/>
            <w:tcBorders>
              <w:top w:val="single" w:sz="8" w:color="CCEEFF"/>
            </w:tcBorders>
          </w:tcPr>
          <w:p>
            <w:pPr>
              <w:spacing w:after="0"/>
              <w:rPr>
                <w:sz w:val="24"/>
                <w:szCs w:val="24"/>
                <w:color w:val="auto"/>
              </w:rPr>
            </w:pPr>
          </w:p>
        </w:tc>
        <w:tc>
          <w:tcPr>
            <w:tcW w:w="980" w:type="dxa"/>
            <w:vAlign w:val="bottom"/>
            <w:tcBorders>
              <w:top w:val="single" w:sz="8" w:color="CCEEFF"/>
            </w:tcBorders>
          </w:tcPr>
          <w:p>
            <w:pPr>
              <w:spacing w:after="0"/>
              <w:rPr>
                <w:sz w:val="24"/>
                <w:szCs w:val="24"/>
                <w:color w:val="auto"/>
              </w:rPr>
            </w:pPr>
          </w:p>
        </w:tc>
        <w:tc>
          <w:tcPr>
            <w:tcW w:w="72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7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NOTE ABOUT REFERENCES TO PORTMAN RIDGE FINANCE CORPORATION</w:t>
      </w:r>
    </w:p>
    <w:p>
      <w:pPr>
        <w:spacing w:after="0" w:line="121" w:lineRule="exact"/>
        <w:rPr>
          <w:sz w:val="20"/>
          <w:szCs w:val="20"/>
          <w:color w:val="auto"/>
        </w:rPr>
      </w:pPr>
    </w:p>
    <w:p>
      <w:pPr>
        <w:ind w:right="20" w:firstLine="374"/>
        <w:spacing w:after="0" w:line="259" w:lineRule="auto"/>
        <w:rPr>
          <w:sz w:val="20"/>
          <w:szCs w:val="20"/>
          <w:color w:val="auto"/>
        </w:rPr>
      </w:pPr>
      <w:r>
        <w:rPr>
          <w:rFonts w:ascii="Arial" w:cs="Arial" w:eastAsia="Arial" w:hAnsi="Arial"/>
          <w:sz w:val="18"/>
          <w:szCs w:val="18"/>
          <w:color w:val="auto"/>
        </w:rPr>
        <w:t>In this Quarterly Report on Form 10-Q, the “Company”, “Portman Ridge”, “we”, “us” and “our” refer to Portman Ridge Finance Corporation and its wholly-owned subsidiaries, Garrison Funding 2018-2 Ltd. (“GF CLO 2018-2”), Great Lakes KCAP Funding I LLC, Great Lakes Portman Ridge Funding, LLC, OHA Investment Sub, LLC, OHA Asset Holdings II, LP, Kohlberg Capital Funding I LLC, KCAP Senior Funding I, LLC and KCAP Senior Funding I Holdings, LLC, unless the context otherwise requires.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ABOUT FORWARD-LOOKING STATEMENTS</w:t>
      </w:r>
    </w:p>
    <w:p>
      <w:pPr>
        <w:spacing w:after="0" w:line="202" w:lineRule="exact"/>
        <w:rPr>
          <w:sz w:val="20"/>
          <w:szCs w:val="20"/>
          <w:color w:val="auto"/>
        </w:rPr>
      </w:pPr>
    </w:p>
    <w:p>
      <w:pPr>
        <w:ind w:firstLine="374"/>
        <w:spacing w:after="0" w:line="286" w:lineRule="auto"/>
        <w:rPr>
          <w:sz w:val="20"/>
          <w:szCs w:val="20"/>
          <w:color w:val="auto"/>
        </w:rPr>
      </w:pPr>
      <w:r>
        <w:rPr>
          <w:rFonts w:ascii="Arial" w:cs="Arial" w:eastAsia="Arial" w:hAnsi="Arial"/>
          <w:sz w:val="16"/>
          <w:szCs w:val="16"/>
          <w:color w:val="auto"/>
        </w:rPr>
        <w:t>The information contained in this item should be read in conjunction with our consolidated financial statements and notes thereto appearing elsewhere in this Quarterly Report and in conjunction with the financial statements and notes thereto in the Company’s Form 10-K for the year ended December 31, 2020, as filed with the U.S. Securities and Exchange Commission (the “Commission” or the “SEC”). In addition, some of the statements in this report constitute forward-looking statements. The matters discussed in this Quarterly Report, as well as in future oral and written statements by management of Portman Ridge Finance Corporation, that are forward-looking statements are based on current management expectations that involve substantial risks and uncertainties which could cause actual results to differ materially from the results expressed in, or implied by, these forward-looking statements. Forward-looking statements relate to future events or our future financial performance. We generally identify forward-looking statements by terminology such as “may,” “will,” “should,” “expects,” “plans,” “anticipates,” “could,” “intends,” “target,” “projects,” “outlook, ”believes,” “estimates,” “predicts,” “potential” or “continue” or the negative of these terms or other similar words. Important assumptions include our ability to originate new investments, achieve certain margins and levels of profitability, the availability of additional capital, and the ability to maintain certain debt to asset ratios. In light of these and other uncertainties, the inclusion of a projection or forward-looking statement in this Quarterly Report should not be regarded as a representation by us that our plans or objectives will be achieved. 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130" w:lineRule="exact"/>
        <w:rPr>
          <w:sz w:val="20"/>
          <w:szCs w:val="20"/>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211"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prospects and the prospects of our existing and prospective portfolio companies;</w:t>
      </w:r>
    </w:p>
    <w:p>
      <w:pPr>
        <w:spacing w:after="0" w:line="211"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return or impact of current and future investments;</w:t>
      </w:r>
    </w:p>
    <w:p>
      <w:pPr>
        <w:spacing w:after="0" w:line="211"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contractual arrangements and other relationships with third parties;</w:t>
      </w:r>
    </w:p>
    <w:p>
      <w:pPr>
        <w:spacing w:after="0" w:line="211"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211"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financial condition and ability of our existing and prospective portfolio companies to achieve their objectives;</w:t>
      </w:r>
    </w:p>
    <w:p>
      <w:pPr>
        <w:spacing w:after="0" w:line="211"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211" w:lineRule="exact"/>
        <w:rPr>
          <w:rFonts w:ascii="Arial" w:cs="Arial" w:eastAsia="Arial" w:hAnsi="Arial"/>
          <w:sz w:val="18"/>
          <w:szCs w:val="18"/>
          <w:color w:val="auto"/>
        </w:rPr>
      </w:pPr>
    </w:p>
    <w:p>
      <w:pPr>
        <w:ind w:left="740" w:right="460" w:hanging="368"/>
        <w:spacing w:after="0" w:line="263"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operate as a business development company (“BDC”) under the Investment Company Act of 1940 and a regulated investment company under Subchapter M of the Internal Revenue Code of 1986, including the impact of changes in laws or regulations governing our operations or the operations of our portfolio companies;</w:t>
      </w:r>
    </w:p>
    <w:p>
      <w:pPr>
        <w:spacing w:after="0" w:line="143"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adequacy of our available liquidity, cash resources and working capital;</w:t>
      </w:r>
    </w:p>
    <w:p>
      <w:pPr>
        <w:spacing w:after="0" w:line="211"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portfolio companies;</w:t>
      </w:r>
    </w:p>
    <w:p>
      <w:pPr>
        <w:spacing w:after="0" w:line="211" w:lineRule="exact"/>
        <w:rPr>
          <w:rFonts w:ascii="Arial" w:cs="Arial" w:eastAsia="Arial" w:hAnsi="Arial"/>
          <w:sz w:val="18"/>
          <w:szCs w:val="18"/>
          <w:color w:val="auto"/>
        </w:rPr>
      </w:pPr>
    </w:p>
    <w:p>
      <w:pPr>
        <w:ind w:left="740" w:right="480" w:hanging="368"/>
        <w:spacing w:after="0" w:line="277"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Sierra Crest Investment Management LLC (the “Adviser”) to locate suitable investments for us to monitor and administer our investments;</w:t>
      </w:r>
    </w:p>
    <w:p>
      <w:pPr>
        <w:spacing w:after="0" w:line="129"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the Adviser to attract and retain highly talented professionals;</w:t>
      </w:r>
    </w:p>
    <w:p>
      <w:pPr>
        <w:spacing w:after="0" w:line="211"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actual and potential conflicts of interest with the Adviser and its affiliates;</w:t>
      </w:r>
    </w:p>
    <w:p>
      <w:pPr>
        <w:spacing w:after="0" w:line="211"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legal, tax, and regulatory changes on us and our portfolio companies;</w:t>
      </w:r>
    </w:p>
    <w:p>
      <w:pPr>
        <w:spacing w:after="0" w:line="211"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211"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fluctuations in interest rates on our business;</w:t>
      </w:r>
    </w:p>
    <w:p>
      <w:pPr>
        <w:spacing w:after="0" w:line="211"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ind w:left="740" w:hanging="368"/>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recover unrealized losses;</w:t>
      </w:r>
    </w:p>
    <w:p>
      <w:pPr>
        <w:spacing w:after="0" w:line="211" w:lineRule="exact"/>
        <w:rPr>
          <w:rFonts w:ascii="Arial" w:cs="Arial" w:eastAsia="Arial" w:hAnsi="Arial"/>
          <w:sz w:val="18"/>
          <w:szCs w:val="18"/>
          <w:color w:val="auto"/>
        </w:rPr>
      </w:pPr>
    </w:p>
    <w:p>
      <w:pPr>
        <w:ind w:left="740" w:hanging="368"/>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market conditions and our ability to access additional capital;</w:t>
      </w:r>
    </w:p>
    <w:p>
      <w:pPr>
        <w:spacing w:after="0" w:line="211" w:lineRule="exact"/>
        <w:rPr>
          <w:rFonts w:ascii="Arial" w:cs="Arial" w:eastAsia="Arial" w:hAnsi="Arial"/>
          <w:sz w:val="18"/>
          <w:szCs w:val="18"/>
          <w:color w:val="auto"/>
        </w:rPr>
      </w:pPr>
    </w:p>
    <w:p>
      <w:pPr>
        <w:ind w:left="740" w:hanging="368"/>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duration and effects of the COVID-19 pandemic on us and our portfolio companies;</w:t>
      </w:r>
    </w:p>
    <w:p>
      <w:pPr>
        <w:spacing w:after="0" w:line="211" w:lineRule="exact"/>
        <w:rPr>
          <w:rFonts w:ascii="Arial" w:cs="Arial" w:eastAsia="Arial" w:hAnsi="Arial"/>
          <w:sz w:val="18"/>
          <w:szCs w:val="18"/>
          <w:color w:val="auto"/>
        </w:rPr>
      </w:pPr>
    </w:p>
    <w:p>
      <w:pPr>
        <w:ind w:left="740" w:hanging="368"/>
        <w:spacing w:after="0" w:line="263"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economic downturn, including as a result of the impact of the COVID-19 pandemic, could have a material adverse effect on our portfolio companies’ results of operations and financial condition, which could lead to a loss on some or all of our investments in such portfolio companies and have a material adverse effect on our results of operations and financial condition; and</w:t>
      </w:r>
    </w:p>
    <w:p>
      <w:pPr>
        <w:spacing w:after="0" w:line="143" w:lineRule="exact"/>
        <w:rPr>
          <w:rFonts w:ascii="Arial" w:cs="Arial" w:eastAsia="Arial" w:hAnsi="Arial"/>
          <w:sz w:val="18"/>
          <w:szCs w:val="18"/>
          <w:color w:val="auto"/>
        </w:rPr>
      </w:pPr>
    </w:p>
    <w:p>
      <w:pPr>
        <w:ind w:left="740" w:hanging="368"/>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form and amount of any dividend distributions.</w:t>
      </w:r>
    </w:p>
    <w:p>
      <w:pPr>
        <w:spacing w:after="0" w:line="212" w:lineRule="exact"/>
        <w:rPr>
          <w:sz w:val="20"/>
          <w:szCs w:val="20"/>
          <w:color w:val="auto"/>
        </w:rPr>
      </w:pPr>
    </w:p>
    <w:p>
      <w:pPr>
        <w:ind w:right="180" w:firstLine="374"/>
        <w:spacing w:after="0" w:line="296" w:lineRule="auto"/>
        <w:rPr>
          <w:sz w:val="20"/>
          <w:szCs w:val="20"/>
          <w:color w:val="auto"/>
        </w:rPr>
      </w:pPr>
      <w:r>
        <w:rPr>
          <w:rFonts w:ascii="Arial" w:cs="Arial" w:eastAsia="Arial" w:hAnsi="Arial"/>
          <w:sz w:val="16"/>
          <w:szCs w:val="16"/>
          <w:color w:val="auto"/>
        </w:rPr>
        <w:t>For a more detailed discussion of factors that could cause our actual results to differ from forward-looking statements contained in this Quarterly Report, please see the discussion in Part II, “Item 1A. Risk Factors” of this Quarterly Report, and in Part I, “Item 1A. Risk Factors” in our Annual Report on Form 10-K for the fiscal year ended December 31, 2020. You should not place undue reliance on these forward-looking statements. The forward-looking statements made in this Quarterly Report relate only to events as of the date on which the statements are made. We undertake no obligation to update any forward-looking statement to reflect events or circumstances occurring after the date this Quarterly Report is filed with the SEC.</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PORTMAN RIDGE FINANCE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00" w:type="dxa"/>
            <w:vAlign w:val="bottom"/>
            <w:gridSpan w:val="2"/>
          </w:tcPr>
          <w:p>
            <w:pPr>
              <w:jc w:val="center"/>
              <w:ind w:right="560"/>
              <w:spacing w:after="0"/>
              <w:rPr>
                <w:sz w:val="20"/>
                <w:szCs w:val="20"/>
                <w:color w:val="auto"/>
              </w:rPr>
            </w:pPr>
            <w:r>
              <w:rPr>
                <w:rFonts w:ascii="Arial" w:cs="Arial" w:eastAsia="Arial" w:hAnsi="Arial"/>
                <w:sz w:val="16"/>
                <w:szCs w:val="16"/>
                <w:b w:val="1"/>
                <w:bCs w:val="1"/>
                <w:color w:val="auto"/>
                <w:w w:val="94"/>
              </w:rPr>
              <w:t>March 31,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w w:val="97"/>
              </w:rPr>
              <w:t>December 31,</w:t>
            </w:r>
          </w:p>
        </w:tc>
        <w:tc>
          <w:tcPr>
            <w:tcW w:w="0" w:type="dxa"/>
            <w:vAlign w:val="bottom"/>
          </w:tcPr>
          <w:p>
            <w:pPr>
              <w:spacing w:after="0"/>
              <w:rPr>
                <w:sz w:val="1"/>
                <w:szCs w:val="1"/>
                <w:color w:val="auto"/>
              </w:rPr>
            </w:pPr>
          </w:p>
        </w:tc>
      </w:tr>
      <w:tr>
        <w:trPr>
          <w:trHeight w:val="213"/>
        </w:trPr>
        <w:tc>
          <w:tcPr>
            <w:tcW w:w="7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171"/>
              <w:spacing w:after="0"/>
              <w:rPr>
                <w:sz w:val="20"/>
                <w:szCs w:val="20"/>
                <w:color w:val="auto"/>
              </w:rPr>
            </w:pPr>
            <w:r>
              <w:rPr>
                <w:rFonts w:ascii="Arial" w:cs="Arial" w:eastAsia="Arial" w:hAnsi="Arial"/>
                <w:sz w:val="16"/>
                <w:szCs w:val="16"/>
                <w:b w:val="1"/>
                <w:bCs w:val="1"/>
                <w:color w:val="auto"/>
                <w:w w:val="89"/>
              </w:rPr>
              <w:t>2021</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center"/>
              <w:ind w:right="171"/>
              <w:spacing w:after="0"/>
              <w:rPr>
                <w:sz w:val="20"/>
                <w:szCs w:val="20"/>
                <w:color w:val="auto"/>
              </w:rPr>
            </w:pPr>
            <w:r>
              <w:rPr>
                <w:rFonts w:ascii="Arial" w:cs="Arial" w:eastAsia="Arial" w:hAnsi="Arial"/>
                <w:sz w:val="16"/>
                <w:szCs w:val="16"/>
                <w:b w:val="1"/>
                <w:bCs w:val="1"/>
                <w:color w:val="auto"/>
                <w:w w:val="94"/>
              </w:rPr>
              <w:t>(Unaudited)</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74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44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Debt securities (amortized cost: 2021 - $377,355,331; 2020 - $392,932,411)</w:t>
            </w:r>
          </w:p>
        </w:tc>
        <w:tc>
          <w:tcPr>
            <w:tcW w:w="4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387,043,989</w:t>
            </w:r>
          </w:p>
        </w:tc>
        <w:tc>
          <w:tcPr>
            <w:tcW w:w="28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69"/>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404,860,855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CLO Fund Securities managed by non-affiliates (amortized cost: 2021 - $35,264,540; 2020 -</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$45,727,813)</w:t>
            </w:r>
          </w:p>
        </w:tc>
        <w:tc>
          <w:tcPr>
            <w:tcW w:w="1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16,021,434</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19,582,555</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Equity securities (cost: 2021 - $23,950,747; 2020 - $24,593,639)</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14,651,029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13,944,876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Asset Manager Affiliates (cost: 2021 - $17,791,230; 2020 - $17,791,230)</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440" w:type="dxa"/>
            <w:vAlign w:val="bottom"/>
          </w:tcPr>
          <w:p>
            <w:pPr>
              <w:spacing w:after="0"/>
              <w:rPr>
                <w:sz w:val="20"/>
                <w:szCs w:val="20"/>
                <w:color w:val="auto"/>
              </w:rPr>
            </w:pPr>
            <w:r>
              <w:rPr>
                <w:rFonts w:ascii="Arial" w:cs="Arial" w:eastAsia="Arial" w:hAnsi="Arial"/>
                <w:sz w:val="18"/>
                <w:szCs w:val="18"/>
                <w:color w:val="auto"/>
              </w:rPr>
              <w:t>Joint Ventures (cost: 2021 - $61,105,966; 2020 - $54,932,458)</w:t>
            </w:r>
          </w:p>
        </w:tc>
        <w:tc>
          <w:tcPr>
            <w:tcW w:w="1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56,730,956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49,349,163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7440" w:type="dxa"/>
            <w:vAlign w:val="bottom"/>
          </w:tcPr>
          <w:p>
            <w:pPr>
              <w:spacing w:after="0" w:line="195" w:lineRule="exact"/>
              <w:rPr>
                <w:sz w:val="20"/>
                <w:szCs w:val="20"/>
                <w:color w:val="auto"/>
              </w:rPr>
            </w:pPr>
            <w:r>
              <w:rPr>
                <w:rFonts w:ascii="Arial" w:cs="Arial" w:eastAsia="Arial" w:hAnsi="Arial"/>
                <w:sz w:val="18"/>
                <w:szCs w:val="18"/>
                <w:color w:val="auto"/>
              </w:rPr>
              <w:t>Total Investments at Fair Value, excluding derivatives (cost: 2021 - $515,467,814; 2020 -</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$535,977,551)</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474,447,408</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487,737,449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30,843,590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6,990,008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28,452,560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75,913,411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Interest receivable</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2,888,364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2,972,546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tcPr>
          <w:p>
            <w:pPr>
              <w:spacing w:after="0"/>
              <w:rPr>
                <w:sz w:val="20"/>
                <w:szCs w:val="20"/>
                <w:color w:val="auto"/>
              </w:rPr>
            </w:pPr>
            <w:r>
              <w:rPr>
                <w:rFonts w:ascii="Arial" w:cs="Arial" w:eastAsia="Arial" w:hAnsi="Arial"/>
                <w:sz w:val="18"/>
                <w:szCs w:val="18"/>
                <w:color w:val="auto"/>
              </w:rPr>
              <w:t>Receivable for unsettled trades</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14,142,812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25,107,598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Due from affiliates</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853,420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357,168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1,201,991</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1,100,241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552,830,145</w:t>
            </w: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600,178,421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6.125% Notes Due 2022 (net of offering costs of: 2021-$0; 2020 - $1,058,351)</w:t>
            </w:r>
          </w:p>
        </w:tc>
        <w:tc>
          <w:tcPr>
            <w:tcW w:w="4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76,725,975</w:t>
            </w:r>
          </w:p>
        </w:tc>
        <w:tc>
          <w:tcPr>
            <w:tcW w:w="28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69"/>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75,667,624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tcPr>
          <w:p>
            <w:pPr>
              <w:spacing w:after="0"/>
              <w:rPr>
                <w:sz w:val="20"/>
                <w:szCs w:val="20"/>
                <w:color w:val="auto"/>
              </w:rPr>
            </w:pPr>
            <w:r>
              <w:rPr>
                <w:rFonts w:ascii="Arial" w:cs="Arial" w:eastAsia="Arial" w:hAnsi="Arial"/>
                <w:sz w:val="18"/>
                <w:szCs w:val="18"/>
                <w:color w:val="auto"/>
              </w:rPr>
              <w:t>2018-2 Secured Notes (net of discount of: 2021-$1,535,573; 2020 - $2,444,512)</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162,327,125</w:t>
            </w:r>
          </w:p>
        </w:tc>
        <w:tc>
          <w:tcPr>
            <w:tcW w:w="280" w:type="dxa"/>
            <w:vAlign w:val="bottom"/>
          </w:tcPr>
          <w:p>
            <w:pPr>
              <w:spacing w:after="0"/>
              <w:rPr>
                <w:sz w:val="19"/>
                <w:szCs w:val="19"/>
                <w:color w:val="auto"/>
              </w:rPr>
            </w:pPr>
          </w:p>
        </w:tc>
        <w:tc>
          <w:tcPr>
            <w:tcW w:w="200" w:type="dxa"/>
            <w:vAlign w:val="bottom"/>
            <w:gridSpan w:val="2"/>
          </w:tcPr>
          <w:p>
            <w:pPr>
              <w:jc w:val="right"/>
              <w:ind w:right="69"/>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249,418,186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Great Lakes Portman Ridge Funding LLC Revolving Credit Facility (net of offering costs of:</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2021-$1,006,335; 2020 - $1,097,815)</w:t>
            </w:r>
          </w:p>
        </w:tc>
        <w:tc>
          <w:tcPr>
            <w:tcW w:w="1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68,064,563</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48,223,083</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Derivative liabilities, net (cost: 2021 - $30,609; 2020 - $30,609)</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1,582,963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1,108,618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Payable for unsettled trades</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13,881,059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44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2,409,861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1,788,908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Accrued interest payable</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1,146,732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1,089,531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Due to affiliates</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2,372,115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1,374,739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Management and incentive fees payable</w:t>
            </w:r>
          </w:p>
        </w:tc>
        <w:tc>
          <w:tcPr>
            <w:tcW w:w="1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4,464,644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5,243,869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40" w:type="dxa"/>
            <w:vAlign w:val="bottom"/>
          </w:tcPr>
          <w:p>
            <w:pPr>
              <w:spacing w:after="0"/>
              <w:rPr>
                <w:sz w:val="20"/>
                <w:szCs w:val="20"/>
                <w:color w:val="auto"/>
              </w:rPr>
            </w:pPr>
            <w:r>
              <w:rPr>
                <w:rFonts w:ascii="Arial" w:cs="Arial" w:eastAsia="Arial" w:hAnsi="Arial"/>
                <w:sz w:val="18"/>
                <w:szCs w:val="18"/>
                <w:color w:val="auto"/>
              </w:rPr>
              <w:t>Total Liabilities</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332,975,037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383,914,558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COMMITMENTS AND CONTINGENCIES (NOTE 8)</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w w:val="89"/>
              </w:rPr>
              <w:t>Common stock, par value $0.01 per share, 100,000,000 common shares authorized; 76,124,403 issued,</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w w:val="90"/>
              </w:rPr>
              <w:t>and 75,195,141 outstanding at March 31, 2021, and 76,093,492 issued, and 75,164,230 outstanding at</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December 31, 2020</w:t>
            </w:r>
          </w:p>
        </w:tc>
        <w:tc>
          <w:tcPr>
            <w:tcW w:w="1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751,951</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751,642</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Capital in excess of par value</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638,523,223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638,459,548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Total distributable (loss) earnings</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(419,420,066)</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(422,947,327)</w:t>
            </w:r>
          </w:p>
        </w:tc>
        <w:tc>
          <w:tcPr>
            <w:tcW w:w="0" w:type="dxa"/>
            <w:vAlign w:val="bottom"/>
          </w:tcPr>
          <w:p>
            <w:pPr>
              <w:spacing w:after="0"/>
              <w:rPr>
                <w:sz w:val="1"/>
                <w:szCs w:val="1"/>
                <w:color w:val="auto"/>
              </w:rPr>
            </w:pPr>
          </w:p>
        </w:tc>
      </w:tr>
      <w:tr>
        <w:trPr>
          <w:trHeight w:val="223"/>
        </w:trPr>
        <w:tc>
          <w:tcPr>
            <w:tcW w:w="7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219,855,108</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216,263,863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552,830,145</w:t>
            </w: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600,178,421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8"/>
                <w:szCs w:val="18"/>
                <w:color w:val="auto"/>
              </w:rPr>
              <w:t>NET ASSET VALUE PER COMMON SHARE</w:t>
            </w:r>
          </w:p>
        </w:tc>
        <w:tc>
          <w:tcPr>
            <w:tcW w:w="44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6"/>
          <w:szCs w:val="16"/>
          <w:b w:val="1"/>
          <w:bCs w:val="1"/>
          <w:color w:val="auto"/>
        </w:rPr>
        <w:t>PORTMAN RIDGE FINANCE CORPORATION</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OPERATIONS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42" w:lineRule="exact"/>
        <w:rPr>
          <w:sz w:val="20"/>
          <w:szCs w:val="20"/>
          <w:color w:val="auto"/>
        </w:rPr>
      </w:pPr>
    </w:p>
    <w:p>
      <w:pPr>
        <w:jc w:val="center"/>
        <w:ind w:left="7660"/>
        <w:spacing w:after="0"/>
        <w:rPr>
          <w:sz w:val="20"/>
          <w:szCs w:val="20"/>
          <w:color w:val="auto"/>
        </w:rPr>
      </w:pPr>
      <w:r>
        <w:rPr>
          <w:rFonts w:ascii="Arial" w:cs="Arial" w:eastAsia="Arial" w:hAnsi="Arial"/>
          <w:sz w:val="15"/>
          <w:szCs w:val="15"/>
          <w:b w:val="1"/>
          <w:bCs w:val="1"/>
          <w:color w:val="auto"/>
        </w:rPr>
        <w:t>For the Three Months</w:t>
      </w:r>
    </w:p>
    <w:p>
      <w:pPr>
        <w:jc w:val="center"/>
        <w:ind w:left="7660"/>
        <w:spacing w:after="0" w:line="234" w:lineRule="auto"/>
        <w:rPr>
          <w:sz w:val="20"/>
          <w:szCs w:val="20"/>
          <w:color w:val="auto"/>
        </w:rPr>
      </w:pPr>
      <w:r>
        <w:rPr>
          <w:rFonts w:ascii="Arial" w:cs="Arial" w:eastAsia="Arial" w:hAnsi="Arial"/>
          <w:sz w:val="15"/>
          <w:szCs w:val="15"/>
          <w:b w:val="1"/>
          <w:bCs w:val="1"/>
          <w:color w:val="auto"/>
        </w:rPr>
        <w:t>Ended 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960" w:type="dxa"/>
            <w:vAlign w:val="bottom"/>
            <w:tcBorders>
              <w:bottom w:val="single" w:sz="8" w:color="CFF0FC"/>
            </w:tcBorders>
          </w:tcPr>
          <w:p>
            <w:pPr>
              <w:spacing w:after="0"/>
              <w:rPr>
                <w:sz w:val="14"/>
                <w:szCs w:val="14"/>
                <w:color w:val="auto"/>
              </w:rPr>
            </w:pPr>
          </w:p>
        </w:tc>
        <w:tc>
          <w:tcPr>
            <w:tcW w:w="840" w:type="dxa"/>
            <w:vAlign w:val="bottom"/>
            <w:tcBorders>
              <w:bottom w:val="single" w:sz="8" w:color="CFF0FC"/>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44"/>
              <w:spacing w:after="0" w:line="169" w:lineRule="exact"/>
              <w:rPr>
                <w:sz w:val="20"/>
                <w:szCs w:val="20"/>
                <w:color w:val="auto"/>
              </w:rPr>
            </w:pPr>
            <w:r>
              <w:rPr>
                <w:rFonts w:ascii="Arial" w:cs="Arial" w:eastAsia="Arial" w:hAnsi="Arial"/>
                <w:sz w:val="15"/>
                <w:szCs w:val="15"/>
                <w:b w:val="1"/>
                <w:bCs w:val="1"/>
                <w:color w:val="auto"/>
              </w:rPr>
              <w:t>2021</w:t>
            </w:r>
          </w:p>
        </w:tc>
        <w:tc>
          <w:tcPr>
            <w:tcW w:w="180" w:type="dxa"/>
            <w:vAlign w:val="bottom"/>
            <w:tcBorders>
              <w:top w:val="single" w:sz="8" w:color="auto"/>
              <w:bottom w:val="single" w:sz="8" w:color="CFF0FC"/>
            </w:tcBorders>
          </w:tcPr>
          <w:p>
            <w:pPr>
              <w:spacing w:after="0"/>
              <w:rPr>
                <w:sz w:val="14"/>
                <w:szCs w:val="14"/>
                <w:color w:val="auto"/>
              </w:rPr>
            </w:pPr>
          </w:p>
        </w:tc>
        <w:tc>
          <w:tcPr>
            <w:tcW w:w="120" w:type="dxa"/>
            <w:vAlign w:val="bottom"/>
            <w:tcBorders>
              <w:top w:val="single" w:sz="8" w:color="auto"/>
              <w:bottom w:val="single" w:sz="8" w:color="CFF0FC"/>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44"/>
              <w:spacing w:after="0" w:line="169" w:lineRule="exact"/>
              <w:rPr>
                <w:sz w:val="20"/>
                <w:szCs w:val="20"/>
                <w:color w:val="auto"/>
              </w:rPr>
            </w:pPr>
            <w:r>
              <w:rPr>
                <w:rFonts w:ascii="Arial" w:cs="Arial" w:eastAsia="Arial" w:hAnsi="Arial"/>
                <w:sz w:val="15"/>
                <w:szCs w:val="15"/>
                <w:b w:val="1"/>
                <w:bCs w:val="1"/>
                <w:color w:val="auto"/>
              </w:rPr>
              <w:t>2020</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960" w:type="dxa"/>
            <w:vAlign w:val="bottom"/>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Investment Income:</w:t>
            </w:r>
          </w:p>
        </w:tc>
        <w:tc>
          <w:tcPr>
            <w:tcW w:w="84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960" w:type="dxa"/>
            <w:vAlign w:val="bottom"/>
          </w:tcPr>
          <w:p>
            <w:pPr>
              <w:ind w:left="260"/>
              <w:spacing w:after="0"/>
              <w:rPr>
                <w:sz w:val="20"/>
                <w:szCs w:val="20"/>
                <w:color w:val="auto"/>
              </w:rPr>
            </w:pPr>
            <w:r>
              <w:rPr>
                <w:rFonts w:ascii="Arial" w:cs="Arial" w:eastAsia="Arial" w:hAnsi="Arial"/>
                <w:sz w:val="15"/>
                <w:szCs w:val="15"/>
                <w:color w:val="auto"/>
              </w:rPr>
              <w:t>Interest from investments in debt securities</w:t>
            </w:r>
          </w:p>
        </w:tc>
        <w:tc>
          <w:tcPr>
            <w:tcW w:w="118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14,086,475</w:t>
            </w:r>
          </w:p>
        </w:tc>
        <w:tc>
          <w:tcPr>
            <w:tcW w:w="180" w:type="dxa"/>
            <w:vAlign w:val="bottom"/>
          </w:tcPr>
          <w:p>
            <w:pPr>
              <w:spacing w:after="0"/>
              <w:rPr>
                <w:sz w:val="15"/>
                <w:szCs w:val="15"/>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4,579,782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9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Payment-in-kind investment income</w:t>
            </w:r>
          </w:p>
        </w:tc>
        <w:tc>
          <w:tcPr>
            <w:tcW w:w="8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1,131,598</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309,369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960" w:type="dxa"/>
            <w:vAlign w:val="bottom"/>
          </w:tcPr>
          <w:p>
            <w:pPr>
              <w:ind w:left="260"/>
              <w:spacing w:after="0"/>
              <w:rPr>
                <w:sz w:val="20"/>
                <w:szCs w:val="20"/>
                <w:color w:val="auto"/>
              </w:rPr>
            </w:pPr>
            <w:r>
              <w:rPr>
                <w:rFonts w:ascii="Arial" w:cs="Arial" w:eastAsia="Arial" w:hAnsi="Arial"/>
                <w:sz w:val="15"/>
                <w:szCs w:val="15"/>
                <w:color w:val="auto"/>
              </w:rPr>
              <w:t>Interest from short-term investments</w:t>
            </w: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15,279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9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Investment income on CLO Fund Securities managed by affiliates</w:t>
            </w:r>
          </w:p>
        </w:tc>
        <w:tc>
          <w:tcPr>
            <w:tcW w:w="8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1,073,494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960" w:type="dxa"/>
            <w:vAlign w:val="bottom"/>
          </w:tcPr>
          <w:p>
            <w:pPr>
              <w:ind w:left="260"/>
              <w:spacing w:after="0"/>
              <w:rPr>
                <w:sz w:val="20"/>
                <w:szCs w:val="20"/>
                <w:color w:val="auto"/>
              </w:rPr>
            </w:pPr>
            <w:r>
              <w:rPr>
                <w:rFonts w:ascii="Arial" w:cs="Arial" w:eastAsia="Arial" w:hAnsi="Arial"/>
                <w:sz w:val="15"/>
                <w:szCs w:val="15"/>
                <w:color w:val="auto"/>
              </w:rPr>
              <w:t>Investment income on CLO Fund Securities managed by non-affiliates</w:t>
            </w: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617,256</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117,243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9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Investment income - Joint Ventures</w:t>
            </w:r>
          </w:p>
        </w:tc>
        <w:tc>
          <w:tcPr>
            <w:tcW w:w="8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2,039,266</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1,577,136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960" w:type="dxa"/>
            <w:vAlign w:val="bottom"/>
            <w:tcBorders>
              <w:bottom w:val="single" w:sz="8" w:color="CFF0FC"/>
            </w:tcBorders>
          </w:tcPr>
          <w:p>
            <w:pPr>
              <w:ind w:left="260"/>
              <w:spacing w:after="0"/>
              <w:rPr>
                <w:sz w:val="20"/>
                <w:szCs w:val="20"/>
                <w:color w:val="auto"/>
              </w:rPr>
            </w:pPr>
            <w:r>
              <w:rPr>
                <w:rFonts w:ascii="Arial" w:cs="Arial" w:eastAsia="Arial" w:hAnsi="Arial"/>
                <w:sz w:val="15"/>
                <w:szCs w:val="15"/>
                <w:color w:val="auto"/>
              </w:rPr>
              <w:t>Capital structuring service fees</w:t>
            </w:r>
          </w:p>
        </w:tc>
        <w:tc>
          <w:tcPr>
            <w:tcW w:w="840" w:type="dxa"/>
            <w:vAlign w:val="bottom"/>
            <w:tcBorders>
              <w:bottom w:val="single" w:sz="8" w:color="CFF0FC"/>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429,968</w:t>
            </w:r>
          </w:p>
        </w:tc>
        <w:tc>
          <w:tcPr>
            <w:tcW w:w="18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81,904</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960" w:type="dxa"/>
            <w:vAlign w:val="bottom"/>
            <w:shd w:val="clear" w:color="auto" w:fill="CFF0FC"/>
          </w:tcPr>
          <w:p>
            <w:pPr>
              <w:ind w:left="500"/>
              <w:spacing w:after="0" w:line="169" w:lineRule="exact"/>
              <w:rPr>
                <w:sz w:val="20"/>
                <w:szCs w:val="20"/>
                <w:color w:val="auto"/>
              </w:rPr>
            </w:pPr>
            <w:r>
              <w:rPr>
                <w:rFonts w:ascii="Arial" w:cs="Arial" w:eastAsia="Arial" w:hAnsi="Arial"/>
                <w:sz w:val="15"/>
                <w:szCs w:val="15"/>
                <w:color w:val="auto"/>
              </w:rPr>
              <w:t>Total investment income</w:t>
            </w:r>
          </w:p>
        </w:tc>
        <w:tc>
          <w:tcPr>
            <w:tcW w:w="84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18,304,563</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7,754,207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960" w:type="dxa"/>
            <w:vAlign w:val="bottom"/>
          </w:tcPr>
          <w:p>
            <w:pPr>
              <w:spacing w:after="0"/>
              <w:rPr>
                <w:sz w:val="20"/>
                <w:szCs w:val="20"/>
                <w:color w:val="auto"/>
              </w:rPr>
            </w:pPr>
            <w:r>
              <w:rPr>
                <w:rFonts w:ascii="Arial" w:cs="Arial" w:eastAsia="Arial" w:hAnsi="Arial"/>
                <w:sz w:val="15"/>
                <w:szCs w:val="15"/>
                <w:b w:val="1"/>
                <w:bCs w:val="1"/>
                <w:color w:val="auto"/>
              </w:rPr>
              <w:t>Expenses:</w:t>
            </w: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9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Management fees</w:t>
            </w:r>
          </w:p>
        </w:tc>
        <w:tc>
          <w:tcPr>
            <w:tcW w:w="8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1,792,564</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1,011,690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960" w:type="dxa"/>
            <w:vAlign w:val="bottom"/>
          </w:tcPr>
          <w:p>
            <w:pPr>
              <w:ind w:left="260"/>
              <w:spacing w:after="0"/>
              <w:rPr>
                <w:sz w:val="20"/>
                <w:szCs w:val="20"/>
                <w:color w:val="auto"/>
              </w:rPr>
            </w:pPr>
            <w:r>
              <w:rPr>
                <w:rFonts w:ascii="Arial" w:cs="Arial" w:eastAsia="Arial" w:hAnsi="Arial"/>
                <w:sz w:val="15"/>
                <w:szCs w:val="15"/>
                <w:color w:val="auto"/>
              </w:rPr>
              <w:t>Performance-based incentive fees</w:t>
            </w: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2,093,619</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102,006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9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Interest and amortization of debt issuance costs</w:t>
            </w:r>
          </w:p>
        </w:tc>
        <w:tc>
          <w:tcPr>
            <w:tcW w:w="8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3,380,497</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2,350,071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960" w:type="dxa"/>
            <w:vAlign w:val="bottom"/>
          </w:tcPr>
          <w:p>
            <w:pPr>
              <w:ind w:left="260"/>
              <w:spacing w:after="0"/>
              <w:rPr>
                <w:sz w:val="20"/>
                <w:szCs w:val="20"/>
                <w:color w:val="auto"/>
              </w:rPr>
            </w:pPr>
            <w:r>
              <w:rPr>
                <w:rFonts w:ascii="Arial" w:cs="Arial" w:eastAsia="Arial" w:hAnsi="Arial"/>
                <w:sz w:val="15"/>
                <w:szCs w:val="15"/>
                <w:color w:val="auto"/>
              </w:rPr>
              <w:t>Professional fees</w:t>
            </w: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1,494,428</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843,630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9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Insurance</w:t>
            </w:r>
          </w:p>
        </w:tc>
        <w:tc>
          <w:tcPr>
            <w:tcW w:w="8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177,154</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123,750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960" w:type="dxa"/>
            <w:vAlign w:val="bottom"/>
          </w:tcPr>
          <w:p>
            <w:pPr>
              <w:ind w:left="260"/>
              <w:spacing w:after="0"/>
              <w:rPr>
                <w:sz w:val="20"/>
                <w:szCs w:val="20"/>
                <w:color w:val="auto"/>
              </w:rPr>
            </w:pPr>
            <w:r>
              <w:rPr>
                <w:rFonts w:ascii="Arial" w:cs="Arial" w:eastAsia="Arial" w:hAnsi="Arial"/>
                <w:sz w:val="15"/>
                <w:szCs w:val="15"/>
                <w:color w:val="auto"/>
              </w:rPr>
              <w:t>Administrative services expense</w:t>
            </w: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613,372</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461,000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9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Other general and administrative expenses</w:t>
            </w:r>
          </w:p>
        </w:tc>
        <w:tc>
          <w:tcPr>
            <w:tcW w:w="840" w:type="dxa"/>
            <w:vAlign w:val="bottom"/>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540,412</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198,276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960" w:type="dxa"/>
            <w:vAlign w:val="bottom"/>
            <w:tcBorders>
              <w:bottom w:val="single" w:sz="8" w:color="CFF0FC"/>
            </w:tcBorders>
          </w:tcPr>
          <w:p>
            <w:pPr>
              <w:ind w:left="500"/>
              <w:spacing w:after="0" w:line="169" w:lineRule="exact"/>
              <w:rPr>
                <w:sz w:val="20"/>
                <w:szCs w:val="20"/>
                <w:color w:val="auto"/>
              </w:rPr>
            </w:pPr>
            <w:r>
              <w:rPr>
                <w:rFonts w:ascii="Arial" w:cs="Arial" w:eastAsia="Arial" w:hAnsi="Arial"/>
                <w:sz w:val="15"/>
                <w:szCs w:val="15"/>
                <w:color w:val="auto"/>
              </w:rPr>
              <w:t>Total expenses</w:t>
            </w:r>
          </w:p>
        </w:tc>
        <w:tc>
          <w:tcPr>
            <w:tcW w:w="84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10,092,046</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5,090,423</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960" w:type="dxa"/>
            <w:vAlign w:val="bottom"/>
            <w:shd w:val="clear" w:color="auto" w:fill="CFF0FC"/>
          </w:tcPr>
          <w:p>
            <w:pPr>
              <w:ind w:left="260"/>
              <w:spacing w:after="0" w:line="169" w:lineRule="exact"/>
              <w:rPr>
                <w:sz w:val="20"/>
                <w:szCs w:val="20"/>
                <w:color w:val="auto"/>
              </w:rPr>
            </w:pPr>
            <w:r>
              <w:rPr>
                <w:rFonts w:ascii="Arial" w:cs="Arial" w:eastAsia="Arial" w:hAnsi="Arial"/>
                <w:sz w:val="15"/>
                <w:szCs w:val="15"/>
                <w:color w:val="auto"/>
              </w:rPr>
              <w:t>Management and performance-based incentive fees waived</w:t>
            </w:r>
          </w:p>
        </w:tc>
        <w:tc>
          <w:tcPr>
            <w:tcW w:w="84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180"/>
              <w:spacing w:after="0" w:line="169" w:lineRule="exact"/>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60"/>
              <w:spacing w:after="0" w:line="169" w:lineRule="exact"/>
              <w:rPr>
                <w:sz w:val="20"/>
                <w:szCs w:val="20"/>
                <w:color w:val="auto"/>
              </w:rPr>
            </w:pPr>
            <w:r>
              <w:rPr>
                <w:rFonts w:ascii="Arial" w:cs="Arial" w:eastAsia="Arial" w:hAnsi="Arial"/>
                <w:sz w:val="15"/>
                <w:szCs w:val="15"/>
                <w:color w:val="auto"/>
              </w:rPr>
              <w:t>(102,006)</w:t>
            </w:r>
          </w:p>
        </w:tc>
        <w:tc>
          <w:tcPr>
            <w:tcW w:w="0" w:type="dxa"/>
            <w:vAlign w:val="bottom"/>
          </w:tcPr>
          <w:p>
            <w:pPr>
              <w:spacing w:after="0"/>
              <w:rPr>
                <w:sz w:val="1"/>
                <w:szCs w:val="1"/>
                <w:color w:val="auto"/>
              </w:rPr>
            </w:pPr>
          </w:p>
        </w:tc>
      </w:tr>
      <w:tr>
        <w:trPr>
          <w:trHeight w:val="169"/>
        </w:trPr>
        <w:tc>
          <w:tcPr>
            <w:tcW w:w="6960" w:type="dxa"/>
            <w:vAlign w:val="bottom"/>
            <w:tcBorders>
              <w:bottom w:val="single" w:sz="8" w:color="CFF0FC"/>
            </w:tcBorders>
          </w:tcPr>
          <w:p>
            <w:pPr>
              <w:ind w:left="500"/>
              <w:spacing w:after="0" w:line="169" w:lineRule="exact"/>
              <w:rPr>
                <w:sz w:val="20"/>
                <w:szCs w:val="20"/>
                <w:color w:val="auto"/>
              </w:rPr>
            </w:pPr>
            <w:r>
              <w:rPr>
                <w:rFonts w:ascii="Arial" w:cs="Arial" w:eastAsia="Arial" w:hAnsi="Arial"/>
                <w:sz w:val="15"/>
                <w:szCs w:val="15"/>
                <w:color w:val="auto"/>
              </w:rPr>
              <w:t>Net Expenses</w:t>
            </w:r>
          </w:p>
        </w:tc>
        <w:tc>
          <w:tcPr>
            <w:tcW w:w="840" w:type="dxa"/>
            <w:vAlign w:val="bottom"/>
            <w:tcBorders>
              <w:bottom w:val="single" w:sz="8" w:color="CFF0FC"/>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10,092,046</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4,988,417</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960" w:type="dxa"/>
            <w:vAlign w:val="bottom"/>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Net Investment Income</w:t>
            </w:r>
          </w:p>
        </w:tc>
        <w:tc>
          <w:tcPr>
            <w:tcW w:w="84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b w:val="1"/>
                <w:bCs w:val="1"/>
                <w:color w:val="auto"/>
              </w:rPr>
              <w:t>8,212,517</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b w:val="1"/>
                <w:bCs w:val="1"/>
                <w:color w:val="auto"/>
              </w:rPr>
              <w:t>2,765,790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960" w:type="dxa"/>
            <w:vAlign w:val="bottom"/>
          </w:tcPr>
          <w:p>
            <w:pPr>
              <w:spacing w:after="0"/>
              <w:rPr>
                <w:sz w:val="20"/>
                <w:szCs w:val="20"/>
                <w:color w:val="auto"/>
              </w:rPr>
            </w:pPr>
            <w:r>
              <w:rPr>
                <w:rFonts w:ascii="Arial" w:cs="Arial" w:eastAsia="Arial" w:hAnsi="Arial"/>
                <w:sz w:val="15"/>
                <w:szCs w:val="15"/>
                <w:b w:val="1"/>
                <w:bCs w:val="1"/>
                <w:color w:val="auto"/>
              </w:rPr>
              <w:t>Realized And Unrealized Gains (Losses) On Investments:</w:t>
            </w: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9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Net realized (losses) gains from investment transactions</w:t>
            </w:r>
          </w:p>
        </w:tc>
        <w:tc>
          <w:tcPr>
            <w:tcW w:w="8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(5,085,788)</w:t>
            </w: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(1,048,147)</w:t>
            </w:r>
          </w:p>
        </w:tc>
        <w:tc>
          <w:tcPr>
            <w:tcW w:w="0" w:type="dxa"/>
            <w:vAlign w:val="bottom"/>
          </w:tcPr>
          <w:p>
            <w:pPr>
              <w:spacing w:after="0"/>
              <w:rPr>
                <w:sz w:val="1"/>
                <w:szCs w:val="1"/>
                <w:color w:val="auto"/>
              </w:rPr>
            </w:pPr>
          </w:p>
        </w:tc>
      </w:tr>
      <w:tr>
        <w:trPr>
          <w:trHeight w:val="175"/>
        </w:trPr>
        <w:tc>
          <w:tcPr>
            <w:tcW w:w="6960" w:type="dxa"/>
            <w:vAlign w:val="bottom"/>
          </w:tcPr>
          <w:p>
            <w:pPr>
              <w:ind w:left="260"/>
              <w:spacing w:after="0"/>
              <w:rPr>
                <w:sz w:val="20"/>
                <w:szCs w:val="20"/>
                <w:color w:val="auto"/>
              </w:rPr>
            </w:pPr>
            <w:r>
              <w:rPr>
                <w:rFonts w:ascii="Arial" w:cs="Arial" w:eastAsia="Arial" w:hAnsi="Arial"/>
                <w:sz w:val="15"/>
                <w:szCs w:val="15"/>
                <w:color w:val="auto"/>
              </w:rPr>
              <w:t>Net change in unrealized appreciation (depreciation) on:</w:t>
            </w: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960" w:type="dxa"/>
            <w:vAlign w:val="bottom"/>
            <w:shd w:val="clear" w:color="auto" w:fill="CFF0FC"/>
          </w:tcPr>
          <w:p>
            <w:pPr>
              <w:ind w:left="500"/>
              <w:spacing w:after="0"/>
              <w:rPr>
                <w:sz w:val="20"/>
                <w:szCs w:val="20"/>
                <w:color w:val="auto"/>
              </w:rPr>
            </w:pPr>
            <w:r>
              <w:rPr>
                <w:rFonts w:ascii="Arial" w:cs="Arial" w:eastAsia="Arial" w:hAnsi="Arial"/>
                <w:sz w:val="15"/>
                <w:szCs w:val="15"/>
                <w:color w:val="auto"/>
              </w:rPr>
              <w:t>Debt securities</w:t>
            </w:r>
          </w:p>
        </w:tc>
        <w:tc>
          <w:tcPr>
            <w:tcW w:w="8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(2,239,786)</w:t>
            </w: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(10,778,237)</w:t>
            </w:r>
          </w:p>
        </w:tc>
        <w:tc>
          <w:tcPr>
            <w:tcW w:w="0" w:type="dxa"/>
            <w:vAlign w:val="bottom"/>
          </w:tcPr>
          <w:p>
            <w:pPr>
              <w:spacing w:after="0"/>
              <w:rPr>
                <w:sz w:val="1"/>
                <w:szCs w:val="1"/>
                <w:color w:val="auto"/>
              </w:rPr>
            </w:pPr>
          </w:p>
        </w:tc>
      </w:tr>
      <w:tr>
        <w:trPr>
          <w:trHeight w:val="175"/>
        </w:trPr>
        <w:tc>
          <w:tcPr>
            <w:tcW w:w="6960" w:type="dxa"/>
            <w:vAlign w:val="bottom"/>
          </w:tcPr>
          <w:p>
            <w:pPr>
              <w:ind w:left="500"/>
              <w:spacing w:after="0"/>
              <w:rPr>
                <w:sz w:val="20"/>
                <w:szCs w:val="20"/>
                <w:color w:val="auto"/>
              </w:rPr>
            </w:pPr>
            <w:r>
              <w:rPr>
                <w:rFonts w:ascii="Arial" w:cs="Arial" w:eastAsia="Arial" w:hAnsi="Arial"/>
                <w:sz w:val="15"/>
                <w:szCs w:val="15"/>
                <w:color w:val="auto"/>
              </w:rPr>
              <w:t>Equity securities</w:t>
            </w: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1,349,044</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5"/>
                <w:szCs w:val="15"/>
                <w:color w:val="auto"/>
              </w:rPr>
              <w:t>(277,907)</w:t>
            </w:r>
          </w:p>
        </w:tc>
        <w:tc>
          <w:tcPr>
            <w:tcW w:w="0" w:type="dxa"/>
            <w:vAlign w:val="bottom"/>
          </w:tcPr>
          <w:p>
            <w:pPr>
              <w:spacing w:after="0"/>
              <w:rPr>
                <w:sz w:val="1"/>
                <w:szCs w:val="1"/>
                <w:color w:val="auto"/>
              </w:rPr>
            </w:pPr>
          </w:p>
        </w:tc>
      </w:tr>
      <w:tr>
        <w:trPr>
          <w:trHeight w:val="176"/>
        </w:trPr>
        <w:tc>
          <w:tcPr>
            <w:tcW w:w="6960" w:type="dxa"/>
            <w:vAlign w:val="bottom"/>
            <w:shd w:val="clear" w:color="auto" w:fill="CFF0FC"/>
          </w:tcPr>
          <w:p>
            <w:pPr>
              <w:ind w:left="500"/>
              <w:spacing w:after="0"/>
              <w:rPr>
                <w:sz w:val="20"/>
                <w:szCs w:val="20"/>
                <w:color w:val="auto"/>
              </w:rPr>
            </w:pPr>
            <w:r>
              <w:rPr>
                <w:rFonts w:ascii="Arial" w:cs="Arial" w:eastAsia="Arial" w:hAnsi="Arial"/>
                <w:sz w:val="15"/>
                <w:szCs w:val="15"/>
                <w:color w:val="auto"/>
              </w:rPr>
              <w:t>CLO Fund Securities managed by affiliates</w:t>
            </w:r>
          </w:p>
        </w:tc>
        <w:tc>
          <w:tcPr>
            <w:tcW w:w="8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(11,162,275)</w:t>
            </w:r>
          </w:p>
        </w:tc>
        <w:tc>
          <w:tcPr>
            <w:tcW w:w="0" w:type="dxa"/>
            <w:vAlign w:val="bottom"/>
          </w:tcPr>
          <w:p>
            <w:pPr>
              <w:spacing w:after="0"/>
              <w:rPr>
                <w:sz w:val="1"/>
                <w:szCs w:val="1"/>
                <w:color w:val="auto"/>
              </w:rPr>
            </w:pPr>
          </w:p>
        </w:tc>
      </w:tr>
      <w:tr>
        <w:trPr>
          <w:trHeight w:val="175"/>
        </w:trPr>
        <w:tc>
          <w:tcPr>
            <w:tcW w:w="6960" w:type="dxa"/>
            <w:vAlign w:val="bottom"/>
          </w:tcPr>
          <w:p>
            <w:pPr>
              <w:ind w:left="500"/>
              <w:spacing w:after="0"/>
              <w:rPr>
                <w:sz w:val="20"/>
                <w:szCs w:val="20"/>
                <w:color w:val="auto"/>
              </w:rPr>
            </w:pPr>
            <w:r>
              <w:rPr>
                <w:rFonts w:ascii="Arial" w:cs="Arial" w:eastAsia="Arial" w:hAnsi="Arial"/>
                <w:sz w:val="15"/>
                <w:szCs w:val="15"/>
                <w:color w:val="auto"/>
              </w:rPr>
              <w:t>CLO Fund Securities managed by non-affiliates</w:t>
            </w: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6,902,151</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5"/>
                <w:szCs w:val="15"/>
                <w:color w:val="auto"/>
              </w:rPr>
              <w:t>(571,429)</w:t>
            </w:r>
          </w:p>
        </w:tc>
        <w:tc>
          <w:tcPr>
            <w:tcW w:w="0" w:type="dxa"/>
            <w:vAlign w:val="bottom"/>
          </w:tcPr>
          <w:p>
            <w:pPr>
              <w:spacing w:after="0"/>
              <w:rPr>
                <w:sz w:val="1"/>
                <w:szCs w:val="1"/>
                <w:color w:val="auto"/>
              </w:rPr>
            </w:pPr>
          </w:p>
        </w:tc>
      </w:tr>
      <w:tr>
        <w:trPr>
          <w:trHeight w:val="176"/>
        </w:trPr>
        <w:tc>
          <w:tcPr>
            <w:tcW w:w="6960" w:type="dxa"/>
            <w:vAlign w:val="bottom"/>
            <w:shd w:val="clear" w:color="auto" w:fill="CFF0FC"/>
          </w:tcPr>
          <w:p>
            <w:pPr>
              <w:ind w:left="500"/>
              <w:spacing w:after="0"/>
              <w:rPr>
                <w:sz w:val="20"/>
                <w:szCs w:val="20"/>
                <w:color w:val="auto"/>
              </w:rPr>
            </w:pPr>
            <w:r>
              <w:rPr>
                <w:rFonts w:ascii="Arial" w:cs="Arial" w:eastAsia="Arial" w:hAnsi="Arial"/>
                <w:sz w:val="15"/>
                <w:szCs w:val="15"/>
                <w:color w:val="auto"/>
              </w:rPr>
              <w:t>Joint Venture Investments</w:t>
            </w:r>
          </w:p>
        </w:tc>
        <w:tc>
          <w:tcPr>
            <w:tcW w:w="8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1,208,285</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(8,109,197)</w:t>
            </w:r>
          </w:p>
        </w:tc>
        <w:tc>
          <w:tcPr>
            <w:tcW w:w="0" w:type="dxa"/>
            <w:vAlign w:val="bottom"/>
          </w:tcPr>
          <w:p>
            <w:pPr>
              <w:spacing w:after="0"/>
              <w:rPr>
                <w:sz w:val="1"/>
                <w:szCs w:val="1"/>
                <w:color w:val="auto"/>
              </w:rPr>
            </w:pPr>
          </w:p>
        </w:tc>
      </w:tr>
      <w:tr>
        <w:trPr>
          <w:trHeight w:val="175"/>
        </w:trPr>
        <w:tc>
          <w:tcPr>
            <w:tcW w:w="6960" w:type="dxa"/>
            <w:vAlign w:val="bottom"/>
          </w:tcPr>
          <w:p>
            <w:pPr>
              <w:ind w:left="500"/>
              <w:spacing w:after="0"/>
              <w:rPr>
                <w:sz w:val="20"/>
                <w:szCs w:val="20"/>
                <w:color w:val="auto"/>
              </w:rPr>
            </w:pPr>
            <w:r>
              <w:rPr>
                <w:rFonts w:ascii="Arial" w:cs="Arial" w:eastAsia="Arial" w:hAnsi="Arial"/>
                <w:sz w:val="15"/>
                <w:szCs w:val="15"/>
                <w:color w:val="auto"/>
              </w:rPr>
              <w:t>Derivatives</w:t>
            </w: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5"/>
                <w:szCs w:val="15"/>
                <w:color w:val="auto"/>
              </w:rPr>
              <w:t>(474,345)</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5"/>
                <w:szCs w:val="15"/>
                <w:color w:val="auto"/>
              </w:rPr>
              <w:t>(25,637)</w:t>
            </w:r>
          </w:p>
        </w:tc>
        <w:tc>
          <w:tcPr>
            <w:tcW w:w="0" w:type="dxa"/>
            <w:vAlign w:val="bottom"/>
          </w:tcPr>
          <w:p>
            <w:pPr>
              <w:spacing w:after="0"/>
              <w:rPr>
                <w:sz w:val="1"/>
                <w:szCs w:val="1"/>
                <w:color w:val="auto"/>
              </w:rPr>
            </w:pPr>
          </w:p>
        </w:tc>
      </w:tr>
      <w:tr>
        <w:trPr>
          <w:trHeight w:val="20"/>
        </w:trPr>
        <w:tc>
          <w:tcPr>
            <w:tcW w:w="6960" w:type="dxa"/>
            <w:vAlign w:val="bottom"/>
            <w:vMerge w:val="restart"/>
            <w:shd w:val="clear" w:color="auto" w:fill="CFF0FC"/>
          </w:tcPr>
          <w:p>
            <w:pPr>
              <w:ind w:left="500"/>
              <w:spacing w:after="0"/>
              <w:rPr>
                <w:sz w:val="20"/>
                <w:szCs w:val="20"/>
                <w:color w:val="auto"/>
              </w:rPr>
            </w:pPr>
            <w:r>
              <w:rPr>
                <w:rFonts w:ascii="Arial" w:cs="Arial" w:eastAsia="Arial" w:hAnsi="Arial"/>
                <w:sz w:val="15"/>
                <w:szCs w:val="15"/>
                <w:color w:val="auto"/>
              </w:rPr>
              <w:t>Total net change in unrealized appreciation (depreciation)</w:t>
            </w:r>
          </w:p>
        </w:tc>
        <w:tc>
          <w:tcPr>
            <w:tcW w:w="8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960" w:type="dxa"/>
            <w:vAlign w:val="bottom"/>
            <w:vMerge w:val="continue"/>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6,745,349</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60"/>
              <w:spacing w:after="0" w:line="169" w:lineRule="exact"/>
              <w:rPr>
                <w:sz w:val="20"/>
                <w:szCs w:val="20"/>
                <w:color w:val="auto"/>
              </w:rPr>
            </w:pPr>
            <w:r>
              <w:rPr>
                <w:rFonts w:ascii="Arial" w:cs="Arial" w:eastAsia="Arial" w:hAnsi="Arial"/>
                <w:sz w:val="15"/>
                <w:szCs w:val="15"/>
                <w:color w:val="auto"/>
              </w:rPr>
              <w:t>(30,924,682)</w:t>
            </w:r>
          </w:p>
        </w:tc>
        <w:tc>
          <w:tcPr>
            <w:tcW w:w="0" w:type="dxa"/>
            <w:vAlign w:val="bottom"/>
          </w:tcPr>
          <w:p>
            <w:pPr>
              <w:spacing w:after="0"/>
              <w:rPr>
                <w:sz w:val="1"/>
                <w:szCs w:val="1"/>
                <w:color w:val="auto"/>
              </w:rPr>
            </w:pPr>
          </w:p>
        </w:tc>
      </w:tr>
      <w:tr>
        <w:trPr>
          <w:trHeight w:val="20"/>
        </w:trPr>
        <w:tc>
          <w:tcPr>
            <w:tcW w:w="6960" w:type="dxa"/>
            <w:vAlign w:val="bottom"/>
            <w:vMerge w:val="restart"/>
          </w:tcPr>
          <w:p>
            <w:pPr>
              <w:ind w:left="260"/>
              <w:spacing w:after="0"/>
              <w:rPr>
                <w:sz w:val="20"/>
                <w:szCs w:val="20"/>
                <w:color w:val="auto"/>
              </w:rPr>
            </w:pPr>
            <w:r>
              <w:rPr>
                <w:rFonts w:ascii="Arial" w:cs="Arial" w:eastAsia="Arial" w:hAnsi="Arial"/>
                <w:sz w:val="15"/>
                <w:szCs w:val="15"/>
                <w:color w:val="auto"/>
              </w:rPr>
              <w:t>Net realized and unrealized appreciation (depreciation) on investments</w:t>
            </w:r>
          </w:p>
        </w:tc>
        <w:tc>
          <w:tcPr>
            <w:tcW w:w="8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960" w:type="dxa"/>
            <w:vAlign w:val="bottom"/>
            <w:vMerge w:val="continue"/>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jc w:val="right"/>
              <w:spacing w:after="0" w:line="169" w:lineRule="exact"/>
              <w:rPr>
                <w:sz w:val="20"/>
                <w:szCs w:val="20"/>
                <w:color w:val="auto"/>
              </w:rPr>
            </w:pPr>
            <w:r>
              <w:rPr>
                <w:rFonts w:ascii="Arial" w:cs="Arial" w:eastAsia="Arial" w:hAnsi="Arial"/>
                <w:sz w:val="15"/>
                <w:szCs w:val="15"/>
                <w:color w:val="auto"/>
              </w:rPr>
              <w:t>1,659,561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(31,972,829)</w:t>
            </w:r>
          </w:p>
        </w:tc>
        <w:tc>
          <w:tcPr>
            <w:tcW w:w="0" w:type="dxa"/>
            <w:vAlign w:val="bottom"/>
          </w:tcPr>
          <w:p>
            <w:pPr>
              <w:spacing w:after="0"/>
              <w:rPr>
                <w:sz w:val="1"/>
                <w:szCs w:val="1"/>
                <w:color w:val="auto"/>
              </w:rPr>
            </w:pPr>
          </w:p>
        </w:tc>
      </w:tr>
      <w:tr>
        <w:trPr>
          <w:trHeight w:val="20"/>
        </w:trPr>
        <w:tc>
          <w:tcPr>
            <w:tcW w:w="6960" w:type="dxa"/>
            <w:vAlign w:val="bottom"/>
            <w:vMerge w:val="restart"/>
            <w:shd w:val="clear" w:color="auto" w:fill="CFF0FC"/>
          </w:tcPr>
          <w:p>
            <w:pPr>
              <w:spacing w:after="0"/>
              <w:rPr>
                <w:sz w:val="20"/>
                <w:szCs w:val="20"/>
                <w:color w:val="auto"/>
              </w:rPr>
            </w:pPr>
            <w:r>
              <w:rPr>
                <w:rFonts w:ascii="Arial" w:cs="Arial" w:eastAsia="Arial" w:hAnsi="Arial"/>
                <w:sz w:val="15"/>
                <w:szCs w:val="15"/>
                <w:color w:val="auto"/>
              </w:rPr>
              <w:t>Realized (losses) gains on extinguishments of Debt</w:t>
            </w:r>
          </w:p>
        </w:tc>
        <w:tc>
          <w:tcPr>
            <w:tcW w:w="8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960" w:type="dxa"/>
            <w:vAlign w:val="bottom"/>
            <w:vMerge w:val="continue"/>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120"/>
              <w:spacing w:after="0" w:line="169" w:lineRule="exact"/>
              <w:rPr>
                <w:sz w:val="20"/>
                <w:szCs w:val="20"/>
                <w:color w:val="auto"/>
              </w:rPr>
            </w:pPr>
            <w:r>
              <w:rPr>
                <w:rFonts w:ascii="Arial" w:cs="Arial" w:eastAsia="Arial" w:hAnsi="Arial"/>
                <w:sz w:val="15"/>
                <w:szCs w:val="15"/>
                <w:color w:val="auto"/>
              </w:rPr>
              <w:t>(1,834,963)</w:t>
            </w:r>
          </w:p>
        </w:tc>
        <w:tc>
          <w:tcPr>
            <w:tcW w:w="1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154,106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960" w:type="dxa"/>
            <w:vAlign w:val="bottom"/>
            <w:vMerge w:val="restart"/>
          </w:tcPr>
          <w:p>
            <w:pPr>
              <w:spacing w:after="0"/>
              <w:rPr>
                <w:sz w:val="20"/>
                <w:szCs w:val="20"/>
                <w:color w:val="auto"/>
              </w:rPr>
            </w:pPr>
            <w:r>
              <w:rPr>
                <w:rFonts w:ascii="Arial" w:cs="Arial" w:eastAsia="Arial" w:hAnsi="Arial"/>
                <w:sz w:val="15"/>
                <w:szCs w:val="15"/>
                <w:b w:val="1"/>
                <w:bCs w:val="1"/>
                <w:color w:val="auto"/>
              </w:rPr>
              <w:t>Net Increase (Decrease) In Stockholders’ Equity Resulting From Operations</w:t>
            </w:r>
          </w:p>
        </w:tc>
        <w:tc>
          <w:tcPr>
            <w:tcW w:w="8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960" w:type="dxa"/>
            <w:vAlign w:val="bottom"/>
            <w:vMerge w:val="continue"/>
          </w:tcPr>
          <w:p>
            <w:pPr>
              <w:spacing w:after="0"/>
              <w:rPr>
                <w:sz w:val="18"/>
                <w:szCs w:val="18"/>
                <w:color w:val="auto"/>
              </w:rPr>
            </w:pPr>
          </w:p>
        </w:tc>
        <w:tc>
          <w:tcPr>
            <w:tcW w:w="1180" w:type="dxa"/>
            <w:vAlign w:val="bottom"/>
            <w:gridSpan w:val="2"/>
          </w:tcPr>
          <w:p>
            <w:pPr>
              <w:jc w:val="right"/>
              <w:ind w:right="260"/>
              <w:spacing w:after="0" w:line="169" w:lineRule="exact"/>
              <w:rPr>
                <w:sz w:val="20"/>
                <w:szCs w:val="20"/>
                <w:color w:val="auto"/>
              </w:rPr>
            </w:pPr>
            <w:r>
              <w:rPr>
                <w:rFonts w:ascii="Arial" w:cs="Arial" w:eastAsia="Arial" w:hAnsi="Arial"/>
                <w:sz w:val="15"/>
                <w:szCs w:val="15"/>
                <w:color w:val="auto"/>
              </w:rPr>
              <w:t>$</w:t>
            </w:r>
          </w:p>
        </w:tc>
        <w:tc>
          <w:tcPr>
            <w:tcW w:w="1200" w:type="dxa"/>
            <w:vAlign w:val="bottom"/>
          </w:tcPr>
          <w:p>
            <w:pPr>
              <w:jc w:val="right"/>
              <w:spacing w:after="0" w:line="169" w:lineRule="exact"/>
              <w:rPr>
                <w:sz w:val="20"/>
                <w:szCs w:val="20"/>
                <w:color w:val="auto"/>
              </w:rPr>
            </w:pPr>
            <w:r>
              <w:rPr>
                <w:rFonts w:ascii="Arial" w:cs="Arial" w:eastAsia="Arial" w:hAnsi="Arial"/>
                <w:sz w:val="15"/>
                <w:szCs w:val="15"/>
                <w:color w:val="auto"/>
              </w:rPr>
              <w:t>8,037,115</w:t>
            </w:r>
          </w:p>
        </w:tc>
        <w:tc>
          <w:tcPr>
            <w:tcW w:w="180" w:type="dxa"/>
            <w:vAlign w:val="bottom"/>
          </w:tcPr>
          <w:p>
            <w:pPr>
              <w:spacing w:after="0"/>
              <w:rPr>
                <w:sz w:val="18"/>
                <w:szCs w:val="18"/>
                <w:color w:val="auto"/>
              </w:rPr>
            </w:pPr>
          </w:p>
        </w:tc>
        <w:tc>
          <w:tcPr>
            <w:tcW w:w="440" w:type="dxa"/>
            <w:vAlign w:val="bottom"/>
            <w:gridSpan w:val="2"/>
          </w:tcPr>
          <w:p>
            <w:pPr>
              <w:jc w:val="right"/>
              <w:ind w:right="240"/>
              <w:spacing w:after="0" w:line="169" w:lineRule="exact"/>
              <w:rPr>
                <w:sz w:val="20"/>
                <w:szCs w:val="20"/>
                <w:color w:val="auto"/>
              </w:rPr>
            </w:pPr>
            <w:r>
              <w:rPr>
                <w:rFonts w:ascii="Arial" w:cs="Arial" w:eastAsia="Arial" w:hAnsi="Arial"/>
                <w:sz w:val="15"/>
                <w:szCs w:val="15"/>
                <w:color w:val="auto"/>
              </w:rPr>
              <w:t>$</w:t>
            </w:r>
          </w:p>
        </w:tc>
        <w:tc>
          <w:tcPr>
            <w:tcW w:w="12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(29,052,933)</w:t>
            </w:r>
          </w:p>
        </w:tc>
        <w:tc>
          <w:tcPr>
            <w:tcW w:w="0" w:type="dxa"/>
            <w:vAlign w:val="bottom"/>
          </w:tcPr>
          <w:p>
            <w:pPr>
              <w:spacing w:after="0"/>
              <w:rPr>
                <w:sz w:val="1"/>
                <w:szCs w:val="1"/>
                <w:color w:val="auto"/>
              </w:rPr>
            </w:pPr>
          </w:p>
        </w:tc>
      </w:tr>
      <w:tr>
        <w:trPr>
          <w:trHeight w:val="156"/>
        </w:trPr>
        <w:tc>
          <w:tcPr>
            <w:tcW w:w="6960" w:type="dxa"/>
            <w:vAlign w:val="bottom"/>
            <w:tcBorders>
              <w:top w:val="single" w:sz="8" w:color="CFF0FC"/>
            </w:tcBorders>
            <w:shd w:val="clear" w:color="auto" w:fill="CFF0FC"/>
          </w:tcPr>
          <w:p>
            <w:pPr>
              <w:ind w:left="260"/>
              <w:spacing w:after="0" w:line="156" w:lineRule="exact"/>
              <w:rPr>
                <w:sz w:val="20"/>
                <w:szCs w:val="20"/>
                <w:color w:val="auto"/>
              </w:rPr>
            </w:pPr>
            <w:r>
              <w:rPr>
                <w:rFonts w:ascii="Arial" w:cs="Arial" w:eastAsia="Arial" w:hAnsi="Arial"/>
                <w:sz w:val="15"/>
                <w:szCs w:val="15"/>
                <w:color w:val="auto"/>
              </w:rPr>
              <w:t>Net Increase (Decrease) In Stockholders' Equity Resulting from Operations per Common Share:</w:t>
            </w:r>
          </w:p>
        </w:tc>
        <w:tc>
          <w:tcPr>
            <w:tcW w:w="840" w:type="dxa"/>
            <w:vAlign w:val="bottom"/>
            <w:tcBorders>
              <w:top w:val="single" w:sz="8" w:color="CFF0FC"/>
            </w:tcBorders>
            <w:shd w:val="clear" w:color="auto" w:fill="CFF0FC"/>
          </w:tcPr>
          <w:p>
            <w:pPr>
              <w:spacing w:after="0"/>
              <w:rPr>
                <w:sz w:val="13"/>
                <w:szCs w:val="13"/>
                <w:color w:val="auto"/>
              </w:rPr>
            </w:pPr>
          </w:p>
        </w:tc>
        <w:tc>
          <w:tcPr>
            <w:tcW w:w="340" w:type="dxa"/>
            <w:vAlign w:val="bottom"/>
            <w:tcBorders>
              <w:top w:val="single" w:sz="8" w:color="auto"/>
            </w:tcBorders>
            <w:shd w:val="clear" w:color="auto" w:fill="CFF0FC"/>
          </w:tcPr>
          <w:p>
            <w:pPr>
              <w:spacing w:after="0"/>
              <w:rPr>
                <w:sz w:val="13"/>
                <w:szCs w:val="13"/>
                <w:color w:val="auto"/>
              </w:rPr>
            </w:pPr>
          </w:p>
        </w:tc>
        <w:tc>
          <w:tcPr>
            <w:tcW w:w="120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320" w:type="dxa"/>
            <w:vAlign w:val="bottom"/>
            <w:tcBorders>
              <w:top w:val="single" w:sz="8" w:color="auto"/>
            </w:tcBorders>
            <w:shd w:val="clear" w:color="auto" w:fill="CFF0FC"/>
          </w:tcPr>
          <w:p>
            <w:pPr>
              <w:spacing w:after="0"/>
              <w:rPr>
                <w:sz w:val="13"/>
                <w:szCs w:val="13"/>
                <w:color w:val="auto"/>
              </w:rPr>
            </w:pPr>
          </w:p>
        </w:tc>
        <w:tc>
          <w:tcPr>
            <w:tcW w:w="118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6960" w:type="dxa"/>
            <w:vAlign w:val="bottom"/>
          </w:tcPr>
          <w:p>
            <w:pPr>
              <w:ind w:left="500"/>
              <w:spacing w:after="0"/>
              <w:rPr>
                <w:sz w:val="20"/>
                <w:szCs w:val="20"/>
                <w:color w:val="auto"/>
              </w:rPr>
            </w:pPr>
            <w:r>
              <w:rPr>
                <w:rFonts w:ascii="Arial" w:cs="Arial" w:eastAsia="Arial" w:hAnsi="Arial"/>
                <w:sz w:val="15"/>
                <w:szCs w:val="15"/>
                <w:color w:val="auto"/>
              </w:rPr>
              <w:t>Basic:</w:t>
            </w:r>
          </w:p>
        </w:tc>
        <w:tc>
          <w:tcPr>
            <w:tcW w:w="118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0.11</w:t>
            </w:r>
          </w:p>
        </w:tc>
        <w:tc>
          <w:tcPr>
            <w:tcW w:w="180" w:type="dxa"/>
            <w:vAlign w:val="bottom"/>
          </w:tcPr>
          <w:p>
            <w:pPr>
              <w:spacing w:after="0"/>
              <w:rPr>
                <w:sz w:val="15"/>
                <w:szCs w:val="15"/>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80" w:type="dxa"/>
            <w:vAlign w:val="bottom"/>
            <w:gridSpan w:val="2"/>
          </w:tcPr>
          <w:p>
            <w:pPr>
              <w:jc w:val="right"/>
              <w:ind w:right="60"/>
              <w:spacing w:after="0"/>
              <w:rPr>
                <w:sz w:val="20"/>
                <w:szCs w:val="20"/>
                <w:color w:val="auto"/>
              </w:rPr>
            </w:pPr>
            <w:r>
              <w:rPr>
                <w:rFonts w:ascii="Arial" w:cs="Arial" w:eastAsia="Arial" w:hAnsi="Arial"/>
                <w:sz w:val="15"/>
                <w:szCs w:val="15"/>
                <w:color w:val="auto"/>
              </w:rPr>
              <w:t>(0.65)</w:t>
            </w:r>
          </w:p>
        </w:tc>
        <w:tc>
          <w:tcPr>
            <w:tcW w:w="0" w:type="dxa"/>
            <w:vAlign w:val="bottom"/>
          </w:tcPr>
          <w:p>
            <w:pPr>
              <w:spacing w:after="0"/>
              <w:rPr>
                <w:sz w:val="1"/>
                <w:szCs w:val="1"/>
                <w:color w:val="auto"/>
              </w:rPr>
            </w:pPr>
          </w:p>
        </w:tc>
      </w:tr>
      <w:tr>
        <w:trPr>
          <w:trHeight w:val="175"/>
        </w:trPr>
        <w:tc>
          <w:tcPr>
            <w:tcW w:w="6960" w:type="dxa"/>
            <w:vAlign w:val="bottom"/>
            <w:shd w:val="clear" w:color="auto" w:fill="CFF0FC"/>
          </w:tcPr>
          <w:p>
            <w:pPr>
              <w:ind w:left="500"/>
              <w:spacing w:after="0"/>
              <w:rPr>
                <w:sz w:val="20"/>
                <w:szCs w:val="20"/>
                <w:color w:val="auto"/>
              </w:rPr>
            </w:pPr>
            <w:r>
              <w:rPr>
                <w:rFonts w:ascii="Arial" w:cs="Arial" w:eastAsia="Arial" w:hAnsi="Arial"/>
                <w:sz w:val="15"/>
                <w:szCs w:val="15"/>
                <w:color w:val="auto"/>
              </w:rPr>
              <w:t>Diluted:</w:t>
            </w: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0.11</w:t>
            </w:r>
          </w:p>
        </w:tc>
        <w:tc>
          <w:tcPr>
            <w:tcW w:w="180" w:type="dxa"/>
            <w:vAlign w:val="bottom"/>
            <w:shd w:val="clear" w:color="auto" w:fill="CFF0FC"/>
          </w:tcPr>
          <w:p>
            <w:pPr>
              <w:spacing w:after="0"/>
              <w:rPr>
                <w:sz w:val="15"/>
                <w:szCs w:val="15"/>
                <w:color w:val="auto"/>
              </w:rPr>
            </w:pPr>
          </w:p>
        </w:tc>
        <w:tc>
          <w:tcPr>
            <w:tcW w:w="44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(0.65)</w:t>
            </w:r>
          </w:p>
        </w:tc>
        <w:tc>
          <w:tcPr>
            <w:tcW w:w="0" w:type="dxa"/>
            <w:vAlign w:val="bottom"/>
          </w:tcPr>
          <w:p>
            <w:pPr>
              <w:spacing w:after="0"/>
              <w:rPr>
                <w:sz w:val="1"/>
                <w:szCs w:val="1"/>
                <w:color w:val="auto"/>
              </w:rPr>
            </w:pPr>
          </w:p>
        </w:tc>
      </w:tr>
      <w:tr>
        <w:trPr>
          <w:trHeight w:val="175"/>
        </w:trPr>
        <w:tc>
          <w:tcPr>
            <w:tcW w:w="6960" w:type="dxa"/>
            <w:vAlign w:val="bottom"/>
          </w:tcPr>
          <w:p>
            <w:pPr>
              <w:ind w:left="260"/>
              <w:spacing w:after="0"/>
              <w:rPr>
                <w:sz w:val="20"/>
                <w:szCs w:val="20"/>
                <w:color w:val="auto"/>
              </w:rPr>
            </w:pPr>
            <w:r>
              <w:rPr>
                <w:rFonts w:ascii="Arial" w:cs="Arial" w:eastAsia="Arial" w:hAnsi="Arial"/>
                <w:sz w:val="15"/>
                <w:szCs w:val="15"/>
                <w:color w:val="auto"/>
              </w:rPr>
              <w:t>Net Investment Income Per Common Share:</w:t>
            </w: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960" w:type="dxa"/>
            <w:vAlign w:val="bottom"/>
            <w:shd w:val="clear" w:color="auto" w:fill="CFF0FC"/>
          </w:tcPr>
          <w:p>
            <w:pPr>
              <w:ind w:left="500"/>
              <w:spacing w:after="0"/>
              <w:rPr>
                <w:sz w:val="20"/>
                <w:szCs w:val="20"/>
                <w:color w:val="auto"/>
              </w:rPr>
            </w:pPr>
            <w:r>
              <w:rPr>
                <w:rFonts w:ascii="Arial" w:cs="Arial" w:eastAsia="Arial" w:hAnsi="Arial"/>
                <w:sz w:val="15"/>
                <w:szCs w:val="15"/>
                <w:color w:val="auto"/>
              </w:rPr>
              <w:t>Basic:</w:t>
            </w: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0.11</w:t>
            </w:r>
          </w:p>
        </w:tc>
        <w:tc>
          <w:tcPr>
            <w:tcW w:w="180" w:type="dxa"/>
            <w:vAlign w:val="bottom"/>
            <w:shd w:val="clear" w:color="auto" w:fill="CFF0FC"/>
          </w:tcPr>
          <w:p>
            <w:pPr>
              <w:spacing w:after="0"/>
              <w:rPr>
                <w:sz w:val="15"/>
                <w:szCs w:val="15"/>
                <w:color w:val="auto"/>
              </w:rPr>
            </w:pPr>
          </w:p>
        </w:tc>
        <w:tc>
          <w:tcPr>
            <w:tcW w:w="44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0.06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960" w:type="dxa"/>
            <w:vAlign w:val="bottom"/>
          </w:tcPr>
          <w:p>
            <w:pPr>
              <w:ind w:left="500"/>
              <w:spacing w:after="0"/>
              <w:rPr>
                <w:sz w:val="20"/>
                <w:szCs w:val="20"/>
                <w:color w:val="auto"/>
              </w:rPr>
            </w:pPr>
            <w:r>
              <w:rPr>
                <w:rFonts w:ascii="Arial" w:cs="Arial" w:eastAsia="Arial" w:hAnsi="Arial"/>
                <w:sz w:val="15"/>
                <w:szCs w:val="15"/>
                <w:color w:val="auto"/>
              </w:rPr>
              <w:t>Diluted:</w:t>
            </w:r>
          </w:p>
        </w:tc>
        <w:tc>
          <w:tcPr>
            <w:tcW w:w="118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0.11</w:t>
            </w:r>
          </w:p>
        </w:tc>
        <w:tc>
          <w:tcPr>
            <w:tcW w:w="180" w:type="dxa"/>
            <w:vAlign w:val="bottom"/>
          </w:tcPr>
          <w:p>
            <w:pPr>
              <w:spacing w:after="0"/>
              <w:rPr>
                <w:sz w:val="15"/>
                <w:szCs w:val="15"/>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0.06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9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Weighted Average Shares of Common Stock Outstanding—Basic</w:t>
            </w:r>
          </w:p>
        </w:tc>
        <w:tc>
          <w:tcPr>
            <w:tcW w:w="8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75,174,533</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44,823,193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6960" w:type="dxa"/>
            <w:vAlign w:val="bottom"/>
          </w:tcPr>
          <w:p>
            <w:pPr>
              <w:ind w:left="260"/>
              <w:spacing w:after="0"/>
              <w:rPr>
                <w:sz w:val="20"/>
                <w:szCs w:val="20"/>
                <w:color w:val="auto"/>
              </w:rPr>
            </w:pPr>
            <w:r>
              <w:rPr>
                <w:rFonts w:ascii="Arial" w:cs="Arial" w:eastAsia="Arial" w:hAnsi="Arial"/>
                <w:sz w:val="15"/>
                <w:szCs w:val="15"/>
                <w:color w:val="auto"/>
              </w:rPr>
              <w:t>Weighted Average Shares of Common Stock Outstanding—Diluted</w:t>
            </w: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75,174,533</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44,823,193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PORTMAN RIDGE FINANCE CORPORATION</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NET ASSETS</w:t>
      </w:r>
      <w:r>
        <w:rPr>
          <w:rFonts w:ascii="Arial" w:cs="Arial" w:eastAsia="Arial" w:hAnsi="Arial"/>
          <w:sz w:val="15"/>
          <w:szCs w:val="15"/>
          <w:b w:val="1"/>
          <w:bCs w:val="1"/>
          <w:color w:val="auto"/>
        </w:rPr>
        <w:t>(1)</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0" w:type="dxa"/>
            <w:vAlign w:val="bottom"/>
            <w:gridSpan w:val="5"/>
          </w:tcPr>
          <w:p>
            <w:pPr>
              <w:jc w:val="right"/>
              <w:ind w:right="280"/>
              <w:spacing w:after="0"/>
              <w:rPr>
                <w:sz w:val="20"/>
                <w:szCs w:val="20"/>
                <w:color w:val="auto"/>
              </w:rPr>
            </w:pPr>
            <w:r>
              <w:rPr>
                <w:rFonts w:ascii="Arial" w:cs="Arial" w:eastAsia="Arial" w:hAnsi="Arial"/>
                <w:sz w:val="18"/>
                <w:szCs w:val="18"/>
                <w:b w:val="1"/>
                <w:bCs w:val="1"/>
                <w:color w:val="auto"/>
                <w:w w:val="93"/>
              </w:rPr>
              <w:t>For the Three Months Ended March 31,</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top w:val="single" w:sz="8" w:color="auto"/>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Operations:</w:t>
            </w: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Net investment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8,212,517</w:t>
            </w:r>
          </w:p>
        </w:tc>
        <w:tc>
          <w:tcPr>
            <w:tcW w:w="28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2,765,790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realized gains (losses) from investment transactions</w:t>
            </w:r>
          </w:p>
        </w:tc>
        <w:tc>
          <w:tcPr>
            <w:tcW w:w="12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(5,085,788)</w:t>
            </w: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(1,048,147)</w:t>
            </w: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Realized (losses) gains from extinguishments of debt</w:t>
            </w:r>
          </w:p>
        </w:tc>
        <w:tc>
          <w:tcPr>
            <w:tcW w:w="120" w:type="dxa"/>
            <w:vAlign w:val="bottom"/>
          </w:tcPr>
          <w:p>
            <w:pPr>
              <w:spacing w:after="0"/>
              <w:rPr>
                <w:sz w:val="19"/>
                <w:szCs w:val="19"/>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(1,834,963)</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154,106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change in unrealized (depreciation) appreciation on investments</w:t>
            </w: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6,745,349</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(30,924,682)</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increase (decrease) in stockholders’ equity resulting from operations</w:t>
            </w:r>
          </w:p>
        </w:tc>
        <w:tc>
          <w:tcPr>
            <w:tcW w:w="12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8,037,115</w:t>
            </w:r>
          </w:p>
        </w:tc>
        <w:tc>
          <w:tcPr>
            <w:tcW w:w="28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(29,052,933)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b w:val="1"/>
                <w:bCs w:val="1"/>
                <w:color w:val="auto"/>
              </w:rPr>
              <w:t>Stockholder distributions:</w:t>
            </w:r>
          </w:p>
        </w:tc>
        <w:tc>
          <w:tcPr>
            <w:tcW w:w="120" w:type="dxa"/>
            <w:vAlign w:val="bottom"/>
          </w:tcPr>
          <w:p>
            <w:pPr>
              <w:spacing w:after="0"/>
              <w:rPr>
                <w:sz w:val="19"/>
                <w:szCs w:val="19"/>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(4,509,854)</w:t>
            </w:r>
          </w:p>
        </w:tc>
        <w:tc>
          <w:tcPr>
            <w:tcW w:w="34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(2,689,779)</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b w:val="1"/>
                <w:bCs w:val="1"/>
                <w:color w:val="auto"/>
              </w:rPr>
              <w:t>Capital share transactions:</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 stock for:</w:t>
            </w: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Dividend reinvestment plan</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63,984</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37,084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Stock repurchases</w:t>
            </w:r>
          </w:p>
        </w:tc>
        <w:tc>
          <w:tcPr>
            <w:tcW w:w="12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(123,330)</w:t>
            </w:r>
          </w:p>
        </w:tc>
        <w:tc>
          <w:tcPr>
            <w:tcW w:w="0" w:type="dxa"/>
            <w:vAlign w:val="bottom"/>
          </w:tcPr>
          <w:p>
            <w:pPr>
              <w:spacing w:after="0"/>
              <w:rPr>
                <w:sz w:val="1"/>
                <w:szCs w:val="1"/>
                <w:color w:val="auto"/>
              </w:rPr>
            </w:pPr>
          </w:p>
        </w:tc>
      </w:tr>
      <w:tr>
        <w:trPr>
          <w:trHeight w:val="223"/>
        </w:trPr>
        <w:tc>
          <w:tcPr>
            <w:tcW w:w="7720" w:type="dxa"/>
            <w:vAlign w:val="bottom"/>
          </w:tcPr>
          <w:p>
            <w:pPr>
              <w:ind w:left="260"/>
              <w:spacing w:after="0"/>
              <w:rPr>
                <w:sz w:val="20"/>
                <w:szCs w:val="20"/>
                <w:color w:val="auto"/>
              </w:rPr>
            </w:pPr>
            <w:r>
              <w:rPr>
                <w:rFonts w:ascii="Arial" w:cs="Arial" w:eastAsia="Arial" w:hAnsi="Arial"/>
                <w:sz w:val="18"/>
                <w:szCs w:val="18"/>
                <w:color w:val="auto"/>
              </w:rPr>
              <w:t>Net increase in net assets resulting from capital share transactions</w:t>
            </w:r>
          </w:p>
        </w:tc>
        <w:tc>
          <w:tcPr>
            <w:tcW w:w="12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63,984</w:t>
            </w:r>
          </w:p>
        </w:tc>
        <w:tc>
          <w:tcPr>
            <w:tcW w:w="2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(86,246)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assets at beginning of period</w:t>
            </w: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216,263,863</w:t>
            </w:r>
          </w:p>
        </w:tc>
        <w:tc>
          <w:tcPr>
            <w:tcW w:w="2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152,198,570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assets at end of period</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219,855,108</w:t>
            </w:r>
          </w:p>
        </w:tc>
        <w:tc>
          <w:tcPr>
            <w:tcW w:w="2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120,369,612</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color w:val="auto"/>
              </w:rPr>
              <w:t>Net asset value per common share</w:t>
            </w: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2.92</w:t>
            </w:r>
          </w:p>
        </w:tc>
        <w:tc>
          <w:tcPr>
            <w:tcW w:w="28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Common shares outstanding at end of period</w:t>
            </w: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75,195,141</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44,725,872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020" w:right="2500" w:hanging="3012"/>
        <w:spacing w:after="0" w:line="537" w:lineRule="auto"/>
        <w:tabs>
          <w:tab w:leader="none" w:pos="367" w:val="left"/>
        </w:tabs>
        <w:numPr>
          <w:ilvl w:val="0"/>
          <w:numId w:val="5"/>
        </w:numPr>
        <w:rPr>
          <w:rFonts w:ascii="Arial" w:cs="Arial" w:eastAsia="Arial" w:hAnsi="Arial"/>
          <w:sz w:val="16"/>
          <w:szCs w:val="16"/>
          <w:color w:val="auto"/>
        </w:rPr>
      </w:pPr>
      <w:r>
        <w:rPr>
          <w:rFonts w:ascii="Arial" w:cs="Arial" w:eastAsia="Arial" w:hAnsi="Arial"/>
          <w:sz w:val="16"/>
          <w:szCs w:val="16"/>
          <w:color w:val="auto"/>
        </w:rPr>
        <w:t>Refer to note 9 "Stockholders' Equity" for additional information on changes in components of Stockholders' Equity See accompanying notes to unaudited consolidated financial statements.</w:t>
      </w: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PORTMAN RIDGE FINANCE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680" w:type="dxa"/>
            <w:vAlign w:val="bottom"/>
          </w:tcPr>
          <w:p>
            <w:pPr>
              <w:spacing w:after="0"/>
              <w:rPr>
                <w:sz w:val="13"/>
                <w:szCs w:val="13"/>
                <w:color w:val="auto"/>
              </w:rPr>
            </w:pPr>
          </w:p>
        </w:tc>
        <w:tc>
          <w:tcPr>
            <w:tcW w:w="280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For the Three Months Ended March 31,</w:t>
            </w:r>
          </w:p>
        </w:tc>
        <w:tc>
          <w:tcPr>
            <w:tcW w:w="6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680" w:type="dxa"/>
            <w:vAlign w:val="bottom"/>
            <w:tcBorders>
              <w:bottom w:val="single" w:sz="8" w:color="CFF0FC"/>
            </w:tcBorders>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2021</w:t>
            </w:r>
          </w:p>
        </w:tc>
        <w:tc>
          <w:tcPr>
            <w:tcW w:w="660" w:type="dxa"/>
            <w:vAlign w:val="bottom"/>
            <w:tcBorders>
              <w:bottom w:val="single" w:sz="8" w:color="auto"/>
            </w:tcBorders>
          </w:tcPr>
          <w:p>
            <w:pPr>
              <w:spacing w:after="0"/>
              <w:rPr>
                <w:sz w:val="12"/>
                <w:szCs w:val="12"/>
                <w:color w:val="auto"/>
              </w:rPr>
            </w:pPr>
          </w:p>
        </w:tc>
        <w:tc>
          <w:tcPr>
            <w:tcW w:w="280" w:type="dxa"/>
            <w:vAlign w:val="bottom"/>
            <w:tcBorders>
              <w:bottom w:val="single" w:sz="8" w:color="CFF0FC"/>
            </w:tcBorders>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2020</w:t>
            </w:r>
          </w:p>
        </w:tc>
        <w:tc>
          <w:tcPr>
            <w:tcW w:w="640" w:type="dxa"/>
            <w:vAlign w:val="bottom"/>
            <w:tcBorders>
              <w:bottom w:val="single" w:sz="8" w:color="auto"/>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68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OPERATING ACTIVITIES:</w:t>
            </w:r>
          </w:p>
        </w:tc>
        <w:tc>
          <w:tcPr>
            <w:tcW w:w="9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80" w:type="dxa"/>
            <w:vAlign w:val="bottom"/>
          </w:tcPr>
          <w:p>
            <w:pPr>
              <w:ind w:left="260"/>
              <w:spacing w:after="0"/>
              <w:rPr>
                <w:sz w:val="20"/>
                <w:szCs w:val="20"/>
                <w:color w:val="auto"/>
              </w:rPr>
            </w:pPr>
            <w:r>
              <w:rPr>
                <w:rFonts w:ascii="Arial" w:cs="Arial" w:eastAsia="Arial" w:hAnsi="Arial"/>
                <w:sz w:val="13"/>
                <w:szCs w:val="13"/>
                <w:color w:val="auto"/>
              </w:rPr>
              <w:t>Net (decrease) increase in stockholders' equity resulting from operations</w:t>
            </w:r>
          </w:p>
        </w:tc>
        <w:tc>
          <w:tcPr>
            <w:tcW w:w="920" w:type="dxa"/>
            <w:vAlign w:val="bottom"/>
          </w:tcPr>
          <w:p>
            <w:pPr>
              <w:jc w:val="right"/>
              <w:ind w:right="805"/>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8,037,115</w:t>
            </w:r>
          </w:p>
        </w:tc>
        <w:tc>
          <w:tcPr>
            <w:tcW w:w="280" w:type="dxa"/>
            <w:vAlign w:val="bottom"/>
          </w:tcPr>
          <w:p>
            <w:pPr>
              <w:spacing w:after="0"/>
              <w:rPr>
                <w:sz w:val="12"/>
                <w:szCs w:val="12"/>
                <w:color w:val="auto"/>
              </w:rPr>
            </w:pPr>
          </w:p>
        </w:tc>
        <w:tc>
          <w:tcPr>
            <w:tcW w:w="940" w:type="dxa"/>
            <w:vAlign w:val="bottom"/>
          </w:tcPr>
          <w:p>
            <w:pPr>
              <w:jc w:val="right"/>
              <w:ind w:right="826"/>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w w:val="89"/>
              </w:rPr>
              <w:t>(29,052,933)</w:t>
            </w:r>
          </w:p>
        </w:tc>
        <w:tc>
          <w:tcPr>
            <w:tcW w:w="0" w:type="dxa"/>
            <w:vAlign w:val="bottom"/>
          </w:tcPr>
          <w:p>
            <w:pPr>
              <w:spacing w:after="0"/>
              <w:rPr>
                <w:sz w:val="1"/>
                <w:szCs w:val="1"/>
                <w:color w:val="auto"/>
              </w:rPr>
            </w:pPr>
          </w:p>
        </w:tc>
      </w:tr>
      <w:tr>
        <w:trPr>
          <w:trHeight w:val="134"/>
        </w:trPr>
        <w:tc>
          <w:tcPr>
            <w:tcW w:w="768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w w:val="96"/>
              </w:rPr>
              <w:t>Adjustments to reconcile net (decrease) increase in stockholders' equity resulting from operations to net cash (used in) provided by in</w:t>
            </w:r>
          </w:p>
        </w:tc>
        <w:tc>
          <w:tcPr>
            <w:tcW w:w="9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6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operations:</w:t>
            </w:r>
          </w:p>
        </w:tc>
        <w:tc>
          <w:tcPr>
            <w:tcW w:w="9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80" w:type="dxa"/>
            <w:vAlign w:val="bottom"/>
          </w:tcPr>
          <w:p>
            <w:pPr>
              <w:ind w:left="500"/>
              <w:spacing w:after="0"/>
              <w:rPr>
                <w:sz w:val="20"/>
                <w:szCs w:val="20"/>
                <w:color w:val="auto"/>
              </w:rPr>
            </w:pPr>
            <w:r>
              <w:rPr>
                <w:rFonts w:ascii="Arial" w:cs="Arial" w:eastAsia="Arial" w:hAnsi="Arial"/>
                <w:sz w:val="13"/>
                <w:szCs w:val="13"/>
                <w:color w:val="auto"/>
              </w:rPr>
              <w:t>Net realized (gains) losses on investment transactions</w:t>
            </w:r>
          </w:p>
        </w:tc>
        <w:tc>
          <w:tcPr>
            <w:tcW w:w="9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5,085,788</w:t>
            </w: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1,048,147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80" w:type="dxa"/>
            <w:vAlign w:val="bottom"/>
            <w:shd w:val="clear" w:color="auto" w:fill="CFF0FC"/>
          </w:tcPr>
          <w:p>
            <w:pPr>
              <w:ind w:left="500"/>
              <w:spacing w:after="0"/>
              <w:rPr>
                <w:sz w:val="20"/>
                <w:szCs w:val="20"/>
                <w:color w:val="auto"/>
              </w:rPr>
            </w:pPr>
            <w:r>
              <w:rPr>
                <w:rFonts w:ascii="Arial" w:cs="Arial" w:eastAsia="Arial" w:hAnsi="Arial"/>
                <w:sz w:val="13"/>
                <w:szCs w:val="13"/>
                <w:color w:val="auto"/>
              </w:rPr>
              <w:t>Net change in unrealized (depreciation) appreciation from investments</w:t>
            </w:r>
          </w:p>
        </w:tc>
        <w:tc>
          <w:tcPr>
            <w:tcW w:w="92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(6,745,349)</w:t>
            </w:r>
          </w:p>
        </w:tc>
        <w:tc>
          <w:tcPr>
            <w:tcW w:w="94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2"/>
              </w:rPr>
              <w:t>30,924,682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80" w:type="dxa"/>
            <w:vAlign w:val="bottom"/>
          </w:tcPr>
          <w:p>
            <w:pPr>
              <w:ind w:left="500"/>
              <w:spacing w:after="0"/>
              <w:rPr>
                <w:sz w:val="20"/>
                <w:szCs w:val="20"/>
                <w:color w:val="auto"/>
              </w:rPr>
            </w:pPr>
            <w:r>
              <w:rPr>
                <w:rFonts w:ascii="Arial" w:cs="Arial" w:eastAsia="Arial" w:hAnsi="Arial"/>
                <w:sz w:val="13"/>
                <w:szCs w:val="13"/>
                <w:color w:val="auto"/>
              </w:rPr>
              <w:t>Purchases of investments</w:t>
            </w:r>
          </w:p>
        </w:tc>
        <w:tc>
          <w:tcPr>
            <w:tcW w:w="920" w:type="dxa"/>
            <w:vAlign w:val="bottom"/>
          </w:tcPr>
          <w:p>
            <w:pPr>
              <w:spacing w:after="0"/>
              <w:rPr>
                <w:sz w:val="12"/>
                <w:szCs w:val="1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w w:val="92"/>
              </w:rPr>
              <w:t>(58,353,638)</w:t>
            </w:r>
          </w:p>
        </w:tc>
        <w:tc>
          <w:tcPr>
            <w:tcW w:w="94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w w:val="89"/>
              </w:rPr>
              <w:t>(47,942,983)</w:t>
            </w:r>
          </w:p>
        </w:tc>
        <w:tc>
          <w:tcPr>
            <w:tcW w:w="0" w:type="dxa"/>
            <w:vAlign w:val="bottom"/>
          </w:tcPr>
          <w:p>
            <w:pPr>
              <w:spacing w:after="0"/>
              <w:rPr>
                <w:sz w:val="1"/>
                <w:szCs w:val="1"/>
                <w:color w:val="auto"/>
              </w:rPr>
            </w:pPr>
          </w:p>
        </w:tc>
      </w:tr>
      <w:tr>
        <w:trPr>
          <w:trHeight w:val="148"/>
        </w:trPr>
        <w:tc>
          <w:tcPr>
            <w:tcW w:w="7680" w:type="dxa"/>
            <w:vAlign w:val="bottom"/>
            <w:shd w:val="clear" w:color="auto" w:fill="CFF0FC"/>
          </w:tcPr>
          <w:p>
            <w:pPr>
              <w:ind w:left="500"/>
              <w:spacing w:after="0"/>
              <w:rPr>
                <w:sz w:val="20"/>
                <w:szCs w:val="20"/>
                <w:color w:val="auto"/>
              </w:rPr>
            </w:pPr>
            <w:r>
              <w:rPr>
                <w:rFonts w:ascii="Arial" w:cs="Arial" w:eastAsia="Arial" w:hAnsi="Arial"/>
                <w:sz w:val="13"/>
                <w:szCs w:val="13"/>
                <w:color w:val="auto"/>
              </w:rPr>
              <w:t>Proceeds from sales and redemptions of investments</w:t>
            </w:r>
          </w:p>
        </w:tc>
        <w:tc>
          <w:tcPr>
            <w:tcW w:w="9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5"/>
              </w:rPr>
              <w:t>80,774,432</w:t>
            </w:r>
          </w:p>
        </w:tc>
        <w:tc>
          <w:tcPr>
            <w:tcW w:w="2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2"/>
              </w:rPr>
              <w:t>23,453,568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80" w:type="dxa"/>
            <w:vAlign w:val="bottom"/>
          </w:tcPr>
          <w:p>
            <w:pPr>
              <w:ind w:left="500"/>
              <w:spacing w:after="0"/>
              <w:rPr>
                <w:sz w:val="20"/>
                <w:szCs w:val="20"/>
                <w:color w:val="auto"/>
              </w:rPr>
            </w:pPr>
            <w:r>
              <w:rPr>
                <w:rFonts w:ascii="Arial" w:cs="Arial" w:eastAsia="Arial" w:hAnsi="Arial"/>
                <w:sz w:val="13"/>
                <w:szCs w:val="13"/>
                <w:color w:val="auto"/>
              </w:rPr>
              <w:t>Net accretion of investments</w:t>
            </w:r>
          </w:p>
        </w:tc>
        <w:tc>
          <w:tcPr>
            <w:tcW w:w="920" w:type="dxa"/>
            <w:vAlign w:val="bottom"/>
          </w:tcPr>
          <w:p>
            <w:pPr>
              <w:spacing w:after="0"/>
              <w:rPr>
                <w:sz w:val="12"/>
                <w:szCs w:val="1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(7,880,944)</w:t>
            </w:r>
          </w:p>
        </w:tc>
        <w:tc>
          <w:tcPr>
            <w:tcW w:w="94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w w:val="99"/>
              </w:rPr>
              <w:t>(1,951,807)</w:t>
            </w:r>
          </w:p>
        </w:tc>
        <w:tc>
          <w:tcPr>
            <w:tcW w:w="0" w:type="dxa"/>
            <w:vAlign w:val="bottom"/>
          </w:tcPr>
          <w:p>
            <w:pPr>
              <w:spacing w:after="0"/>
              <w:rPr>
                <w:sz w:val="1"/>
                <w:szCs w:val="1"/>
                <w:color w:val="auto"/>
              </w:rPr>
            </w:pPr>
          </w:p>
        </w:tc>
      </w:tr>
      <w:tr>
        <w:trPr>
          <w:trHeight w:val="149"/>
        </w:trPr>
        <w:tc>
          <w:tcPr>
            <w:tcW w:w="7680" w:type="dxa"/>
            <w:vAlign w:val="bottom"/>
            <w:shd w:val="clear" w:color="auto" w:fill="CFF0FC"/>
          </w:tcPr>
          <w:p>
            <w:pPr>
              <w:ind w:left="500"/>
              <w:spacing w:after="0"/>
              <w:rPr>
                <w:sz w:val="20"/>
                <w:szCs w:val="20"/>
                <w:color w:val="auto"/>
              </w:rPr>
            </w:pPr>
            <w:r>
              <w:rPr>
                <w:rFonts w:ascii="Arial" w:cs="Arial" w:eastAsia="Arial" w:hAnsi="Arial"/>
                <w:sz w:val="13"/>
                <w:szCs w:val="13"/>
                <w:color w:val="auto"/>
              </w:rPr>
              <w:t>Amortization of debt issuance costs</w:t>
            </w:r>
          </w:p>
        </w:tc>
        <w:tc>
          <w:tcPr>
            <w:tcW w:w="9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223,806</w:t>
            </w:r>
          </w:p>
        </w:tc>
        <w:tc>
          <w:tcPr>
            <w:tcW w:w="2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234,925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80" w:type="dxa"/>
            <w:vAlign w:val="bottom"/>
          </w:tcPr>
          <w:p>
            <w:pPr>
              <w:ind w:left="500"/>
              <w:spacing w:after="0"/>
              <w:rPr>
                <w:sz w:val="20"/>
                <w:szCs w:val="20"/>
                <w:color w:val="auto"/>
              </w:rPr>
            </w:pPr>
            <w:r>
              <w:rPr>
                <w:rFonts w:ascii="Arial" w:cs="Arial" w:eastAsia="Arial" w:hAnsi="Arial"/>
                <w:sz w:val="13"/>
                <w:szCs w:val="13"/>
                <w:color w:val="auto"/>
              </w:rPr>
              <w:t>Realized gains on extinguishments of debt</w:t>
            </w:r>
          </w:p>
        </w:tc>
        <w:tc>
          <w:tcPr>
            <w:tcW w:w="9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1,834,963</w:t>
            </w: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(154,106)</w:t>
            </w:r>
          </w:p>
        </w:tc>
        <w:tc>
          <w:tcPr>
            <w:tcW w:w="0" w:type="dxa"/>
            <w:vAlign w:val="bottom"/>
          </w:tcPr>
          <w:p>
            <w:pPr>
              <w:spacing w:after="0"/>
              <w:rPr>
                <w:sz w:val="1"/>
                <w:szCs w:val="1"/>
                <w:color w:val="auto"/>
              </w:rPr>
            </w:pPr>
          </w:p>
        </w:tc>
      </w:tr>
      <w:tr>
        <w:trPr>
          <w:trHeight w:val="148"/>
        </w:trPr>
        <w:tc>
          <w:tcPr>
            <w:tcW w:w="7680" w:type="dxa"/>
            <w:vAlign w:val="bottom"/>
            <w:shd w:val="clear" w:color="auto" w:fill="CFF0FC"/>
          </w:tcPr>
          <w:p>
            <w:pPr>
              <w:ind w:left="500"/>
              <w:spacing w:after="0"/>
              <w:rPr>
                <w:sz w:val="20"/>
                <w:szCs w:val="20"/>
                <w:color w:val="auto"/>
              </w:rPr>
            </w:pPr>
            <w:r>
              <w:rPr>
                <w:rFonts w:ascii="Arial" w:cs="Arial" w:eastAsia="Arial" w:hAnsi="Arial"/>
                <w:sz w:val="13"/>
                <w:szCs w:val="13"/>
                <w:color w:val="auto"/>
              </w:rPr>
              <w:t>Net payment-in-kind interest income</w:t>
            </w:r>
          </w:p>
        </w:tc>
        <w:tc>
          <w:tcPr>
            <w:tcW w:w="9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884,098</w:t>
            </w:r>
          </w:p>
        </w:tc>
        <w:tc>
          <w:tcPr>
            <w:tcW w:w="2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(59,119)</w:t>
            </w:r>
          </w:p>
        </w:tc>
        <w:tc>
          <w:tcPr>
            <w:tcW w:w="0" w:type="dxa"/>
            <w:vAlign w:val="bottom"/>
          </w:tcPr>
          <w:p>
            <w:pPr>
              <w:spacing w:after="0"/>
              <w:rPr>
                <w:sz w:val="1"/>
                <w:szCs w:val="1"/>
                <w:color w:val="auto"/>
              </w:rPr>
            </w:pPr>
          </w:p>
        </w:tc>
      </w:tr>
      <w:tr>
        <w:trPr>
          <w:trHeight w:val="148"/>
        </w:trPr>
        <w:tc>
          <w:tcPr>
            <w:tcW w:w="7680" w:type="dxa"/>
            <w:vAlign w:val="bottom"/>
          </w:tcPr>
          <w:p>
            <w:pPr>
              <w:ind w:left="260"/>
              <w:spacing w:after="0"/>
              <w:rPr>
                <w:sz w:val="20"/>
                <w:szCs w:val="20"/>
                <w:color w:val="auto"/>
              </w:rPr>
            </w:pPr>
            <w:r>
              <w:rPr>
                <w:rFonts w:ascii="Arial" w:cs="Arial" w:eastAsia="Arial" w:hAnsi="Arial"/>
                <w:sz w:val="13"/>
                <w:szCs w:val="13"/>
                <w:color w:val="auto"/>
              </w:rPr>
              <w:t>(Increase) decrease in operating assets:</w:t>
            </w:r>
          </w:p>
        </w:tc>
        <w:tc>
          <w:tcPr>
            <w:tcW w:w="9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80" w:type="dxa"/>
            <w:vAlign w:val="bottom"/>
            <w:shd w:val="clear" w:color="auto" w:fill="CFF0FC"/>
          </w:tcPr>
          <w:p>
            <w:pPr>
              <w:ind w:left="500"/>
              <w:spacing w:after="0"/>
              <w:rPr>
                <w:sz w:val="20"/>
                <w:szCs w:val="20"/>
                <w:color w:val="auto"/>
              </w:rPr>
            </w:pPr>
            <w:r>
              <w:rPr>
                <w:rFonts w:ascii="Arial" w:cs="Arial" w:eastAsia="Arial" w:hAnsi="Arial"/>
                <w:sz w:val="13"/>
                <w:szCs w:val="13"/>
                <w:color w:val="auto"/>
              </w:rPr>
              <w:t>Receivable for unsettled trades</w:t>
            </w:r>
          </w:p>
        </w:tc>
        <w:tc>
          <w:tcPr>
            <w:tcW w:w="9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5"/>
              </w:rPr>
              <w:t>10,964,786</w:t>
            </w:r>
          </w:p>
        </w:tc>
        <w:tc>
          <w:tcPr>
            <w:tcW w:w="2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2"/>
              </w:rPr>
              <w:t>21,075,553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80" w:type="dxa"/>
            <w:vAlign w:val="bottom"/>
          </w:tcPr>
          <w:p>
            <w:pPr>
              <w:ind w:left="500"/>
              <w:spacing w:after="0"/>
              <w:rPr>
                <w:sz w:val="20"/>
                <w:szCs w:val="20"/>
                <w:color w:val="auto"/>
              </w:rPr>
            </w:pPr>
            <w:r>
              <w:rPr>
                <w:rFonts w:ascii="Arial" w:cs="Arial" w:eastAsia="Arial" w:hAnsi="Arial"/>
                <w:sz w:val="13"/>
                <w:szCs w:val="13"/>
                <w:color w:val="auto"/>
              </w:rPr>
              <w:t>Interest and dividends receivable</w:t>
            </w:r>
          </w:p>
        </w:tc>
        <w:tc>
          <w:tcPr>
            <w:tcW w:w="9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84,182</w:t>
            </w: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446,820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80" w:type="dxa"/>
            <w:vAlign w:val="bottom"/>
            <w:shd w:val="clear" w:color="auto" w:fill="CFF0FC"/>
          </w:tcPr>
          <w:p>
            <w:pPr>
              <w:ind w:left="500"/>
              <w:spacing w:after="0"/>
              <w:rPr>
                <w:sz w:val="20"/>
                <w:szCs w:val="20"/>
                <w:color w:val="auto"/>
              </w:rPr>
            </w:pPr>
            <w:r>
              <w:rPr>
                <w:rFonts w:ascii="Arial" w:cs="Arial" w:eastAsia="Arial" w:hAnsi="Arial"/>
                <w:sz w:val="13"/>
                <w:szCs w:val="13"/>
                <w:color w:val="auto"/>
              </w:rPr>
              <w:t>Due from affiliates</w:t>
            </w:r>
          </w:p>
        </w:tc>
        <w:tc>
          <w:tcPr>
            <w:tcW w:w="92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(496,252)</w:t>
            </w:r>
          </w:p>
        </w:tc>
        <w:tc>
          <w:tcPr>
            <w:tcW w:w="94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185,063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80" w:type="dxa"/>
            <w:vAlign w:val="bottom"/>
          </w:tcPr>
          <w:p>
            <w:pPr>
              <w:ind w:left="500"/>
              <w:spacing w:after="0"/>
              <w:rPr>
                <w:sz w:val="20"/>
                <w:szCs w:val="20"/>
                <w:color w:val="auto"/>
              </w:rPr>
            </w:pPr>
            <w:r>
              <w:rPr>
                <w:rFonts w:ascii="Arial" w:cs="Arial" w:eastAsia="Arial" w:hAnsi="Arial"/>
                <w:sz w:val="13"/>
                <w:szCs w:val="13"/>
                <w:color w:val="auto"/>
              </w:rPr>
              <w:t>Other assets</w:t>
            </w:r>
          </w:p>
        </w:tc>
        <w:tc>
          <w:tcPr>
            <w:tcW w:w="920" w:type="dxa"/>
            <w:vAlign w:val="bottom"/>
          </w:tcPr>
          <w:p>
            <w:pPr>
              <w:spacing w:after="0"/>
              <w:rPr>
                <w:sz w:val="12"/>
                <w:szCs w:val="1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(101,750)</w:t>
            </w:r>
          </w:p>
        </w:tc>
        <w:tc>
          <w:tcPr>
            <w:tcW w:w="94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(89,061)</w:t>
            </w:r>
          </w:p>
        </w:tc>
        <w:tc>
          <w:tcPr>
            <w:tcW w:w="0" w:type="dxa"/>
            <w:vAlign w:val="bottom"/>
          </w:tcPr>
          <w:p>
            <w:pPr>
              <w:spacing w:after="0"/>
              <w:rPr>
                <w:sz w:val="1"/>
                <w:szCs w:val="1"/>
                <w:color w:val="auto"/>
              </w:rPr>
            </w:pPr>
          </w:p>
        </w:tc>
      </w:tr>
      <w:tr>
        <w:trPr>
          <w:trHeight w:val="148"/>
        </w:trPr>
        <w:tc>
          <w:tcPr>
            <w:tcW w:w="76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Increase (decrease) in operating liabilities:</w:t>
            </w:r>
          </w:p>
        </w:tc>
        <w:tc>
          <w:tcPr>
            <w:tcW w:w="9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80" w:type="dxa"/>
            <w:vAlign w:val="bottom"/>
          </w:tcPr>
          <w:p>
            <w:pPr>
              <w:ind w:left="500"/>
              <w:spacing w:after="0"/>
              <w:rPr>
                <w:sz w:val="20"/>
                <w:szCs w:val="20"/>
                <w:color w:val="auto"/>
              </w:rPr>
            </w:pPr>
            <w:r>
              <w:rPr>
                <w:rFonts w:ascii="Arial" w:cs="Arial" w:eastAsia="Arial" w:hAnsi="Arial"/>
                <w:sz w:val="13"/>
                <w:szCs w:val="13"/>
                <w:color w:val="auto"/>
              </w:rPr>
              <w:t>Payable for unsettled trades</w:t>
            </w:r>
          </w:p>
        </w:tc>
        <w:tc>
          <w:tcPr>
            <w:tcW w:w="9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5"/>
              </w:rPr>
              <w:t>13,881,059</w:t>
            </w: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w w:val="92"/>
              </w:rPr>
              <w:t>26,571,709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80" w:type="dxa"/>
            <w:vAlign w:val="bottom"/>
            <w:shd w:val="clear" w:color="auto" w:fill="CFF0FC"/>
          </w:tcPr>
          <w:p>
            <w:pPr>
              <w:ind w:left="500"/>
              <w:spacing w:after="0"/>
              <w:rPr>
                <w:sz w:val="20"/>
                <w:szCs w:val="20"/>
                <w:color w:val="auto"/>
              </w:rPr>
            </w:pPr>
            <w:r>
              <w:rPr>
                <w:rFonts w:ascii="Arial" w:cs="Arial" w:eastAsia="Arial" w:hAnsi="Arial"/>
                <w:sz w:val="13"/>
                <w:szCs w:val="13"/>
                <w:color w:val="auto"/>
              </w:rPr>
              <w:t>Accrued interest payable</w:t>
            </w:r>
          </w:p>
        </w:tc>
        <w:tc>
          <w:tcPr>
            <w:tcW w:w="9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57,201</w:t>
            </w:r>
          </w:p>
        </w:tc>
        <w:tc>
          <w:tcPr>
            <w:tcW w:w="2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663,492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80" w:type="dxa"/>
            <w:vAlign w:val="bottom"/>
          </w:tcPr>
          <w:p>
            <w:pPr>
              <w:ind w:left="500"/>
              <w:spacing w:after="0"/>
              <w:rPr>
                <w:sz w:val="20"/>
                <w:szCs w:val="20"/>
                <w:color w:val="auto"/>
              </w:rPr>
            </w:pPr>
            <w:r>
              <w:rPr>
                <w:rFonts w:ascii="Arial" w:cs="Arial" w:eastAsia="Arial" w:hAnsi="Arial"/>
                <w:sz w:val="13"/>
                <w:szCs w:val="13"/>
                <w:color w:val="auto"/>
              </w:rPr>
              <w:t>Management and incentive fees payable</w:t>
            </w:r>
          </w:p>
        </w:tc>
        <w:tc>
          <w:tcPr>
            <w:tcW w:w="920" w:type="dxa"/>
            <w:vAlign w:val="bottom"/>
          </w:tcPr>
          <w:p>
            <w:pPr>
              <w:spacing w:after="0"/>
              <w:rPr>
                <w:sz w:val="12"/>
                <w:szCs w:val="1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(779,225)</w:t>
            </w:r>
          </w:p>
        </w:tc>
        <w:tc>
          <w:tcPr>
            <w:tcW w:w="94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(65,289)</w:t>
            </w:r>
          </w:p>
        </w:tc>
        <w:tc>
          <w:tcPr>
            <w:tcW w:w="0" w:type="dxa"/>
            <w:vAlign w:val="bottom"/>
          </w:tcPr>
          <w:p>
            <w:pPr>
              <w:spacing w:after="0"/>
              <w:rPr>
                <w:sz w:val="1"/>
                <w:szCs w:val="1"/>
                <w:color w:val="auto"/>
              </w:rPr>
            </w:pPr>
          </w:p>
        </w:tc>
      </w:tr>
      <w:tr>
        <w:trPr>
          <w:trHeight w:val="148"/>
        </w:trPr>
        <w:tc>
          <w:tcPr>
            <w:tcW w:w="7680" w:type="dxa"/>
            <w:vAlign w:val="bottom"/>
            <w:shd w:val="clear" w:color="auto" w:fill="CFF0FC"/>
          </w:tcPr>
          <w:p>
            <w:pPr>
              <w:ind w:left="500"/>
              <w:spacing w:after="0"/>
              <w:rPr>
                <w:sz w:val="20"/>
                <w:szCs w:val="20"/>
                <w:color w:val="auto"/>
              </w:rPr>
            </w:pPr>
            <w:r>
              <w:rPr>
                <w:rFonts w:ascii="Arial" w:cs="Arial" w:eastAsia="Arial" w:hAnsi="Arial"/>
                <w:sz w:val="13"/>
                <w:szCs w:val="13"/>
                <w:color w:val="auto"/>
              </w:rPr>
              <w:t>Due to affiliates</w:t>
            </w:r>
          </w:p>
        </w:tc>
        <w:tc>
          <w:tcPr>
            <w:tcW w:w="9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997,376</w:t>
            </w:r>
          </w:p>
        </w:tc>
        <w:tc>
          <w:tcPr>
            <w:tcW w:w="2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318,899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80" w:type="dxa"/>
            <w:vAlign w:val="bottom"/>
            <w:tcBorders>
              <w:bottom w:val="single" w:sz="8" w:color="CFF0FC"/>
            </w:tcBorders>
          </w:tcPr>
          <w:p>
            <w:pPr>
              <w:ind w:left="500"/>
              <w:spacing w:after="0"/>
              <w:rPr>
                <w:sz w:val="20"/>
                <w:szCs w:val="20"/>
                <w:color w:val="auto"/>
              </w:rPr>
            </w:pPr>
            <w:r>
              <w:rPr>
                <w:rFonts w:ascii="Arial" w:cs="Arial" w:eastAsia="Arial" w:hAnsi="Arial"/>
                <w:sz w:val="13"/>
                <w:szCs w:val="13"/>
                <w:color w:val="auto"/>
              </w:rPr>
              <w:t>Accounts payable and accrued expenses</w:t>
            </w:r>
          </w:p>
        </w:tc>
        <w:tc>
          <w:tcPr>
            <w:tcW w:w="9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620,953</w:t>
            </w:r>
          </w:p>
        </w:tc>
        <w:tc>
          <w:tcPr>
            <w:tcW w:w="280" w:type="dxa"/>
            <w:vAlign w:val="bottom"/>
            <w:tcBorders>
              <w:bottom w:val="single" w:sz="8" w:color="CFF0FC"/>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115,551</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680" w:type="dxa"/>
            <w:vAlign w:val="bottom"/>
            <w:shd w:val="clear" w:color="auto" w:fill="CFF0FC"/>
          </w:tcPr>
          <w:p>
            <w:pPr>
              <w:ind w:left="740"/>
              <w:spacing w:after="0" w:line="142" w:lineRule="exact"/>
              <w:rPr>
                <w:sz w:val="20"/>
                <w:szCs w:val="20"/>
                <w:color w:val="auto"/>
              </w:rPr>
            </w:pPr>
            <w:r>
              <w:rPr>
                <w:rFonts w:ascii="Arial" w:cs="Arial" w:eastAsia="Arial" w:hAnsi="Arial"/>
                <w:sz w:val="13"/>
                <w:szCs w:val="13"/>
                <w:color w:val="auto"/>
              </w:rPr>
              <w:t>Net cash used in operating activities</w:t>
            </w:r>
          </w:p>
        </w:tc>
        <w:tc>
          <w:tcPr>
            <w:tcW w:w="92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95"/>
              </w:rPr>
              <w:t>49,088,601</w:t>
            </w:r>
          </w:p>
        </w:tc>
        <w:tc>
          <w:tcPr>
            <w:tcW w:w="280" w:type="dxa"/>
            <w:vAlign w:val="bottom"/>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92"/>
              </w:rPr>
              <w:t>25,723,111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680" w:type="dxa"/>
            <w:vAlign w:val="bottom"/>
          </w:tcPr>
          <w:p>
            <w:pPr>
              <w:spacing w:after="0" w:line="142" w:lineRule="exact"/>
              <w:rPr>
                <w:sz w:val="20"/>
                <w:szCs w:val="20"/>
                <w:color w:val="auto"/>
              </w:rPr>
            </w:pPr>
            <w:r>
              <w:rPr>
                <w:rFonts w:ascii="Arial" w:cs="Arial" w:eastAsia="Arial" w:hAnsi="Arial"/>
                <w:sz w:val="13"/>
                <w:szCs w:val="13"/>
                <w:color w:val="auto"/>
              </w:rPr>
              <w:t>FINANCING ACTIVITIES:</w:t>
            </w:r>
          </w:p>
        </w:tc>
        <w:tc>
          <w:tcPr>
            <w:tcW w:w="9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80" w:type="dxa"/>
            <w:vAlign w:val="bottom"/>
            <w:shd w:val="clear" w:color="auto" w:fill="CFF0FC"/>
          </w:tcPr>
          <w:p>
            <w:pPr>
              <w:ind w:left="500"/>
              <w:spacing w:after="0"/>
              <w:rPr>
                <w:sz w:val="20"/>
                <w:szCs w:val="20"/>
                <w:color w:val="auto"/>
              </w:rPr>
            </w:pPr>
            <w:r>
              <w:rPr>
                <w:rFonts w:ascii="Arial" w:cs="Arial" w:eastAsia="Arial" w:hAnsi="Arial"/>
                <w:sz w:val="13"/>
                <w:szCs w:val="13"/>
                <w:color w:val="auto"/>
              </w:rPr>
              <w:t>Debt issuance costs</w:t>
            </w:r>
          </w:p>
        </w:tc>
        <w:tc>
          <w:tcPr>
            <w:tcW w:w="92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w:t>
            </w:r>
          </w:p>
        </w:tc>
        <w:tc>
          <w:tcPr>
            <w:tcW w:w="94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(1,342)</w:t>
            </w:r>
          </w:p>
        </w:tc>
        <w:tc>
          <w:tcPr>
            <w:tcW w:w="0" w:type="dxa"/>
            <w:vAlign w:val="bottom"/>
          </w:tcPr>
          <w:p>
            <w:pPr>
              <w:spacing w:after="0"/>
              <w:rPr>
                <w:sz w:val="1"/>
                <w:szCs w:val="1"/>
                <w:color w:val="auto"/>
              </w:rPr>
            </w:pPr>
          </w:p>
        </w:tc>
      </w:tr>
      <w:tr>
        <w:trPr>
          <w:trHeight w:val="148"/>
        </w:trPr>
        <w:tc>
          <w:tcPr>
            <w:tcW w:w="7680" w:type="dxa"/>
            <w:vAlign w:val="bottom"/>
          </w:tcPr>
          <w:p>
            <w:pPr>
              <w:ind w:left="500"/>
              <w:spacing w:after="0"/>
              <w:rPr>
                <w:sz w:val="20"/>
                <w:szCs w:val="20"/>
                <w:color w:val="auto"/>
              </w:rPr>
            </w:pPr>
            <w:r>
              <w:rPr>
                <w:rFonts w:ascii="Arial" w:cs="Arial" w:eastAsia="Arial" w:hAnsi="Arial"/>
                <w:sz w:val="13"/>
                <w:szCs w:val="13"/>
                <w:color w:val="auto"/>
              </w:rPr>
              <w:t>Stock repurchase program</w:t>
            </w:r>
          </w:p>
        </w:tc>
        <w:tc>
          <w:tcPr>
            <w:tcW w:w="920" w:type="dxa"/>
            <w:vAlign w:val="bottom"/>
          </w:tcPr>
          <w:p>
            <w:pPr>
              <w:spacing w:after="0"/>
              <w:rPr>
                <w:sz w:val="12"/>
                <w:szCs w:val="12"/>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94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(123,330)</w:t>
            </w:r>
          </w:p>
        </w:tc>
        <w:tc>
          <w:tcPr>
            <w:tcW w:w="0" w:type="dxa"/>
            <w:vAlign w:val="bottom"/>
          </w:tcPr>
          <w:p>
            <w:pPr>
              <w:spacing w:after="0"/>
              <w:rPr>
                <w:sz w:val="1"/>
                <w:szCs w:val="1"/>
                <w:color w:val="auto"/>
              </w:rPr>
            </w:pPr>
          </w:p>
        </w:tc>
      </w:tr>
      <w:tr>
        <w:trPr>
          <w:trHeight w:val="148"/>
        </w:trPr>
        <w:tc>
          <w:tcPr>
            <w:tcW w:w="7680" w:type="dxa"/>
            <w:vAlign w:val="bottom"/>
            <w:shd w:val="clear" w:color="auto" w:fill="CFF0FC"/>
          </w:tcPr>
          <w:p>
            <w:pPr>
              <w:ind w:left="500"/>
              <w:spacing w:after="0"/>
              <w:rPr>
                <w:sz w:val="20"/>
                <w:szCs w:val="20"/>
                <w:color w:val="auto"/>
              </w:rPr>
            </w:pPr>
            <w:r>
              <w:rPr>
                <w:rFonts w:ascii="Arial" w:cs="Arial" w:eastAsia="Arial" w:hAnsi="Arial"/>
                <w:sz w:val="13"/>
                <w:szCs w:val="13"/>
                <w:color w:val="auto"/>
              </w:rPr>
              <w:t>Distributions to stockholders</w:t>
            </w:r>
          </w:p>
        </w:tc>
        <w:tc>
          <w:tcPr>
            <w:tcW w:w="92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(4,445,870)</w:t>
            </w:r>
          </w:p>
        </w:tc>
        <w:tc>
          <w:tcPr>
            <w:tcW w:w="94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w w:val="99"/>
              </w:rPr>
              <w:t>(2,652,695)</w:t>
            </w:r>
          </w:p>
        </w:tc>
        <w:tc>
          <w:tcPr>
            <w:tcW w:w="0" w:type="dxa"/>
            <w:vAlign w:val="bottom"/>
          </w:tcPr>
          <w:p>
            <w:pPr>
              <w:spacing w:after="0"/>
              <w:rPr>
                <w:sz w:val="1"/>
                <w:szCs w:val="1"/>
                <w:color w:val="auto"/>
              </w:rPr>
            </w:pPr>
          </w:p>
        </w:tc>
      </w:tr>
      <w:tr>
        <w:trPr>
          <w:trHeight w:val="149"/>
        </w:trPr>
        <w:tc>
          <w:tcPr>
            <w:tcW w:w="7680" w:type="dxa"/>
            <w:vAlign w:val="bottom"/>
          </w:tcPr>
          <w:p>
            <w:pPr>
              <w:ind w:left="500"/>
              <w:spacing w:after="0"/>
              <w:rPr>
                <w:sz w:val="20"/>
                <w:szCs w:val="20"/>
                <w:color w:val="auto"/>
              </w:rPr>
            </w:pPr>
            <w:r>
              <w:rPr>
                <w:rFonts w:ascii="Arial" w:cs="Arial" w:eastAsia="Arial" w:hAnsi="Arial"/>
                <w:sz w:val="13"/>
                <w:szCs w:val="13"/>
                <w:color w:val="auto"/>
              </w:rPr>
              <w:t>Repurchase of 6.125% Notes Due 2022</w:t>
            </w:r>
          </w:p>
        </w:tc>
        <w:tc>
          <w:tcPr>
            <w:tcW w:w="920" w:type="dxa"/>
            <w:vAlign w:val="bottom"/>
          </w:tcPr>
          <w:p>
            <w:pPr>
              <w:spacing w:after="0"/>
              <w:rPr>
                <w:sz w:val="12"/>
                <w:szCs w:val="12"/>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94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(418,594)</w:t>
            </w:r>
          </w:p>
        </w:tc>
        <w:tc>
          <w:tcPr>
            <w:tcW w:w="0" w:type="dxa"/>
            <w:vAlign w:val="bottom"/>
          </w:tcPr>
          <w:p>
            <w:pPr>
              <w:spacing w:after="0"/>
              <w:rPr>
                <w:sz w:val="1"/>
                <w:szCs w:val="1"/>
                <w:color w:val="auto"/>
              </w:rPr>
            </w:pPr>
          </w:p>
        </w:tc>
      </w:tr>
      <w:tr>
        <w:trPr>
          <w:trHeight w:val="148"/>
        </w:trPr>
        <w:tc>
          <w:tcPr>
            <w:tcW w:w="7680" w:type="dxa"/>
            <w:vAlign w:val="bottom"/>
            <w:shd w:val="clear" w:color="auto" w:fill="CFF0FC"/>
          </w:tcPr>
          <w:p>
            <w:pPr>
              <w:ind w:left="500"/>
              <w:spacing w:after="0"/>
              <w:rPr>
                <w:sz w:val="20"/>
                <w:szCs w:val="20"/>
                <w:color w:val="auto"/>
              </w:rPr>
            </w:pPr>
            <w:r>
              <w:rPr>
                <w:rFonts w:ascii="Arial" w:cs="Arial" w:eastAsia="Arial" w:hAnsi="Arial"/>
                <w:sz w:val="13"/>
                <w:szCs w:val="13"/>
                <w:color w:val="auto"/>
              </w:rPr>
              <w:t>Repayment of 2018-2 Secured Notes</w:t>
            </w:r>
          </w:p>
        </w:tc>
        <w:tc>
          <w:tcPr>
            <w:tcW w:w="92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w w:val="92"/>
              </w:rPr>
              <w:t>(88,000,000)</w:t>
            </w:r>
          </w:p>
        </w:tc>
        <w:tc>
          <w:tcPr>
            <w:tcW w:w="94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7680" w:type="dxa"/>
            <w:vAlign w:val="bottom"/>
          </w:tcPr>
          <w:p>
            <w:pPr>
              <w:ind w:left="500"/>
              <w:spacing w:after="0"/>
              <w:rPr>
                <w:sz w:val="20"/>
                <w:szCs w:val="20"/>
                <w:color w:val="auto"/>
              </w:rPr>
            </w:pPr>
            <w:r>
              <w:rPr>
                <w:rFonts w:ascii="Arial" w:cs="Arial" w:eastAsia="Arial" w:hAnsi="Arial"/>
                <w:sz w:val="13"/>
                <w:szCs w:val="13"/>
                <w:color w:val="auto"/>
              </w:rPr>
              <w:t>Borrowings from Revolving Credit Facilities</w:t>
            </w:r>
          </w:p>
        </w:tc>
        <w:tc>
          <w:tcPr>
            <w:tcW w:w="9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5"/>
              </w:rPr>
              <w:t>19,750,000</w:t>
            </w: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6,000,000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80" w:type="dxa"/>
            <w:vAlign w:val="bottom"/>
            <w:shd w:val="clear" w:color="auto" w:fill="CFF0FC"/>
          </w:tcPr>
          <w:p>
            <w:pPr>
              <w:ind w:left="500"/>
              <w:spacing w:after="0"/>
              <w:rPr>
                <w:sz w:val="20"/>
                <w:szCs w:val="20"/>
                <w:color w:val="auto"/>
              </w:rPr>
            </w:pPr>
            <w:r>
              <w:rPr>
                <w:rFonts w:ascii="Arial" w:cs="Arial" w:eastAsia="Arial" w:hAnsi="Arial"/>
                <w:sz w:val="13"/>
                <w:szCs w:val="13"/>
                <w:color w:val="auto"/>
              </w:rPr>
              <w:t>Repayment of Revolving Credit Facilities</w:t>
            </w:r>
          </w:p>
        </w:tc>
        <w:tc>
          <w:tcPr>
            <w:tcW w:w="92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w:t>
            </w:r>
          </w:p>
        </w:tc>
        <w:tc>
          <w:tcPr>
            <w:tcW w:w="94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w w:val="89"/>
              </w:rPr>
              <w:t>(28,500,000)</w:t>
            </w:r>
          </w:p>
        </w:tc>
        <w:tc>
          <w:tcPr>
            <w:tcW w:w="0" w:type="dxa"/>
            <w:vAlign w:val="bottom"/>
          </w:tcPr>
          <w:p>
            <w:pPr>
              <w:spacing w:after="0"/>
              <w:rPr>
                <w:sz w:val="1"/>
                <w:szCs w:val="1"/>
                <w:color w:val="auto"/>
              </w:rPr>
            </w:pPr>
          </w:p>
        </w:tc>
      </w:tr>
      <w:tr>
        <w:trPr>
          <w:trHeight w:val="142"/>
        </w:trPr>
        <w:tc>
          <w:tcPr>
            <w:tcW w:w="7680" w:type="dxa"/>
            <w:vAlign w:val="bottom"/>
            <w:tcBorders>
              <w:bottom w:val="single" w:sz="8" w:color="CFF0FC"/>
            </w:tcBorders>
          </w:tcPr>
          <w:p>
            <w:pPr>
              <w:ind w:left="740"/>
              <w:spacing w:after="0" w:line="142" w:lineRule="exact"/>
              <w:rPr>
                <w:sz w:val="20"/>
                <w:szCs w:val="20"/>
                <w:color w:val="auto"/>
              </w:rPr>
            </w:pPr>
            <w:r>
              <w:rPr>
                <w:rFonts w:ascii="Arial" w:cs="Arial" w:eastAsia="Arial" w:hAnsi="Arial"/>
                <w:sz w:val="13"/>
                <w:szCs w:val="13"/>
                <w:color w:val="auto"/>
              </w:rPr>
              <w:t>Net cash provided by financing activities</w:t>
            </w:r>
          </w:p>
        </w:tc>
        <w:tc>
          <w:tcPr>
            <w:tcW w:w="9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6"/>
              </w:rPr>
              <w:t>(72,695,870)</w:t>
            </w:r>
          </w:p>
        </w:tc>
        <w:tc>
          <w:tcPr>
            <w:tcW w:w="280" w:type="dxa"/>
            <w:vAlign w:val="bottom"/>
            <w:tcBorders>
              <w:bottom w:val="single" w:sz="8" w:color="CFF0FC"/>
            </w:tcBorders>
          </w:tcPr>
          <w:p>
            <w:pPr>
              <w:spacing w:after="0"/>
              <w:rPr>
                <w:sz w:val="12"/>
                <w:szCs w:val="12"/>
                <w:color w:val="auto"/>
              </w:rPr>
            </w:pPr>
          </w:p>
        </w:tc>
        <w:tc>
          <w:tcPr>
            <w:tcW w:w="9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4"/>
              </w:rPr>
              <w:t>(25,695,962)</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68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CHANGE IN CASH AND RESTRICTED CASH</w:t>
            </w:r>
          </w:p>
        </w:tc>
        <w:tc>
          <w:tcPr>
            <w:tcW w:w="9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w w:val="86"/>
              </w:rPr>
              <w:t>(23,607,269)</w:t>
            </w:r>
          </w:p>
        </w:tc>
        <w:tc>
          <w:tcPr>
            <w:tcW w:w="2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27,149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8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CASH AND RESTRICTED CASH, BEGINNING OF PERIOD</w:t>
            </w:r>
          </w:p>
        </w:tc>
        <w:tc>
          <w:tcPr>
            <w:tcW w:w="9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5"/>
              </w:rPr>
              <w:t>82,903,419</w:t>
            </w:r>
          </w:p>
        </w:tc>
        <w:tc>
          <w:tcPr>
            <w:tcW w:w="280" w:type="dxa"/>
            <w:vAlign w:val="bottom"/>
            <w:tcBorders>
              <w:bottom w:val="single" w:sz="8" w:color="CFF0FC"/>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5,104,355</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680" w:type="dxa"/>
            <w:vAlign w:val="bottom"/>
            <w:tcBorders>
              <w:bottom w:val="single" w:sz="8" w:color="CFF0FC"/>
            </w:tcBorders>
            <w:shd w:val="clear" w:color="auto" w:fill="CFF0FC"/>
          </w:tcPr>
          <w:p>
            <w:pPr>
              <w:spacing w:after="0" w:line="142" w:lineRule="exact"/>
              <w:rPr>
                <w:sz w:val="20"/>
                <w:szCs w:val="20"/>
                <w:color w:val="auto"/>
              </w:rPr>
            </w:pPr>
            <w:r>
              <w:rPr>
                <w:rFonts w:ascii="Arial" w:cs="Arial" w:eastAsia="Arial" w:hAnsi="Arial"/>
                <w:sz w:val="13"/>
                <w:szCs w:val="13"/>
                <w:color w:val="auto"/>
              </w:rPr>
              <w:t>CASH AND RESTRICTED CASH, END OF PERIOD</w:t>
            </w:r>
          </w:p>
        </w:tc>
        <w:tc>
          <w:tcPr>
            <w:tcW w:w="920" w:type="dxa"/>
            <w:vAlign w:val="bottom"/>
            <w:tcBorders>
              <w:bottom w:val="single" w:sz="8" w:color="auto"/>
            </w:tcBorders>
            <w:shd w:val="clear" w:color="auto" w:fill="CFF0FC"/>
          </w:tcPr>
          <w:p>
            <w:pPr>
              <w:jc w:val="right"/>
              <w:ind w:right="805"/>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95"/>
              </w:rPr>
              <w:t>59,296,150</w:t>
            </w:r>
          </w:p>
        </w:tc>
        <w:tc>
          <w:tcPr>
            <w:tcW w:w="280" w:type="dxa"/>
            <w:vAlign w:val="bottom"/>
            <w:tcBorders>
              <w:bottom w:val="single" w:sz="8" w:color="CFF0FC"/>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jc w:val="right"/>
              <w:ind w:right="826"/>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5,131,504</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680" w:type="dxa"/>
            <w:vAlign w:val="bottom"/>
            <w:vMerge w:val="restart"/>
          </w:tcPr>
          <w:p>
            <w:pPr>
              <w:spacing w:after="0"/>
              <w:rPr>
                <w:sz w:val="20"/>
                <w:szCs w:val="20"/>
                <w:color w:val="auto"/>
              </w:rPr>
            </w:pPr>
            <w:r>
              <w:rPr>
                <w:rFonts w:ascii="Arial" w:cs="Arial" w:eastAsia="Arial" w:hAnsi="Arial"/>
                <w:sz w:val="13"/>
                <w:szCs w:val="13"/>
                <w:color w:val="auto"/>
              </w:rPr>
              <w:t>Amounts per balance sheet:</w:t>
            </w:r>
          </w:p>
        </w:tc>
        <w:tc>
          <w:tcPr>
            <w:tcW w:w="9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68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680" w:type="dxa"/>
            <w:vAlign w:val="bottom"/>
            <w:shd w:val="clear" w:color="auto" w:fill="CFF0FC"/>
          </w:tcPr>
          <w:p>
            <w:pPr>
              <w:ind w:left="500"/>
              <w:spacing w:after="0"/>
              <w:rPr>
                <w:sz w:val="20"/>
                <w:szCs w:val="20"/>
                <w:color w:val="auto"/>
              </w:rPr>
            </w:pPr>
            <w:r>
              <w:rPr>
                <w:rFonts w:ascii="Arial" w:cs="Arial" w:eastAsia="Arial" w:hAnsi="Arial"/>
                <w:sz w:val="13"/>
                <w:szCs w:val="13"/>
                <w:color w:val="auto"/>
              </w:rPr>
              <w:t>Cash and cash equivalents</w:t>
            </w:r>
          </w:p>
        </w:tc>
        <w:tc>
          <w:tcPr>
            <w:tcW w:w="920" w:type="dxa"/>
            <w:vAlign w:val="bottom"/>
            <w:shd w:val="clear" w:color="auto" w:fill="CFF0FC"/>
          </w:tcPr>
          <w:p>
            <w:pPr>
              <w:jc w:val="right"/>
              <w:ind w:right="805"/>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5"/>
              </w:rPr>
              <w:t>30,843,590</w:t>
            </w:r>
          </w:p>
        </w:tc>
        <w:tc>
          <w:tcPr>
            <w:tcW w:w="280" w:type="dxa"/>
            <w:vAlign w:val="bottom"/>
            <w:shd w:val="clear" w:color="auto" w:fill="CFF0FC"/>
          </w:tcPr>
          <w:p>
            <w:pPr>
              <w:spacing w:after="0"/>
              <w:rPr>
                <w:sz w:val="12"/>
                <w:szCs w:val="12"/>
                <w:color w:val="auto"/>
              </w:rPr>
            </w:pPr>
          </w:p>
        </w:tc>
        <w:tc>
          <w:tcPr>
            <w:tcW w:w="940" w:type="dxa"/>
            <w:vAlign w:val="bottom"/>
            <w:shd w:val="clear" w:color="auto" w:fill="CFF0FC"/>
          </w:tcPr>
          <w:p>
            <w:pPr>
              <w:jc w:val="right"/>
              <w:ind w:right="826"/>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403,497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80" w:type="dxa"/>
            <w:vAlign w:val="bottom"/>
            <w:tcBorders>
              <w:bottom w:val="single" w:sz="8" w:color="CFF0FC"/>
            </w:tcBorders>
          </w:tcPr>
          <w:p>
            <w:pPr>
              <w:ind w:left="500"/>
              <w:spacing w:after="0"/>
              <w:rPr>
                <w:sz w:val="20"/>
                <w:szCs w:val="20"/>
                <w:color w:val="auto"/>
              </w:rPr>
            </w:pPr>
            <w:r>
              <w:rPr>
                <w:rFonts w:ascii="Arial" w:cs="Arial" w:eastAsia="Arial" w:hAnsi="Arial"/>
                <w:sz w:val="13"/>
                <w:szCs w:val="13"/>
                <w:color w:val="auto"/>
              </w:rPr>
              <w:t>Restricted cash</w:t>
            </w:r>
          </w:p>
        </w:tc>
        <w:tc>
          <w:tcPr>
            <w:tcW w:w="9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5"/>
              </w:rPr>
              <w:t>28,452,560</w:t>
            </w:r>
          </w:p>
        </w:tc>
        <w:tc>
          <w:tcPr>
            <w:tcW w:w="280" w:type="dxa"/>
            <w:vAlign w:val="bottom"/>
            <w:tcBorders>
              <w:bottom w:val="single" w:sz="8" w:color="CFF0FC"/>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4,728,007</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680" w:type="dxa"/>
            <w:vAlign w:val="bottom"/>
            <w:tcBorders>
              <w:bottom w:val="single" w:sz="8" w:color="CFF0FC"/>
            </w:tcBorders>
            <w:shd w:val="clear" w:color="auto" w:fill="CFF0FC"/>
          </w:tcPr>
          <w:p>
            <w:pPr>
              <w:ind w:left="500"/>
              <w:spacing w:after="0" w:line="142" w:lineRule="exact"/>
              <w:rPr>
                <w:sz w:val="20"/>
                <w:szCs w:val="20"/>
                <w:color w:val="auto"/>
              </w:rPr>
            </w:pPr>
            <w:r>
              <w:rPr>
                <w:rFonts w:ascii="Arial" w:cs="Arial" w:eastAsia="Arial" w:hAnsi="Arial"/>
                <w:sz w:val="13"/>
                <w:szCs w:val="13"/>
                <w:color w:val="auto"/>
              </w:rPr>
              <w:t>Total Cash and Restricted cash</w:t>
            </w:r>
          </w:p>
        </w:tc>
        <w:tc>
          <w:tcPr>
            <w:tcW w:w="920" w:type="dxa"/>
            <w:vAlign w:val="bottom"/>
            <w:tcBorders>
              <w:bottom w:val="single" w:sz="8" w:color="auto"/>
            </w:tcBorders>
            <w:shd w:val="clear" w:color="auto" w:fill="CFF0FC"/>
          </w:tcPr>
          <w:p>
            <w:pPr>
              <w:jc w:val="right"/>
              <w:ind w:right="805"/>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95"/>
              </w:rPr>
              <w:t>59,296,150</w:t>
            </w:r>
          </w:p>
        </w:tc>
        <w:tc>
          <w:tcPr>
            <w:tcW w:w="280" w:type="dxa"/>
            <w:vAlign w:val="bottom"/>
            <w:tcBorders>
              <w:bottom w:val="single" w:sz="8" w:color="CFF0FC"/>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jc w:val="right"/>
              <w:ind w:right="826"/>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5,131,504</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680" w:type="dxa"/>
            <w:vAlign w:val="bottom"/>
            <w:vMerge w:val="restart"/>
          </w:tcPr>
          <w:p>
            <w:pPr>
              <w:spacing w:after="0"/>
              <w:rPr>
                <w:sz w:val="20"/>
                <w:szCs w:val="20"/>
                <w:color w:val="auto"/>
              </w:rPr>
            </w:pPr>
            <w:r>
              <w:rPr>
                <w:rFonts w:ascii="Arial" w:cs="Arial" w:eastAsia="Arial" w:hAnsi="Arial"/>
                <w:sz w:val="13"/>
                <w:szCs w:val="13"/>
                <w:color w:val="auto"/>
              </w:rPr>
              <w:t>Supplemental Information:</w:t>
            </w:r>
          </w:p>
        </w:tc>
        <w:tc>
          <w:tcPr>
            <w:tcW w:w="9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68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680" w:type="dxa"/>
            <w:vAlign w:val="bottom"/>
            <w:shd w:val="clear" w:color="auto" w:fill="CFF0FC"/>
          </w:tcPr>
          <w:p>
            <w:pPr>
              <w:ind w:left="500"/>
              <w:spacing w:after="0"/>
              <w:rPr>
                <w:sz w:val="20"/>
                <w:szCs w:val="20"/>
                <w:color w:val="auto"/>
              </w:rPr>
            </w:pPr>
            <w:r>
              <w:rPr>
                <w:rFonts w:ascii="Arial" w:cs="Arial" w:eastAsia="Arial" w:hAnsi="Arial"/>
                <w:sz w:val="13"/>
                <w:szCs w:val="13"/>
                <w:color w:val="auto"/>
              </w:rPr>
              <w:t>Interest paid during the period</w:t>
            </w:r>
          </w:p>
        </w:tc>
        <w:tc>
          <w:tcPr>
            <w:tcW w:w="920" w:type="dxa"/>
            <w:vAlign w:val="bottom"/>
            <w:shd w:val="clear" w:color="auto" w:fill="CFF0FC"/>
          </w:tcPr>
          <w:p>
            <w:pPr>
              <w:jc w:val="right"/>
              <w:ind w:right="805"/>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3,099,490</w:t>
            </w:r>
          </w:p>
        </w:tc>
        <w:tc>
          <w:tcPr>
            <w:tcW w:w="280" w:type="dxa"/>
            <w:vAlign w:val="bottom"/>
            <w:shd w:val="clear" w:color="auto" w:fill="CFF0FC"/>
          </w:tcPr>
          <w:p>
            <w:pPr>
              <w:spacing w:after="0"/>
              <w:rPr>
                <w:sz w:val="12"/>
                <w:szCs w:val="12"/>
                <w:color w:val="auto"/>
              </w:rPr>
            </w:pPr>
          </w:p>
        </w:tc>
        <w:tc>
          <w:tcPr>
            <w:tcW w:w="940" w:type="dxa"/>
            <w:vAlign w:val="bottom"/>
            <w:shd w:val="clear" w:color="auto" w:fill="CFF0FC"/>
          </w:tcPr>
          <w:p>
            <w:pPr>
              <w:jc w:val="right"/>
              <w:ind w:right="826"/>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1,440,865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7680" w:type="dxa"/>
            <w:vAlign w:val="bottom"/>
          </w:tcPr>
          <w:p>
            <w:pPr>
              <w:ind w:left="500"/>
              <w:spacing w:after="0"/>
              <w:rPr>
                <w:sz w:val="20"/>
                <w:szCs w:val="20"/>
                <w:color w:val="auto"/>
              </w:rPr>
            </w:pPr>
            <w:r>
              <w:rPr>
                <w:rFonts w:ascii="Arial" w:cs="Arial" w:eastAsia="Arial" w:hAnsi="Arial"/>
                <w:sz w:val="13"/>
                <w:szCs w:val="13"/>
                <w:color w:val="auto"/>
              </w:rPr>
              <w:t>Dividends paid during the period under the dividend reinvestment plan</w:t>
            </w:r>
          </w:p>
        </w:tc>
        <w:tc>
          <w:tcPr>
            <w:tcW w:w="920" w:type="dxa"/>
            <w:vAlign w:val="bottom"/>
          </w:tcPr>
          <w:p>
            <w:pPr>
              <w:jc w:val="right"/>
              <w:ind w:right="805"/>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63,984</w:t>
            </w:r>
          </w:p>
        </w:tc>
        <w:tc>
          <w:tcPr>
            <w:tcW w:w="280" w:type="dxa"/>
            <w:vAlign w:val="bottom"/>
          </w:tcPr>
          <w:p>
            <w:pPr>
              <w:spacing w:after="0"/>
              <w:rPr>
                <w:sz w:val="13"/>
                <w:szCs w:val="13"/>
                <w:color w:val="auto"/>
              </w:rPr>
            </w:pPr>
          </w:p>
        </w:tc>
        <w:tc>
          <w:tcPr>
            <w:tcW w:w="940" w:type="dxa"/>
            <w:vAlign w:val="bottom"/>
          </w:tcPr>
          <w:p>
            <w:pPr>
              <w:jc w:val="right"/>
              <w:ind w:right="826"/>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37,084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PORTMAN RIDGE FINANCE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Securities Portfolio</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3"/>
          </w:tcPr>
          <w:p>
            <w:pPr>
              <w:jc w:val="center"/>
              <w:ind w:right="300"/>
              <w:spacing w:after="0"/>
              <w:rPr>
                <w:sz w:val="20"/>
                <w:szCs w:val="20"/>
                <w:color w:val="auto"/>
              </w:rPr>
            </w:pPr>
            <w:r>
              <w:rPr>
                <w:rFonts w:ascii="Arial" w:cs="Arial" w:eastAsia="Arial" w:hAnsi="Arial"/>
                <w:sz w:val="13"/>
                <w:szCs w:val="13"/>
                <w:b w:val="1"/>
                <w:bCs w:val="1"/>
                <w:color w:val="auto"/>
                <w:w w:val="99"/>
              </w:rPr>
              <w:t>Initial</w:t>
            </w: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620" w:type="dxa"/>
            <w:vAlign w:val="bottom"/>
          </w:tcPr>
          <w:p>
            <w:pPr>
              <w:spacing w:after="0" w:line="135" w:lineRule="exact"/>
              <w:rPr>
                <w:sz w:val="20"/>
                <w:szCs w:val="20"/>
                <w:color w:val="auto"/>
              </w:rPr>
            </w:pPr>
            <w:r>
              <w:rPr>
                <w:rFonts w:ascii="Arial" w:cs="Arial" w:eastAsia="Arial" w:hAnsi="Arial"/>
                <w:sz w:val="13"/>
                <w:szCs w:val="13"/>
                <w:b w:val="1"/>
                <w:bCs w:val="1"/>
                <w:color w:val="auto"/>
              </w:rPr>
              <w:t>Portfolio Company /</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940" w:type="dxa"/>
            <w:vAlign w:val="bottom"/>
            <w:gridSpan w:val="2"/>
          </w:tcPr>
          <w:p>
            <w:pPr>
              <w:ind w:left="960"/>
              <w:spacing w:after="0" w:line="135" w:lineRule="exact"/>
              <w:rPr>
                <w:sz w:val="20"/>
                <w:szCs w:val="20"/>
                <w:color w:val="auto"/>
              </w:rPr>
            </w:pPr>
            <w:r>
              <w:rPr>
                <w:rFonts w:ascii="Arial" w:cs="Arial" w:eastAsia="Arial" w:hAnsi="Arial"/>
                <w:sz w:val="13"/>
                <w:szCs w:val="13"/>
                <w:b w:val="1"/>
                <w:bCs w:val="1"/>
                <w:color w:val="auto"/>
              </w:rPr>
              <w:t>Investment</w:t>
            </w:r>
          </w:p>
        </w:tc>
        <w:tc>
          <w:tcPr>
            <w:tcW w:w="1400" w:type="dxa"/>
            <w:vAlign w:val="bottom"/>
            <w:gridSpan w:val="3"/>
          </w:tcPr>
          <w:p>
            <w:pPr>
              <w:jc w:val="center"/>
              <w:ind w:right="30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right"/>
              <w:ind w:right="340"/>
              <w:spacing w:after="0" w:line="135" w:lineRule="exact"/>
              <w:rPr>
                <w:sz w:val="20"/>
                <w:szCs w:val="20"/>
                <w:color w:val="auto"/>
              </w:rPr>
            </w:pPr>
            <w:r>
              <w:rPr>
                <w:rFonts w:ascii="Arial" w:cs="Arial" w:eastAsia="Arial" w:hAnsi="Arial"/>
                <w:sz w:val="13"/>
                <w:szCs w:val="13"/>
                <w:b w:val="1"/>
                <w:bCs w:val="1"/>
                <w:color w:val="auto"/>
              </w:rPr>
              <w:t>Amortized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620" w:type="dxa"/>
            <w:vAlign w:val="bottom"/>
          </w:tcPr>
          <w:p>
            <w:pPr>
              <w:spacing w:after="0"/>
              <w:rPr>
                <w:sz w:val="20"/>
                <w:szCs w:val="20"/>
                <w:color w:val="auto"/>
              </w:rPr>
            </w:pPr>
            <w:r>
              <w:rPr>
                <w:rFonts w:ascii="Arial" w:cs="Arial" w:eastAsia="Arial" w:hAnsi="Arial"/>
                <w:sz w:val="13"/>
                <w:szCs w:val="13"/>
                <w:b w:val="1"/>
                <w:bCs w:val="1"/>
                <w:color w:val="auto"/>
              </w:rPr>
              <w:t>Principal Business</w:t>
            </w: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940" w:type="dxa"/>
            <w:vAlign w:val="bottom"/>
            <w:gridSpan w:val="2"/>
          </w:tcPr>
          <w:p>
            <w:pPr>
              <w:ind w:left="540"/>
              <w:spacing w:after="0"/>
              <w:rPr>
                <w:sz w:val="20"/>
                <w:szCs w:val="20"/>
                <w:color w:val="auto"/>
              </w:rPr>
            </w:pPr>
            <w:r>
              <w:rPr>
                <w:rFonts w:ascii="Arial" w:cs="Arial" w:eastAsia="Arial" w:hAnsi="Arial"/>
                <w:sz w:val="13"/>
                <w:szCs w:val="13"/>
                <w:b w:val="1"/>
                <w:bCs w:val="1"/>
                <w:color w:val="auto"/>
              </w:rPr>
              <w:t>Interest Rate¹ / Maturity</w:t>
            </w:r>
            <w:r>
              <w:rPr>
                <w:rFonts w:ascii="Arial" w:cs="Arial" w:eastAsia="Arial" w:hAnsi="Arial"/>
                <w:sz w:val="10"/>
                <w:szCs w:val="10"/>
                <w:b w:val="1"/>
                <w:bCs w:val="1"/>
                <w:color w:val="auto"/>
              </w:rPr>
              <w:t>15</w:t>
            </w:r>
          </w:p>
        </w:tc>
        <w:tc>
          <w:tcPr>
            <w:tcW w:w="1400" w:type="dxa"/>
            <w:vAlign w:val="bottom"/>
            <w:gridSpan w:val="3"/>
          </w:tcPr>
          <w:p>
            <w:pPr>
              <w:jc w:val="center"/>
              <w:ind w:right="300"/>
              <w:spacing w:after="0"/>
              <w:rPr>
                <w:sz w:val="20"/>
                <w:szCs w:val="20"/>
                <w:color w:val="auto"/>
              </w:rPr>
            </w:pPr>
            <w:r>
              <w:rPr>
                <w:rFonts w:ascii="Arial" w:cs="Arial" w:eastAsia="Arial" w:hAnsi="Arial"/>
                <w:sz w:val="13"/>
                <w:szCs w:val="13"/>
                <w:b w:val="1"/>
                <w:bCs w:val="1"/>
                <w:color w:val="auto"/>
                <w:w w:val="92"/>
              </w:rPr>
              <w:t>Date</w:t>
            </w:r>
          </w:p>
        </w:tc>
        <w:tc>
          <w:tcPr>
            <w:tcW w:w="1080" w:type="dxa"/>
            <w:vAlign w:val="bottom"/>
            <w:gridSpan w:val="2"/>
          </w:tcPr>
          <w:p>
            <w:pPr>
              <w:ind w:left="80"/>
              <w:spacing w:after="0"/>
              <w:rPr>
                <w:sz w:val="20"/>
                <w:szCs w:val="20"/>
                <w:color w:val="auto"/>
              </w:rPr>
            </w:pPr>
            <w:r>
              <w:rPr>
                <w:rFonts w:ascii="Arial" w:cs="Arial" w:eastAsia="Arial" w:hAnsi="Arial"/>
                <w:sz w:val="13"/>
                <w:szCs w:val="13"/>
                <w:b w:val="1"/>
                <w:bCs w:val="1"/>
                <w:color w:val="auto"/>
              </w:rPr>
              <w:t>Principal</w:t>
            </w:r>
          </w:p>
        </w:tc>
        <w:tc>
          <w:tcPr>
            <w:tcW w:w="120" w:type="dxa"/>
            <w:vAlign w:val="bottom"/>
          </w:tcPr>
          <w:p>
            <w:pPr>
              <w:spacing w:after="0"/>
              <w:rPr>
                <w:sz w:val="13"/>
                <w:szCs w:val="13"/>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Cost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w w:val="97"/>
              </w:rPr>
              <w:t>Fair Value</w:t>
            </w:r>
            <w:r>
              <w:rPr>
                <w:rFonts w:ascii="Arial" w:cs="Arial" w:eastAsia="Arial" w:hAnsi="Arial"/>
                <w:sz w:val="10"/>
                <w:szCs w:val="10"/>
                <w:b w:val="1"/>
                <w:bCs w:val="1"/>
                <w:color w:val="auto"/>
                <w:w w:val="97"/>
              </w:rPr>
              <w:t>2</w:t>
            </w:r>
          </w:p>
        </w:tc>
        <w:tc>
          <w:tcPr>
            <w:tcW w:w="0" w:type="dxa"/>
            <w:vAlign w:val="bottom"/>
          </w:tcPr>
          <w:p>
            <w:pPr>
              <w:spacing w:after="0"/>
              <w:rPr>
                <w:sz w:val="1"/>
                <w:szCs w:val="1"/>
                <w:color w:val="auto"/>
              </w:rPr>
            </w:pPr>
          </w:p>
        </w:tc>
      </w:tr>
      <w:tr>
        <w:trPr>
          <w:trHeight w:val="128"/>
        </w:trPr>
        <w:tc>
          <w:tcPr>
            <w:tcW w:w="262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1A Smart Start LLC</w:t>
            </w:r>
          </w:p>
        </w:tc>
        <w:tc>
          <w:tcPr>
            <w:tcW w:w="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1"/>
                <w:szCs w:val="11"/>
                <w:color w:val="auto"/>
              </w:rPr>
              <w:t>(8)(14)</w:t>
            </w:r>
          </w:p>
        </w:tc>
        <w:tc>
          <w:tcPr>
            <w:tcW w:w="3100" w:type="dxa"/>
            <w:vAlign w:val="bottom"/>
            <w:tcBorders>
              <w:top w:val="single" w:sz="8" w:color="auto"/>
            </w:tcBorders>
            <w:gridSpan w:val="2"/>
            <w:shd w:val="clear" w:color="auto" w:fill="CFF0FC"/>
          </w:tcPr>
          <w:p>
            <w:pPr>
              <w:spacing w:after="0" w:line="128" w:lineRule="exact"/>
              <w:rPr>
                <w:sz w:val="20"/>
                <w:szCs w:val="20"/>
                <w:color w:val="auto"/>
              </w:rPr>
            </w:pPr>
            <w:r>
              <w:rPr>
                <w:rFonts w:ascii="Arial" w:cs="Arial" w:eastAsia="Arial" w:hAnsi="Arial"/>
                <w:sz w:val="13"/>
                <w:szCs w:val="13"/>
                <w:color w:val="auto"/>
              </w:rPr>
              <w:t>Senior Secured Loan — First Lien Term Loan</w:t>
            </w:r>
          </w:p>
        </w:tc>
        <w:tc>
          <w:tcPr>
            <w:tcW w:w="120" w:type="dxa"/>
            <w:vAlign w:val="bottom"/>
            <w:tcBorders>
              <w:top w:val="single" w:sz="8" w:color="CFF0FC"/>
            </w:tcBorders>
            <w:shd w:val="clear" w:color="auto" w:fill="CFF0FC"/>
          </w:tcPr>
          <w:p>
            <w:pPr>
              <w:spacing w:after="0"/>
              <w:rPr>
                <w:sz w:val="11"/>
                <w:szCs w:val="11"/>
                <w:color w:val="auto"/>
              </w:rPr>
            </w:pPr>
          </w:p>
        </w:tc>
        <w:tc>
          <w:tcPr>
            <w:tcW w:w="112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84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86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shd w:val="clear" w:color="auto" w:fill="CFF0FC"/>
          </w:tcPr>
          <w:p>
            <w:pPr>
              <w:ind w:left="640"/>
              <w:spacing w:after="0" w:line="135" w:lineRule="exact"/>
              <w:rPr>
                <w:sz w:val="20"/>
                <w:szCs w:val="20"/>
                <w:color w:val="auto"/>
              </w:rPr>
            </w:pPr>
            <w:r>
              <w:rPr>
                <w:rFonts w:ascii="Arial" w:cs="Arial" w:eastAsia="Arial" w:hAnsi="Arial"/>
                <w:sz w:val="13"/>
                <w:szCs w:val="13"/>
                <w:color w:val="auto"/>
              </w:rPr>
              <w:t>Consumer goods: Non-durable</w:t>
            </w:r>
          </w:p>
        </w:tc>
        <w:tc>
          <w:tcPr>
            <w:tcW w:w="6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w w:val="87"/>
              </w:rPr>
              <w:t>5.8%</w:t>
            </w:r>
          </w:p>
        </w:tc>
        <w:tc>
          <w:tcPr>
            <w:tcW w:w="294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3 Month Libor (1.00%) + 4.75%; Libor Floor</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220" w:type="dxa"/>
            <w:vAlign w:val="bottom"/>
            <w:gridSpan w:val="3"/>
            <w:shd w:val="clear" w:color="auto" w:fill="CFF0FC"/>
          </w:tcPr>
          <w:p>
            <w:pPr>
              <w:spacing w:after="0"/>
              <w:rPr>
                <w:sz w:val="20"/>
                <w:szCs w:val="20"/>
                <w:color w:val="auto"/>
              </w:rPr>
            </w:pPr>
            <w:r>
              <w:rPr>
                <w:rFonts w:ascii="Arial" w:cs="Arial" w:eastAsia="Arial" w:hAnsi="Arial"/>
                <w:sz w:val="13"/>
                <w:szCs w:val="13"/>
                <w:color w:val="auto"/>
              </w:rPr>
              <w:t>1.00% , Due 8/27</w:t>
            </w:r>
          </w:p>
        </w:tc>
        <w:tc>
          <w:tcPr>
            <w:tcW w:w="1400" w:type="dxa"/>
            <w:vAlign w:val="bottom"/>
            <w:gridSpan w:val="3"/>
            <w:shd w:val="clear" w:color="auto" w:fill="CFF0FC"/>
          </w:tcPr>
          <w:p>
            <w:pPr>
              <w:jc w:val="right"/>
              <w:ind w:right="80"/>
              <w:spacing w:after="0"/>
              <w:rPr>
                <w:sz w:val="20"/>
                <w:szCs w:val="20"/>
                <w:color w:val="auto"/>
              </w:rPr>
            </w:pPr>
            <w:r>
              <w:rPr>
                <w:rFonts w:ascii="Arial" w:cs="Arial" w:eastAsia="Arial" w:hAnsi="Arial"/>
                <w:sz w:val="13"/>
                <w:szCs w:val="13"/>
                <w:color w:val="auto"/>
              </w:rPr>
              <w:t>10/28/2020   $</w:t>
            </w: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2,089,500</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8"/>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1,842,084</w:t>
            </w:r>
          </w:p>
        </w:tc>
        <w:tc>
          <w:tcPr>
            <w:tcW w:w="140" w:type="dxa"/>
            <w:vAlign w:val="bottom"/>
            <w:shd w:val="clear" w:color="auto" w:fill="CFF0FC"/>
          </w:tcPr>
          <w:p>
            <w:pPr>
              <w:spacing w:after="0"/>
              <w:rPr>
                <w:sz w:val="12"/>
                <w:szCs w:val="12"/>
                <w:color w:val="auto"/>
              </w:rPr>
            </w:pP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2,101,253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Advantage Capital Holdings LLC</w:t>
            </w:r>
          </w:p>
        </w:tc>
        <w:tc>
          <w:tcPr>
            <w:tcW w:w="600" w:type="dxa"/>
            <w:vAlign w:val="bottom"/>
            <w:shd w:val="clear" w:color="auto" w:fill="CFF0FC"/>
          </w:tcPr>
          <w:p>
            <w:pPr>
              <w:spacing w:after="0"/>
              <w:rPr>
                <w:sz w:val="11"/>
                <w:szCs w:val="11"/>
                <w:color w:val="auto"/>
              </w:rPr>
            </w:pPr>
          </w:p>
        </w:tc>
        <w:tc>
          <w:tcPr>
            <w:tcW w:w="322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w w:val="97"/>
              </w:rPr>
              <w:t>Senior Secured Loan — Delayed Draw Term Loan, 8.0%</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20" w:type="dxa"/>
            <w:vAlign w:val="bottom"/>
            <w:shd w:val="clear" w:color="auto" w:fill="CFF0FC"/>
          </w:tcPr>
          <w:p>
            <w:pPr>
              <w:ind w:left="160"/>
              <w:spacing w:after="0"/>
              <w:rPr>
                <w:sz w:val="20"/>
                <w:szCs w:val="20"/>
                <w:color w:val="auto"/>
              </w:rPr>
            </w:pPr>
            <w:r>
              <w:rPr>
                <w:rFonts w:ascii="Arial" w:cs="Arial" w:eastAsia="Arial" w:hAnsi="Arial"/>
                <w:sz w:val="13"/>
                <w:szCs w:val="13"/>
                <w:color w:val="auto"/>
                <w:w w:val="98"/>
              </w:rPr>
              <w:t>Banking, Finance, Insurance &amp; Real Estate</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(8)(13)(21)</w:t>
            </w:r>
          </w:p>
        </w:tc>
        <w:tc>
          <w:tcPr>
            <w:tcW w:w="3220" w:type="dxa"/>
            <w:vAlign w:val="bottom"/>
            <w:gridSpan w:val="3"/>
            <w:shd w:val="clear" w:color="auto" w:fill="CFF0FC"/>
          </w:tcPr>
          <w:p>
            <w:pPr>
              <w:spacing w:after="0"/>
              <w:rPr>
                <w:sz w:val="20"/>
                <w:szCs w:val="20"/>
                <w:color w:val="auto"/>
              </w:rPr>
            </w:pPr>
            <w:r>
              <w:rPr>
                <w:rFonts w:ascii="Arial" w:cs="Arial" w:eastAsia="Arial" w:hAnsi="Arial"/>
                <w:sz w:val="13"/>
                <w:szCs w:val="13"/>
                <w:color w:val="auto"/>
              </w:rPr>
              <w:t>PIK, Due 1/25</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2/14/2020</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2,852,556</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2,852,556</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2,884,790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620" w:type="dxa"/>
            <w:vAlign w:val="bottom"/>
            <w:shd w:val="clear" w:color="auto" w:fill="CFF0FC"/>
          </w:tcPr>
          <w:p>
            <w:pPr>
              <w:spacing w:after="0" w:line="126" w:lineRule="exact"/>
              <w:rPr>
                <w:sz w:val="20"/>
                <w:szCs w:val="20"/>
                <w:color w:val="auto"/>
              </w:rPr>
            </w:pPr>
            <w:r>
              <w:rPr>
                <w:rFonts w:ascii="Arial" w:cs="Arial" w:eastAsia="Arial" w:hAnsi="Arial"/>
                <w:sz w:val="13"/>
                <w:szCs w:val="13"/>
                <w:color w:val="auto"/>
              </w:rPr>
              <w:t>Advantage Capital Holdings LLC</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220" w:type="dxa"/>
            <w:vAlign w:val="bottom"/>
            <w:gridSpan w:val="3"/>
            <w:shd w:val="clear" w:color="auto" w:fill="CFF0FC"/>
          </w:tcPr>
          <w:p>
            <w:pPr>
              <w:spacing w:after="0" w:line="126" w:lineRule="exact"/>
              <w:rPr>
                <w:sz w:val="20"/>
                <w:szCs w:val="20"/>
                <w:color w:val="auto"/>
              </w:rPr>
            </w:pPr>
            <w:r>
              <w:rPr>
                <w:rFonts w:ascii="Arial" w:cs="Arial" w:eastAsia="Arial" w:hAnsi="Arial"/>
                <w:sz w:val="13"/>
                <w:szCs w:val="13"/>
                <w:color w:val="auto"/>
              </w:rPr>
              <w:t>Senior Secured Loan — Term Loan</w:t>
            </w:r>
          </w:p>
        </w:tc>
        <w:tc>
          <w:tcPr>
            <w:tcW w:w="1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620" w:type="dxa"/>
            <w:vAlign w:val="bottom"/>
            <w:shd w:val="clear" w:color="auto" w:fill="CFF0FC"/>
          </w:tcPr>
          <w:p>
            <w:pPr>
              <w:ind w:left="320"/>
              <w:spacing w:after="0"/>
              <w:rPr>
                <w:sz w:val="20"/>
                <w:szCs w:val="20"/>
                <w:color w:val="auto"/>
              </w:rPr>
            </w:pPr>
            <w:r>
              <w:rPr>
                <w:rFonts w:ascii="Arial" w:cs="Arial" w:eastAsia="Arial" w:hAnsi="Arial"/>
                <w:sz w:val="13"/>
                <w:szCs w:val="13"/>
                <w:color w:val="auto"/>
                <w:w w:val="91"/>
              </w:rPr>
              <w:t>Banking, Finance, Insurance &amp; Real Estate</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(21)</w:t>
            </w:r>
          </w:p>
        </w:tc>
        <w:tc>
          <w:tcPr>
            <w:tcW w:w="280" w:type="dxa"/>
            <w:vAlign w:val="bottom"/>
            <w:shd w:val="clear" w:color="auto" w:fill="CFF0FC"/>
          </w:tcPr>
          <w:p>
            <w:pPr>
              <w:spacing w:after="0"/>
              <w:rPr>
                <w:sz w:val="20"/>
                <w:szCs w:val="20"/>
                <w:color w:val="auto"/>
              </w:rPr>
            </w:pPr>
            <w:r>
              <w:rPr>
                <w:rFonts w:ascii="Arial" w:cs="Arial" w:eastAsia="Arial" w:hAnsi="Arial"/>
                <w:sz w:val="13"/>
                <w:szCs w:val="13"/>
                <w:color w:val="auto"/>
                <w:w w:val="87"/>
              </w:rPr>
              <w:t>5.0%</w:t>
            </w:r>
          </w:p>
        </w:tc>
        <w:tc>
          <w:tcPr>
            <w:tcW w:w="294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Cash, 8.0% PIK, Due 1/25</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2/14/2020</w:t>
            </w: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2,520,115</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2,520,115</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2,548,592</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AIS Holdco, LLC</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22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First Lien Term Loan A</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20" w:type="dxa"/>
            <w:vAlign w:val="bottom"/>
            <w:shd w:val="clear" w:color="auto" w:fill="CFF0FC"/>
          </w:tcPr>
          <w:p>
            <w:pPr>
              <w:ind w:left="200"/>
              <w:spacing w:after="0"/>
              <w:rPr>
                <w:sz w:val="20"/>
                <w:szCs w:val="20"/>
                <w:color w:val="auto"/>
              </w:rPr>
            </w:pPr>
            <w:r>
              <w:rPr>
                <w:rFonts w:ascii="Arial" w:cs="Arial" w:eastAsia="Arial" w:hAnsi="Arial"/>
                <w:sz w:val="13"/>
                <w:szCs w:val="13"/>
                <w:color w:val="auto"/>
                <w:w w:val="96"/>
              </w:rPr>
              <w:t>Banking, Finance, Insurance &amp; Real Estate</w:t>
            </w:r>
          </w:p>
        </w:tc>
        <w:tc>
          <w:tcPr>
            <w:tcW w:w="6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20"/>
                <w:szCs w:val="20"/>
                <w:color w:val="auto"/>
              </w:rPr>
            </w:pPr>
            <w:r>
              <w:rPr>
                <w:rFonts w:ascii="Arial" w:cs="Arial" w:eastAsia="Arial" w:hAnsi="Arial"/>
                <w:sz w:val="13"/>
                <w:szCs w:val="13"/>
                <w:color w:val="auto"/>
                <w:w w:val="87"/>
              </w:rPr>
              <w:t>5.2%</w:t>
            </w:r>
          </w:p>
        </w:tc>
        <w:tc>
          <w:tcPr>
            <w:tcW w:w="294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Cash, 3 Month Libor (0.21%) + 5.00% , Due 8/25</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2,545,236</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2,067,899</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2,487,460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Allied Universal Holdco LLC</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(8)(14)</w:t>
            </w:r>
          </w:p>
        </w:tc>
        <w:tc>
          <w:tcPr>
            <w:tcW w:w="322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Initial Term Loan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Services: Business</w:t>
            </w:r>
          </w:p>
        </w:tc>
        <w:tc>
          <w:tcPr>
            <w:tcW w:w="6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20"/>
                <w:szCs w:val="20"/>
                <w:color w:val="auto"/>
              </w:rPr>
            </w:pPr>
            <w:r>
              <w:rPr>
                <w:rFonts w:ascii="Arial" w:cs="Arial" w:eastAsia="Arial" w:hAnsi="Arial"/>
                <w:sz w:val="13"/>
                <w:szCs w:val="13"/>
                <w:color w:val="auto"/>
                <w:w w:val="87"/>
              </w:rPr>
              <w:t>4.4%</w:t>
            </w:r>
          </w:p>
        </w:tc>
        <w:tc>
          <w:tcPr>
            <w:tcW w:w="294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Cash, 1 Month Libor (0.11%) + 4.25% , Due 7/26</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3/23/2020</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5,143,496</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4,253,956</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5,135,473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62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AMCP Pet Holdings, Inc.</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220" w:type="dxa"/>
            <w:vAlign w:val="bottom"/>
            <w:gridSpan w:val="3"/>
            <w:shd w:val="clear" w:color="auto" w:fill="CFF0FC"/>
          </w:tcPr>
          <w:p>
            <w:pPr>
              <w:spacing w:after="0" w:line="135" w:lineRule="exact"/>
              <w:rPr>
                <w:sz w:val="20"/>
                <w:szCs w:val="20"/>
                <w:color w:val="auto"/>
              </w:rPr>
            </w:pPr>
            <w:r>
              <w:rPr>
                <w:rFonts w:ascii="Arial" w:cs="Arial" w:eastAsia="Arial" w:hAnsi="Arial"/>
                <w:sz w:val="13"/>
                <w:szCs w:val="13"/>
                <w:color w:val="auto"/>
              </w:rPr>
              <w:t>Senior Secured Loan — Delayed Draw Term Loan</w:t>
            </w: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12/9/2020</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3"/>
                <w:szCs w:val="13"/>
                <w:color w:val="auto"/>
              </w:rPr>
              <w:t>(19,000)</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Beverage, Food and Tobacco</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(21)</w:t>
            </w:r>
          </w:p>
        </w:tc>
        <w:tc>
          <w:tcPr>
            <w:tcW w:w="280" w:type="dxa"/>
            <w:vAlign w:val="bottom"/>
            <w:shd w:val="clear" w:color="auto" w:fill="CFF0FC"/>
          </w:tcPr>
          <w:p>
            <w:pPr>
              <w:spacing w:after="0"/>
              <w:rPr>
                <w:sz w:val="20"/>
                <w:szCs w:val="20"/>
                <w:color w:val="auto"/>
              </w:rPr>
            </w:pPr>
            <w:r>
              <w:rPr>
                <w:rFonts w:ascii="Arial" w:cs="Arial" w:eastAsia="Arial" w:hAnsi="Arial"/>
                <w:sz w:val="13"/>
                <w:szCs w:val="13"/>
                <w:color w:val="auto"/>
                <w:w w:val="87"/>
              </w:rPr>
              <w:t>1.0%</w:t>
            </w:r>
          </w:p>
        </w:tc>
        <w:tc>
          <w:tcPr>
            <w:tcW w:w="294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Cash, Due 10/26</w:t>
            </w:r>
          </w:p>
        </w:tc>
        <w:tc>
          <w:tcPr>
            <w:tcW w:w="112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vMerge w:val="continue"/>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gridSpan w:val="2"/>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AMCP Pet Holdings, Inc.</w:t>
            </w:r>
          </w:p>
        </w:tc>
        <w:tc>
          <w:tcPr>
            <w:tcW w:w="600" w:type="dxa"/>
            <w:vAlign w:val="bottom"/>
            <w:shd w:val="clear" w:color="auto" w:fill="CFF0FC"/>
          </w:tcPr>
          <w:p>
            <w:pPr>
              <w:spacing w:after="0"/>
              <w:rPr>
                <w:sz w:val="11"/>
                <w:szCs w:val="11"/>
                <w:color w:val="auto"/>
              </w:rPr>
            </w:pPr>
          </w:p>
        </w:tc>
        <w:tc>
          <w:tcPr>
            <w:tcW w:w="322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First Lien Term Loan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620" w:type="dxa"/>
            <w:vAlign w:val="bottom"/>
            <w:shd w:val="clear" w:color="auto" w:fill="CFF0FC"/>
          </w:tcPr>
          <w:p>
            <w:pPr>
              <w:ind w:left="200"/>
              <w:spacing w:after="0" w:line="136" w:lineRule="exact"/>
              <w:rPr>
                <w:sz w:val="20"/>
                <w:szCs w:val="20"/>
                <w:color w:val="auto"/>
              </w:rPr>
            </w:pPr>
            <w:r>
              <w:rPr>
                <w:rFonts w:ascii="Arial" w:cs="Arial" w:eastAsia="Arial" w:hAnsi="Arial"/>
                <w:sz w:val="13"/>
                <w:szCs w:val="13"/>
                <w:color w:val="auto"/>
              </w:rPr>
              <w:t>Beverage, Food and Tobacco</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280" w:type="dxa"/>
            <w:vAlign w:val="bottom"/>
            <w:shd w:val="clear" w:color="auto" w:fill="CFF0FC"/>
          </w:tcPr>
          <w:p>
            <w:pPr>
              <w:spacing w:after="0" w:line="136" w:lineRule="exact"/>
              <w:rPr>
                <w:sz w:val="20"/>
                <w:szCs w:val="20"/>
                <w:color w:val="auto"/>
              </w:rPr>
            </w:pPr>
            <w:r>
              <w:rPr>
                <w:rFonts w:ascii="Arial" w:cs="Arial" w:eastAsia="Arial" w:hAnsi="Arial"/>
                <w:sz w:val="13"/>
                <w:szCs w:val="13"/>
                <w:color w:val="auto"/>
                <w:w w:val="87"/>
              </w:rPr>
              <w:t>7.3%</w:t>
            </w:r>
          </w:p>
        </w:tc>
        <w:tc>
          <w:tcPr>
            <w:tcW w:w="2940" w:type="dxa"/>
            <w:vAlign w:val="bottom"/>
            <w:gridSpan w:val="2"/>
            <w:shd w:val="clear" w:color="auto" w:fill="CFF0FC"/>
          </w:tcPr>
          <w:p>
            <w:pPr>
              <w:ind w:left="20"/>
              <w:spacing w:after="0" w:line="136" w:lineRule="exact"/>
              <w:rPr>
                <w:sz w:val="20"/>
                <w:szCs w:val="20"/>
                <w:color w:val="auto"/>
              </w:rPr>
            </w:pPr>
            <w:r>
              <w:rPr>
                <w:rFonts w:ascii="Arial" w:cs="Arial" w:eastAsia="Arial" w:hAnsi="Arial"/>
                <w:sz w:val="13"/>
                <w:szCs w:val="13"/>
                <w:color w:val="auto"/>
              </w:rPr>
              <w:t>Cash, 3 Month Libor (1.00%) + 6.25%; Libor Floor</w:t>
            </w: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12/9/2020</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4,987,500</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4,892,738</w:t>
            </w: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4,987,500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6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(21)</w:t>
            </w:r>
          </w:p>
        </w:tc>
        <w:tc>
          <w:tcPr>
            <w:tcW w:w="3220" w:type="dxa"/>
            <w:vAlign w:val="bottom"/>
            <w:gridSpan w:val="3"/>
            <w:shd w:val="clear" w:color="auto" w:fill="CFF0FC"/>
          </w:tcPr>
          <w:p>
            <w:pPr>
              <w:spacing w:after="0"/>
              <w:rPr>
                <w:sz w:val="20"/>
                <w:szCs w:val="20"/>
                <w:color w:val="auto"/>
              </w:rPr>
            </w:pPr>
            <w:r>
              <w:rPr>
                <w:rFonts w:ascii="Arial" w:cs="Arial" w:eastAsia="Arial" w:hAnsi="Arial"/>
                <w:sz w:val="13"/>
                <w:szCs w:val="13"/>
                <w:color w:val="auto"/>
              </w:rPr>
              <w:t>1.00% , Due 10/26</w:t>
            </w:r>
          </w:p>
        </w:tc>
        <w:tc>
          <w:tcPr>
            <w:tcW w:w="112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vMerge w:val="continue"/>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vMerge w:val="continue"/>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AMCP Pet Holdings, Inc.</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(8)(13)(21)</w:t>
            </w:r>
          </w:p>
        </w:tc>
        <w:tc>
          <w:tcPr>
            <w:tcW w:w="322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Revolving Loan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Beverage, Food and Tobacco</w:t>
            </w:r>
          </w:p>
        </w:tc>
        <w:tc>
          <w:tcPr>
            <w:tcW w:w="6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20"/>
                <w:szCs w:val="20"/>
                <w:color w:val="auto"/>
              </w:rPr>
            </w:pPr>
            <w:r>
              <w:rPr>
                <w:rFonts w:ascii="Arial" w:cs="Arial" w:eastAsia="Arial" w:hAnsi="Arial"/>
                <w:sz w:val="13"/>
                <w:szCs w:val="13"/>
                <w:color w:val="auto"/>
                <w:w w:val="87"/>
              </w:rPr>
              <w:t>6.3%</w:t>
            </w:r>
          </w:p>
        </w:tc>
        <w:tc>
          <w:tcPr>
            <w:tcW w:w="294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Cash, Due 10/26</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12/9/2020</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50,000</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30,883</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50,000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620" w:type="dxa"/>
            <w:vAlign w:val="bottom"/>
            <w:shd w:val="clear" w:color="auto" w:fill="CFF0FC"/>
          </w:tcPr>
          <w:p>
            <w:pPr>
              <w:spacing w:after="0"/>
              <w:rPr>
                <w:sz w:val="20"/>
                <w:szCs w:val="20"/>
                <w:color w:val="auto"/>
              </w:rPr>
            </w:pPr>
            <w:r>
              <w:rPr>
                <w:rFonts w:ascii="Arial" w:cs="Arial" w:eastAsia="Arial" w:hAnsi="Arial"/>
                <w:sz w:val="13"/>
                <w:szCs w:val="13"/>
                <w:color w:val="auto"/>
              </w:rPr>
              <w:t>Analogic Corporation</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220" w:type="dxa"/>
            <w:vAlign w:val="bottom"/>
            <w:gridSpan w:val="3"/>
            <w:shd w:val="clear" w:color="auto" w:fill="CFF0FC"/>
          </w:tcPr>
          <w:p>
            <w:pPr>
              <w:spacing w:after="0"/>
              <w:rPr>
                <w:sz w:val="20"/>
                <w:szCs w:val="20"/>
                <w:color w:val="auto"/>
              </w:rPr>
            </w:pPr>
            <w:r>
              <w:rPr>
                <w:rFonts w:ascii="Arial" w:cs="Arial" w:eastAsia="Arial" w:hAnsi="Arial"/>
                <w:sz w:val="13"/>
                <w:szCs w:val="13"/>
                <w:color w:val="auto"/>
              </w:rPr>
              <w:t>Senior Secured Loan — Revolver</w:t>
            </w:r>
          </w:p>
        </w:tc>
        <w:tc>
          <w:tcPr>
            <w:tcW w:w="1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6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3"/>
                <w:szCs w:val="13"/>
                <w:color w:val="auto"/>
              </w:rPr>
              <w:t>Electronics</w:t>
            </w:r>
          </w:p>
        </w:tc>
        <w:tc>
          <w:tcPr>
            <w:tcW w:w="6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3"/>
                <w:szCs w:val="13"/>
                <w:color w:val="auto"/>
                <w:w w:val="87"/>
              </w:rPr>
              <w:t>0.5%</w:t>
            </w:r>
          </w:p>
        </w:tc>
        <w:tc>
          <w:tcPr>
            <w:tcW w:w="294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3"/>
                <w:szCs w:val="13"/>
                <w:color w:val="auto"/>
              </w:rPr>
              <w:t>Cash, Due 6/23</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2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(5,197)</w:t>
            </w: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Analogic Corporation</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22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First Lien Term Loan A</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shd w:val="clear" w:color="auto" w:fill="CFF0FC"/>
          </w:tcPr>
          <w:p>
            <w:pPr>
              <w:ind w:left="200"/>
              <w:spacing w:after="0" w:line="135" w:lineRule="exact"/>
              <w:rPr>
                <w:sz w:val="20"/>
                <w:szCs w:val="20"/>
                <w:color w:val="auto"/>
              </w:rPr>
            </w:pPr>
            <w:r>
              <w:rPr>
                <w:rFonts w:ascii="Arial" w:cs="Arial" w:eastAsia="Arial" w:hAnsi="Arial"/>
                <w:sz w:val="13"/>
                <w:szCs w:val="13"/>
                <w:color w:val="auto"/>
              </w:rPr>
              <w:t>Electronics</w:t>
            </w:r>
          </w:p>
        </w:tc>
        <w:tc>
          <w:tcPr>
            <w:tcW w:w="6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w w:val="87"/>
              </w:rPr>
              <w:t>6.3%</w:t>
            </w:r>
          </w:p>
        </w:tc>
        <w:tc>
          <w:tcPr>
            <w:tcW w:w="294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1 Month Libor (1.00%) + 5.25%; Libor Floor</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220" w:type="dxa"/>
            <w:vAlign w:val="bottom"/>
            <w:gridSpan w:val="3"/>
            <w:shd w:val="clear" w:color="auto" w:fill="CFF0FC"/>
          </w:tcPr>
          <w:p>
            <w:pPr>
              <w:spacing w:after="0"/>
              <w:rPr>
                <w:sz w:val="20"/>
                <w:szCs w:val="20"/>
                <w:color w:val="auto"/>
              </w:rPr>
            </w:pPr>
            <w:r>
              <w:rPr>
                <w:rFonts w:ascii="Arial" w:cs="Arial" w:eastAsia="Arial" w:hAnsi="Arial"/>
                <w:sz w:val="13"/>
                <w:szCs w:val="13"/>
                <w:color w:val="auto"/>
              </w:rPr>
              <w:t>1.00% , Due 6/24</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3,546,831</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3,127,646</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3,455,678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49"/>
        </w:trPr>
        <w:tc>
          <w:tcPr>
            <w:tcW w:w="2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9"/>
              </w:rPr>
              <w:t>Initial</w:t>
            </w: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35"/>
        </w:trPr>
        <w:tc>
          <w:tcPr>
            <w:tcW w:w="2620" w:type="dxa"/>
            <w:vAlign w:val="bottom"/>
          </w:tcPr>
          <w:p>
            <w:pPr>
              <w:spacing w:after="0" w:line="135" w:lineRule="exact"/>
              <w:rPr>
                <w:sz w:val="20"/>
                <w:szCs w:val="20"/>
                <w:color w:val="auto"/>
              </w:rPr>
            </w:pPr>
            <w:r>
              <w:rPr>
                <w:rFonts w:ascii="Arial" w:cs="Arial" w:eastAsia="Arial" w:hAnsi="Arial"/>
                <w:sz w:val="13"/>
                <w:szCs w:val="13"/>
                <w:b w:val="1"/>
                <w:bCs w:val="1"/>
                <w:color w:val="auto"/>
              </w:rPr>
              <w:t>Portfolio Company /</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940" w:type="dxa"/>
            <w:vAlign w:val="bottom"/>
            <w:gridSpan w:val="2"/>
          </w:tcPr>
          <w:p>
            <w:pPr>
              <w:ind w:left="960"/>
              <w:spacing w:after="0" w:line="135" w:lineRule="exact"/>
              <w:rPr>
                <w:sz w:val="20"/>
                <w:szCs w:val="20"/>
                <w:color w:val="auto"/>
              </w:rPr>
            </w:pPr>
            <w:r>
              <w:rPr>
                <w:rFonts w:ascii="Arial" w:cs="Arial" w:eastAsia="Arial" w:hAnsi="Arial"/>
                <w:sz w:val="13"/>
                <w:szCs w:val="13"/>
                <w:b w:val="1"/>
                <w:bCs w:val="1"/>
                <w:color w:val="auto"/>
              </w:rPr>
              <w:t>Investment</w:t>
            </w:r>
          </w:p>
        </w:tc>
        <w:tc>
          <w:tcPr>
            <w:tcW w:w="124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gridSpan w:val="2"/>
          </w:tcPr>
          <w:p>
            <w:pPr>
              <w:jc w:val="right"/>
              <w:ind w:right="440"/>
              <w:spacing w:after="0" w:line="135" w:lineRule="exact"/>
              <w:rPr>
                <w:sz w:val="20"/>
                <w:szCs w:val="20"/>
                <w:color w:val="auto"/>
              </w:rPr>
            </w:pPr>
            <w:r>
              <w:rPr>
                <w:rFonts w:ascii="Arial" w:cs="Arial" w:eastAsia="Arial" w:hAnsi="Arial"/>
                <w:sz w:val="13"/>
                <w:szCs w:val="13"/>
                <w:b w:val="1"/>
                <w:bCs w:val="1"/>
                <w:color w:val="auto"/>
              </w:rPr>
              <w:t>Amortized</w:t>
            </w: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3"/>
        </w:trPr>
        <w:tc>
          <w:tcPr>
            <w:tcW w:w="26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Principal Business</w:t>
            </w:r>
          </w:p>
        </w:tc>
        <w:tc>
          <w:tcPr>
            <w:tcW w:w="60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820" w:type="dxa"/>
            <w:vAlign w:val="bottom"/>
            <w:tcBorders>
              <w:bottom w:val="single" w:sz="8" w:color="auto"/>
            </w:tcBorders>
          </w:tcPr>
          <w:p>
            <w:pPr>
              <w:ind w:left="540"/>
              <w:spacing w:after="0"/>
              <w:rPr>
                <w:sz w:val="20"/>
                <w:szCs w:val="20"/>
                <w:color w:val="auto"/>
              </w:rPr>
            </w:pPr>
            <w:r>
              <w:rPr>
                <w:rFonts w:ascii="Arial" w:cs="Arial" w:eastAsia="Arial" w:hAnsi="Arial"/>
                <w:sz w:val="13"/>
                <w:szCs w:val="13"/>
                <w:b w:val="1"/>
                <w:bCs w:val="1"/>
                <w:color w:val="auto"/>
              </w:rPr>
              <w:t>Interest Rate¹ / Maturity</w:t>
            </w:r>
            <w:r>
              <w:rPr>
                <w:rFonts w:ascii="Arial" w:cs="Arial" w:eastAsia="Arial" w:hAnsi="Arial"/>
                <w:sz w:val="10"/>
                <w:szCs w:val="10"/>
                <w:b w:val="1"/>
                <w:bCs w:val="1"/>
                <w:color w:val="auto"/>
              </w:rPr>
              <w:t>15</w:t>
            </w:r>
          </w:p>
        </w:tc>
        <w:tc>
          <w:tcPr>
            <w:tcW w:w="120" w:type="dxa"/>
            <w:vAlign w:val="bottom"/>
            <w:tcBorders>
              <w:bottom w:val="single" w:sz="8" w:color="CFF0FC"/>
            </w:tcBorders>
          </w:tcPr>
          <w:p>
            <w:pPr>
              <w:spacing w:after="0"/>
              <w:rPr>
                <w:sz w:val="13"/>
                <w:szCs w:val="13"/>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Date</w:t>
            </w:r>
          </w:p>
        </w:tc>
        <w:tc>
          <w:tcPr>
            <w:tcW w:w="12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Principal</w:t>
            </w:r>
          </w:p>
        </w:tc>
        <w:tc>
          <w:tcPr>
            <w:tcW w:w="24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b w:val="1"/>
                <w:bCs w:val="1"/>
                <w:color w:val="auto"/>
              </w:rPr>
              <w:t>Cost</w:t>
            </w:r>
          </w:p>
        </w:tc>
        <w:tc>
          <w:tcPr>
            <w:tcW w:w="24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0"/>
                <w:szCs w:val="10"/>
                <w:b w:val="1"/>
                <w:bCs w:val="1"/>
                <w:color w:val="auto"/>
              </w:rPr>
              <w:t>2</w:t>
            </w:r>
          </w:p>
        </w:tc>
        <w:tc>
          <w:tcPr>
            <w:tcW w:w="100" w:type="dxa"/>
            <w:vAlign w:val="bottom"/>
            <w:tcBorders>
              <w:bottom w:val="single" w:sz="8" w:color="CFF0FC"/>
            </w:tcBorders>
          </w:tcPr>
          <w:p>
            <w:pPr>
              <w:spacing w:after="0"/>
              <w:rPr>
                <w:sz w:val="13"/>
                <w:szCs w:val="13"/>
                <w:color w:val="auto"/>
              </w:rPr>
            </w:pPr>
          </w:p>
        </w:tc>
      </w:tr>
      <w:tr>
        <w:trPr>
          <w:trHeight w:val="195"/>
        </w:trPr>
        <w:tc>
          <w:tcPr>
            <w:tcW w:w="2620" w:type="dxa"/>
            <w:vAlign w:val="bottom"/>
            <w:shd w:val="clear" w:color="auto" w:fill="CFF0FC"/>
          </w:tcPr>
          <w:p>
            <w:pPr>
              <w:spacing w:after="0"/>
              <w:rPr>
                <w:sz w:val="20"/>
                <w:szCs w:val="20"/>
                <w:color w:val="auto"/>
              </w:rPr>
            </w:pPr>
            <w:r>
              <w:rPr>
                <w:rFonts w:ascii="Arial" w:cs="Arial" w:eastAsia="Arial" w:hAnsi="Arial"/>
                <w:sz w:val="13"/>
                <w:szCs w:val="13"/>
                <w:color w:val="auto"/>
              </w:rPr>
              <w:t>Anthem Sports &amp; Entertainment Inc.</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220" w:type="dxa"/>
            <w:vAlign w:val="bottom"/>
            <w:gridSpan w:val="3"/>
            <w:shd w:val="clear" w:color="auto" w:fill="CFF0FC"/>
          </w:tcPr>
          <w:p>
            <w:pPr>
              <w:spacing w:after="0"/>
              <w:rPr>
                <w:sz w:val="20"/>
                <w:szCs w:val="20"/>
                <w:color w:val="auto"/>
              </w:rPr>
            </w:pPr>
            <w:r>
              <w:rPr>
                <w:rFonts w:ascii="Arial" w:cs="Arial" w:eastAsia="Arial" w:hAnsi="Arial"/>
                <w:sz w:val="13"/>
                <w:szCs w:val="13"/>
                <w:color w:val="auto"/>
              </w:rPr>
              <w:t>Senior Secured Loan — Term Loan</w:t>
            </w:r>
          </w:p>
        </w:tc>
        <w:tc>
          <w:tcPr>
            <w:tcW w:w="1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97"/>
        </w:trPr>
        <w:tc>
          <w:tcPr>
            <w:tcW w:w="26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3"/>
                <w:szCs w:val="13"/>
                <w:color w:val="auto"/>
              </w:rPr>
              <w:t>Media: Broadcasting &amp; Subscription</w:t>
            </w:r>
          </w:p>
        </w:tc>
        <w:tc>
          <w:tcPr>
            <w:tcW w:w="6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3"/>
                <w:szCs w:val="13"/>
                <w:color w:val="auto"/>
                <w:w w:val="87"/>
              </w:rPr>
              <w:t>5.0%</w:t>
            </w:r>
          </w:p>
        </w:tc>
        <w:tc>
          <w:tcPr>
            <w:tcW w:w="294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3"/>
                <w:szCs w:val="13"/>
                <w:color w:val="auto"/>
              </w:rPr>
              <w:t>Cash, Due 9/24</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3/31/2021</w:t>
            </w:r>
          </w:p>
        </w:tc>
        <w:tc>
          <w:tcPr>
            <w:tcW w:w="12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916,514</w:t>
            </w:r>
          </w:p>
        </w:tc>
        <w:tc>
          <w:tcPr>
            <w:tcW w:w="24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808,158</w:t>
            </w:r>
          </w:p>
        </w:tc>
        <w:tc>
          <w:tcPr>
            <w:tcW w:w="24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883,336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48"/>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6"/>
        </w:trPr>
        <w:tc>
          <w:tcPr>
            <w:tcW w:w="2620" w:type="dxa"/>
            <w:vAlign w:val="bottom"/>
            <w:shd w:val="clear" w:color="auto" w:fill="CFF0FC"/>
          </w:tcPr>
          <w:p>
            <w:pPr>
              <w:spacing w:after="0" w:line="126" w:lineRule="exact"/>
              <w:rPr>
                <w:sz w:val="20"/>
                <w:szCs w:val="20"/>
                <w:color w:val="auto"/>
              </w:rPr>
            </w:pPr>
            <w:r>
              <w:rPr>
                <w:rFonts w:ascii="Arial" w:cs="Arial" w:eastAsia="Arial" w:hAnsi="Arial"/>
                <w:sz w:val="13"/>
                <w:szCs w:val="13"/>
                <w:color w:val="auto"/>
              </w:rPr>
              <w:t>Anthem Sports &amp; Entertainment Inc.</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220" w:type="dxa"/>
            <w:vAlign w:val="bottom"/>
            <w:gridSpan w:val="3"/>
            <w:shd w:val="clear" w:color="auto" w:fill="CFF0FC"/>
          </w:tcPr>
          <w:p>
            <w:pPr>
              <w:spacing w:after="0" w:line="126" w:lineRule="exact"/>
              <w:rPr>
                <w:sz w:val="20"/>
                <w:szCs w:val="20"/>
                <w:color w:val="auto"/>
              </w:rPr>
            </w:pPr>
            <w:r>
              <w:rPr>
                <w:rFonts w:ascii="Arial" w:cs="Arial" w:eastAsia="Arial" w:hAnsi="Arial"/>
                <w:sz w:val="13"/>
                <w:szCs w:val="13"/>
                <w:color w:val="auto"/>
              </w:rPr>
              <w:t>Senior Secured Loan — Term Loan</w:t>
            </w:r>
          </w:p>
        </w:tc>
        <w:tc>
          <w:tcPr>
            <w:tcW w:w="1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43"/>
        </w:trPr>
        <w:tc>
          <w:tcPr>
            <w:tcW w:w="2620" w:type="dxa"/>
            <w:vAlign w:val="bottom"/>
            <w:shd w:val="clear" w:color="auto" w:fill="CFF0FC"/>
          </w:tcPr>
          <w:p>
            <w:pPr>
              <w:ind w:left="160"/>
              <w:spacing w:after="0" w:line="143" w:lineRule="exact"/>
              <w:rPr>
                <w:sz w:val="20"/>
                <w:szCs w:val="20"/>
                <w:color w:val="auto"/>
              </w:rPr>
            </w:pPr>
            <w:r>
              <w:rPr>
                <w:rFonts w:ascii="Arial" w:cs="Arial" w:eastAsia="Arial" w:hAnsi="Arial"/>
                <w:sz w:val="13"/>
                <w:szCs w:val="13"/>
                <w:color w:val="auto"/>
              </w:rPr>
              <w:t>Media: Broadcasting &amp; Subscription</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(21)</w:t>
            </w:r>
          </w:p>
        </w:tc>
        <w:tc>
          <w:tcPr>
            <w:tcW w:w="280" w:type="dxa"/>
            <w:vAlign w:val="bottom"/>
            <w:shd w:val="clear" w:color="auto" w:fill="CFF0FC"/>
          </w:tcPr>
          <w:p>
            <w:pPr>
              <w:spacing w:after="0" w:line="143" w:lineRule="exact"/>
              <w:rPr>
                <w:sz w:val="20"/>
                <w:szCs w:val="20"/>
                <w:color w:val="auto"/>
              </w:rPr>
            </w:pPr>
            <w:r>
              <w:rPr>
                <w:rFonts w:ascii="Arial" w:cs="Arial" w:eastAsia="Arial" w:hAnsi="Arial"/>
                <w:sz w:val="13"/>
                <w:szCs w:val="13"/>
                <w:color w:val="auto"/>
                <w:w w:val="87"/>
              </w:rPr>
              <w:t>7.8%</w:t>
            </w:r>
          </w:p>
        </w:tc>
        <w:tc>
          <w:tcPr>
            <w:tcW w:w="2940" w:type="dxa"/>
            <w:vAlign w:val="bottom"/>
            <w:gridSpan w:val="2"/>
            <w:shd w:val="clear" w:color="auto" w:fill="CFF0FC"/>
          </w:tcPr>
          <w:p>
            <w:pPr>
              <w:ind w:left="20"/>
              <w:spacing w:after="0" w:line="143" w:lineRule="exact"/>
              <w:rPr>
                <w:sz w:val="20"/>
                <w:szCs w:val="20"/>
                <w:color w:val="auto"/>
              </w:rPr>
            </w:pPr>
            <w:r>
              <w:rPr>
                <w:rFonts w:ascii="Arial" w:cs="Arial" w:eastAsia="Arial" w:hAnsi="Arial"/>
                <w:sz w:val="13"/>
                <w:szCs w:val="13"/>
                <w:color w:val="auto"/>
              </w:rPr>
              <w:t>Cash, 2.8% PIK, 3 Month Libor (1.00%) + 6.75%;</w:t>
            </w:r>
          </w:p>
        </w:tc>
        <w:tc>
          <w:tcPr>
            <w:tcW w:w="1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9"/>
        </w:trPr>
        <w:tc>
          <w:tcPr>
            <w:tcW w:w="26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220" w:type="dxa"/>
            <w:vAlign w:val="bottom"/>
            <w:gridSpan w:val="3"/>
            <w:shd w:val="clear" w:color="auto" w:fill="CFF0FC"/>
          </w:tcPr>
          <w:p>
            <w:pPr>
              <w:spacing w:after="0"/>
              <w:rPr>
                <w:sz w:val="20"/>
                <w:szCs w:val="20"/>
                <w:color w:val="auto"/>
              </w:rPr>
            </w:pPr>
            <w:r>
              <w:rPr>
                <w:rFonts w:ascii="Arial" w:cs="Arial" w:eastAsia="Arial" w:hAnsi="Arial"/>
                <w:sz w:val="13"/>
                <w:szCs w:val="13"/>
                <w:color w:val="auto"/>
              </w:rPr>
              <w:t>Libor Floor 1.00% , Due 9/24</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9/9/2019</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3,562,644</w:t>
            </w: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3,472,376</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3,433,677</w:t>
            </w:r>
          </w:p>
        </w:tc>
        <w:tc>
          <w:tcPr>
            <w:tcW w:w="100" w:type="dxa"/>
            <w:vAlign w:val="bottom"/>
            <w:shd w:val="clear" w:color="auto" w:fill="CFF0FC"/>
          </w:tcPr>
          <w:p>
            <w:pPr>
              <w:spacing w:after="0"/>
              <w:rPr>
                <w:sz w:val="12"/>
                <w:szCs w:val="12"/>
                <w:color w:val="auto"/>
              </w:rPr>
            </w:pPr>
          </w:p>
        </w:tc>
      </w:tr>
      <w:tr>
        <w:trPr>
          <w:trHeight w:val="148"/>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Anthem Sports &amp; Entertainment Inc.</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(8)(13)(21)</w:t>
            </w:r>
          </w:p>
        </w:tc>
        <w:tc>
          <w:tcPr>
            <w:tcW w:w="322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Revolving Loan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62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Media: Broadcasting &amp; Subscription</w:t>
            </w:r>
          </w:p>
        </w:tc>
        <w:tc>
          <w:tcPr>
            <w:tcW w:w="600" w:type="dxa"/>
            <w:vAlign w:val="bottom"/>
            <w:shd w:val="clear" w:color="auto" w:fill="CFF0FC"/>
          </w:tcPr>
          <w:p>
            <w:pPr>
              <w:spacing w:after="0"/>
              <w:rPr>
                <w:sz w:val="11"/>
                <w:szCs w:val="11"/>
                <w:color w:val="auto"/>
              </w:rPr>
            </w:pPr>
          </w:p>
        </w:tc>
        <w:tc>
          <w:tcPr>
            <w:tcW w:w="3220" w:type="dxa"/>
            <w:vAlign w:val="bottom"/>
            <w:gridSpan w:val="3"/>
            <w:shd w:val="clear" w:color="auto" w:fill="CFF0FC"/>
          </w:tcPr>
          <w:p>
            <w:pPr>
              <w:spacing w:after="0" w:line="135" w:lineRule="exact"/>
              <w:rPr>
                <w:sz w:val="20"/>
                <w:szCs w:val="20"/>
                <w:color w:val="auto"/>
              </w:rPr>
            </w:pPr>
            <w:r>
              <w:rPr>
                <w:rFonts w:ascii="Arial" w:cs="Arial" w:eastAsia="Arial" w:hAnsi="Arial"/>
                <w:sz w:val="13"/>
                <w:szCs w:val="13"/>
                <w:color w:val="auto"/>
                <w:w w:val="97"/>
              </w:rPr>
              <w:t>10.5% Cash, 3 Month Libor (1.00%) + 9.50%; Libor Floor</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6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220" w:type="dxa"/>
            <w:vAlign w:val="bottom"/>
            <w:gridSpan w:val="3"/>
            <w:shd w:val="clear" w:color="auto" w:fill="CFF0FC"/>
          </w:tcPr>
          <w:p>
            <w:pPr>
              <w:spacing w:after="0"/>
              <w:rPr>
                <w:sz w:val="20"/>
                <w:szCs w:val="20"/>
                <w:color w:val="auto"/>
              </w:rPr>
            </w:pPr>
            <w:r>
              <w:rPr>
                <w:rFonts w:ascii="Arial" w:cs="Arial" w:eastAsia="Arial" w:hAnsi="Arial"/>
                <w:sz w:val="13"/>
                <w:szCs w:val="13"/>
                <w:color w:val="auto"/>
              </w:rPr>
              <w:t>1.00% , Due 9/24</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9/9/2019</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416,667</w:t>
            </w: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387,967</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377,450</w:t>
            </w:r>
          </w:p>
        </w:tc>
        <w:tc>
          <w:tcPr>
            <w:tcW w:w="100" w:type="dxa"/>
            <w:vAlign w:val="bottom"/>
            <w:shd w:val="clear" w:color="auto" w:fill="CFF0FC"/>
          </w:tcPr>
          <w:p>
            <w:pPr>
              <w:spacing w:after="0"/>
              <w:rPr>
                <w:sz w:val="12"/>
                <w:szCs w:val="12"/>
                <w:color w:val="auto"/>
              </w:rPr>
            </w:pPr>
          </w:p>
        </w:tc>
      </w:tr>
      <w:tr>
        <w:trPr>
          <w:trHeight w:val="149"/>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02"/>
        </w:trPr>
        <w:tc>
          <w:tcPr>
            <w:tcW w:w="2620" w:type="dxa"/>
            <w:vAlign w:val="bottom"/>
            <w:shd w:val="clear" w:color="auto" w:fill="CFF0FC"/>
          </w:tcPr>
          <w:p>
            <w:pPr>
              <w:spacing w:after="0"/>
              <w:rPr>
                <w:sz w:val="20"/>
                <w:szCs w:val="20"/>
                <w:color w:val="auto"/>
              </w:rPr>
            </w:pPr>
            <w:r>
              <w:rPr>
                <w:rFonts w:ascii="Arial" w:cs="Arial" w:eastAsia="Arial" w:hAnsi="Arial"/>
                <w:sz w:val="13"/>
                <w:szCs w:val="13"/>
                <w:color w:val="auto"/>
              </w:rPr>
              <w:t>Ascensus Specialties LLC</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220" w:type="dxa"/>
            <w:vAlign w:val="bottom"/>
            <w:gridSpan w:val="3"/>
            <w:shd w:val="clear" w:color="auto" w:fill="CFF0FC"/>
          </w:tcPr>
          <w:p>
            <w:pPr>
              <w:spacing w:after="0"/>
              <w:rPr>
                <w:sz w:val="20"/>
                <w:szCs w:val="20"/>
                <w:color w:val="auto"/>
              </w:rPr>
            </w:pPr>
            <w:r>
              <w:rPr>
                <w:rFonts w:ascii="Arial" w:cs="Arial" w:eastAsia="Arial" w:hAnsi="Arial"/>
                <w:sz w:val="13"/>
                <w:szCs w:val="13"/>
                <w:color w:val="auto"/>
              </w:rPr>
              <w:t>Senior Secured Loan — First Lien Term Loan</w:t>
            </w:r>
          </w:p>
        </w:tc>
        <w:tc>
          <w:tcPr>
            <w:tcW w:w="1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97"/>
        </w:trPr>
        <w:tc>
          <w:tcPr>
            <w:tcW w:w="26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3"/>
                <w:szCs w:val="13"/>
                <w:color w:val="auto"/>
              </w:rPr>
              <w:t>Chemicals, Plastics &amp; Rubber</w:t>
            </w:r>
          </w:p>
        </w:tc>
        <w:tc>
          <w:tcPr>
            <w:tcW w:w="6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3"/>
                <w:szCs w:val="13"/>
                <w:color w:val="auto"/>
                <w:w w:val="87"/>
              </w:rPr>
              <w:t>4.9%</w:t>
            </w:r>
          </w:p>
        </w:tc>
        <w:tc>
          <w:tcPr>
            <w:tcW w:w="294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3"/>
                <w:szCs w:val="13"/>
                <w:color w:val="auto"/>
              </w:rPr>
              <w:t>Cash, 1 Month Libor (0.11%) + 4.75% , Due 9/26</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1,699,478</w:t>
            </w:r>
          </w:p>
        </w:tc>
        <w:tc>
          <w:tcPr>
            <w:tcW w:w="24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1,443,790</w:t>
            </w:r>
          </w:p>
        </w:tc>
        <w:tc>
          <w:tcPr>
            <w:tcW w:w="24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1,692,850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48"/>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Athos Merger Sub LLC</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(8)(14)</w:t>
            </w:r>
          </w:p>
        </w:tc>
        <w:tc>
          <w:tcPr>
            <w:tcW w:w="322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First Lien Term Loan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620" w:type="dxa"/>
            <w:vAlign w:val="bottom"/>
            <w:shd w:val="clear" w:color="auto" w:fill="CFF0FC"/>
          </w:tcPr>
          <w:p>
            <w:pPr>
              <w:ind w:left="160"/>
              <w:spacing w:after="0"/>
              <w:rPr>
                <w:sz w:val="20"/>
                <w:szCs w:val="20"/>
                <w:color w:val="auto"/>
              </w:rPr>
            </w:pPr>
            <w:r>
              <w:rPr>
                <w:rFonts w:ascii="Arial" w:cs="Arial" w:eastAsia="Arial" w:hAnsi="Arial"/>
                <w:sz w:val="13"/>
                <w:szCs w:val="13"/>
                <w:color w:val="auto"/>
              </w:rPr>
              <w:t>Services: Business</w:t>
            </w:r>
          </w:p>
        </w:tc>
        <w:tc>
          <w:tcPr>
            <w:tcW w:w="6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20"/>
                <w:szCs w:val="20"/>
                <w:color w:val="auto"/>
              </w:rPr>
            </w:pPr>
            <w:r>
              <w:rPr>
                <w:rFonts w:ascii="Arial" w:cs="Arial" w:eastAsia="Arial" w:hAnsi="Arial"/>
                <w:sz w:val="13"/>
                <w:szCs w:val="13"/>
                <w:color w:val="auto"/>
                <w:w w:val="87"/>
              </w:rPr>
              <w:t>5.1%</w:t>
            </w:r>
          </w:p>
        </w:tc>
        <w:tc>
          <w:tcPr>
            <w:tcW w:w="294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Cash, 1 Month Libor (0.11%) + 5.00% , Due 7/26</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1,325,732</w:t>
            </w: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1,148,109</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1,325,732</w:t>
            </w:r>
          </w:p>
        </w:tc>
        <w:tc>
          <w:tcPr>
            <w:tcW w:w="100" w:type="dxa"/>
            <w:vAlign w:val="bottom"/>
            <w:shd w:val="clear" w:color="auto" w:fill="CFF0FC"/>
          </w:tcPr>
          <w:p>
            <w:pPr>
              <w:spacing w:after="0"/>
              <w:rPr>
                <w:sz w:val="12"/>
                <w:szCs w:val="12"/>
                <w:color w:val="auto"/>
              </w:rPr>
            </w:pPr>
          </w:p>
        </w:tc>
      </w:tr>
      <w:tr>
        <w:trPr>
          <w:trHeight w:val="148"/>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BJ Services, LLC</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22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First Out Term Loan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62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Energy: Oil &amp; Gas</w:t>
            </w:r>
          </w:p>
        </w:tc>
        <w:tc>
          <w:tcPr>
            <w:tcW w:w="6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w w:val="87"/>
              </w:rPr>
              <w:t>7.0%</w:t>
            </w:r>
          </w:p>
        </w:tc>
        <w:tc>
          <w:tcPr>
            <w:tcW w:w="294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3 Month Libor (1.50%) + 5.50%; Libor Floor</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6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220" w:type="dxa"/>
            <w:vAlign w:val="bottom"/>
            <w:gridSpan w:val="3"/>
            <w:shd w:val="clear" w:color="auto" w:fill="CFF0FC"/>
          </w:tcPr>
          <w:p>
            <w:pPr>
              <w:spacing w:after="0"/>
              <w:rPr>
                <w:sz w:val="20"/>
                <w:szCs w:val="20"/>
                <w:color w:val="auto"/>
              </w:rPr>
            </w:pPr>
            <w:r>
              <w:rPr>
                <w:rFonts w:ascii="Arial" w:cs="Arial" w:eastAsia="Arial" w:hAnsi="Arial"/>
                <w:sz w:val="13"/>
                <w:szCs w:val="13"/>
                <w:color w:val="auto"/>
              </w:rPr>
              <w:t>1.50% , Due 1/23</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2,517,704</w:t>
            </w: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2,393,614</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2,517,704</w:t>
            </w:r>
          </w:p>
        </w:tc>
        <w:tc>
          <w:tcPr>
            <w:tcW w:w="100" w:type="dxa"/>
            <w:vAlign w:val="bottom"/>
            <w:shd w:val="clear" w:color="auto" w:fill="CFF0FC"/>
          </w:tcPr>
          <w:p>
            <w:pPr>
              <w:spacing w:after="0"/>
              <w:rPr>
                <w:sz w:val="12"/>
                <w:szCs w:val="12"/>
                <w:color w:val="auto"/>
              </w:rPr>
            </w:pPr>
          </w:p>
        </w:tc>
      </w:tr>
      <w:tr>
        <w:trPr>
          <w:trHeight w:val="149"/>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BMC Acquisition, Inc.</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22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Initial Term Loan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62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w w:val="98"/>
              </w:rPr>
              <w:t>Banking, Finance, Insurance &amp; Real Estate</w:t>
            </w:r>
          </w:p>
        </w:tc>
        <w:tc>
          <w:tcPr>
            <w:tcW w:w="6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w w:val="87"/>
              </w:rPr>
              <w:t>6.3%</w:t>
            </w:r>
          </w:p>
        </w:tc>
        <w:tc>
          <w:tcPr>
            <w:tcW w:w="294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6 month Libor (1.00%) + 5.25%; Libor Floor</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6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220" w:type="dxa"/>
            <w:vAlign w:val="bottom"/>
            <w:gridSpan w:val="3"/>
            <w:shd w:val="clear" w:color="auto" w:fill="CFF0FC"/>
          </w:tcPr>
          <w:p>
            <w:pPr>
              <w:spacing w:after="0"/>
              <w:rPr>
                <w:sz w:val="20"/>
                <w:szCs w:val="20"/>
                <w:color w:val="auto"/>
              </w:rPr>
            </w:pPr>
            <w:r>
              <w:rPr>
                <w:rFonts w:ascii="Arial" w:cs="Arial" w:eastAsia="Arial" w:hAnsi="Arial"/>
                <w:sz w:val="13"/>
                <w:szCs w:val="13"/>
                <w:color w:val="auto"/>
              </w:rPr>
              <w:t>1.00% , Due 12/24</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1/2/2018</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2,902,500</w:t>
            </w: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2,901,582</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2,883,634</w:t>
            </w:r>
          </w:p>
        </w:tc>
        <w:tc>
          <w:tcPr>
            <w:tcW w:w="100" w:type="dxa"/>
            <w:vAlign w:val="bottom"/>
            <w:shd w:val="clear" w:color="auto" w:fill="CFF0FC"/>
          </w:tcPr>
          <w:p>
            <w:pPr>
              <w:spacing w:after="0"/>
              <w:rPr>
                <w:sz w:val="12"/>
                <w:szCs w:val="12"/>
                <w:color w:val="auto"/>
              </w:rPr>
            </w:pPr>
          </w:p>
        </w:tc>
      </w:tr>
      <w:tr>
        <w:trPr>
          <w:trHeight w:val="148"/>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6"/>
        </w:trPr>
        <w:tc>
          <w:tcPr>
            <w:tcW w:w="2620" w:type="dxa"/>
            <w:vAlign w:val="bottom"/>
            <w:shd w:val="clear" w:color="auto" w:fill="CFF0FC"/>
          </w:tcPr>
          <w:p>
            <w:pPr>
              <w:spacing w:after="0" w:line="126" w:lineRule="exact"/>
              <w:rPr>
                <w:sz w:val="20"/>
                <w:szCs w:val="20"/>
                <w:color w:val="auto"/>
              </w:rPr>
            </w:pPr>
            <w:r>
              <w:rPr>
                <w:rFonts w:ascii="Arial" w:cs="Arial" w:eastAsia="Arial" w:hAnsi="Arial"/>
                <w:sz w:val="13"/>
                <w:szCs w:val="13"/>
                <w:color w:val="auto"/>
              </w:rPr>
              <w:t>Bristol Hospice</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220" w:type="dxa"/>
            <w:vAlign w:val="bottom"/>
            <w:gridSpan w:val="3"/>
            <w:shd w:val="clear" w:color="auto" w:fill="CFF0FC"/>
          </w:tcPr>
          <w:p>
            <w:pPr>
              <w:spacing w:after="0" w:line="126" w:lineRule="exact"/>
              <w:rPr>
                <w:sz w:val="20"/>
                <w:szCs w:val="20"/>
                <w:color w:val="auto"/>
              </w:rPr>
            </w:pPr>
            <w:r>
              <w:rPr>
                <w:rFonts w:ascii="Arial" w:cs="Arial" w:eastAsia="Arial" w:hAnsi="Arial"/>
                <w:sz w:val="13"/>
                <w:szCs w:val="13"/>
                <w:color w:val="auto"/>
              </w:rPr>
              <w:t>Senior Secured Loan — Delayed Draw Term Loan</w:t>
            </w:r>
          </w:p>
        </w:tc>
        <w:tc>
          <w:tcPr>
            <w:tcW w:w="1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57"/>
        </w:trPr>
        <w:tc>
          <w:tcPr>
            <w:tcW w:w="2620" w:type="dxa"/>
            <w:vAlign w:val="bottom"/>
            <w:shd w:val="clear" w:color="auto" w:fill="CFF0FC"/>
          </w:tcPr>
          <w:p>
            <w:pPr>
              <w:ind w:left="160"/>
              <w:spacing w:after="0"/>
              <w:rPr>
                <w:sz w:val="20"/>
                <w:szCs w:val="20"/>
                <w:color w:val="auto"/>
              </w:rPr>
            </w:pPr>
            <w:r>
              <w:rPr>
                <w:rFonts w:ascii="Arial" w:cs="Arial" w:eastAsia="Arial" w:hAnsi="Arial"/>
                <w:sz w:val="13"/>
                <w:szCs w:val="13"/>
                <w:color w:val="auto"/>
              </w:rPr>
              <w:t>Healthcare &amp; Pharmaceuticals</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(21)</w:t>
            </w:r>
          </w:p>
        </w:tc>
        <w:tc>
          <w:tcPr>
            <w:tcW w:w="280" w:type="dxa"/>
            <w:vAlign w:val="bottom"/>
            <w:shd w:val="clear" w:color="auto" w:fill="CFF0FC"/>
          </w:tcPr>
          <w:p>
            <w:pPr>
              <w:spacing w:after="0"/>
              <w:rPr>
                <w:sz w:val="20"/>
                <w:szCs w:val="20"/>
                <w:color w:val="auto"/>
              </w:rPr>
            </w:pPr>
            <w:r>
              <w:rPr>
                <w:rFonts w:ascii="Arial" w:cs="Arial" w:eastAsia="Arial" w:hAnsi="Arial"/>
                <w:sz w:val="13"/>
                <w:szCs w:val="13"/>
                <w:color w:val="auto"/>
                <w:w w:val="87"/>
              </w:rPr>
              <w:t>1.0%</w:t>
            </w:r>
          </w:p>
        </w:tc>
        <w:tc>
          <w:tcPr>
            <w:tcW w:w="294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Cash, Due 12/26</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12/22/2020</w:t>
            </w:r>
          </w:p>
        </w:tc>
        <w:tc>
          <w:tcPr>
            <w:tcW w:w="12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(0)</w:t>
            </w: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(7,844)</w:t>
            </w: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(12,000)</w:t>
            </w:r>
          </w:p>
        </w:tc>
      </w:tr>
      <w:tr>
        <w:trPr>
          <w:trHeight w:val="148"/>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6"/>
        </w:trPr>
        <w:tc>
          <w:tcPr>
            <w:tcW w:w="2620" w:type="dxa"/>
            <w:vAlign w:val="bottom"/>
            <w:shd w:val="clear" w:color="auto" w:fill="CFF0FC"/>
          </w:tcPr>
          <w:p>
            <w:pPr>
              <w:spacing w:after="0" w:line="126" w:lineRule="exact"/>
              <w:rPr>
                <w:sz w:val="20"/>
                <w:szCs w:val="20"/>
                <w:color w:val="auto"/>
              </w:rPr>
            </w:pPr>
            <w:r>
              <w:rPr>
                <w:rFonts w:ascii="Arial" w:cs="Arial" w:eastAsia="Arial" w:hAnsi="Arial"/>
                <w:sz w:val="13"/>
                <w:szCs w:val="13"/>
                <w:color w:val="auto"/>
              </w:rPr>
              <w:t>Bristol Hospice</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220" w:type="dxa"/>
            <w:vAlign w:val="bottom"/>
            <w:gridSpan w:val="3"/>
            <w:shd w:val="clear" w:color="auto" w:fill="CFF0FC"/>
          </w:tcPr>
          <w:p>
            <w:pPr>
              <w:spacing w:after="0" w:line="126" w:lineRule="exact"/>
              <w:rPr>
                <w:sz w:val="20"/>
                <w:szCs w:val="20"/>
                <w:color w:val="auto"/>
              </w:rPr>
            </w:pPr>
            <w:r>
              <w:rPr>
                <w:rFonts w:ascii="Arial" w:cs="Arial" w:eastAsia="Arial" w:hAnsi="Arial"/>
                <w:sz w:val="13"/>
                <w:szCs w:val="13"/>
                <w:color w:val="auto"/>
              </w:rPr>
              <w:t>Senior Secured Loan — Unitranche</w:t>
            </w:r>
          </w:p>
        </w:tc>
        <w:tc>
          <w:tcPr>
            <w:tcW w:w="1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43"/>
        </w:trPr>
        <w:tc>
          <w:tcPr>
            <w:tcW w:w="2620" w:type="dxa"/>
            <w:vAlign w:val="bottom"/>
            <w:shd w:val="clear" w:color="auto" w:fill="CFF0FC"/>
          </w:tcPr>
          <w:p>
            <w:pPr>
              <w:ind w:left="160"/>
              <w:spacing w:after="0" w:line="143" w:lineRule="exact"/>
              <w:rPr>
                <w:sz w:val="20"/>
                <w:szCs w:val="20"/>
                <w:color w:val="auto"/>
              </w:rPr>
            </w:pPr>
            <w:r>
              <w:rPr>
                <w:rFonts w:ascii="Arial" w:cs="Arial" w:eastAsia="Arial" w:hAnsi="Arial"/>
                <w:sz w:val="13"/>
                <w:szCs w:val="13"/>
                <w:color w:val="auto"/>
              </w:rPr>
              <w:t>Healthcare &amp; Pharmaceuticals</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(21)</w:t>
            </w:r>
          </w:p>
        </w:tc>
        <w:tc>
          <w:tcPr>
            <w:tcW w:w="280" w:type="dxa"/>
            <w:vAlign w:val="bottom"/>
            <w:shd w:val="clear" w:color="auto" w:fill="CFF0FC"/>
          </w:tcPr>
          <w:p>
            <w:pPr>
              <w:spacing w:after="0" w:line="143" w:lineRule="exact"/>
              <w:rPr>
                <w:sz w:val="20"/>
                <w:szCs w:val="20"/>
                <w:color w:val="auto"/>
              </w:rPr>
            </w:pPr>
            <w:r>
              <w:rPr>
                <w:rFonts w:ascii="Arial" w:cs="Arial" w:eastAsia="Arial" w:hAnsi="Arial"/>
                <w:sz w:val="13"/>
                <w:szCs w:val="13"/>
                <w:color w:val="auto"/>
                <w:w w:val="87"/>
              </w:rPr>
              <w:t>5.7%</w:t>
            </w:r>
          </w:p>
        </w:tc>
        <w:tc>
          <w:tcPr>
            <w:tcW w:w="2940" w:type="dxa"/>
            <w:vAlign w:val="bottom"/>
            <w:gridSpan w:val="2"/>
            <w:shd w:val="clear" w:color="auto" w:fill="CFF0FC"/>
          </w:tcPr>
          <w:p>
            <w:pPr>
              <w:ind w:left="20"/>
              <w:spacing w:after="0" w:line="143" w:lineRule="exact"/>
              <w:rPr>
                <w:sz w:val="20"/>
                <w:szCs w:val="20"/>
                <w:color w:val="auto"/>
              </w:rPr>
            </w:pPr>
            <w:r>
              <w:rPr>
                <w:rFonts w:ascii="Arial" w:cs="Arial" w:eastAsia="Arial" w:hAnsi="Arial"/>
                <w:sz w:val="13"/>
                <w:szCs w:val="13"/>
                <w:color w:val="auto"/>
              </w:rPr>
              <w:t>Cash, 3 Month Libor (1.00%) + 4.65%; Libor Floor</w:t>
            </w:r>
          </w:p>
        </w:tc>
        <w:tc>
          <w:tcPr>
            <w:tcW w:w="1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9"/>
        </w:trPr>
        <w:tc>
          <w:tcPr>
            <w:tcW w:w="26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220" w:type="dxa"/>
            <w:vAlign w:val="bottom"/>
            <w:gridSpan w:val="3"/>
            <w:shd w:val="clear" w:color="auto" w:fill="CFF0FC"/>
          </w:tcPr>
          <w:p>
            <w:pPr>
              <w:spacing w:after="0"/>
              <w:rPr>
                <w:sz w:val="20"/>
                <w:szCs w:val="20"/>
                <w:color w:val="auto"/>
              </w:rPr>
            </w:pPr>
            <w:r>
              <w:rPr>
                <w:rFonts w:ascii="Arial" w:cs="Arial" w:eastAsia="Arial" w:hAnsi="Arial"/>
                <w:sz w:val="13"/>
                <w:szCs w:val="13"/>
                <w:color w:val="auto"/>
              </w:rPr>
              <w:t>1.00% , Due 12/26</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12/22/2020</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2,172,637</w:t>
            </w: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2,131,167</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2,140,916</w:t>
            </w:r>
          </w:p>
        </w:tc>
        <w:tc>
          <w:tcPr>
            <w:tcW w:w="100" w:type="dxa"/>
            <w:vAlign w:val="bottom"/>
            <w:shd w:val="clear" w:color="auto" w:fill="CFF0FC"/>
          </w:tcPr>
          <w:p>
            <w:pPr>
              <w:spacing w:after="0"/>
              <w:rPr>
                <w:sz w:val="12"/>
                <w:szCs w:val="12"/>
                <w:color w:val="auto"/>
              </w:rPr>
            </w:pPr>
          </w:p>
        </w:tc>
      </w:tr>
      <w:tr>
        <w:trPr>
          <w:trHeight w:val="149"/>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C.P. Converters, Inc.</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22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w w:val="96"/>
              </w:rPr>
              <w:t>Senior Secured Loan — Seventh Amendment Acquisition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62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Chemicals, Plastics &amp; Rubber</w:t>
            </w:r>
          </w:p>
        </w:tc>
        <w:tc>
          <w:tcPr>
            <w:tcW w:w="6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w w:val="89"/>
              </w:rPr>
              <w:t>Loan</w:t>
            </w:r>
          </w:p>
        </w:tc>
        <w:tc>
          <w:tcPr>
            <w:tcW w:w="28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6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w w:val="87"/>
              </w:rPr>
              <w:t>7.5%</w:t>
            </w:r>
          </w:p>
        </w:tc>
        <w:tc>
          <w:tcPr>
            <w:tcW w:w="294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1 Month Libor (1.00%) + 6.50%; Libor Floor</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6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220" w:type="dxa"/>
            <w:vAlign w:val="bottom"/>
            <w:gridSpan w:val="3"/>
            <w:shd w:val="clear" w:color="auto" w:fill="CFF0FC"/>
          </w:tcPr>
          <w:p>
            <w:pPr>
              <w:spacing w:after="0"/>
              <w:rPr>
                <w:sz w:val="20"/>
                <w:szCs w:val="20"/>
                <w:color w:val="auto"/>
              </w:rPr>
            </w:pPr>
            <w:r>
              <w:rPr>
                <w:rFonts w:ascii="Arial" w:cs="Arial" w:eastAsia="Arial" w:hAnsi="Arial"/>
                <w:sz w:val="13"/>
                <w:szCs w:val="13"/>
                <w:color w:val="auto"/>
              </w:rPr>
              <w:t>1.00% , Due 6/23</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6/26/2020</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2,943,750</w:t>
            </w: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2,889,045</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2,929,031</w:t>
            </w:r>
          </w:p>
        </w:tc>
        <w:tc>
          <w:tcPr>
            <w:tcW w:w="100" w:type="dxa"/>
            <w:vAlign w:val="bottom"/>
            <w:shd w:val="clear" w:color="auto" w:fill="CFF0FC"/>
          </w:tcPr>
          <w:p>
            <w:pPr>
              <w:spacing w:after="0"/>
              <w:rPr>
                <w:sz w:val="12"/>
                <w:szCs w:val="12"/>
                <w:color w:val="auto"/>
              </w:rPr>
            </w:pPr>
          </w:p>
        </w:tc>
      </w:tr>
      <w:tr>
        <w:trPr>
          <w:trHeight w:val="148"/>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Carestream Health, Inc.</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(8)(14)</w:t>
            </w:r>
          </w:p>
        </w:tc>
        <w:tc>
          <w:tcPr>
            <w:tcW w:w="322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w w:val="92"/>
              </w:rPr>
              <w:t>Junior Secured Loan — 2023 Extended Term Loan (Second</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62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Healthcare &amp; Pharmaceuticals</w:t>
            </w:r>
          </w:p>
        </w:tc>
        <w:tc>
          <w:tcPr>
            <w:tcW w:w="6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w w:val="89"/>
              </w:rPr>
              <w:t>Lien)</w:t>
            </w:r>
          </w:p>
        </w:tc>
        <w:tc>
          <w:tcPr>
            <w:tcW w:w="28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26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w w:val="87"/>
              </w:rPr>
              <w:t>5.5%</w:t>
            </w:r>
          </w:p>
        </w:tc>
        <w:tc>
          <w:tcPr>
            <w:tcW w:w="294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8.0% PIK, 6 month Libor (1.00%) + 4.50%;</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6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220" w:type="dxa"/>
            <w:vAlign w:val="bottom"/>
            <w:gridSpan w:val="3"/>
            <w:shd w:val="clear" w:color="auto" w:fill="CFF0FC"/>
          </w:tcPr>
          <w:p>
            <w:pPr>
              <w:spacing w:after="0"/>
              <w:rPr>
                <w:sz w:val="20"/>
                <w:szCs w:val="20"/>
                <w:color w:val="auto"/>
              </w:rPr>
            </w:pPr>
            <w:r>
              <w:rPr>
                <w:rFonts w:ascii="Arial" w:cs="Arial" w:eastAsia="Arial" w:hAnsi="Arial"/>
                <w:sz w:val="13"/>
                <w:szCs w:val="13"/>
                <w:color w:val="auto"/>
              </w:rPr>
              <w:t>Libor Floor 1.00% , Due 8/23</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5/8/2020</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1,662,106</w:t>
            </w: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1,503,788</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1,518,060</w:t>
            </w:r>
          </w:p>
        </w:tc>
        <w:tc>
          <w:tcPr>
            <w:tcW w:w="100" w:type="dxa"/>
            <w:vAlign w:val="bottom"/>
            <w:shd w:val="clear" w:color="auto" w:fill="CFF0FC"/>
          </w:tcPr>
          <w:p>
            <w:pPr>
              <w:spacing w:after="0"/>
              <w:rPr>
                <w:sz w:val="12"/>
                <w:szCs w:val="12"/>
                <w:color w:val="auto"/>
              </w:rPr>
            </w:pPr>
          </w:p>
        </w:tc>
      </w:tr>
      <w:tr>
        <w:trPr>
          <w:trHeight w:val="149"/>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Centric Brands Inc.</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22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Term Loan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2620" w:type="dxa"/>
            <w:vAlign w:val="bottom"/>
            <w:shd w:val="clear" w:color="auto" w:fill="CFF0FC"/>
          </w:tcPr>
          <w:p>
            <w:pPr>
              <w:ind w:left="160"/>
              <w:spacing w:after="0"/>
              <w:rPr>
                <w:sz w:val="20"/>
                <w:szCs w:val="20"/>
                <w:color w:val="auto"/>
              </w:rPr>
            </w:pPr>
            <w:r>
              <w:rPr>
                <w:rFonts w:ascii="Arial" w:cs="Arial" w:eastAsia="Arial" w:hAnsi="Arial"/>
                <w:sz w:val="13"/>
                <w:szCs w:val="13"/>
                <w:color w:val="auto"/>
              </w:rPr>
              <w:t>Machinery (Non-Agrclt/Constr/Electr)</w:t>
            </w:r>
          </w:p>
        </w:tc>
        <w:tc>
          <w:tcPr>
            <w:tcW w:w="6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20"/>
                <w:szCs w:val="20"/>
                <w:color w:val="auto"/>
              </w:rPr>
            </w:pPr>
            <w:r>
              <w:rPr>
                <w:rFonts w:ascii="Arial" w:cs="Arial" w:eastAsia="Arial" w:hAnsi="Arial"/>
                <w:sz w:val="13"/>
                <w:szCs w:val="13"/>
                <w:color w:val="auto"/>
                <w:w w:val="87"/>
              </w:rPr>
              <w:t>7.3%</w:t>
            </w:r>
          </w:p>
        </w:tc>
        <w:tc>
          <w:tcPr>
            <w:tcW w:w="294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Cash, Due 10/25</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8,198,194</w:t>
            </w: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6,574,177</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7,378,373</w:t>
            </w:r>
          </w:p>
        </w:tc>
        <w:tc>
          <w:tcPr>
            <w:tcW w:w="100" w:type="dxa"/>
            <w:vAlign w:val="bottom"/>
            <w:shd w:val="clear" w:color="auto" w:fill="CFF0FC"/>
          </w:tcPr>
          <w:p>
            <w:pPr>
              <w:spacing w:after="0"/>
              <w:rPr>
                <w:sz w:val="12"/>
                <w:szCs w:val="12"/>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49"/>
        </w:trPr>
        <w:tc>
          <w:tcPr>
            <w:tcW w:w="2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9"/>
              </w:rPr>
              <w:t>Initial</w:t>
            </w: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620" w:type="dxa"/>
            <w:vAlign w:val="bottom"/>
          </w:tcPr>
          <w:p>
            <w:pPr>
              <w:spacing w:after="0" w:line="135" w:lineRule="exact"/>
              <w:rPr>
                <w:sz w:val="20"/>
                <w:szCs w:val="20"/>
                <w:color w:val="auto"/>
              </w:rPr>
            </w:pPr>
            <w:r>
              <w:rPr>
                <w:rFonts w:ascii="Arial" w:cs="Arial" w:eastAsia="Arial" w:hAnsi="Arial"/>
                <w:sz w:val="13"/>
                <w:szCs w:val="13"/>
                <w:b w:val="1"/>
                <w:bCs w:val="1"/>
                <w:color w:val="auto"/>
              </w:rPr>
              <w:t>Portfolio Company /</w:t>
            </w:r>
          </w:p>
        </w:tc>
        <w:tc>
          <w:tcPr>
            <w:tcW w:w="600" w:type="dxa"/>
            <w:vAlign w:val="bottom"/>
          </w:tcPr>
          <w:p>
            <w:pPr>
              <w:spacing w:after="0"/>
              <w:rPr>
                <w:sz w:val="11"/>
                <w:szCs w:val="11"/>
                <w:color w:val="auto"/>
              </w:rPr>
            </w:pPr>
          </w:p>
        </w:tc>
        <w:tc>
          <w:tcPr>
            <w:tcW w:w="3220" w:type="dxa"/>
            <w:vAlign w:val="bottom"/>
            <w:gridSpan w:val="2"/>
          </w:tcPr>
          <w:p>
            <w:pPr>
              <w:ind w:left="1240"/>
              <w:spacing w:after="0" w:line="135" w:lineRule="exact"/>
              <w:rPr>
                <w:sz w:val="20"/>
                <w:szCs w:val="20"/>
                <w:color w:val="auto"/>
              </w:rPr>
            </w:pPr>
            <w:r>
              <w:rPr>
                <w:rFonts w:ascii="Arial" w:cs="Arial" w:eastAsia="Arial" w:hAnsi="Arial"/>
                <w:sz w:val="13"/>
                <w:szCs w:val="13"/>
                <w:b w:val="1"/>
                <w:bCs w:val="1"/>
                <w:color w:val="auto"/>
              </w:rPr>
              <w:t>Investment</w:t>
            </w:r>
          </w:p>
        </w:tc>
        <w:tc>
          <w:tcPr>
            <w:tcW w:w="124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1"/>
              </w:rPr>
              <w:t>Amortized</w:t>
            </w: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620" w:type="dxa"/>
            <w:vAlign w:val="bottom"/>
          </w:tcPr>
          <w:p>
            <w:pPr>
              <w:spacing w:after="0"/>
              <w:rPr>
                <w:sz w:val="20"/>
                <w:szCs w:val="20"/>
                <w:color w:val="auto"/>
              </w:rPr>
            </w:pPr>
            <w:r>
              <w:rPr>
                <w:rFonts w:ascii="Arial" w:cs="Arial" w:eastAsia="Arial" w:hAnsi="Arial"/>
                <w:sz w:val="13"/>
                <w:szCs w:val="13"/>
                <w:b w:val="1"/>
                <w:bCs w:val="1"/>
                <w:color w:val="auto"/>
              </w:rPr>
              <w:t>Principal Business</w:t>
            </w:r>
          </w:p>
        </w:tc>
        <w:tc>
          <w:tcPr>
            <w:tcW w:w="600" w:type="dxa"/>
            <w:vAlign w:val="bottom"/>
          </w:tcPr>
          <w:p>
            <w:pPr>
              <w:spacing w:after="0"/>
              <w:rPr>
                <w:sz w:val="13"/>
                <w:szCs w:val="13"/>
                <w:color w:val="auto"/>
              </w:rPr>
            </w:pPr>
          </w:p>
        </w:tc>
        <w:tc>
          <w:tcPr>
            <w:tcW w:w="3220" w:type="dxa"/>
            <w:vAlign w:val="bottom"/>
            <w:gridSpan w:val="2"/>
          </w:tcPr>
          <w:p>
            <w:pPr>
              <w:ind w:left="820"/>
              <w:spacing w:after="0"/>
              <w:rPr>
                <w:sz w:val="20"/>
                <w:szCs w:val="20"/>
                <w:color w:val="auto"/>
              </w:rPr>
            </w:pPr>
            <w:r>
              <w:rPr>
                <w:rFonts w:ascii="Arial" w:cs="Arial" w:eastAsia="Arial" w:hAnsi="Arial"/>
                <w:sz w:val="13"/>
                <w:szCs w:val="13"/>
                <w:b w:val="1"/>
                <w:bCs w:val="1"/>
                <w:color w:val="auto"/>
              </w:rPr>
              <w:t>Interest Rate¹ / Maturity</w:t>
            </w:r>
            <w:r>
              <w:rPr>
                <w:rFonts w:ascii="Arial" w:cs="Arial" w:eastAsia="Arial" w:hAnsi="Arial"/>
                <w:sz w:val="10"/>
                <w:szCs w:val="10"/>
                <w:b w:val="1"/>
                <w:bCs w:val="1"/>
                <w:color w:val="auto"/>
              </w:rPr>
              <w:t>15</w:t>
            </w:r>
          </w:p>
        </w:tc>
        <w:tc>
          <w:tcPr>
            <w:tcW w:w="12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Date</w:t>
            </w:r>
          </w:p>
        </w:tc>
        <w:tc>
          <w:tcPr>
            <w:tcW w:w="1240" w:type="dxa"/>
            <w:vAlign w:val="bottom"/>
            <w:gridSpan w:val="2"/>
          </w:tcPr>
          <w:p>
            <w:pPr>
              <w:ind w:left="240"/>
              <w:spacing w:after="0"/>
              <w:rPr>
                <w:sz w:val="20"/>
                <w:szCs w:val="20"/>
                <w:color w:val="auto"/>
              </w:rPr>
            </w:pPr>
            <w:r>
              <w:rPr>
                <w:rFonts w:ascii="Arial" w:cs="Arial" w:eastAsia="Arial" w:hAnsi="Arial"/>
                <w:sz w:val="13"/>
                <w:szCs w:val="13"/>
                <w:b w:val="1"/>
                <w:bCs w:val="1"/>
                <w:color w:val="auto"/>
              </w:rPr>
              <w:t>Principal</w:t>
            </w:r>
          </w:p>
        </w:tc>
        <w:tc>
          <w:tcPr>
            <w:tcW w:w="12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2"/>
              </w:rPr>
              <w:t>Cost</w:t>
            </w:r>
          </w:p>
        </w:tc>
        <w:tc>
          <w:tcPr>
            <w:tcW w:w="1100" w:type="dxa"/>
            <w:vAlign w:val="bottom"/>
            <w:gridSpan w:val="2"/>
          </w:tcPr>
          <w:p>
            <w:pPr>
              <w:ind w:left="180"/>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0"/>
                <w:szCs w:val="10"/>
                <w:b w:val="1"/>
                <w:bCs w:val="1"/>
                <w:color w:val="auto"/>
              </w:rPr>
              <w:t>2</w:t>
            </w:r>
          </w:p>
        </w:tc>
        <w:tc>
          <w:tcPr>
            <w:tcW w:w="0" w:type="dxa"/>
            <w:vAlign w:val="bottom"/>
          </w:tcPr>
          <w:p>
            <w:pPr>
              <w:spacing w:after="0"/>
              <w:rPr>
                <w:sz w:val="1"/>
                <w:szCs w:val="1"/>
                <w:color w:val="auto"/>
              </w:rPr>
            </w:pPr>
          </w:p>
        </w:tc>
      </w:tr>
      <w:tr>
        <w:trPr>
          <w:trHeight w:val="128"/>
        </w:trPr>
        <w:tc>
          <w:tcPr>
            <w:tcW w:w="262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Centric Brands Inc.</w:t>
            </w:r>
          </w:p>
        </w:tc>
        <w:tc>
          <w:tcPr>
            <w:tcW w:w="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1"/>
                <w:szCs w:val="11"/>
                <w:color w:val="auto"/>
              </w:rPr>
              <w:t>(8)(13)(14)</w:t>
            </w:r>
          </w:p>
        </w:tc>
        <w:tc>
          <w:tcPr>
            <w:tcW w:w="310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Senior Secured Loan — Revolver</w:t>
            </w:r>
          </w:p>
        </w:tc>
        <w:tc>
          <w:tcPr>
            <w:tcW w:w="120" w:type="dxa"/>
            <w:vAlign w:val="bottom"/>
            <w:tcBorders>
              <w:top w:val="single" w:sz="8" w:color="CFF0FC"/>
            </w:tcBorders>
            <w:shd w:val="clear" w:color="auto" w:fill="CFF0FC"/>
          </w:tcPr>
          <w:p>
            <w:pPr>
              <w:spacing w:after="0"/>
              <w:rPr>
                <w:sz w:val="11"/>
                <w:szCs w:val="11"/>
                <w:color w:val="auto"/>
              </w:rPr>
            </w:pPr>
          </w:p>
        </w:tc>
        <w:tc>
          <w:tcPr>
            <w:tcW w:w="112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100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98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100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20" w:type="dxa"/>
            <w:vAlign w:val="bottom"/>
            <w:shd w:val="clear" w:color="auto" w:fill="CFF0FC"/>
          </w:tcPr>
          <w:p>
            <w:pPr>
              <w:ind w:left="160"/>
              <w:spacing w:after="0"/>
              <w:rPr>
                <w:sz w:val="20"/>
                <w:szCs w:val="20"/>
                <w:color w:val="auto"/>
              </w:rPr>
            </w:pPr>
            <w:r>
              <w:rPr>
                <w:rFonts w:ascii="Arial" w:cs="Arial" w:eastAsia="Arial" w:hAnsi="Arial"/>
                <w:sz w:val="13"/>
                <w:szCs w:val="13"/>
                <w:color w:val="auto"/>
              </w:rPr>
              <w:t>Machinery (Non-Agrclt/Constr/Electr)</w:t>
            </w:r>
          </w:p>
        </w:tc>
        <w:tc>
          <w:tcPr>
            <w:tcW w:w="600" w:type="dxa"/>
            <w:vAlign w:val="bottom"/>
            <w:shd w:val="clear" w:color="auto" w:fill="CFF0FC"/>
          </w:tcPr>
          <w:p>
            <w:pPr>
              <w:spacing w:after="0"/>
              <w:rPr>
                <w:sz w:val="12"/>
                <w:szCs w:val="12"/>
                <w:color w:val="auto"/>
              </w:rPr>
            </w:pPr>
          </w:p>
        </w:tc>
        <w:tc>
          <w:tcPr>
            <w:tcW w:w="32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0.5% Cash, Due 10/24</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338,278</w:t>
            </w: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273,599</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269,076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Child Development Schools, Inc.</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w w:val="93"/>
              </w:rPr>
              <w:t>Senior Secured Loan — Term Loan, 3 Month Libor (1.00%)</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20" w:type="dxa"/>
            <w:vAlign w:val="bottom"/>
            <w:shd w:val="clear" w:color="auto" w:fill="CFF0FC"/>
          </w:tcPr>
          <w:p>
            <w:pPr>
              <w:ind w:left="160"/>
              <w:spacing w:after="0"/>
              <w:rPr>
                <w:sz w:val="20"/>
                <w:szCs w:val="20"/>
                <w:color w:val="auto"/>
              </w:rPr>
            </w:pPr>
            <w:r>
              <w:rPr>
                <w:rFonts w:ascii="Arial" w:cs="Arial" w:eastAsia="Arial" w:hAnsi="Arial"/>
                <w:sz w:val="13"/>
                <w:szCs w:val="13"/>
                <w:color w:val="auto"/>
              </w:rPr>
              <w:t>Services: Consumer</w:t>
            </w:r>
          </w:p>
        </w:tc>
        <w:tc>
          <w:tcPr>
            <w:tcW w:w="600" w:type="dxa"/>
            <w:vAlign w:val="bottom"/>
            <w:shd w:val="clear" w:color="auto" w:fill="CFF0FC"/>
          </w:tcPr>
          <w:p>
            <w:pPr>
              <w:spacing w:after="0"/>
              <w:rPr>
                <w:sz w:val="12"/>
                <w:szCs w:val="12"/>
                <w:color w:val="auto"/>
              </w:rPr>
            </w:pPr>
          </w:p>
        </w:tc>
        <w:tc>
          <w:tcPr>
            <w:tcW w:w="32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+ 4.25%; Libor Floor 1.00% , Due 5/23</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6/6/2018</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4,177,732</w:t>
            </w: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4,173,235</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4,162,275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Chloe Ox Parent, LLC</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(8)(14)</w:t>
            </w: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First Lien Term Loan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Services: Business</w:t>
            </w:r>
          </w:p>
        </w:tc>
        <w:tc>
          <w:tcPr>
            <w:tcW w:w="600" w:type="dxa"/>
            <w:vAlign w:val="bottom"/>
            <w:shd w:val="clear" w:color="auto" w:fill="CFF0FC"/>
          </w:tcPr>
          <w:p>
            <w:pPr>
              <w:spacing w:after="0"/>
              <w:rPr>
                <w:sz w:val="11"/>
                <w:szCs w:val="11"/>
                <w:color w:val="auto"/>
              </w:rPr>
            </w:pPr>
          </w:p>
        </w:tc>
        <w:tc>
          <w:tcPr>
            <w:tcW w:w="322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9"/>
              </w:rPr>
              <w:t>5.5% Cash, 3 Month Libor (1.00%) + 4.50%; Libor Floor</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2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1.00% , Due 12/24</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1,832,715</w:t>
            </w: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1,565,981</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1,839,835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Circustrix Holdings, LLC</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Term Loan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w w:val="98"/>
              </w:rPr>
              <w:t>Banking, Finance, Insurance &amp; Real Estate</w:t>
            </w:r>
          </w:p>
        </w:tc>
        <w:tc>
          <w:tcPr>
            <w:tcW w:w="600" w:type="dxa"/>
            <w:vAlign w:val="bottom"/>
            <w:shd w:val="clear" w:color="auto" w:fill="CFF0FC"/>
          </w:tcPr>
          <w:p>
            <w:pPr>
              <w:spacing w:after="0"/>
              <w:rPr>
                <w:sz w:val="11"/>
                <w:szCs w:val="11"/>
                <w:color w:val="auto"/>
              </w:rPr>
            </w:pPr>
          </w:p>
        </w:tc>
        <w:tc>
          <w:tcPr>
            <w:tcW w:w="322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6.5% Cash, 2.5% PIK, 1 Month Libor (1.00%) + 5.50%;</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2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Libor Floor 1.00% , Due 7/23</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1/29/2021</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574,205</w:t>
            </w: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574,205</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478,485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620" w:type="dxa"/>
            <w:vAlign w:val="bottom"/>
            <w:shd w:val="clear" w:color="auto" w:fill="CFF0FC"/>
          </w:tcPr>
          <w:p>
            <w:pPr>
              <w:spacing w:after="0"/>
              <w:rPr>
                <w:sz w:val="20"/>
                <w:szCs w:val="20"/>
                <w:color w:val="auto"/>
              </w:rPr>
            </w:pPr>
            <w:r>
              <w:rPr>
                <w:rFonts w:ascii="Arial" w:cs="Arial" w:eastAsia="Arial" w:hAnsi="Arial"/>
                <w:sz w:val="13"/>
                <w:szCs w:val="13"/>
                <w:color w:val="auto"/>
              </w:rPr>
              <w:t>Circustrix Holdings, LLC</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220" w:type="dxa"/>
            <w:vAlign w:val="bottom"/>
            <w:gridSpan w:val="2"/>
            <w:shd w:val="clear" w:color="auto" w:fill="CFF0FC"/>
          </w:tcPr>
          <w:p>
            <w:pPr>
              <w:spacing w:after="0"/>
              <w:rPr>
                <w:sz w:val="20"/>
                <w:szCs w:val="20"/>
                <w:color w:val="auto"/>
              </w:rPr>
            </w:pPr>
            <w:r>
              <w:rPr>
                <w:rFonts w:ascii="Arial" w:cs="Arial" w:eastAsia="Arial" w:hAnsi="Arial"/>
                <w:sz w:val="13"/>
                <w:szCs w:val="13"/>
                <w:color w:val="auto"/>
                <w:w w:val="92"/>
              </w:rPr>
              <w:t>Senior Secured Loan — Delayed Draw Term Loan, 1 Month</w:t>
            </w:r>
          </w:p>
        </w:tc>
        <w:tc>
          <w:tcPr>
            <w:tcW w:w="1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6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3"/>
                <w:szCs w:val="13"/>
                <w:color w:val="auto"/>
                <w:w w:val="96"/>
              </w:rPr>
              <w:t>Banking, Finance, Insurance &amp; Real Estate</w:t>
            </w:r>
          </w:p>
        </w:tc>
        <w:tc>
          <w:tcPr>
            <w:tcW w:w="600" w:type="dxa"/>
            <w:vAlign w:val="bottom"/>
            <w:tcBorders>
              <w:bottom w:val="single" w:sz="8" w:color="CFF0FC"/>
            </w:tcBorders>
            <w:shd w:val="clear" w:color="auto" w:fill="CFF0FC"/>
          </w:tcPr>
          <w:p>
            <w:pPr>
              <w:spacing w:after="0"/>
              <w:rPr>
                <w:sz w:val="17"/>
                <w:szCs w:val="17"/>
                <w:color w:val="auto"/>
              </w:rPr>
            </w:pPr>
          </w:p>
        </w:tc>
        <w:tc>
          <w:tcPr>
            <w:tcW w:w="32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3"/>
                <w:szCs w:val="13"/>
                <w:color w:val="auto"/>
              </w:rPr>
              <w:t>Libor (1.00%) + 5.50%; Libor Floor 1.00% , Due 7/23</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1/11/2021</w:t>
            </w:r>
          </w:p>
        </w:tc>
        <w:tc>
          <w:tcPr>
            <w:tcW w:w="12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620" w:type="dxa"/>
            <w:vAlign w:val="bottom"/>
            <w:shd w:val="clear" w:color="auto" w:fill="CFF0FC"/>
          </w:tcPr>
          <w:p>
            <w:pPr>
              <w:spacing w:after="0"/>
              <w:rPr>
                <w:sz w:val="20"/>
                <w:szCs w:val="20"/>
                <w:color w:val="auto"/>
              </w:rPr>
            </w:pPr>
            <w:r>
              <w:rPr>
                <w:rFonts w:ascii="Arial" w:cs="Arial" w:eastAsia="Arial" w:hAnsi="Arial"/>
                <w:sz w:val="13"/>
                <w:szCs w:val="13"/>
                <w:color w:val="auto"/>
              </w:rPr>
              <w:t>Circustrix Holdings, LLC</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2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Senior Secured Loan — First Lien Term Loan B</w:t>
            </w:r>
          </w:p>
        </w:tc>
        <w:tc>
          <w:tcPr>
            <w:tcW w:w="1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6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3"/>
                <w:szCs w:val="13"/>
                <w:color w:val="auto"/>
                <w:w w:val="96"/>
              </w:rPr>
              <w:t>Banking, Finance, Insurance &amp; Real Estate</w:t>
            </w:r>
          </w:p>
        </w:tc>
        <w:tc>
          <w:tcPr>
            <w:tcW w:w="600" w:type="dxa"/>
            <w:vAlign w:val="bottom"/>
            <w:tcBorders>
              <w:bottom w:val="single" w:sz="8" w:color="CFF0FC"/>
            </w:tcBorders>
            <w:shd w:val="clear" w:color="auto" w:fill="CFF0FC"/>
          </w:tcPr>
          <w:p>
            <w:pPr>
              <w:spacing w:after="0"/>
              <w:rPr>
                <w:sz w:val="17"/>
                <w:szCs w:val="17"/>
                <w:color w:val="auto"/>
              </w:rPr>
            </w:pPr>
          </w:p>
        </w:tc>
        <w:tc>
          <w:tcPr>
            <w:tcW w:w="32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3"/>
                <w:szCs w:val="13"/>
                <w:color w:val="auto"/>
              </w:rPr>
              <w:t>0.0% Cash, 7.8% PIK, Due 1/22</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6,556,981</w:t>
            </w:r>
          </w:p>
        </w:tc>
        <w:tc>
          <w:tcPr>
            <w:tcW w:w="24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4,694,494</w:t>
            </w:r>
          </w:p>
        </w:tc>
        <w:tc>
          <w:tcPr>
            <w:tcW w:w="24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4,797,743</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Coinamatic Canada Inc.</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(3)(13)(14)</w:t>
            </w: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w w:val="91"/>
              </w:rPr>
              <w:t>Junior Secured Loan — Initial Canadian Term Loan (Second</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322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Lien)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shd w:val="clear" w:color="auto" w:fill="CFF0FC"/>
          </w:tcPr>
          <w:p>
            <w:pPr>
              <w:ind w:left="200"/>
              <w:spacing w:after="0" w:line="135" w:lineRule="exact"/>
              <w:rPr>
                <w:sz w:val="20"/>
                <w:szCs w:val="20"/>
                <w:color w:val="auto"/>
              </w:rPr>
            </w:pPr>
            <w:r>
              <w:rPr>
                <w:rFonts w:ascii="Arial" w:cs="Arial" w:eastAsia="Arial" w:hAnsi="Arial"/>
                <w:sz w:val="13"/>
                <w:szCs w:val="13"/>
                <w:color w:val="auto"/>
              </w:rPr>
              <w:t>Consumer goods: Durable</w:t>
            </w:r>
          </w:p>
        </w:tc>
        <w:tc>
          <w:tcPr>
            <w:tcW w:w="600" w:type="dxa"/>
            <w:vAlign w:val="bottom"/>
            <w:shd w:val="clear" w:color="auto" w:fill="CFF0FC"/>
          </w:tcPr>
          <w:p>
            <w:pPr>
              <w:spacing w:after="0"/>
              <w:rPr>
                <w:sz w:val="11"/>
                <w:szCs w:val="11"/>
                <w:color w:val="auto"/>
              </w:rPr>
            </w:pPr>
          </w:p>
        </w:tc>
        <w:tc>
          <w:tcPr>
            <w:tcW w:w="322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w w:val="99"/>
              </w:rPr>
              <w:t>8.0% Cash, 1 Month Libor (1.00%) + 7.00%; Libor Floor</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2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1.00% , Due 5/23</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12/18/2019</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521,646</w:t>
            </w: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472,779</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500,676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620" w:type="dxa"/>
            <w:vAlign w:val="bottom"/>
            <w:shd w:val="clear" w:color="auto" w:fill="CFF0FC"/>
          </w:tcPr>
          <w:p>
            <w:pPr>
              <w:spacing w:after="0" w:line="126" w:lineRule="exact"/>
              <w:rPr>
                <w:sz w:val="20"/>
                <w:szCs w:val="20"/>
                <w:color w:val="auto"/>
              </w:rPr>
            </w:pPr>
            <w:r>
              <w:rPr>
                <w:rFonts w:ascii="Arial" w:cs="Arial" w:eastAsia="Arial" w:hAnsi="Arial"/>
                <w:sz w:val="13"/>
                <w:szCs w:val="13"/>
                <w:color w:val="auto"/>
              </w:rPr>
              <w:t>Colibri Group, LLC</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220" w:type="dxa"/>
            <w:vAlign w:val="bottom"/>
            <w:gridSpan w:val="2"/>
            <w:shd w:val="clear" w:color="auto" w:fill="CFF0FC"/>
          </w:tcPr>
          <w:p>
            <w:pPr>
              <w:spacing w:after="0" w:line="126" w:lineRule="exact"/>
              <w:rPr>
                <w:sz w:val="20"/>
                <w:szCs w:val="20"/>
                <w:color w:val="auto"/>
              </w:rPr>
            </w:pPr>
            <w:r>
              <w:rPr>
                <w:rFonts w:ascii="Arial" w:cs="Arial" w:eastAsia="Arial" w:hAnsi="Arial"/>
                <w:sz w:val="13"/>
                <w:szCs w:val="13"/>
                <w:color w:val="auto"/>
              </w:rPr>
              <w:t>Senior Secured Loan — Last out DDTL</w:t>
            </w:r>
          </w:p>
        </w:tc>
        <w:tc>
          <w:tcPr>
            <w:tcW w:w="1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620" w:type="dxa"/>
            <w:vAlign w:val="bottom"/>
            <w:shd w:val="clear" w:color="auto" w:fill="CFF0FC"/>
          </w:tcPr>
          <w:p>
            <w:pPr>
              <w:ind w:left="160"/>
              <w:spacing w:after="0" w:line="143" w:lineRule="exact"/>
              <w:rPr>
                <w:sz w:val="20"/>
                <w:szCs w:val="20"/>
                <w:color w:val="auto"/>
              </w:rPr>
            </w:pPr>
            <w:r>
              <w:rPr>
                <w:rFonts w:ascii="Arial" w:cs="Arial" w:eastAsia="Arial" w:hAnsi="Arial"/>
                <w:sz w:val="13"/>
                <w:szCs w:val="13"/>
                <w:color w:val="auto"/>
              </w:rPr>
              <w:t>Services: Business</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(20)(21)</w:t>
            </w:r>
          </w:p>
        </w:tc>
        <w:tc>
          <w:tcPr>
            <w:tcW w:w="3220" w:type="dxa"/>
            <w:vAlign w:val="bottom"/>
            <w:gridSpan w:val="2"/>
            <w:shd w:val="clear" w:color="auto" w:fill="CFF0FC"/>
          </w:tcPr>
          <w:p>
            <w:pPr>
              <w:spacing w:after="0" w:line="143" w:lineRule="exact"/>
              <w:rPr>
                <w:sz w:val="20"/>
                <w:szCs w:val="20"/>
                <w:color w:val="auto"/>
              </w:rPr>
            </w:pPr>
            <w:r>
              <w:rPr>
                <w:rFonts w:ascii="Arial" w:cs="Arial" w:eastAsia="Arial" w:hAnsi="Arial"/>
                <w:sz w:val="13"/>
                <w:szCs w:val="13"/>
                <w:color w:val="auto"/>
                <w:w w:val="99"/>
              </w:rPr>
              <w:t>9.1% Cash, 3 Month Libor (1.00%) + 8.05%; Libor Floor</w:t>
            </w:r>
          </w:p>
        </w:tc>
        <w:tc>
          <w:tcPr>
            <w:tcW w:w="1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2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1.00% , Due 5/25</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3/31/2020</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932,983</w:t>
            </w: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927,361</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935,315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620" w:type="dxa"/>
            <w:vAlign w:val="bottom"/>
            <w:shd w:val="clear" w:color="auto" w:fill="CFF0FC"/>
          </w:tcPr>
          <w:p>
            <w:pPr>
              <w:spacing w:after="0" w:line="126" w:lineRule="exact"/>
              <w:rPr>
                <w:sz w:val="20"/>
                <w:szCs w:val="20"/>
                <w:color w:val="auto"/>
              </w:rPr>
            </w:pPr>
            <w:r>
              <w:rPr>
                <w:rFonts w:ascii="Arial" w:cs="Arial" w:eastAsia="Arial" w:hAnsi="Arial"/>
                <w:sz w:val="13"/>
                <w:szCs w:val="13"/>
                <w:color w:val="auto"/>
              </w:rPr>
              <w:t>Colibri Group, LLC</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220" w:type="dxa"/>
            <w:vAlign w:val="bottom"/>
            <w:gridSpan w:val="2"/>
            <w:shd w:val="clear" w:color="auto" w:fill="CFF0FC"/>
          </w:tcPr>
          <w:p>
            <w:pPr>
              <w:spacing w:after="0" w:line="126" w:lineRule="exact"/>
              <w:rPr>
                <w:sz w:val="20"/>
                <w:szCs w:val="20"/>
                <w:color w:val="auto"/>
              </w:rPr>
            </w:pPr>
            <w:r>
              <w:rPr>
                <w:rFonts w:ascii="Arial" w:cs="Arial" w:eastAsia="Arial" w:hAnsi="Arial"/>
                <w:sz w:val="13"/>
                <w:szCs w:val="13"/>
                <w:color w:val="auto"/>
              </w:rPr>
              <w:t>Senior Secured Loan — Last Out Term Loan</w:t>
            </w:r>
          </w:p>
        </w:tc>
        <w:tc>
          <w:tcPr>
            <w:tcW w:w="1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620" w:type="dxa"/>
            <w:vAlign w:val="bottom"/>
            <w:shd w:val="clear" w:color="auto" w:fill="CFF0FC"/>
          </w:tcPr>
          <w:p>
            <w:pPr>
              <w:ind w:left="160"/>
              <w:spacing w:after="0" w:line="143" w:lineRule="exact"/>
              <w:rPr>
                <w:sz w:val="20"/>
                <w:szCs w:val="20"/>
                <w:color w:val="auto"/>
              </w:rPr>
            </w:pPr>
            <w:r>
              <w:rPr>
                <w:rFonts w:ascii="Arial" w:cs="Arial" w:eastAsia="Arial" w:hAnsi="Arial"/>
                <w:sz w:val="13"/>
                <w:szCs w:val="13"/>
                <w:color w:val="auto"/>
              </w:rPr>
              <w:t>Services: Business</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(20)(21)</w:t>
            </w:r>
          </w:p>
        </w:tc>
        <w:tc>
          <w:tcPr>
            <w:tcW w:w="3220" w:type="dxa"/>
            <w:vAlign w:val="bottom"/>
            <w:gridSpan w:val="2"/>
            <w:shd w:val="clear" w:color="auto" w:fill="CFF0FC"/>
          </w:tcPr>
          <w:p>
            <w:pPr>
              <w:spacing w:after="0" w:line="143" w:lineRule="exact"/>
              <w:rPr>
                <w:sz w:val="20"/>
                <w:szCs w:val="20"/>
                <w:color w:val="auto"/>
              </w:rPr>
            </w:pPr>
            <w:r>
              <w:rPr>
                <w:rFonts w:ascii="Arial" w:cs="Arial" w:eastAsia="Arial" w:hAnsi="Arial"/>
                <w:sz w:val="13"/>
                <w:szCs w:val="13"/>
                <w:color w:val="auto"/>
                <w:w w:val="99"/>
              </w:rPr>
              <w:t>9.1% Cash, 3 Month Libor (1.00%) + 8.05%; Libor Floor</w:t>
            </w:r>
          </w:p>
        </w:tc>
        <w:tc>
          <w:tcPr>
            <w:tcW w:w="1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2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1.00% , Due 5/25</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3/31/2020</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6,033,990</w:t>
            </w: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5,997,634</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6,049,075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620" w:type="dxa"/>
            <w:vAlign w:val="bottom"/>
            <w:shd w:val="clear" w:color="auto" w:fill="CFF0FC"/>
          </w:tcPr>
          <w:p>
            <w:pPr>
              <w:spacing w:after="0" w:line="126" w:lineRule="exact"/>
              <w:rPr>
                <w:sz w:val="20"/>
                <w:szCs w:val="20"/>
                <w:color w:val="auto"/>
              </w:rPr>
            </w:pPr>
            <w:r>
              <w:rPr>
                <w:rFonts w:ascii="Arial" w:cs="Arial" w:eastAsia="Arial" w:hAnsi="Arial"/>
                <w:sz w:val="13"/>
                <w:szCs w:val="13"/>
                <w:color w:val="auto"/>
              </w:rPr>
              <w:t>Colibri Group, LLC</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220" w:type="dxa"/>
            <w:vAlign w:val="bottom"/>
            <w:gridSpan w:val="2"/>
            <w:shd w:val="clear" w:color="auto" w:fill="CFF0FC"/>
          </w:tcPr>
          <w:p>
            <w:pPr>
              <w:spacing w:after="0" w:line="126" w:lineRule="exact"/>
              <w:rPr>
                <w:sz w:val="20"/>
                <w:szCs w:val="20"/>
                <w:color w:val="auto"/>
              </w:rPr>
            </w:pPr>
            <w:r>
              <w:rPr>
                <w:rFonts w:ascii="Arial" w:cs="Arial" w:eastAsia="Arial" w:hAnsi="Arial"/>
                <w:sz w:val="13"/>
                <w:szCs w:val="13"/>
                <w:color w:val="auto"/>
                <w:w w:val="96"/>
              </w:rPr>
              <w:t>Senior Secured Loan — Last Out Second Amendment TL</w:t>
            </w:r>
          </w:p>
        </w:tc>
        <w:tc>
          <w:tcPr>
            <w:tcW w:w="1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620" w:type="dxa"/>
            <w:vAlign w:val="bottom"/>
            <w:shd w:val="clear" w:color="auto" w:fill="CFF0FC"/>
          </w:tcPr>
          <w:p>
            <w:pPr>
              <w:ind w:left="160"/>
              <w:spacing w:after="0" w:line="143" w:lineRule="exact"/>
              <w:rPr>
                <w:sz w:val="20"/>
                <w:szCs w:val="20"/>
                <w:color w:val="auto"/>
              </w:rPr>
            </w:pPr>
            <w:r>
              <w:rPr>
                <w:rFonts w:ascii="Arial" w:cs="Arial" w:eastAsia="Arial" w:hAnsi="Arial"/>
                <w:sz w:val="13"/>
                <w:szCs w:val="13"/>
                <w:color w:val="auto"/>
              </w:rPr>
              <w:t>Services: Business</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(20)(21)</w:t>
            </w:r>
          </w:p>
        </w:tc>
        <w:tc>
          <w:tcPr>
            <w:tcW w:w="3220" w:type="dxa"/>
            <w:vAlign w:val="bottom"/>
            <w:gridSpan w:val="2"/>
            <w:shd w:val="clear" w:color="auto" w:fill="CFF0FC"/>
          </w:tcPr>
          <w:p>
            <w:pPr>
              <w:spacing w:after="0" w:line="143" w:lineRule="exact"/>
              <w:rPr>
                <w:sz w:val="20"/>
                <w:szCs w:val="20"/>
                <w:color w:val="auto"/>
              </w:rPr>
            </w:pPr>
            <w:r>
              <w:rPr>
                <w:rFonts w:ascii="Arial" w:cs="Arial" w:eastAsia="Arial" w:hAnsi="Arial"/>
                <w:sz w:val="13"/>
                <w:szCs w:val="13"/>
                <w:color w:val="auto"/>
                <w:w w:val="99"/>
              </w:rPr>
              <w:t>9.1% Cash, 3 Month Libor (1.00%) + 8.05%; Libor Floor</w:t>
            </w:r>
          </w:p>
        </w:tc>
        <w:tc>
          <w:tcPr>
            <w:tcW w:w="1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2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1.00% , Due 5/25</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3/31/2020</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690,407</w:t>
            </w: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686,248</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692,133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Convergeone Holdings Corp.</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(8)(14)</w:t>
            </w:r>
          </w:p>
        </w:tc>
        <w:tc>
          <w:tcPr>
            <w:tcW w:w="322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First Lien Term Loan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20" w:type="dxa"/>
            <w:vAlign w:val="bottom"/>
            <w:shd w:val="clear" w:color="auto" w:fill="CFF0FC"/>
          </w:tcPr>
          <w:p>
            <w:pPr>
              <w:ind w:left="160"/>
              <w:spacing w:after="0"/>
              <w:rPr>
                <w:sz w:val="20"/>
                <w:szCs w:val="20"/>
                <w:color w:val="auto"/>
              </w:rPr>
            </w:pPr>
            <w:r>
              <w:rPr>
                <w:rFonts w:ascii="Arial" w:cs="Arial" w:eastAsia="Arial" w:hAnsi="Arial"/>
                <w:sz w:val="13"/>
                <w:szCs w:val="13"/>
                <w:color w:val="auto"/>
              </w:rPr>
              <w:t>Electronics</w:t>
            </w:r>
          </w:p>
        </w:tc>
        <w:tc>
          <w:tcPr>
            <w:tcW w:w="600" w:type="dxa"/>
            <w:vAlign w:val="bottom"/>
            <w:shd w:val="clear" w:color="auto" w:fill="CFF0FC"/>
          </w:tcPr>
          <w:p>
            <w:pPr>
              <w:spacing w:after="0"/>
              <w:rPr>
                <w:sz w:val="12"/>
                <w:szCs w:val="12"/>
                <w:color w:val="auto"/>
              </w:rPr>
            </w:pPr>
          </w:p>
        </w:tc>
        <w:tc>
          <w:tcPr>
            <w:tcW w:w="32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5.1% Cash, 1 Month Libor (0.11%) + 5.00% , Due 1/26</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2,162,509</w:t>
            </w: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1,757,256</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2,094,596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w w:val="93"/>
              </w:rPr>
              <w:t>CSM Bakery Solutions Limited (fka CSM Bakery</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(8)(14)</w:t>
            </w:r>
          </w:p>
        </w:tc>
        <w:tc>
          <w:tcPr>
            <w:tcW w:w="3220" w:type="dxa"/>
            <w:vAlign w:val="bottom"/>
            <w:gridSpan w:val="2"/>
            <w:vMerge w:val="restart"/>
            <w:shd w:val="clear" w:color="auto" w:fill="CFF0FC"/>
          </w:tcPr>
          <w:p>
            <w:pPr>
              <w:spacing w:after="0"/>
              <w:rPr>
                <w:sz w:val="20"/>
                <w:szCs w:val="20"/>
                <w:color w:val="auto"/>
              </w:rPr>
            </w:pPr>
            <w:r>
              <w:rPr>
                <w:rFonts w:ascii="Arial" w:cs="Arial" w:eastAsia="Arial" w:hAnsi="Arial"/>
                <w:sz w:val="13"/>
                <w:szCs w:val="13"/>
                <w:color w:val="auto"/>
              </w:rPr>
              <w:t>Senior Secured Loan — Term Loan (First Lien)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620" w:type="dxa"/>
            <w:vAlign w:val="bottom"/>
            <w:vMerge w:val="restart"/>
            <w:shd w:val="clear" w:color="auto" w:fill="CFF0FC"/>
          </w:tcPr>
          <w:p>
            <w:pPr>
              <w:spacing w:after="0"/>
              <w:rPr>
                <w:sz w:val="20"/>
                <w:szCs w:val="20"/>
                <w:color w:val="auto"/>
              </w:rPr>
            </w:pPr>
            <w:r>
              <w:rPr>
                <w:rFonts w:ascii="Arial" w:cs="Arial" w:eastAsia="Arial" w:hAnsi="Arial"/>
                <w:sz w:val="13"/>
                <w:szCs w:val="13"/>
                <w:color w:val="auto"/>
              </w:rPr>
              <w:t>Supplies Limited)</w:t>
            </w:r>
          </w:p>
        </w:tc>
        <w:tc>
          <w:tcPr>
            <w:tcW w:w="600" w:type="dxa"/>
            <w:vAlign w:val="bottom"/>
            <w:shd w:val="clear" w:color="auto" w:fill="CFF0FC"/>
          </w:tcPr>
          <w:p>
            <w:pPr>
              <w:spacing w:after="0"/>
              <w:rPr>
                <w:sz w:val="5"/>
                <w:szCs w:val="5"/>
                <w:color w:val="auto"/>
              </w:rPr>
            </w:pPr>
          </w:p>
        </w:tc>
        <w:tc>
          <w:tcPr>
            <w:tcW w:w="3220" w:type="dxa"/>
            <w:vAlign w:val="bottom"/>
            <w:gridSpan w:val="2"/>
            <w:vMerge w:val="continue"/>
            <w:shd w:val="clear" w:color="auto" w:fill="CFF0FC"/>
          </w:tcPr>
          <w:p>
            <w:pPr>
              <w:spacing w:after="0"/>
              <w:rPr>
                <w:sz w:val="5"/>
                <w:szCs w:val="5"/>
                <w:color w:val="auto"/>
              </w:rPr>
            </w:pPr>
          </w:p>
        </w:tc>
        <w:tc>
          <w:tcPr>
            <w:tcW w:w="11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00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98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00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2620" w:type="dxa"/>
            <w:vAlign w:val="bottom"/>
            <w:vMerge w:val="continue"/>
            <w:shd w:val="clear" w:color="auto" w:fill="CFF0FC"/>
          </w:tcPr>
          <w:p>
            <w:pPr>
              <w:spacing w:after="0"/>
              <w:rPr>
                <w:sz w:val="8"/>
                <w:szCs w:val="8"/>
                <w:color w:val="auto"/>
              </w:rPr>
            </w:pPr>
          </w:p>
        </w:tc>
        <w:tc>
          <w:tcPr>
            <w:tcW w:w="600" w:type="dxa"/>
            <w:vAlign w:val="bottom"/>
            <w:shd w:val="clear" w:color="auto" w:fill="CFF0FC"/>
          </w:tcPr>
          <w:p>
            <w:pPr>
              <w:spacing w:after="0"/>
              <w:rPr>
                <w:sz w:val="8"/>
                <w:szCs w:val="8"/>
                <w:color w:val="auto"/>
              </w:rPr>
            </w:pPr>
          </w:p>
        </w:tc>
        <w:tc>
          <w:tcPr>
            <w:tcW w:w="3220" w:type="dxa"/>
            <w:vAlign w:val="bottom"/>
            <w:gridSpan w:val="2"/>
            <w:vMerge w:val="restart"/>
            <w:shd w:val="clear" w:color="auto" w:fill="CFF0FC"/>
          </w:tcPr>
          <w:p>
            <w:pPr>
              <w:spacing w:after="0" w:line="135" w:lineRule="exact"/>
              <w:rPr>
                <w:sz w:val="20"/>
                <w:szCs w:val="20"/>
                <w:color w:val="auto"/>
              </w:rPr>
            </w:pPr>
            <w:r>
              <w:rPr>
                <w:rFonts w:ascii="Arial" w:cs="Arial" w:eastAsia="Arial" w:hAnsi="Arial"/>
                <w:sz w:val="13"/>
                <w:szCs w:val="13"/>
                <w:color w:val="auto"/>
                <w:w w:val="99"/>
              </w:rPr>
              <w:t>7.3% Cash, 3 Month Libor (1.00%) + 6.25%; Libor Floor</w:t>
            </w:r>
          </w:p>
        </w:tc>
        <w:tc>
          <w:tcPr>
            <w:tcW w:w="11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98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10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2620" w:type="dxa"/>
            <w:vAlign w:val="bottom"/>
            <w:shd w:val="clear" w:color="auto" w:fill="CFF0FC"/>
          </w:tcPr>
          <w:p>
            <w:pPr>
              <w:spacing w:after="0"/>
              <w:rPr>
                <w:sz w:val="3"/>
                <w:szCs w:val="3"/>
                <w:color w:val="auto"/>
              </w:rPr>
            </w:pPr>
          </w:p>
        </w:tc>
        <w:tc>
          <w:tcPr>
            <w:tcW w:w="600" w:type="dxa"/>
            <w:vAlign w:val="bottom"/>
            <w:shd w:val="clear" w:color="auto" w:fill="CFF0FC"/>
          </w:tcPr>
          <w:p>
            <w:pPr>
              <w:spacing w:after="0"/>
              <w:rPr>
                <w:sz w:val="3"/>
                <w:szCs w:val="3"/>
                <w:color w:val="auto"/>
              </w:rPr>
            </w:pPr>
          </w:p>
        </w:tc>
        <w:tc>
          <w:tcPr>
            <w:tcW w:w="3220" w:type="dxa"/>
            <w:vAlign w:val="bottom"/>
            <w:gridSpan w:val="2"/>
            <w:vMerge w:val="continue"/>
            <w:shd w:val="clear" w:color="auto" w:fill="CFF0FC"/>
          </w:tcPr>
          <w:p>
            <w:pPr>
              <w:spacing w:after="0"/>
              <w:rPr>
                <w:sz w:val="3"/>
                <w:szCs w:val="3"/>
                <w:color w:val="auto"/>
              </w:rPr>
            </w:pPr>
          </w:p>
        </w:tc>
        <w:tc>
          <w:tcPr>
            <w:tcW w:w="1120" w:type="dxa"/>
            <w:vAlign w:val="bottom"/>
            <w:shd w:val="clear" w:color="auto" w:fill="CFF0FC"/>
          </w:tcPr>
          <w:p>
            <w:pPr>
              <w:spacing w:after="0"/>
              <w:rPr>
                <w:sz w:val="3"/>
                <w:szCs w:val="3"/>
                <w:color w:val="auto"/>
              </w:rPr>
            </w:pPr>
          </w:p>
        </w:tc>
        <w:tc>
          <w:tcPr>
            <w:tcW w:w="120" w:type="dxa"/>
            <w:vAlign w:val="bottom"/>
            <w:shd w:val="clear" w:color="auto" w:fill="CFF0FC"/>
          </w:tcPr>
          <w:p>
            <w:pPr>
              <w:spacing w:after="0"/>
              <w:rPr>
                <w:sz w:val="3"/>
                <w:szCs w:val="3"/>
                <w:color w:val="auto"/>
              </w:rPr>
            </w:pPr>
          </w:p>
        </w:tc>
        <w:tc>
          <w:tcPr>
            <w:tcW w:w="1000" w:type="dxa"/>
            <w:vAlign w:val="bottom"/>
            <w:shd w:val="clear" w:color="auto" w:fill="CFF0FC"/>
          </w:tcPr>
          <w:p>
            <w:pPr>
              <w:spacing w:after="0"/>
              <w:rPr>
                <w:sz w:val="3"/>
                <w:szCs w:val="3"/>
                <w:color w:val="auto"/>
              </w:rPr>
            </w:pPr>
          </w:p>
        </w:tc>
        <w:tc>
          <w:tcPr>
            <w:tcW w:w="240" w:type="dxa"/>
            <w:vAlign w:val="bottom"/>
            <w:shd w:val="clear" w:color="auto" w:fill="CFF0FC"/>
          </w:tcPr>
          <w:p>
            <w:pPr>
              <w:spacing w:after="0"/>
              <w:rPr>
                <w:sz w:val="3"/>
                <w:szCs w:val="3"/>
                <w:color w:val="auto"/>
              </w:rPr>
            </w:pPr>
          </w:p>
        </w:tc>
        <w:tc>
          <w:tcPr>
            <w:tcW w:w="980" w:type="dxa"/>
            <w:vAlign w:val="bottom"/>
            <w:shd w:val="clear" w:color="auto" w:fill="CFF0FC"/>
          </w:tcPr>
          <w:p>
            <w:pPr>
              <w:spacing w:after="0"/>
              <w:rPr>
                <w:sz w:val="3"/>
                <w:szCs w:val="3"/>
                <w:color w:val="auto"/>
              </w:rPr>
            </w:pPr>
          </w:p>
        </w:tc>
        <w:tc>
          <w:tcPr>
            <w:tcW w:w="240" w:type="dxa"/>
            <w:vAlign w:val="bottom"/>
            <w:shd w:val="clear" w:color="auto" w:fill="CFF0FC"/>
          </w:tcPr>
          <w:p>
            <w:pPr>
              <w:spacing w:after="0"/>
              <w:rPr>
                <w:sz w:val="3"/>
                <w:szCs w:val="3"/>
                <w:color w:val="auto"/>
              </w:rPr>
            </w:pPr>
          </w:p>
        </w:tc>
        <w:tc>
          <w:tcPr>
            <w:tcW w:w="1000" w:type="dxa"/>
            <w:vAlign w:val="bottom"/>
            <w:shd w:val="clear" w:color="auto" w:fill="CFF0FC"/>
          </w:tcPr>
          <w:p>
            <w:pPr>
              <w:spacing w:after="0"/>
              <w:rPr>
                <w:sz w:val="3"/>
                <w:szCs w:val="3"/>
                <w:color w:val="auto"/>
              </w:rPr>
            </w:pPr>
          </w:p>
        </w:tc>
        <w:tc>
          <w:tcPr>
            <w:tcW w:w="100" w:type="dxa"/>
            <w:vAlign w:val="bottom"/>
            <w:shd w:val="clear" w:color="auto" w:fill="CFF0FC"/>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620" w:type="dxa"/>
            <w:vAlign w:val="bottom"/>
            <w:vMerge w:val="restart"/>
            <w:shd w:val="clear" w:color="auto" w:fill="CFF0FC"/>
          </w:tcPr>
          <w:p>
            <w:pPr>
              <w:ind w:left="200"/>
              <w:spacing w:after="0"/>
              <w:rPr>
                <w:sz w:val="20"/>
                <w:szCs w:val="20"/>
                <w:color w:val="auto"/>
              </w:rPr>
            </w:pPr>
            <w:r>
              <w:rPr>
                <w:rFonts w:ascii="Arial" w:cs="Arial" w:eastAsia="Arial" w:hAnsi="Arial"/>
                <w:sz w:val="13"/>
                <w:szCs w:val="13"/>
                <w:color w:val="auto"/>
              </w:rPr>
              <w:t>Beverage, Food and Tobacco</w:t>
            </w:r>
          </w:p>
        </w:tc>
        <w:tc>
          <w:tcPr>
            <w:tcW w:w="600" w:type="dxa"/>
            <w:vAlign w:val="bottom"/>
            <w:shd w:val="clear" w:color="auto" w:fill="CFF0FC"/>
          </w:tcPr>
          <w:p>
            <w:pPr>
              <w:spacing w:after="0"/>
              <w:rPr>
                <w:sz w:val="13"/>
                <w:szCs w:val="13"/>
                <w:color w:val="auto"/>
              </w:rPr>
            </w:pPr>
          </w:p>
        </w:tc>
        <w:tc>
          <w:tcPr>
            <w:tcW w:w="32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1.00% , Due 1/22</w:t>
            </w: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6/11/2020</w:t>
            </w:r>
          </w:p>
        </w:tc>
        <w:tc>
          <w:tcPr>
            <w:tcW w:w="120" w:type="dxa"/>
            <w:vAlign w:val="bottom"/>
            <w:shd w:val="clear" w:color="auto" w:fill="CFF0FC"/>
          </w:tcPr>
          <w:p>
            <w:pPr>
              <w:spacing w:after="0"/>
              <w:rPr>
                <w:sz w:val="13"/>
                <w:szCs w:val="13"/>
                <w:color w:val="auto"/>
              </w:rPr>
            </w:pP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4,300,489</w:t>
            </w:r>
          </w:p>
        </w:tc>
        <w:tc>
          <w:tcPr>
            <w:tcW w:w="240" w:type="dxa"/>
            <w:vAlign w:val="bottom"/>
            <w:shd w:val="clear" w:color="auto" w:fill="CFF0FC"/>
          </w:tcPr>
          <w:p>
            <w:pPr>
              <w:spacing w:after="0"/>
              <w:rPr>
                <w:sz w:val="13"/>
                <w:szCs w:val="13"/>
                <w:color w:val="auto"/>
              </w:rPr>
            </w:pP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4,283,689</w:t>
            </w:r>
          </w:p>
        </w:tc>
        <w:tc>
          <w:tcPr>
            <w:tcW w:w="240" w:type="dxa"/>
            <w:vAlign w:val="bottom"/>
            <w:shd w:val="clear" w:color="auto" w:fill="CFF0FC"/>
          </w:tcPr>
          <w:p>
            <w:pPr>
              <w:spacing w:after="0"/>
              <w:rPr>
                <w:sz w:val="13"/>
                <w:szCs w:val="13"/>
                <w:color w:val="auto"/>
              </w:rPr>
            </w:pP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4,284,964</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57"/>
        </w:trPr>
        <w:tc>
          <w:tcPr>
            <w:tcW w:w="2620" w:type="dxa"/>
            <w:vAlign w:val="bottom"/>
            <w:vMerge w:val="continue"/>
            <w:shd w:val="clear" w:color="auto" w:fill="CFF0FC"/>
          </w:tcPr>
          <w:p>
            <w:pPr>
              <w:spacing w:after="0"/>
              <w:rPr>
                <w:sz w:val="4"/>
                <w:szCs w:val="4"/>
                <w:color w:val="auto"/>
              </w:rPr>
            </w:pPr>
          </w:p>
        </w:tc>
        <w:tc>
          <w:tcPr>
            <w:tcW w:w="600" w:type="dxa"/>
            <w:vAlign w:val="bottom"/>
            <w:shd w:val="clear" w:color="auto" w:fill="CFF0FC"/>
          </w:tcPr>
          <w:p>
            <w:pPr>
              <w:spacing w:after="0"/>
              <w:rPr>
                <w:sz w:val="4"/>
                <w:szCs w:val="4"/>
                <w:color w:val="auto"/>
              </w:rPr>
            </w:pPr>
          </w:p>
        </w:tc>
        <w:tc>
          <w:tcPr>
            <w:tcW w:w="3100" w:type="dxa"/>
            <w:vAlign w:val="bottom"/>
            <w:shd w:val="clear" w:color="auto" w:fill="CFF0FC"/>
          </w:tcPr>
          <w:p>
            <w:pPr>
              <w:spacing w:after="0"/>
              <w:rPr>
                <w:sz w:val="4"/>
                <w:szCs w:val="4"/>
                <w:color w:val="auto"/>
              </w:rPr>
            </w:pPr>
          </w:p>
        </w:tc>
        <w:tc>
          <w:tcPr>
            <w:tcW w:w="120" w:type="dxa"/>
            <w:vAlign w:val="bottom"/>
            <w:shd w:val="clear" w:color="auto" w:fill="CFF0FC"/>
          </w:tcPr>
          <w:p>
            <w:pPr>
              <w:spacing w:after="0"/>
              <w:rPr>
                <w:sz w:val="4"/>
                <w:szCs w:val="4"/>
                <w:color w:val="auto"/>
              </w:rPr>
            </w:pPr>
          </w:p>
        </w:tc>
        <w:tc>
          <w:tcPr>
            <w:tcW w:w="1120" w:type="dxa"/>
            <w:vAlign w:val="bottom"/>
            <w:vMerge w:val="continue"/>
            <w:shd w:val="clear" w:color="auto" w:fill="CFF0FC"/>
          </w:tcPr>
          <w:p>
            <w:pPr>
              <w:spacing w:after="0"/>
              <w:rPr>
                <w:sz w:val="4"/>
                <w:szCs w:val="4"/>
                <w:color w:val="auto"/>
              </w:rPr>
            </w:pPr>
          </w:p>
        </w:tc>
        <w:tc>
          <w:tcPr>
            <w:tcW w:w="120" w:type="dxa"/>
            <w:vAlign w:val="bottom"/>
            <w:shd w:val="clear" w:color="auto" w:fill="CFF0FC"/>
          </w:tcPr>
          <w:p>
            <w:pPr>
              <w:spacing w:after="0"/>
              <w:rPr>
                <w:sz w:val="4"/>
                <w:szCs w:val="4"/>
                <w:color w:val="auto"/>
              </w:rPr>
            </w:pPr>
          </w:p>
        </w:tc>
        <w:tc>
          <w:tcPr>
            <w:tcW w:w="1000" w:type="dxa"/>
            <w:vAlign w:val="bottom"/>
            <w:vMerge w:val="continue"/>
            <w:shd w:val="clear" w:color="auto" w:fill="CFF0FC"/>
          </w:tcPr>
          <w:p>
            <w:pPr>
              <w:spacing w:after="0"/>
              <w:rPr>
                <w:sz w:val="4"/>
                <w:szCs w:val="4"/>
                <w:color w:val="auto"/>
              </w:rPr>
            </w:pPr>
          </w:p>
        </w:tc>
        <w:tc>
          <w:tcPr>
            <w:tcW w:w="240" w:type="dxa"/>
            <w:vAlign w:val="bottom"/>
            <w:shd w:val="clear" w:color="auto" w:fill="CFF0FC"/>
          </w:tcPr>
          <w:p>
            <w:pPr>
              <w:spacing w:after="0"/>
              <w:rPr>
                <w:sz w:val="4"/>
                <w:szCs w:val="4"/>
                <w:color w:val="auto"/>
              </w:rPr>
            </w:pPr>
          </w:p>
        </w:tc>
        <w:tc>
          <w:tcPr>
            <w:tcW w:w="980" w:type="dxa"/>
            <w:vAlign w:val="bottom"/>
            <w:vMerge w:val="continue"/>
            <w:shd w:val="clear" w:color="auto" w:fill="CFF0FC"/>
          </w:tcPr>
          <w:p>
            <w:pPr>
              <w:spacing w:after="0"/>
              <w:rPr>
                <w:sz w:val="4"/>
                <w:szCs w:val="4"/>
                <w:color w:val="auto"/>
              </w:rPr>
            </w:pPr>
          </w:p>
        </w:tc>
        <w:tc>
          <w:tcPr>
            <w:tcW w:w="240" w:type="dxa"/>
            <w:vAlign w:val="bottom"/>
            <w:shd w:val="clear" w:color="auto" w:fill="CFF0FC"/>
          </w:tcPr>
          <w:p>
            <w:pPr>
              <w:spacing w:after="0"/>
              <w:rPr>
                <w:sz w:val="4"/>
                <w:szCs w:val="4"/>
                <w:color w:val="auto"/>
              </w:rPr>
            </w:pPr>
          </w:p>
        </w:tc>
        <w:tc>
          <w:tcPr>
            <w:tcW w:w="1000" w:type="dxa"/>
            <w:vAlign w:val="bottom"/>
            <w:vMerge w:val="continue"/>
            <w:shd w:val="clear" w:color="auto" w:fill="CFF0FC"/>
          </w:tcPr>
          <w:p>
            <w:pPr>
              <w:spacing w:after="0"/>
              <w:rPr>
                <w:sz w:val="4"/>
                <w:szCs w:val="4"/>
                <w:color w:val="auto"/>
              </w:rPr>
            </w:pPr>
          </w:p>
        </w:tc>
        <w:tc>
          <w:tcPr>
            <w:tcW w:w="100" w:type="dxa"/>
            <w:vAlign w:val="bottom"/>
            <w:shd w:val="clear" w:color="auto" w:fill="CFF0FC"/>
          </w:tcPr>
          <w:p>
            <w:pPr>
              <w:spacing w:after="0"/>
              <w:rPr>
                <w:sz w:val="4"/>
                <w:szCs w:val="4"/>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49"/>
        </w:trPr>
        <w:tc>
          <w:tcPr>
            <w:tcW w:w="2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9"/>
              </w:rPr>
              <w:t>Initial</w:t>
            </w: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620" w:type="dxa"/>
            <w:vAlign w:val="bottom"/>
          </w:tcPr>
          <w:p>
            <w:pPr>
              <w:spacing w:after="0" w:line="135" w:lineRule="exact"/>
              <w:rPr>
                <w:sz w:val="20"/>
                <w:szCs w:val="20"/>
                <w:color w:val="auto"/>
              </w:rPr>
            </w:pPr>
            <w:r>
              <w:rPr>
                <w:rFonts w:ascii="Arial" w:cs="Arial" w:eastAsia="Arial" w:hAnsi="Arial"/>
                <w:sz w:val="13"/>
                <w:szCs w:val="13"/>
                <w:b w:val="1"/>
                <w:bCs w:val="1"/>
                <w:color w:val="auto"/>
              </w:rPr>
              <w:t>Portfolio Company /</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940" w:type="dxa"/>
            <w:vAlign w:val="bottom"/>
            <w:gridSpan w:val="2"/>
          </w:tcPr>
          <w:p>
            <w:pPr>
              <w:ind w:left="960"/>
              <w:spacing w:after="0" w:line="135" w:lineRule="exact"/>
              <w:rPr>
                <w:sz w:val="20"/>
                <w:szCs w:val="20"/>
                <w:color w:val="auto"/>
              </w:rPr>
            </w:pPr>
            <w:r>
              <w:rPr>
                <w:rFonts w:ascii="Arial" w:cs="Arial" w:eastAsia="Arial" w:hAnsi="Arial"/>
                <w:sz w:val="13"/>
                <w:szCs w:val="13"/>
                <w:b w:val="1"/>
                <w:bCs w:val="1"/>
                <w:color w:val="auto"/>
              </w:rPr>
              <w:t>Investment</w:t>
            </w:r>
          </w:p>
        </w:tc>
        <w:tc>
          <w:tcPr>
            <w:tcW w:w="124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gridSpan w:val="2"/>
          </w:tcPr>
          <w:p>
            <w:pPr>
              <w:jc w:val="right"/>
              <w:ind w:right="440"/>
              <w:spacing w:after="0" w:line="135" w:lineRule="exact"/>
              <w:rPr>
                <w:sz w:val="20"/>
                <w:szCs w:val="20"/>
                <w:color w:val="auto"/>
              </w:rPr>
            </w:pPr>
            <w:r>
              <w:rPr>
                <w:rFonts w:ascii="Arial" w:cs="Arial" w:eastAsia="Arial" w:hAnsi="Arial"/>
                <w:sz w:val="13"/>
                <w:szCs w:val="13"/>
                <w:b w:val="1"/>
                <w:bCs w:val="1"/>
                <w:color w:val="auto"/>
              </w:rPr>
              <w:t>Amortized</w:t>
            </w: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620" w:type="dxa"/>
            <w:vAlign w:val="bottom"/>
          </w:tcPr>
          <w:p>
            <w:pPr>
              <w:spacing w:after="0"/>
              <w:rPr>
                <w:sz w:val="20"/>
                <w:szCs w:val="20"/>
                <w:color w:val="auto"/>
              </w:rPr>
            </w:pPr>
            <w:r>
              <w:rPr>
                <w:rFonts w:ascii="Arial" w:cs="Arial" w:eastAsia="Arial" w:hAnsi="Arial"/>
                <w:sz w:val="13"/>
                <w:szCs w:val="13"/>
                <w:b w:val="1"/>
                <w:bCs w:val="1"/>
                <w:color w:val="auto"/>
              </w:rPr>
              <w:t>Principal Business</w:t>
            </w: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940" w:type="dxa"/>
            <w:vAlign w:val="bottom"/>
            <w:gridSpan w:val="2"/>
          </w:tcPr>
          <w:p>
            <w:pPr>
              <w:ind w:left="540"/>
              <w:spacing w:after="0"/>
              <w:rPr>
                <w:sz w:val="20"/>
                <w:szCs w:val="20"/>
                <w:color w:val="auto"/>
              </w:rPr>
            </w:pPr>
            <w:r>
              <w:rPr>
                <w:rFonts w:ascii="Arial" w:cs="Arial" w:eastAsia="Arial" w:hAnsi="Arial"/>
                <w:sz w:val="13"/>
                <w:szCs w:val="13"/>
                <w:b w:val="1"/>
                <w:bCs w:val="1"/>
                <w:color w:val="auto"/>
              </w:rPr>
              <w:t>Interest Rate¹ / Maturity</w:t>
            </w:r>
            <w:r>
              <w:rPr>
                <w:rFonts w:ascii="Arial" w:cs="Arial" w:eastAsia="Arial" w:hAnsi="Arial"/>
                <w:sz w:val="10"/>
                <w:szCs w:val="10"/>
                <w:b w:val="1"/>
                <w:bCs w:val="1"/>
                <w:color w:val="auto"/>
              </w:rPr>
              <w:t>15</w:t>
            </w:r>
          </w:p>
        </w:tc>
        <w:tc>
          <w:tcPr>
            <w:tcW w:w="12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Date</w:t>
            </w:r>
          </w:p>
        </w:tc>
        <w:tc>
          <w:tcPr>
            <w:tcW w:w="124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rPr>
              <w:t>Principal</w:t>
            </w:r>
          </w:p>
        </w:tc>
        <w:tc>
          <w:tcPr>
            <w:tcW w:w="1220" w:type="dxa"/>
            <w:vAlign w:val="bottom"/>
            <w:gridSpan w:val="2"/>
          </w:tcPr>
          <w:p>
            <w:pPr>
              <w:jc w:val="right"/>
              <w:ind w:right="620"/>
              <w:spacing w:after="0"/>
              <w:rPr>
                <w:sz w:val="20"/>
                <w:szCs w:val="20"/>
                <w:color w:val="auto"/>
              </w:rPr>
            </w:pPr>
            <w:r>
              <w:rPr>
                <w:rFonts w:ascii="Arial" w:cs="Arial" w:eastAsia="Arial" w:hAnsi="Arial"/>
                <w:sz w:val="13"/>
                <w:szCs w:val="13"/>
                <w:b w:val="1"/>
                <w:bCs w:val="1"/>
                <w:color w:val="auto"/>
              </w:rPr>
              <w:t>Cost</w:t>
            </w:r>
          </w:p>
        </w:tc>
        <w:tc>
          <w:tcPr>
            <w:tcW w:w="110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0"/>
                <w:szCs w:val="10"/>
                <w:b w:val="1"/>
                <w:bCs w:val="1"/>
                <w:color w:val="auto"/>
              </w:rPr>
              <w:t>2</w:t>
            </w:r>
          </w:p>
        </w:tc>
        <w:tc>
          <w:tcPr>
            <w:tcW w:w="0" w:type="dxa"/>
            <w:vAlign w:val="bottom"/>
          </w:tcPr>
          <w:p>
            <w:pPr>
              <w:spacing w:after="0"/>
              <w:rPr>
                <w:sz w:val="1"/>
                <w:szCs w:val="1"/>
                <w:color w:val="auto"/>
              </w:rPr>
            </w:pPr>
          </w:p>
        </w:tc>
      </w:tr>
      <w:tr>
        <w:trPr>
          <w:trHeight w:val="128"/>
        </w:trPr>
        <w:tc>
          <w:tcPr>
            <w:tcW w:w="262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Datalink, LLC</w:t>
            </w:r>
          </w:p>
        </w:tc>
        <w:tc>
          <w:tcPr>
            <w:tcW w:w="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1"/>
                <w:szCs w:val="11"/>
                <w:color w:val="auto"/>
              </w:rPr>
              <w:t>(8)(13)(14)</w:t>
            </w:r>
          </w:p>
        </w:tc>
        <w:tc>
          <w:tcPr>
            <w:tcW w:w="3100" w:type="dxa"/>
            <w:vAlign w:val="bottom"/>
            <w:tcBorders>
              <w:top w:val="single" w:sz="8" w:color="auto"/>
            </w:tcBorders>
            <w:gridSpan w:val="2"/>
            <w:shd w:val="clear" w:color="auto" w:fill="CFF0FC"/>
          </w:tcPr>
          <w:p>
            <w:pPr>
              <w:spacing w:after="0" w:line="128" w:lineRule="exact"/>
              <w:rPr>
                <w:sz w:val="20"/>
                <w:szCs w:val="20"/>
                <w:color w:val="auto"/>
              </w:rPr>
            </w:pPr>
            <w:r>
              <w:rPr>
                <w:rFonts w:ascii="Arial" w:cs="Arial" w:eastAsia="Arial" w:hAnsi="Arial"/>
                <w:sz w:val="13"/>
                <w:szCs w:val="13"/>
                <w:color w:val="auto"/>
              </w:rPr>
              <w:t>Senior Secured Loan — First Lien Term Loan</w:t>
            </w:r>
          </w:p>
        </w:tc>
        <w:tc>
          <w:tcPr>
            <w:tcW w:w="120" w:type="dxa"/>
            <w:vAlign w:val="bottom"/>
            <w:tcBorders>
              <w:top w:val="single" w:sz="8" w:color="CFF0FC"/>
            </w:tcBorders>
            <w:shd w:val="clear" w:color="auto" w:fill="CFF0FC"/>
          </w:tcPr>
          <w:p>
            <w:pPr>
              <w:spacing w:after="0"/>
              <w:rPr>
                <w:sz w:val="11"/>
                <w:szCs w:val="11"/>
                <w:color w:val="auto"/>
              </w:rPr>
            </w:pPr>
          </w:p>
        </w:tc>
        <w:tc>
          <w:tcPr>
            <w:tcW w:w="112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100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98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100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w w:val="87"/>
              </w:rPr>
              <w:t>7.3%</w:t>
            </w:r>
          </w:p>
        </w:tc>
        <w:tc>
          <w:tcPr>
            <w:tcW w:w="294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3 Month Libor (1.00%) + 6.25%; Libor Floor</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Healthcare &amp; Pharmaceuticals</w:t>
            </w:r>
          </w:p>
        </w:tc>
        <w:tc>
          <w:tcPr>
            <w:tcW w:w="600" w:type="dxa"/>
            <w:vAlign w:val="bottom"/>
            <w:shd w:val="clear" w:color="auto" w:fill="CFF0FC"/>
          </w:tcPr>
          <w:p>
            <w:pPr>
              <w:spacing w:after="0"/>
              <w:rPr>
                <w:sz w:val="12"/>
                <w:szCs w:val="12"/>
                <w:color w:val="auto"/>
              </w:rPr>
            </w:pPr>
          </w:p>
        </w:tc>
        <w:tc>
          <w:tcPr>
            <w:tcW w:w="3220" w:type="dxa"/>
            <w:vAlign w:val="bottom"/>
            <w:gridSpan w:val="3"/>
            <w:shd w:val="clear" w:color="auto" w:fill="CFF0FC"/>
          </w:tcPr>
          <w:p>
            <w:pPr>
              <w:spacing w:after="0"/>
              <w:rPr>
                <w:sz w:val="20"/>
                <w:szCs w:val="20"/>
                <w:color w:val="auto"/>
              </w:rPr>
            </w:pPr>
            <w:r>
              <w:rPr>
                <w:rFonts w:ascii="Arial" w:cs="Arial" w:eastAsia="Arial" w:hAnsi="Arial"/>
                <w:sz w:val="13"/>
                <w:szCs w:val="13"/>
                <w:color w:val="auto"/>
              </w:rPr>
              <w:t>1.00% , Due 11/26</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11/23/2020</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2,937,813</w:t>
            </w: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2,861,499</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2,937,813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Datalink, LLC</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w:t>
            </w:r>
          </w:p>
        </w:tc>
        <w:tc>
          <w:tcPr>
            <w:tcW w:w="322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w w:val="98"/>
              </w:rPr>
              <w:t>Senior Secured Loan — Delayed Draw Term Loan (First</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Healthcare &amp; Pharmaceuticals</w:t>
            </w:r>
          </w:p>
        </w:tc>
        <w:tc>
          <w:tcPr>
            <w:tcW w:w="6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w w:val="89"/>
              </w:rPr>
              <w:t>Lien)</w:t>
            </w:r>
          </w:p>
        </w:tc>
        <w:tc>
          <w:tcPr>
            <w:tcW w:w="28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20"/>
                <w:szCs w:val="20"/>
                <w:color w:val="auto"/>
              </w:rPr>
            </w:pPr>
            <w:r>
              <w:rPr>
                <w:rFonts w:ascii="Arial" w:cs="Arial" w:eastAsia="Arial" w:hAnsi="Arial"/>
                <w:sz w:val="13"/>
                <w:szCs w:val="13"/>
                <w:color w:val="auto"/>
                <w:w w:val="87"/>
              </w:rPr>
              <w:t>1.0%</w:t>
            </w:r>
          </w:p>
        </w:tc>
        <w:tc>
          <w:tcPr>
            <w:tcW w:w="294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Cash, Due 11/26</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11/23/2020</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(13,587)</w:t>
            </w: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DCert Buyer, Inc.</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(8)(14)</w:t>
            </w:r>
          </w:p>
        </w:tc>
        <w:tc>
          <w:tcPr>
            <w:tcW w:w="322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Term Loan (Second Lien)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20" w:type="dxa"/>
            <w:vAlign w:val="bottom"/>
            <w:shd w:val="clear" w:color="auto" w:fill="CFF0FC"/>
          </w:tcPr>
          <w:p>
            <w:pPr>
              <w:ind w:left="160"/>
              <w:spacing w:after="0"/>
              <w:rPr>
                <w:sz w:val="20"/>
                <w:szCs w:val="20"/>
                <w:color w:val="auto"/>
              </w:rPr>
            </w:pPr>
            <w:r>
              <w:rPr>
                <w:rFonts w:ascii="Arial" w:cs="Arial" w:eastAsia="Arial" w:hAnsi="Arial"/>
                <w:sz w:val="13"/>
                <w:szCs w:val="13"/>
                <w:color w:val="auto"/>
              </w:rPr>
              <w:t>High Tech Industries</w:t>
            </w:r>
          </w:p>
        </w:tc>
        <w:tc>
          <w:tcPr>
            <w:tcW w:w="6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20"/>
                <w:szCs w:val="20"/>
                <w:color w:val="auto"/>
              </w:rPr>
            </w:pPr>
            <w:r>
              <w:rPr>
                <w:rFonts w:ascii="Arial" w:cs="Arial" w:eastAsia="Arial" w:hAnsi="Arial"/>
                <w:sz w:val="13"/>
                <w:szCs w:val="13"/>
                <w:color w:val="auto"/>
                <w:w w:val="87"/>
              </w:rPr>
              <w:t>7.1%</w:t>
            </w:r>
          </w:p>
        </w:tc>
        <w:tc>
          <w:tcPr>
            <w:tcW w:w="294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Cash, 1 Month Libor (0.11%) + 7.00% , Due 2/29</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3/16/2021</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5,400,000</w:t>
            </w: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5,386,500</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5,450,652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Deliver Buyer, Inc.</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22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w w:val="92"/>
              </w:rPr>
              <w:t>Senior Secured Loan — Incremental Term Loan (First Lien),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3220" w:type="dxa"/>
            <w:vAlign w:val="bottom"/>
            <w:gridSpan w:val="3"/>
            <w:shd w:val="clear" w:color="auto" w:fill="CFF0FC"/>
          </w:tcPr>
          <w:p>
            <w:pPr>
              <w:spacing w:after="0" w:line="135" w:lineRule="exact"/>
              <w:rPr>
                <w:sz w:val="20"/>
                <w:szCs w:val="20"/>
                <w:color w:val="auto"/>
              </w:rPr>
            </w:pPr>
            <w:r>
              <w:rPr>
                <w:rFonts w:ascii="Arial" w:cs="Arial" w:eastAsia="Arial" w:hAnsi="Arial"/>
                <w:sz w:val="13"/>
                <w:szCs w:val="13"/>
                <w:color w:val="auto"/>
                <w:w w:val="98"/>
              </w:rPr>
              <w:t>3 Month Libor (1.00%) + 6.25%; Libor Floor 1.00% , Due</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Capital Equipment</w:t>
            </w:r>
          </w:p>
        </w:tc>
        <w:tc>
          <w:tcPr>
            <w:tcW w:w="6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20"/>
                <w:szCs w:val="20"/>
                <w:color w:val="auto"/>
              </w:rPr>
            </w:pPr>
            <w:r>
              <w:rPr>
                <w:rFonts w:ascii="Arial" w:cs="Arial" w:eastAsia="Arial" w:hAnsi="Arial"/>
                <w:sz w:val="13"/>
                <w:szCs w:val="13"/>
                <w:color w:val="auto"/>
              </w:rPr>
              <w:t>5/24</w:t>
            </w:r>
          </w:p>
        </w:tc>
        <w:tc>
          <w:tcPr>
            <w:tcW w:w="2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7/1/2020</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4,755,801</w:t>
            </w: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4,694,700</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4,755,801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w w:val="99"/>
              </w:rPr>
              <w:t>Digitran Innovations B.V. (Pomeroy Solutions</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(3)(13)</w:t>
            </w:r>
          </w:p>
        </w:tc>
        <w:tc>
          <w:tcPr>
            <w:tcW w:w="280" w:type="dxa"/>
            <w:vAlign w:val="bottom"/>
            <w:shd w:val="clear" w:color="auto" w:fill="CFF0FC"/>
          </w:tcPr>
          <w:p>
            <w:pPr>
              <w:spacing w:after="0"/>
              <w:rPr>
                <w:sz w:val="11"/>
                <w:szCs w:val="11"/>
                <w:color w:val="auto"/>
              </w:rPr>
            </w:pPr>
          </w:p>
        </w:tc>
        <w:tc>
          <w:tcPr>
            <w:tcW w:w="28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Holding Company, Inc.)</w:t>
            </w:r>
          </w:p>
        </w:tc>
        <w:tc>
          <w:tcPr>
            <w:tcW w:w="600" w:type="dxa"/>
            <w:vAlign w:val="bottom"/>
            <w:shd w:val="clear" w:color="auto" w:fill="CFF0FC"/>
          </w:tcPr>
          <w:p>
            <w:pPr>
              <w:spacing w:after="0"/>
              <w:rPr>
                <w:sz w:val="11"/>
                <w:szCs w:val="11"/>
                <w:color w:val="auto"/>
              </w:rPr>
            </w:pPr>
          </w:p>
        </w:tc>
        <w:tc>
          <w:tcPr>
            <w:tcW w:w="3220" w:type="dxa"/>
            <w:vAlign w:val="bottom"/>
            <w:gridSpan w:val="3"/>
            <w:shd w:val="clear" w:color="auto" w:fill="CFF0FC"/>
          </w:tcPr>
          <w:p>
            <w:pPr>
              <w:spacing w:after="0" w:line="135" w:lineRule="exact"/>
              <w:rPr>
                <w:sz w:val="20"/>
                <w:szCs w:val="20"/>
                <w:color w:val="auto"/>
              </w:rPr>
            </w:pPr>
            <w:r>
              <w:rPr>
                <w:rFonts w:ascii="Arial" w:cs="Arial" w:eastAsia="Arial" w:hAnsi="Arial"/>
                <w:sz w:val="13"/>
                <w:szCs w:val="13"/>
                <w:color w:val="auto"/>
              </w:rPr>
              <w:t>Senior Secured Loan — EUR Term Loan A</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620" w:type="dxa"/>
            <w:vAlign w:val="bottom"/>
            <w:vMerge w:val="restart"/>
            <w:shd w:val="clear" w:color="auto" w:fill="CFF0FC"/>
          </w:tcPr>
          <w:p>
            <w:pPr>
              <w:ind w:left="200"/>
              <w:spacing w:after="0"/>
              <w:rPr>
                <w:sz w:val="20"/>
                <w:szCs w:val="20"/>
                <w:color w:val="auto"/>
              </w:rPr>
            </w:pPr>
            <w:r>
              <w:rPr>
                <w:rFonts w:ascii="Arial" w:cs="Arial" w:eastAsia="Arial" w:hAnsi="Arial"/>
                <w:sz w:val="13"/>
                <w:szCs w:val="13"/>
                <w:color w:val="auto"/>
              </w:rPr>
              <w:t>High Tech Industries</w:t>
            </w:r>
          </w:p>
        </w:tc>
        <w:tc>
          <w:tcPr>
            <w:tcW w:w="6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20"/>
                <w:szCs w:val="20"/>
                <w:color w:val="auto"/>
              </w:rPr>
            </w:pPr>
            <w:r>
              <w:rPr>
                <w:rFonts w:ascii="Arial" w:cs="Arial" w:eastAsia="Arial" w:hAnsi="Arial"/>
                <w:sz w:val="13"/>
                <w:szCs w:val="13"/>
                <w:color w:val="auto"/>
                <w:w w:val="87"/>
              </w:rPr>
              <w:t>0.0%</w:t>
            </w:r>
          </w:p>
        </w:tc>
        <w:tc>
          <w:tcPr>
            <w:tcW w:w="294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Cash, 5.0% PIK, Due 7/25</w:t>
            </w: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5/11/2020</w:t>
            </w:r>
          </w:p>
        </w:tc>
        <w:tc>
          <w:tcPr>
            <w:tcW w:w="120" w:type="dxa"/>
            <w:vAlign w:val="bottom"/>
            <w:shd w:val="clear" w:color="auto" w:fill="CFF0FC"/>
          </w:tcPr>
          <w:p>
            <w:pPr>
              <w:spacing w:after="0"/>
              <w:rPr>
                <w:sz w:val="13"/>
                <w:szCs w:val="13"/>
                <w:color w:val="auto"/>
              </w:rPr>
            </w:pP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261,136</w:t>
            </w:r>
          </w:p>
        </w:tc>
        <w:tc>
          <w:tcPr>
            <w:tcW w:w="240" w:type="dxa"/>
            <w:vAlign w:val="bottom"/>
            <w:shd w:val="clear" w:color="auto" w:fill="CFF0FC"/>
          </w:tcPr>
          <w:p>
            <w:pPr>
              <w:spacing w:after="0"/>
              <w:rPr>
                <w:sz w:val="13"/>
                <w:szCs w:val="13"/>
                <w:color w:val="auto"/>
              </w:rPr>
            </w:pP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282,354</w:t>
            </w:r>
          </w:p>
        </w:tc>
        <w:tc>
          <w:tcPr>
            <w:tcW w:w="240" w:type="dxa"/>
            <w:vAlign w:val="bottom"/>
            <w:shd w:val="clear" w:color="auto" w:fill="CFF0FC"/>
          </w:tcPr>
          <w:p>
            <w:pPr>
              <w:spacing w:after="0"/>
              <w:rPr>
                <w:sz w:val="13"/>
                <w:szCs w:val="13"/>
                <w:color w:val="auto"/>
              </w:rPr>
            </w:pP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257,259</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620" w:type="dxa"/>
            <w:vAlign w:val="bottom"/>
            <w:vMerge w:val="continue"/>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8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120" w:type="dxa"/>
            <w:vAlign w:val="bottom"/>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0" w:type="dxa"/>
            <w:vAlign w:val="bottom"/>
            <w:vMerge w:val="continue"/>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980" w:type="dxa"/>
            <w:vAlign w:val="bottom"/>
            <w:vMerge w:val="continue"/>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0" w:type="dxa"/>
            <w:vAlign w:val="bottom"/>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w w:val="99"/>
              </w:rPr>
              <w:t>Digitran Innovations B.V. (Pomeroy Solutions</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w:t>
            </w:r>
          </w:p>
        </w:tc>
        <w:tc>
          <w:tcPr>
            <w:tcW w:w="280" w:type="dxa"/>
            <w:vAlign w:val="bottom"/>
            <w:shd w:val="clear" w:color="auto" w:fill="CFF0FC"/>
          </w:tcPr>
          <w:p>
            <w:pPr>
              <w:spacing w:after="0"/>
              <w:rPr>
                <w:sz w:val="11"/>
                <w:szCs w:val="11"/>
                <w:color w:val="auto"/>
              </w:rPr>
            </w:pPr>
          </w:p>
        </w:tc>
        <w:tc>
          <w:tcPr>
            <w:tcW w:w="28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Holding Company, Inc.)</w:t>
            </w:r>
          </w:p>
        </w:tc>
        <w:tc>
          <w:tcPr>
            <w:tcW w:w="600" w:type="dxa"/>
            <w:vAlign w:val="bottom"/>
            <w:shd w:val="clear" w:color="auto" w:fill="CFF0FC"/>
          </w:tcPr>
          <w:p>
            <w:pPr>
              <w:spacing w:after="0"/>
              <w:rPr>
                <w:sz w:val="11"/>
                <w:szCs w:val="11"/>
                <w:color w:val="auto"/>
              </w:rPr>
            </w:pPr>
          </w:p>
        </w:tc>
        <w:tc>
          <w:tcPr>
            <w:tcW w:w="3220" w:type="dxa"/>
            <w:vAlign w:val="bottom"/>
            <w:gridSpan w:val="3"/>
            <w:shd w:val="clear" w:color="auto" w:fill="CFF0FC"/>
          </w:tcPr>
          <w:p>
            <w:pPr>
              <w:spacing w:after="0" w:line="135" w:lineRule="exact"/>
              <w:rPr>
                <w:sz w:val="20"/>
                <w:szCs w:val="20"/>
                <w:color w:val="auto"/>
              </w:rPr>
            </w:pPr>
            <w:r>
              <w:rPr>
                <w:rFonts w:ascii="Arial" w:cs="Arial" w:eastAsia="Arial" w:hAnsi="Arial"/>
                <w:sz w:val="13"/>
                <w:szCs w:val="13"/>
                <w:color w:val="auto"/>
                <w:w w:val="98"/>
              </w:rPr>
              <w:t>Senior Secured Loan — Senior Term Loan A, 5.0% PIK,</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620" w:type="dxa"/>
            <w:vAlign w:val="bottom"/>
            <w:vMerge w:val="restart"/>
            <w:shd w:val="clear" w:color="auto" w:fill="CFF0FC"/>
          </w:tcPr>
          <w:p>
            <w:pPr>
              <w:ind w:left="200"/>
              <w:spacing w:after="0"/>
              <w:rPr>
                <w:sz w:val="20"/>
                <w:szCs w:val="20"/>
                <w:color w:val="auto"/>
              </w:rPr>
            </w:pPr>
            <w:r>
              <w:rPr>
                <w:rFonts w:ascii="Arial" w:cs="Arial" w:eastAsia="Arial" w:hAnsi="Arial"/>
                <w:sz w:val="13"/>
                <w:szCs w:val="13"/>
                <w:color w:val="auto"/>
              </w:rPr>
              <w:t>High Tech Industries</w:t>
            </w:r>
          </w:p>
        </w:tc>
        <w:tc>
          <w:tcPr>
            <w:tcW w:w="600" w:type="dxa"/>
            <w:vAlign w:val="bottom"/>
            <w:shd w:val="clear" w:color="auto" w:fill="CFF0FC"/>
          </w:tcPr>
          <w:p>
            <w:pPr>
              <w:spacing w:after="0"/>
              <w:rPr>
                <w:sz w:val="13"/>
                <w:szCs w:val="13"/>
                <w:color w:val="auto"/>
              </w:rPr>
            </w:pPr>
          </w:p>
        </w:tc>
        <w:tc>
          <w:tcPr>
            <w:tcW w:w="3220" w:type="dxa"/>
            <w:vAlign w:val="bottom"/>
            <w:gridSpan w:val="3"/>
            <w:shd w:val="clear" w:color="auto" w:fill="CFF0FC"/>
          </w:tcPr>
          <w:p>
            <w:pPr>
              <w:spacing w:after="0"/>
              <w:rPr>
                <w:sz w:val="20"/>
                <w:szCs w:val="20"/>
                <w:color w:val="auto"/>
              </w:rPr>
            </w:pPr>
            <w:r>
              <w:rPr>
                <w:rFonts w:ascii="Arial" w:cs="Arial" w:eastAsia="Arial" w:hAnsi="Arial"/>
                <w:sz w:val="13"/>
                <w:szCs w:val="13"/>
                <w:color w:val="auto"/>
              </w:rPr>
              <w:t>Due 5/25</w:t>
            </w: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5/29/2020</w:t>
            </w:r>
          </w:p>
        </w:tc>
        <w:tc>
          <w:tcPr>
            <w:tcW w:w="120" w:type="dxa"/>
            <w:vAlign w:val="bottom"/>
            <w:shd w:val="clear" w:color="auto" w:fill="CFF0FC"/>
          </w:tcPr>
          <w:p>
            <w:pPr>
              <w:spacing w:after="0"/>
              <w:rPr>
                <w:sz w:val="13"/>
                <w:szCs w:val="13"/>
                <w:color w:val="auto"/>
              </w:rPr>
            </w:pP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1,485,850</w:t>
            </w:r>
          </w:p>
        </w:tc>
        <w:tc>
          <w:tcPr>
            <w:tcW w:w="240" w:type="dxa"/>
            <w:vAlign w:val="bottom"/>
            <w:shd w:val="clear" w:color="auto" w:fill="CFF0FC"/>
          </w:tcPr>
          <w:p>
            <w:pPr>
              <w:spacing w:after="0"/>
              <w:rPr>
                <w:sz w:val="13"/>
                <w:szCs w:val="13"/>
                <w:color w:val="auto"/>
              </w:rPr>
            </w:pP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1,115,054</w:t>
            </w:r>
          </w:p>
        </w:tc>
        <w:tc>
          <w:tcPr>
            <w:tcW w:w="240" w:type="dxa"/>
            <w:vAlign w:val="bottom"/>
            <w:shd w:val="clear" w:color="auto" w:fill="CFF0FC"/>
          </w:tcPr>
          <w:p>
            <w:pPr>
              <w:spacing w:after="0"/>
              <w:rPr>
                <w:sz w:val="13"/>
                <w:szCs w:val="13"/>
                <w:color w:val="auto"/>
              </w:rPr>
            </w:pP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1,162,677</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620" w:type="dxa"/>
            <w:vAlign w:val="bottom"/>
            <w:vMerge w:val="continue"/>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8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120" w:type="dxa"/>
            <w:vAlign w:val="bottom"/>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0" w:type="dxa"/>
            <w:vAlign w:val="bottom"/>
            <w:vMerge w:val="continue"/>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980" w:type="dxa"/>
            <w:vAlign w:val="bottom"/>
            <w:vMerge w:val="continue"/>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0" w:type="dxa"/>
            <w:vAlign w:val="bottom"/>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w w:val="99"/>
              </w:rPr>
              <w:t>Digitran Innovations B.V. (Pomeroy Solutions</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(5)(8)(13)</w:t>
            </w:r>
          </w:p>
        </w:tc>
        <w:tc>
          <w:tcPr>
            <w:tcW w:w="280" w:type="dxa"/>
            <w:vAlign w:val="bottom"/>
            <w:shd w:val="clear" w:color="auto" w:fill="CFF0FC"/>
          </w:tcPr>
          <w:p>
            <w:pPr>
              <w:spacing w:after="0"/>
              <w:rPr>
                <w:sz w:val="11"/>
                <w:szCs w:val="11"/>
                <w:color w:val="auto"/>
              </w:rPr>
            </w:pPr>
          </w:p>
        </w:tc>
        <w:tc>
          <w:tcPr>
            <w:tcW w:w="28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Holding Company, Inc.)</w:t>
            </w:r>
          </w:p>
        </w:tc>
        <w:tc>
          <w:tcPr>
            <w:tcW w:w="600" w:type="dxa"/>
            <w:vAlign w:val="bottom"/>
            <w:shd w:val="clear" w:color="auto" w:fill="CFF0FC"/>
          </w:tcPr>
          <w:p>
            <w:pPr>
              <w:spacing w:after="0"/>
              <w:rPr>
                <w:sz w:val="11"/>
                <w:szCs w:val="11"/>
                <w:color w:val="auto"/>
              </w:rPr>
            </w:pPr>
          </w:p>
        </w:tc>
        <w:tc>
          <w:tcPr>
            <w:tcW w:w="3220" w:type="dxa"/>
            <w:vAlign w:val="bottom"/>
            <w:gridSpan w:val="3"/>
            <w:shd w:val="clear" w:color="auto" w:fill="CFF0FC"/>
          </w:tcPr>
          <w:p>
            <w:pPr>
              <w:spacing w:after="0" w:line="135" w:lineRule="exact"/>
              <w:rPr>
                <w:sz w:val="20"/>
                <w:szCs w:val="20"/>
                <w:color w:val="auto"/>
              </w:rPr>
            </w:pPr>
            <w:r>
              <w:rPr>
                <w:rFonts w:ascii="Arial" w:cs="Arial" w:eastAsia="Arial" w:hAnsi="Arial"/>
                <w:sz w:val="13"/>
                <w:szCs w:val="13"/>
                <w:color w:val="auto"/>
                <w:w w:val="98"/>
              </w:rPr>
              <w:t>Senior Secured Loan — Senior Term Loan B, 7.0% PIK,</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620" w:type="dxa"/>
            <w:vAlign w:val="bottom"/>
            <w:vMerge w:val="restart"/>
            <w:shd w:val="clear" w:color="auto" w:fill="CFF0FC"/>
          </w:tcPr>
          <w:p>
            <w:pPr>
              <w:ind w:left="200"/>
              <w:spacing w:after="0"/>
              <w:rPr>
                <w:sz w:val="20"/>
                <w:szCs w:val="20"/>
                <w:color w:val="auto"/>
              </w:rPr>
            </w:pPr>
            <w:r>
              <w:rPr>
                <w:rFonts w:ascii="Arial" w:cs="Arial" w:eastAsia="Arial" w:hAnsi="Arial"/>
                <w:sz w:val="13"/>
                <w:szCs w:val="13"/>
                <w:color w:val="auto"/>
              </w:rPr>
              <w:t>High Tech Industries</w:t>
            </w:r>
          </w:p>
        </w:tc>
        <w:tc>
          <w:tcPr>
            <w:tcW w:w="600" w:type="dxa"/>
            <w:vAlign w:val="bottom"/>
            <w:shd w:val="clear" w:color="auto" w:fill="CFF0FC"/>
          </w:tcPr>
          <w:p>
            <w:pPr>
              <w:spacing w:after="0"/>
              <w:rPr>
                <w:sz w:val="13"/>
                <w:szCs w:val="13"/>
                <w:color w:val="auto"/>
              </w:rPr>
            </w:pPr>
          </w:p>
        </w:tc>
        <w:tc>
          <w:tcPr>
            <w:tcW w:w="3220" w:type="dxa"/>
            <w:vAlign w:val="bottom"/>
            <w:gridSpan w:val="3"/>
            <w:shd w:val="clear" w:color="auto" w:fill="CFF0FC"/>
          </w:tcPr>
          <w:p>
            <w:pPr>
              <w:spacing w:after="0"/>
              <w:rPr>
                <w:sz w:val="20"/>
                <w:szCs w:val="20"/>
                <w:color w:val="auto"/>
              </w:rPr>
            </w:pPr>
            <w:r>
              <w:rPr>
                <w:rFonts w:ascii="Arial" w:cs="Arial" w:eastAsia="Arial" w:hAnsi="Arial"/>
                <w:sz w:val="13"/>
                <w:szCs w:val="13"/>
                <w:color w:val="auto"/>
              </w:rPr>
              <w:t>Due 5/25</w:t>
            </w: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5/29/2020</w:t>
            </w:r>
          </w:p>
        </w:tc>
        <w:tc>
          <w:tcPr>
            <w:tcW w:w="120" w:type="dxa"/>
            <w:vAlign w:val="bottom"/>
            <w:shd w:val="clear" w:color="auto" w:fill="CFF0FC"/>
          </w:tcPr>
          <w:p>
            <w:pPr>
              <w:spacing w:after="0"/>
              <w:rPr>
                <w:sz w:val="13"/>
                <w:szCs w:val="13"/>
                <w:color w:val="auto"/>
              </w:rPr>
            </w:pP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1,510,966</w:t>
            </w:r>
          </w:p>
        </w:tc>
        <w:tc>
          <w:tcPr>
            <w:tcW w:w="240" w:type="dxa"/>
            <w:vAlign w:val="bottom"/>
            <w:shd w:val="clear" w:color="auto" w:fill="CFF0FC"/>
          </w:tcPr>
          <w:p>
            <w:pPr>
              <w:spacing w:after="0"/>
              <w:rPr>
                <w:sz w:val="13"/>
                <w:szCs w:val="13"/>
                <w:color w:val="auto"/>
              </w:rPr>
            </w:pP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1,140,170</w:t>
            </w:r>
          </w:p>
        </w:tc>
        <w:tc>
          <w:tcPr>
            <w:tcW w:w="240" w:type="dxa"/>
            <w:vAlign w:val="bottom"/>
            <w:shd w:val="clear" w:color="auto" w:fill="CFF0FC"/>
          </w:tcPr>
          <w:p>
            <w:pPr>
              <w:spacing w:after="0"/>
              <w:rPr>
                <w:sz w:val="13"/>
                <w:szCs w:val="13"/>
                <w:color w:val="auto"/>
              </w:rPr>
            </w:pP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438,180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620" w:type="dxa"/>
            <w:vAlign w:val="bottom"/>
            <w:vMerge w:val="continue"/>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8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120" w:type="dxa"/>
            <w:vAlign w:val="bottom"/>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0" w:type="dxa"/>
            <w:vAlign w:val="bottom"/>
            <w:vMerge w:val="continue"/>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980" w:type="dxa"/>
            <w:vAlign w:val="bottom"/>
            <w:vMerge w:val="continue"/>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0" w:type="dxa"/>
            <w:vAlign w:val="bottom"/>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w w:val="99"/>
              </w:rPr>
              <w:t>Digitran Innovations B.V. (Pomeroy Solutions</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w:t>
            </w:r>
          </w:p>
        </w:tc>
        <w:tc>
          <w:tcPr>
            <w:tcW w:w="280" w:type="dxa"/>
            <w:vAlign w:val="bottom"/>
            <w:shd w:val="clear" w:color="auto" w:fill="CFF0FC"/>
          </w:tcPr>
          <w:p>
            <w:pPr>
              <w:spacing w:after="0"/>
              <w:rPr>
                <w:sz w:val="11"/>
                <w:szCs w:val="11"/>
                <w:color w:val="auto"/>
              </w:rPr>
            </w:pPr>
          </w:p>
        </w:tc>
        <w:tc>
          <w:tcPr>
            <w:tcW w:w="28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Holding Company, Inc.)</w:t>
            </w:r>
          </w:p>
        </w:tc>
        <w:tc>
          <w:tcPr>
            <w:tcW w:w="600" w:type="dxa"/>
            <w:vAlign w:val="bottom"/>
            <w:shd w:val="clear" w:color="auto" w:fill="CFF0FC"/>
          </w:tcPr>
          <w:p>
            <w:pPr>
              <w:spacing w:after="0"/>
              <w:rPr>
                <w:sz w:val="11"/>
                <w:szCs w:val="11"/>
                <w:color w:val="auto"/>
              </w:rPr>
            </w:pPr>
          </w:p>
        </w:tc>
        <w:tc>
          <w:tcPr>
            <w:tcW w:w="3220" w:type="dxa"/>
            <w:vAlign w:val="bottom"/>
            <w:gridSpan w:val="3"/>
            <w:shd w:val="clear" w:color="auto" w:fill="CFF0FC"/>
          </w:tcPr>
          <w:p>
            <w:pPr>
              <w:spacing w:after="0" w:line="135" w:lineRule="exact"/>
              <w:rPr>
                <w:sz w:val="20"/>
                <w:szCs w:val="20"/>
                <w:color w:val="auto"/>
              </w:rPr>
            </w:pPr>
            <w:r>
              <w:rPr>
                <w:rFonts w:ascii="Arial" w:cs="Arial" w:eastAsia="Arial" w:hAnsi="Arial"/>
                <w:sz w:val="13"/>
                <w:szCs w:val="13"/>
                <w:color w:val="auto"/>
              </w:rPr>
              <w:t>Senior Secured Loan — Super Senior Term Loan B</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620" w:type="dxa"/>
            <w:vAlign w:val="bottom"/>
            <w:vMerge w:val="restart"/>
            <w:shd w:val="clear" w:color="auto" w:fill="CFF0FC"/>
          </w:tcPr>
          <w:p>
            <w:pPr>
              <w:ind w:left="200"/>
              <w:spacing w:after="0"/>
              <w:rPr>
                <w:sz w:val="20"/>
                <w:szCs w:val="20"/>
                <w:color w:val="auto"/>
              </w:rPr>
            </w:pPr>
            <w:r>
              <w:rPr>
                <w:rFonts w:ascii="Arial" w:cs="Arial" w:eastAsia="Arial" w:hAnsi="Arial"/>
                <w:sz w:val="13"/>
                <w:szCs w:val="13"/>
                <w:color w:val="auto"/>
              </w:rPr>
              <w:t>High Tech Industries</w:t>
            </w:r>
          </w:p>
        </w:tc>
        <w:tc>
          <w:tcPr>
            <w:tcW w:w="6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20"/>
                <w:szCs w:val="20"/>
                <w:color w:val="auto"/>
              </w:rPr>
            </w:pPr>
            <w:r>
              <w:rPr>
                <w:rFonts w:ascii="Arial" w:cs="Arial" w:eastAsia="Arial" w:hAnsi="Arial"/>
                <w:sz w:val="13"/>
                <w:szCs w:val="13"/>
                <w:color w:val="auto"/>
                <w:w w:val="87"/>
              </w:rPr>
              <w:t>2.0%</w:t>
            </w:r>
          </w:p>
        </w:tc>
        <w:tc>
          <w:tcPr>
            <w:tcW w:w="294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Cash, 7.0% PIK, Due 5/25</w:t>
            </w: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5/29/2020</w:t>
            </w:r>
          </w:p>
        </w:tc>
        <w:tc>
          <w:tcPr>
            <w:tcW w:w="120" w:type="dxa"/>
            <w:vAlign w:val="bottom"/>
            <w:shd w:val="clear" w:color="auto" w:fill="CFF0FC"/>
          </w:tcPr>
          <w:p>
            <w:pPr>
              <w:spacing w:after="0"/>
              <w:rPr>
                <w:sz w:val="13"/>
                <w:szCs w:val="13"/>
                <w:color w:val="auto"/>
              </w:rPr>
            </w:pP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959,944</w:t>
            </w:r>
          </w:p>
        </w:tc>
        <w:tc>
          <w:tcPr>
            <w:tcW w:w="240" w:type="dxa"/>
            <w:vAlign w:val="bottom"/>
            <w:shd w:val="clear" w:color="auto" w:fill="CFF0FC"/>
          </w:tcPr>
          <w:p>
            <w:pPr>
              <w:spacing w:after="0"/>
              <w:rPr>
                <w:sz w:val="13"/>
                <w:szCs w:val="13"/>
                <w:color w:val="auto"/>
              </w:rPr>
            </w:pP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944,724</w:t>
            </w:r>
          </w:p>
        </w:tc>
        <w:tc>
          <w:tcPr>
            <w:tcW w:w="240" w:type="dxa"/>
            <w:vAlign w:val="bottom"/>
            <w:shd w:val="clear" w:color="auto" w:fill="CFF0FC"/>
          </w:tcPr>
          <w:p>
            <w:pPr>
              <w:spacing w:after="0"/>
              <w:rPr>
                <w:sz w:val="13"/>
                <w:szCs w:val="13"/>
                <w:color w:val="auto"/>
              </w:rPr>
            </w:pP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946,792</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620" w:type="dxa"/>
            <w:vAlign w:val="bottom"/>
            <w:vMerge w:val="continue"/>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8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120" w:type="dxa"/>
            <w:vAlign w:val="bottom"/>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0" w:type="dxa"/>
            <w:vAlign w:val="bottom"/>
            <w:vMerge w:val="continue"/>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980" w:type="dxa"/>
            <w:vAlign w:val="bottom"/>
            <w:vMerge w:val="continue"/>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0" w:type="dxa"/>
            <w:vAlign w:val="bottom"/>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Drilling Info Holdings, Inc.</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(8)(14)(21)</w:t>
            </w:r>
          </w:p>
        </w:tc>
        <w:tc>
          <w:tcPr>
            <w:tcW w:w="322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w w:val="99"/>
              </w:rPr>
              <w:t>Senior Secured Loan — 2019 Delayed Draw Term Loan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3220" w:type="dxa"/>
            <w:vAlign w:val="bottom"/>
            <w:gridSpan w:val="3"/>
            <w:shd w:val="clear" w:color="auto" w:fill="CFF0FC"/>
          </w:tcPr>
          <w:p>
            <w:pPr>
              <w:spacing w:after="0" w:line="135" w:lineRule="exact"/>
              <w:rPr>
                <w:sz w:val="20"/>
                <w:szCs w:val="20"/>
                <w:color w:val="auto"/>
              </w:rPr>
            </w:pPr>
            <w:r>
              <w:rPr>
                <w:rFonts w:ascii="Arial" w:cs="Arial" w:eastAsia="Arial" w:hAnsi="Arial"/>
                <w:sz w:val="13"/>
                <w:szCs w:val="13"/>
                <w:color w:val="auto"/>
              </w:rPr>
              <w:t>(First Lien)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High Tech Industries</w:t>
            </w:r>
          </w:p>
        </w:tc>
        <w:tc>
          <w:tcPr>
            <w:tcW w:w="6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20"/>
                <w:szCs w:val="20"/>
                <w:color w:val="auto"/>
              </w:rPr>
            </w:pPr>
            <w:r>
              <w:rPr>
                <w:rFonts w:ascii="Arial" w:cs="Arial" w:eastAsia="Arial" w:hAnsi="Arial"/>
                <w:sz w:val="13"/>
                <w:szCs w:val="13"/>
                <w:color w:val="auto"/>
                <w:w w:val="87"/>
              </w:rPr>
              <w:t>2.0%</w:t>
            </w:r>
          </w:p>
        </w:tc>
        <w:tc>
          <w:tcPr>
            <w:tcW w:w="294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Cash, Due 7/25</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6/27/2019</w:t>
            </w:r>
          </w:p>
        </w:tc>
        <w:tc>
          <w:tcPr>
            <w:tcW w:w="12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(0)</w:t>
            </w: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(1,301)</w:t>
            </w: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(3,387)</w:t>
            </w: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Drilling Info Holdings, Inc.</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(8)(14)(21)</w:t>
            </w:r>
          </w:p>
        </w:tc>
        <w:tc>
          <w:tcPr>
            <w:tcW w:w="3220" w:type="dxa"/>
            <w:vAlign w:val="bottom"/>
            <w:gridSpan w:val="3"/>
            <w:shd w:val="clear" w:color="auto" w:fill="CFF0FC"/>
          </w:tcPr>
          <w:p>
            <w:pPr>
              <w:spacing w:after="0" w:line="134" w:lineRule="exact"/>
              <w:rPr>
                <w:sz w:val="20"/>
                <w:szCs w:val="20"/>
                <w:color w:val="auto"/>
              </w:rPr>
            </w:pPr>
            <w:r>
              <w:rPr>
                <w:rFonts w:ascii="Arial" w:cs="Arial" w:eastAsia="Arial" w:hAnsi="Arial"/>
                <w:sz w:val="13"/>
                <w:szCs w:val="13"/>
                <w:color w:val="auto"/>
              </w:rPr>
              <w:t>Senior Secured Loan — Initial Term Loan (First Lien)</w:t>
            </w: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20" w:type="dxa"/>
            <w:vAlign w:val="bottom"/>
            <w:shd w:val="clear" w:color="auto" w:fill="CFF0FC"/>
          </w:tcPr>
          <w:p>
            <w:pPr>
              <w:ind w:left="160"/>
              <w:spacing w:after="0"/>
              <w:rPr>
                <w:sz w:val="20"/>
                <w:szCs w:val="20"/>
                <w:color w:val="auto"/>
              </w:rPr>
            </w:pPr>
            <w:r>
              <w:rPr>
                <w:rFonts w:ascii="Arial" w:cs="Arial" w:eastAsia="Arial" w:hAnsi="Arial"/>
                <w:sz w:val="13"/>
                <w:szCs w:val="13"/>
                <w:color w:val="auto"/>
              </w:rPr>
              <w:t>High Tech Industries</w:t>
            </w:r>
          </w:p>
        </w:tc>
        <w:tc>
          <w:tcPr>
            <w:tcW w:w="6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20"/>
                <w:szCs w:val="20"/>
                <w:color w:val="auto"/>
              </w:rPr>
            </w:pPr>
            <w:r>
              <w:rPr>
                <w:rFonts w:ascii="Arial" w:cs="Arial" w:eastAsia="Arial" w:hAnsi="Arial"/>
                <w:sz w:val="13"/>
                <w:szCs w:val="13"/>
                <w:color w:val="auto"/>
                <w:w w:val="87"/>
              </w:rPr>
              <w:t>4.1%</w:t>
            </w:r>
          </w:p>
        </w:tc>
        <w:tc>
          <w:tcPr>
            <w:tcW w:w="294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Cash, 1 Month Libor (0.11%) + 4.00% , Due 7/25</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6/27/2019</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464,431</w:t>
            </w: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464,431</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460,112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620" w:type="dxa"/>
            <w:vAlign w:val="bottom"/>
            <w:shd w:val="clear" w:color="auto" w:fill="CFF0FC"/>
          </w:tcPr>
          <w:p>
            <w:pPr>
              <w:spacing w:after="0"/>
              <w:rPr>
                <w:sz w:val="20"/>
                <w:szCs w:val="20"/>
                <w:color w:val="auto"/>
              </w:rPr>
            </w:pPr>
            <w:r>
              <w:rPr>
                <w:rFonts w:ascii="Arial" w:cs="Arial" w:eastAsia="Arial" w:hAnsi="Arial"/>
                <w:sz w:val="13"/>
                <w:szCs w:val="13"/>
                <w:color w:val="auto"/>
              </w:rPr>
              <w:t>Drilling Info Holdings, Inc.</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220" w:type="dxa"/>
            <w:vAlign w:val="bottom"/>
            <w:gridSpan w:val="3"/>
            <w:shd w:val="clear" w:color="auto" w:fill="CFF0FC"/>
          </w:tcPr>
          <w:p>
            <w:pPr>
              <w:spacing w:after="0"/>
              <w:rPr>
                <w:sz w:val="20"/>
                <w:szCs w:val="20"/>
                <w:color w:val="auto"/>
              </w:rPr>
            </w:pPr>
            <w:r>
              <w:rPr>
                <w:rFonts w:ascii="Arial" w:cs="Arial" w:eastAsia="Arial" w:hAnsi="Arial"/>
                <w:sz w:val="13"/>
                <w:szCs w:val="13"/>
                <w:color w:val="auto"/>
              </w:rPr>
              <w:t>Senior Secured Loan — 2020 Term Loan (First Lien)</w:t>
            </w:r>
          </w:p>
        </w:tc>
        <w:tc>
          <w:tcPr>
            <w:tcW w:w="1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620" w:type="dxa"/>
            <w:vAlign w:val="bottom"/>
            <w:shd w:val="clear" w:color="auto" w:fill="CFF0FC"/>
          </w:tcPr>
          <w:p>
            <w:pPr>
              <w:spacing w:after="0"/>
              <w:rPr>
                <w:sz w:val="6"/>
                <w:szCs w:val="6"/>
                <w:color w:val="auto"/>
              </w:rPr>
            </w:pPr>
          </w:p>
        </w:tc>
        <w:tc>
          <w:tcPr>
            <w:tcW w:w="600" w:type="dxa"/>
            <w:vAlign w:val="bottom"/>
            <w:shd w:val="clear" w:color="auto" w:fill="CFF0FC"/>
          </w:tcPr>
          <w:p>
            <w:pPr>
              <w:spacing w:after="0" w:line="81" w:lineRule="exact"/>
              <w:rPr>
                <w:sz w:val="20"/>
                <w:szCs w:val="20"/>
                <w:color w:val="auto"/>
              </w:rPr>
            </w:pPr>
            <w:r>
              <w:rPr>
                <w:rFonts w:ascii="Arial" w:cs="Arial" w:eastAsia="Arial" w:hAnsi="Arial"/>
                <w:sz w:val="9"/>
                <w:szCs w:val="9"/>
                <w:color w:val="auto"/>
              </w:rPr>
              <w:t>(21)</w:t>
            </w:r>
          </w:p>
        </w:tc>
        <w:tc>
          <w:tcPr>
            <w:tcW w:w="280" w:type="dxa"/>
            <w:vAlign w:val="bottom"/>
            <w:vMerge w:val="restart"/>
            <w:shd w:val="clear" w:color="auto" w:fill="CFF0FC"/>
          </w:tcPr>
          <w:p>
            <w:pPr>
              <w:spacing w:after="0"/>
              <w:rPr>
                <w:sz w:val="20"/>
                <w:szCs w:val="20"/>
                <w:color w:val="auto"/>
              </w:rPr>
            </w:pPr>
            <w:r>
              <w:rPr>
                <w:rFonts w:ascii="Arial" w:cs="Arial" w:eastAsia="Arial" w:hAnsi="Arial"/>
                <w:sz w:val="13"/>
                <w:szCs w:val="13"/>
                <w:color w:val="auto"/>
                <w:w w:val="87"/>
              </w:rPr>
              <w:t>4.7%</w:t>
            </w:r>
          </w:p>
        </w:tc>
        <w:tc>
          <w:tcPr>
            <w:tcW w:w="2940" w:type="dxa"/>
            <w:vAlign w:val="bottom"/>
            <w:gridSpan w:val="2"/>
            <w:vMerge w:val="restart"/>
            <w:shd w:val="clear" w:color="auto" w:fill="CFF0FC"/>
          </w:tcPr>
          <w:p>
            <w:pPr>
              <w:ind w:left="20"/>
              <w:spacing w:after="0"/>
              <w:rPr>
                <w:sz w:val="20"/>
                <w:szCs w:val="20"/>
                <w:color w:val="auto"/>
              </w:rPr>
            </w:pPr>
            <w:r>
              <w:rPr>
                <w:rFonts w:ascii="Arial" w:cs="Arial" w:eastAsia="Arial" w:hAnsi="Arial"/>
                <w:sz w:val="13"/>
                <w:szCs w:val="13"/>
                <w:color w:val="auto"/>
              </w:rPr>
              <w:t>Cash, 1 Month Libor (0.11%) + 4.54% , Due 7/25</w:t>
            </w:r>
          </w:p>
        </w:tc>
        <w:tc>
          <w:tcPr>
            <w:tcW w:w="112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100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98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100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29"/>
        </w:trPr>
        <w:tc>
          <w:tcPr>
            <w:tcW w:w="2620" w:type="dxa"/>
            <w:vAlign w:val="bottom"/>
            <w:tcBorders>
              <w:bottom w:val="single" w:sz="8" w:color="CFF0FC"/>
            </w:tcBorders>
            <w:shd w:val="clear" w:color="auto" w:fill="CFF0FC"/>
          </w:tcPr>
          <w:p>
            <w:pPr>
              <w:ind w:left="200"/>
              <w:spacing w:after="0" w:line="129" w:lineRule="exact"/>
              <w:rPr>
                <w:sz w:val="20"/>
                <w:szCs w:val="20"/>
                <w:color w:val="auto"/>
              </w:rPr>
            </w:pPr>
            <w:r>
              <w:rPr>
                <w:rFonts w:ascii="Arial" w:cs="Arial" w:eastAsia="Arial" w:hAnsi="Arial"/>
                <w:sz w:val="13"/>
                <w:szCs w:val="13"/>
                <w:color w:val="auto"/>
              </w:rPr>
              <w:t>High Tech Industries</w:t>
            </w:r>
          </w:p>
        </w:tc>
        <w:tc>
          <w:tcPr>
            <w:tcW w:w="600" w:type="dxa"/>
            <w:vAlign w:val="bottom"/>
            <w:tcBorders>
              <w:bottom w:val="single" w:sz="8" w:color="CFF0FC"/>
            </w:tcBorders>
            <w:shd w:val="clear" w:color="auto" w:fill="CFF0FC"/>
          </w:tcPr>
          <w:p>
            <w:pPr>
              <w:spacing w:after="0"/>
              <w:rPr>
                <w:sz w:val="11"/>
                <w:szCs w:val="11"/>
                <w:color w:val="auto"/>
              </w:rPr>
            </w:pPr>
          </w:p>
        </w:tc>
        <w:tc>
          <w:tcPr>
            <w:tcW w:w="280" w:type="dxa"/>
            <w:vAlign w:val="bottom"/>
            <w:tcBorders>
              <w:bottom w:val="single" w:sz="8" w:color="CFF0FC"/>
            </w:tcBorders>
            <w:vMerge w:val="continue"/>
            <w:shd w:val="clear" w:color="auto" w:fill="CFF0FC"/>
          </w:tcPr>
          <w:p>
            <w:pPr>
              <w:spacing w:after="0"/>
              <w:rPr>
                <w:sz w:val="11"/>
                <w:szCs w:val="11"/>
                <w:color w:val="auto"/>
              </w:rPr>
            </w:pPr>
          </w:p>
        </w:tc>
        <w:tc>
          <w:tcPr>
            <w:tcW w:w="2940" w:type="dxa"/>
            <w:vAlign w:val="bottom"/>
            <w:tcBorders>
              <w:bottom w:val="single" w:sz="8" w:color="CFF0FC"/>
            </w:tcBorders>
            <w:gridSpan w:val="2"/>
            <w:vMerge w:val="continue"/>
            <w:shd w:val="clear" w:color="auto" w:fill="CFF0FC"/>
          </w:tcPr>
          <w:p>
            <w:pPr>
              <w:spacing w:after="0"/>
              <w:rPr>
                <w:sz w:val="11"/>
                <w:szCs w:val="11"/>
                <w:color w:val="auto"/>
              </w:rPr>
            </w:pPr>
          </w:p>
        </w:tc>
        <w:tc>
          <w:tcPr>
            <w:tcW w:w="1120" w:type="dxa"/>
            <w:vAlign w:val="bottom"/>
            <w:tcBorders>
              <w:bottom w:val="single" w:sz="8" w:color="CFF0FC"/>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2/14/2020</w:t>
            </w:r>
          </w:p>
        </w:tc>
        <w:tc>
          <w:tcPr>
            <w:tcW w:w="120" w:type="dxa"/>
            <w:vAlign w:val="bottom"/>
            <w:tcBorders>
              <w:bottom w:val="single" w:sz="8" w:color="CFF0FC"/>
            </w:tcBorders>
            <w:shd w:val="clear" w:color="auto" w:fill="CFF0FC"/>
          </w:tcPr>
          <w:p>
            <w:pPr>
              <w:spacing w:after="0"/>
              <w:rPr>
                <w:sz w:val="11"/>
                <w:szCs w:val="11"/>
                <w:color w:val="auto"/>
              </w:rPr>
            </w:pPr>
          </w:p>
        </w:tc>
        <w:tc>
          <w:tcPr>
            <w:tcW w:w="1000" w:type="dxa"/>
            <w:vAlign w:val="bottom"/>
            <w:tcBorders>
              <w:bottom w:val="single" w:sz="8" w:color="CFF0FC"/>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990,000</w:t>
            </w:r>
          </w:p>
        </w:tc>
        <w:tc>
          <w:tcPr>
            <w:tcW w:w="240" w:type="dxa"/>
            <w:vAlign w:val="bottom"/>
            <w:tcBorders>
              <w:bottom w:val="single" w:sz="8" w:color="CFF0FC"/>
            </w:tcBorders>
            <w:shd w:val="clear" w:color="auto" w:fill="CFF0FC"/>
          </w:tcPr>
          <w:p>
            <w:pPr>
              <w:spacing w:after="0"/>
              <w:rPr>
                <w:sz w:val="11"/>
                <w:szCs w:val="11"/>
                <w:color w:val="auto"/>
              </w:rPr>
            </w:pPr>
          </w:p>
        </w:tc>
        <w:tc>
          <w:tcPr>
            <w:tcW w:w="980" w:type="dxa"/>
            <w:vAlign w:val="bottom"/>
            <w:tcBorders>
              <w:bottom w:val="single" w:sz="8" w:color="CFF0FC"/>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986,074</w:t>
            </w:r>
          </w:p>
        </w:tc>
        <w:tc>
          <w:tcPr>
            <w:tcW w:w="240" w:type="dxa"/>
            <w:vAlign w:val="bottom"/>
            <w:tcBorders>
              <w:bottom w:val="single" w:sz="8" w:color="CFF0FC"/>
            </w:tcBorders>
            <w:shd w:val="clear" w:color="auto" w:fill="CFF0FC"/>
          </w:tcPr>
          <w:p>
            <w:pPr>
              <w:spacing w:after="0"/>
              <w:rPr>
                <w:sz w:val="11"/>
                <w:szCs w:val="11"/>
                <w:color w:val="auto"/>
              </w:rPr>
            </w:pPr>
          </w:p>
        </w:tc>
        <w:tc>
          <w:tcPr>
            <w:tcW w:w="1000" w:type="dxa"/>
            <w:vAlign w:val="bottom"/>
            <w:tcBorders>
              <w:bottom w:val="single" w:sz="8" w:color="CFF0FC"/>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990,000</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620" w:type="dxa"/>
            <w:vAlign w:val="bottom"/>
            <w:shd w:val="clear" w:color="auto" w:fill="CFF0FC"/>
          </w:tcPr>
          <w:p>
            <w:pPr>
              <w:spacing w:after="0"/>
              <w:rPr>
                <w:sz w:val="20"/>
                <w:szCs w:val="20"/>
                <w:color w:val="auto"/>
              </w:rPr>
            </w:pPr>
            <w:r>
              <w:rPr>
                <w:rFonts w:ascii="Arial" w:cs="Arial" w:eastAsia="Arial" w:hAnsi="Arial"/>
                <w:sz w:val="13"/>
                <w:szCs w:val="13"/>
                <w:color w:val="auto"/>
              </w:rPr>
              <w:t>Electronics for Imaging, Inc.</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(8)(14)</w:t>
            </w:r>
          </w:p>
        </w:tc>
        <w:tc>
          <w:tcPr>
            <w:tcW w:w="3220" w:type="dxa"/>
            <w:vAlign w:val="bottom"/>
            <w:gridSpan w:val="3"/>
            <w:vMerge w:val="restart"/>
            <w:shd w:val="clear" w:color="auto" w:fill="CFF0FC"/>
          </w:tcPr>
          <w:p>
            <w:pPr>
              <w:spacing w:after="0"/>
              <w:rPr>
                <w:sz w:val="20"/>
                <w:szCs w:val="20"/>
                <w:color w:val="auto"/>
              </w:rPr>
            </w:pPr>
            <w:r>
              <w:rPr>
                <w:rFonts w:ascii="Arial" w:cs="Arial" w:eastAsia="Arial" w:hAnsi="Arial"/>
                <w:sz w:val="13"/>
                <w:szCs w:val="13"/>
                <w:color w:val="auto"/>
              </w:rPr>
              <w:t>Senior Secured Loan — First Lien Term Loan</w:t>
            </w:r>
          </w:p>
        </w:tc>
        <w:tc>
          <w:tcPr>
            <w:tcW w:w="1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620" w:type="dxa"/>
            <w:vAlign w:val="bottom"/>
            <w:shd w:val="clear" w:color="auto" w:fill="CFF0FC"/>
          </w:tcPr>
          <w:p>
            <w:pPr>
              <w:spacing w:after="0"/>
              <w:rPr>
                <w:sz w:val="3"/>
                <w:szCs w:val="3"/>
                <w:color w:val="auto"/>
              </w:rPr>
            </w:pPr>
          </w:p>
        </w:tc>
        <w:tc>
          <w:tcPr>
            <w:tcW w:w="600" w:type="dxa"/>
            <w:vAlign w:val="bottom"/>
            <w:shd w:val="clear" w:color="auto" w:fill="CFF0FC"/>
          </w:tcPr>
          <w:p>
            <w:pPr>
              <w:spacing w:after="0"/>
              <w:rPr>
                <w:sz w:val="3"/>
                <w:szCs w:val="3"/>
                <w:color w:val="auto"/>
              </w:rPr>
            </w:pPr>
          </w:p>
        </w:tc>
        <w:tc>
          <w:tcPr>
            <w:tcW w:w="3220" w:type="dxa"/>
            <w:vAlign w:val="bottom"/>
            <w:gridSpan w:val="3"/>
            <w:vMerge w:val="continue"/>
            <w:shd w:val="clear" w:color="auto" w:fill="CFF0FC"/>
          </w:tcPr>
          <w:p>
            <w:pPr>
              <w:spacing w:after="0"/>
              <w:rPr>
                <w:sz w:val="3"/>
                <w:szCs w:val="3"/>
                <w:color w:val="auto"/>
              </w:rPr>
            </w:pPr>
          </w:p>
        </w:tc>
        <w:tc>
          <w:tcPr>
            <w:tcW w:w="1120" w:type="dxa"/>
            <w:vAlign w:val="bottom"/>
            <w:shd w:val="clear" w:color="auto" w:fill="CFF0FC"/>
          </w:tcPr>
          <w:p>
            <w:pPr>
              <w:spacing w:after="0"/>
              <w:rPr>
                <w:sz w:val="3"/>
                <w:szCs w:val="3"/>
                <w:color w:val="auto"/>
              </w:rPr>
            </w:pPr>
          </w:p>
        </w:tc>
        <w:tc>
          <w:tcPr>
            <w:tcW w:w="120" w:type="dxa"/>
            <w:vAlign w:val="bottom"/>
            <w:shd w:val="clear" w:color="auto" w:fill="CFF0FC"/>
          </w:tcPr>
          <w:p>
            <w:pPr>
              <w:spacing w:after="0"/>
              <w:rPr>
                <w:sz w:val="3"/>
                <w:szCs w:val="3"/>
                <w:color w:val="auto"/>
              </w:rPr>
            </w:pPr>
          </w:p>
        </w:tc>
        <w:tc>
          <w:tcPr>
            <w:tcW w:w="1000" w:type="dxa"/>
            <w:vAlign w:val="bottom"/>
            <w:shd w:val="clear" w:color="auto" w:fill="CFF0FC"/>
          </w:tcPr>
          <w:p>
            <w:pPr>
              <w:spacing w:after="0"/>
              <w:rPr>
                <w:sz w:val="3"/>
                <w:szCs w:val="3"/>
                <w:color w:val="auto"/>
              </w:rPr>
            </w:pPr>
          </w:p>
        </w:tc>
        <w:tc>
          <w:tcPr>
            <w:tcW w:w="240" w:type="dxa"/>
            <w:vAlign w:val="bottom"/>
            <w:shd w:val="clear" w:color="auto" w:fill="CFF0FC"/>
          </w:tcPr>
          <w:p>
            <w:pPr>
              <w:spacing w:after="0"/>
              <w:rPr>
                <w:sz w:val="3"/>
                <w:szCs w:val="3"/>
                <w:color w:val="auto"/>
              </w:rPr>
            </w:pPr>
          </w:p>
        </w:tc>
        <w:tc>
          <w:tcPr>
            <w:tcW w:w="980" w:type="dxa"/>
            <w:vAlign w:val="bottom"/>
            <w:shd w:val="clear" w:color="auto" w:fill="CFF0FC"/>
          </w:tcPr>
          <w:p>
            <w:pPr>
              <w:spacing w:after="0"/>
              <w:rPr>
                <w:sz w:val="3"/>
                <w:szCs w:val="3"/>
                <w:color w:val="auto"/>
              </w:rPr>
            </w:pPr>
          </w:p>
        </w:tc>
        <w:tc>
          <w:tcPr>
            <w:tcW w:w="240" w:type="dxa"/>
            <w:vAlign w:val="bottom"/>
            <w:shd w:val="clear" w:color="auto" w:fill="CFF0FC"/>
          </w:tcPr>
          <w:p>
            <w:pPr>
              <w:spacing w:after="0"/>
              <w:rPr>
                <w:sz w:val="3"/>
                <w:szCs w:val="3"/>
                <w:color w:val="auto"/>
              </w:rPr>
            </w:pPr>
          </w:p>
        </w:tc>
        <w:tc>
          <w:tcPr>
            <w:tcW w:w="1000" w:type="dxa"/>
            <w:vAlign w:val="bottom"/>
            <w:shd w:val="clear" w:color="auto" w:fill="CFF0FC"/>
          </w:tcPr>
          <w:p>
            <w:pPr>
              <w:spacing w:after="0"/>
              <w:rPr>
                <w:sz w:val="3"/>
                <w:szCs w:val="3"/>
                <w:color w:val="auto"/>
              </w:rPr>
            </w:pPr>
          </w:p>
        </w:tc>
        <w:tc>
          <w:tcPr>
            <w:tcW w:w="100" w:type="dxa"/>
            <w:vAlign w:val="bottom"/>
            <w:shd w:val="clear" w:color="auto" w:fill="CFF0FC"/>
          </w:tcPr>
          <w:p>
            <w:pPr>
              <w:spacing w:after="0"/>
              <w:rPr>
                <w:sz w:val="3"/>
                <w:szCs w:val="3"/>
                <w:color w:val="auto"/>
              </w:rPr>
            </w:pPr>
          </w:p>
        </w:tc>
        <w:tc>
          <w:tcPr>
            <w:tcW w:w="0" w:type="dxa"/>
            <w:vAlign w:val="bottom"/>
          </w:tcPr>
          <w:p>
            <w:pPr>
              <w:spacing w:after="0"/>
              <w:rPr>
                <w:sz w:val="1"/>
                <w:szCs w:val="1"/>
                <w:color w:val="auto"/>
              </w:rPr>
            </w:pPr>
          </w:p>
        </w:tc>
      </w:tr>
      <w:tr>
        <w:trPr>
          <w:trHeight w:val="197"/>
        </w:trPr>
        <w:tc>
          <w:tcPr>
            <w:tcW w:w="26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3"/>
                <w:szCs w:val="13"/>
                <w:color w:val="auto"/>
              </w:rPr>
              <w:t>Electronics</w:t>
            </w:r>
          </w:p>
        </w:tc>
        <w:tc>
          <w:tcPr>
            <w:tcW w:w="6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3"/>
                <w:szCs w:val="13"/>
                <w:color w:val="auto"/>
                <w:w w:val="87"/>
              </w:rPr>
              <w:t>5.1%</w:t>
            </w:r>
          </w:p>
        </w:tc>
        <w:tc>
          <w:tcPr>
            <w:tcW w:w="294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3"/>
                <w:szCs w:val="13"/>
                <w:color w:val="auto"/>
              </w:rPr>
              <w:t>Cash, 1 Month Libor (0.11%) + 5.00% , Due 7/26</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2,176,225</w:t>
            </w:r>
          </w:p>
        </w:tc>
        <w:tc>
          <w:tcPr>
            <w:tcW w:w="24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1,659,030</w:t>
            </w:r>
          </w:p>
        </w:tc>
        <w:tc>
          <w:tcPr>
            <w:tcW w:w="24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2,054,977</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620" w:type="dxa"/>
            <w:vAlign w:val="bottom"/>
            <w:shd w:val="clear" w:color="auto" w:fill="CFF0FC"/>
          </w:tcPr>
          <w:p>
            <w:pPr>
              <w:spacing w:after="0"/>
              <w:rPr>
                <w:sz w:val="20"/>
                <w:szCs w:val="20"/>
                <w:color w:val="auto"/>
              </w:rPr>
            </w:pPr>
            <w:r>
              <w:rPr>
                <w:rFonts w:ascii="Arial" w:cs="Arial" w:eastAsia="Arial" w:hAnsi="Arial"/>
                <w:sz w:val="13"/>
                <w:szCs w:val="13"/>
                <w:color w:val="auto"/>
              </w:rPr>
              <w:t>ELO Touch Solutions, Inc.</w:t>
            </w:r>
          </w:p>
        </w:tc>
        <w:tc>
          <w:tcPr>
            <w:tcW w:w="600" w:type="dxa"/>
            <w:vAlign w:val="bottom"/>
            <w:shd w:val="clear" w:color="auto" w:fill="CFF0FC"/>
          </w:tcPr>
          <w:p>
            <w:pPr>
              <w:spacing w:after="0"/>
              <w:rPr>
                <w:sz w:val="20"/>
                <w:szCs w:val="20"/>
                <w:color w:val="auto"/>
              </w:rPr>
            </w:pPr>
            <w:r>
              <w:rPr>
                <w:rFonts w:ascii="Arial" w:cs="Arial" w:eastAsia="Arial" w:hAnsi="Arial"/>
                <w:sz w:val="11"/>
                <w:szCs w:val="11"/>
                <w:color w:val="auto"/>
              </w:rPr>
              <w:t>(8)(13)(14)</w:t>
            </w:r>
          </w:p>
        </w:tc>
        <w:tc>
          <w:tcPr>
            <w:tcW w:w="3220" w:type="dxa"/>
            <w:vAlign w:val="bottom"/>
            <w:gridSpan w:val="3"/>
            <w:shd w:val="clear" w:color="auto" w:fill="CFF0FC"/>
          </w:tcPr>
          <w:p>
            <w:pPr>
              <w:spacing w:after="0"/>
              <w:rPr>
                <w:sz w:val="20"/>
                <w:szCs w:val="20"/>
                <w:color w:val="auto"/>
              </w:rPr>
            </w:pPr>
            <w:r>
              <w:rPr>
                <w:rFonts w:ascii="Arial" w:cs="Arial" w:eastAsia="Arial" w:hAnsi="Arial"/>
                <w:sz w:val="13"/>
                <w:szCs w:val="13"/>
                <w:color w:val="auto"/>
              </w:rPr>
              <w:t>Senior Secured Loan — First Lien Term Loan</w:t>
            </w:r>
          </w:p>
        </w:tc>
        <w:tc>
          <w:tcPr>
            <w:tcW w:w="1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620" w:type="dxa"/>
            <w:vAlign w:val="bottom"/>
            <w:vMerge w:val="restart"/>
            <w:shd w:val="clear" w:color="auto" w:fill="CFF0FC"/>
          </w:tcPr>
          <w:p>
            <w:pPr>
              <w:ind w:left="200"/>
              <w:spacing w:after="0"/>
              <w:rPr>
                <w:sz w:val="20"/>
                <w:szCs w:val="20"/>
                <w:color w:val="auto"/>
              </w:rPr>
            </w:pPr>
            <w:r>
              <w:rPr>
                <w:rFonts w:ascii="Arial" w:cs="Arial" w:eastAsia="Arial" w:hAnsi="Arial"/>
                <w:sz w:val="13"/>
                <w:szCs w:val="13"/>
                <w:color w:val="auto"/>
              </w:rPr>
              <w:t>High Tech Industries</w:t>
            </w:r>
          </w:p>
        </w:tc>
        <w:tc>
          <w:tcPr>
            <w:tcW w:w="6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20"/>
                <w:szCs w:val="20"/>
                <w:color w:val="auto"/>
              </w:rPr>
            </w:pPr>
            <w:r>
              <w:rPr>
                <w:rFonts w:ascii="Arial" w:cs="Arial" w:eastAsia="Arial" w:hAnsi="Arial"/>
                <w:sz w:val="13"/>
                <w:szCs w:val="13"/>
                <w:color w:val="auto"/>
                <w:w w:val="87"/>
              </w:rPr>
              <w:t>6.6%</w:t>
            </w:r>
          </w:p>
        </w:tc>
        <w:tc>
          <w:tcPr>
            <w:tcW w:w="294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Cash, 1 Month Libor (0.11%) + 6.50% , Due 12/25</w:t>
            </w: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3"/>
                <w:szCs w:val="13"/>
                <w:color w:val="auto"/>
              </w:rPr>
            </w:pP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2,613,437</w:t>
            </w:r>
          </w:p>
        </w:tc>
        <w:tc>
          <w:tcPr>
            <w:tcW w:w="240" w:type="dxa"/>
            <w:vAlign w:val="bottom"/>
            <w:shd w:val="clear" w:color="auto" w:fill="CFF0FC"/>
          </w:tcPr>
          <w:p>
            <w:pPr>
              <w:spacing w:after="0"/>
              <w:rPr>
                <w:sz w:val="13"/>
                <w:szCs w:val="13"/>
                <w:color w:val="auto"/>
              </w:rPr>
            </w:pP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2,242,454</w:t>
            </w:r>
          </w:p>
        </w:tc>
        <w:tc>
          <w:tcPr>
            <w:tcW w:w="240" w:type="dxa"/>
            <w:vAlign w:val="bottom"/>
            <w:shd w:val="clear" w:color="auto" w:fill="CFF0FC"/>
          </w:tcPr>
          <w:p>
            <w:pPr>
              <w:spacing w:after="0"/>
              <w:rPr>
                <w:sz w:val="13"/>
                <w:szCs w:val="13"/>
                <w:color w:val="auto"/>
              </w:rPr>
            </w:pP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2,572,145</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57"/>
        </w:trPr>
        <w:tc>
          <w:tcPr>
            <w:tcW w:w="2620" w:type="dxa"/>
            <w:vAlign w:val="bottom"/>
            <w:vMerge w:val="continue"/>
            <w:shd w:val="clear" w:color="auto" w:fill="CFF0FC"/>
          </w:tcPr>
          <w:p>
            <w:pPr>
              <w:spacing w:after="0"/>
              <w:rPr>
                <w:sz w:val="4"/>
                <w:szCs w:val="4"/>
                <w:color w:val="auto"/>
              </w:rPr>
            </w:pPr>
          </w:p>
        </w:tc>
        <w:tc>
          <w:tcPr>
            <w:tcW w:w="600" w:type="dxa"/>
            <w:vAlign w:val="bottom"/>
            <w:shd w:val="clear" w:color="auto" w:fill="CFF0FC"/>
          </w:tcPr>
          <w:p>
            <w:pPr>
              <w:spacing w:after="0"/>
              <w:rPr>
                <w:sz w:val="4"/>
                <w:szCs w:val="4"/>
                <w:color w:val="auto"/>
              </w:rPr>
            </w:pPr>
          </w:p>
        </w:tc>
        <w:tc>
          <w:tcPr>
            <w:tcW w:w="280" w:type="dxa"/>
            <w:vAlign w:val="bottom"/>
            <w:shd w:val="clear" w:color="auto" w:fill="CFF0FC"/>
          </w:tcPr>
          <w:p>
            <w:pPr>
              <w:spacing w:after="0"/>
              <w:rPr>
                <w:sz w:val="4"/>
                <w:szCs w:val="4"/>
                <w:color w:val="auto"/>
              </w:rPr>
            </w:pPr>
          </w:p>
        </w:tc>
        <w:tc>
          <w:tcPr>
            <w:tcW w:w="2820" w:type="dxa"/>
            <w:vAlign w:val="bottom"/>
            <w:shd w:val="clear" w:color="auto" w:fill="CFF0FC"/>
          </w:tcPr>
          <w:p>
            <w:pPr>
              <w:spacing w:after="0"/>
              <w:rPr>
                <w:sz w:val="4"/>
                <w:szCs w:val="4"/>
                <w:color w:val="auto"/>
              </w:rPr>
            </w:pPr>
          </w:p>
        </w:tc>
        <w:tc>
          <w:tcPr>
            <w:tcW w:w="120" w:type="dxa"/>
            <w:vAlign w:val="bottom"/>
            <w:shd w:val="clear" w:color="auto" w:fill="CFF0FC"/>
          </w:tcPr>
          <w:p>
            <w:pPr>
              <w:spacing w:after="0"/>
              <w:rPr>
                <w:sz w:val="4"/>
                <w:szCs w:val="4"/>
                <w:color w:val="auto"/>
              </w:rPr>
            </w:pPr>
          </w:p>
        </w:tc>
        <w:tc>
          <w:tcPr>
            <w:tcW w:w="1120" w:type="dxa"/>
            <w:vAlign w:val="bottom"/>
            <w:vMerge w:val="continue"/>
            <w:shd w:val="clear" w:color="auto" w:fill="CFF0FC"/>
          </w:tcPr>
          <w:p>
            <w:pPr>
              <w:spacing w:after="0"/>
              <w:rPr>
                <w:sz w:val="4"/>
                <w:szCs w:val="4"/>
                <w:color w:val="auto"/>
              </w:rPr>
            </w:pPr>
          </w:p>
        </w:tc>
        <w:tc>
          <w:tcPr>
            <w:tcW w:w="120" w:type="dxa"/>
            <w:vAlign w:val="bottom"/>
            <w:shd w:val="clear" w:color="auto" w:fill="CFF0FC"/>
          </w:tcPr>
          <w:p>
            <w:pPr>
              <w:spacing w:after="0"/>
              <w:rPr>
                <w:sz w:val="4"/>
                <w:szCs w:val="4"/>
                <w:color w:val="auto"/>
              </w:rPr>
            </w:pPr>
          </w:p>
        </w:tc>
        <w:tc>
          <w:tcPr>
            <w:tcW w:w="1000" w:type="dxa"/>
            <w:vAlign w:val="bottom"/>
            <w:vMerge w:val="continue"/>
            <w:shd w:val="clear" w:color="auto" w:fill="CFF0FC"/>
          </w:tcPr>
          <w:p>
            <w:pPr>
              <w:spacing w:after="0"/>
              <w:rPr>
                <w:sz w:val="4"/>
                <w:szCs w:val="4"/>
                <w:color w:val="auto"/>
              </w:rPr>
            </w:pPr>
          </w:p>
        </w:tc>
        <w:tc>
          <w:tcPr>
            <w:tcW w:w="240" w:type="dxa"/>
            <w:vAlign w:val="bottom"/>
            <w:shd w:val="clear" w:color="auto" w:fill="CFF0FC"/>
          </w:tcPr>
          <w:p>
            <w:pPr>
              <w:spacing w:after="0"/>
              <w:rPr>
                <w:sz w:val="4"/>
                <w:szCs w:val="4"/>
                <w:color w:val="auto"/>
              </w:rPr>
            </w:pPr>
          </w:p>
        </w:tc>
        <w:tc>
          <w:tcPr>
            <w:tcW w:w="980" w:type="dxa"/>
            <w:vAlign w:val="bottom"/>
            <w:vMerge w:val="continue"/>
            <w:shd w:val="clear" w:color="auto" w:fill="CFF0FC"/>
          </w:tcPr>
          <w:p>
            <w:pPr>
              <w:spacing w:after="0"/>
              <w:rPr>
                <w:sz w:val="4"/>
                <w:szCs w:val="4"/>
                <w:color w:val="auto"/>
              </w:rPr>
            </w:pPr>
          </w:p>
        </w:tc>
        <w:tc>
          <w:tcPr>
            <w:tcW w:w="240" w:type="dxa"/>
            <w:vAlign w:val="bottom"/>
            <w:shd w:val="clear" w:color="auto" w:fill="CFF0FC"/>
          </w:tcPr>
          <w:p>
            <w:pPr>
              <w:spacing w:after="0"/>
              <w:rPr>
                <w:sz w:val="4"/>
                <w:szCs w:val="4"/>
                <w:color w:val="auto"/>
              </w:rPr>
            </w:pPr>
          </w:p>
        </w:tc>
        <w:tc>
          <w:tcPr>
            <w:tcW w:w="1000" w:type="dxa"/>
            <w:vAlign w:val="bottom"/>
            <w:vMerge w:val="continue"/>
            <w:shd w:val="clear" w:color="auto" w:fill="CFF0FC"/>
          </w:tcPr>
          <w:p>
            <w:pPr>
              <w:spacing w:after="0"/>
              <w:rPr>
                <w:sz w:val="4"/>
                <w:szCs w:val="4"/>
                <w:color w:val="auto"/>
              </w:rPr>
            </w:pPr>
          </w:p>
        </w:tc>
        <w:tc>
          <w:tcPr>
            <w:tcW w:w="100" w:type="dxa"/>
            <w:vAlign w:val="bottom"/>
            <w:shd w:val="clear" w:color="auto" w:fill="CFF0FC"/>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12" w:name="page13"/>
    <w:bookmarkEnd w:id="12"/>
    <w:p>
      <w:pPr>
        <w:spacing w:after="0" w:line="14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Portfolio Company /</w:t>
      </w:r>
    </w:p>
    <w:p>
      <w:pPr>
        <w:spacing w:after="0"/>
        <w:rPr>
          <w:sz w:val="20"/>
          <w:szCs w:val="20"/>
          <w:color w:val="auto"/>
        </w:rPr>
      </w:pPr>
      <w:r>
        <w:rPr>
          <w:rFonts w:ascii="Arial" w:cs="Arial" w:eastAsia="Arial" w:hAnsi="Arial"/>
          <w:sz w:val="13"/>
          <w:szCs w:val="13"/>
          <w:b w:val="1"/>
          <w:bCs w:val="1"/>
          <w:color w:val="auto"/>
        </w:rPr>
        <w:t>Principal Business</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auto"/>
        </w:rPr>
        <w:t>Emtec, Inc.</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3"/>
          <w:szCs w:val="13"/>
          <w:color w:val="auto"/>
        </w:rPr>
        <w:t>Services: Business</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Emtec, Inc.</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3"/>
          <w:szCs w:val="13"/>
          <w:color w:val="auto"/>
        </w:rPr>
        <w:t>Services: Business</w:t>
      </w:r>
    </w:p>
    <w:p>
      <w:pPr>
        <w:spacing w:after="0" w:line="143" w:lineRule="exact"/>
        <w:rPr>
          <w:sz w:val="20"/>
          <w:szCs w:val="20"/>
          <w:color w:val="auto"/>
        </w:rPr>
      </w:pPr>
    </w:p>
    <w:p>
      <w:pPr>
        <w:spacing w:after="0"/>
        <w:rPr>
          <w:sz w:val="20"/>
          <w:szCs w:val="20"/>
          <w:color w:val="auto"/>
        </w:rPr>
      </w:pPr>
      <w:r>
        <w:rPr>
          <w:rFonts w:ascii="Arial" w:cs="Arial" w:eastAsia="Arial" w:hAnsi="Arial"/>
          <w:sz w:val="13"/>
          <w:szCs w:val="13"/>
          <w:color w:val="auto"/>
        </w:rPr>
        <w:t>Energy Acquisition Lp</w:t>
      </w:r>
    </w:p>
    <w:p>
      <w:pPr>
        <w:ind w:left="160"/>
        <w:spacing w:after="0"/>
        <w:rPr>
          <w:sz w:val="20"/>
          <w:szCs w:val="20"/>
          <w:color w:val="auto"/>
        </w:rPr>
      </w:pPr>
      <w:r>
        <w:rPr>
          <w:rFonts w:ascii="Arial" w:cs="Arial" w:eastAsia="Arial" w:hAnsi="Arial"/>
          <w:sz w:val="13"/>
          <w:szCs w:val="13"/>
          <w:color w:val="auto"/>
        </w:rPr>
        <w:t>Electronics</w:t>
      </w:r>
    </w:p>
    <w:p>
      <w:pPr>
        <w:spacing w:after="0" w:line="133" w:lineRule="exact"/>
        <w:rPr>
          <w:sz w:val="20"/>
          <w:szCs w:val="20"/>
          <w:color w:val="auto"/>
        </w:rPr>
      </w:pPr>
    </w:p>
    <w:p>
      <w:pPr>
        <w:spacing w:after="0"/>
        <w:rPr>
          <w:sz w:val="20"/>
          <w:szCs w:val="20"/>
          <w:color w:val="auto"/>
        </w:rPr>
      </w:pPr>
      <w:r>
        <w:rPr>
          <w:rFonts w:ascii="Arial" w:cs="Arial" w:eastAsia="Arial" w:hAnsi="Arial"/>
          <w:sz w:val="13"/>
          <w:szCs w:val="13"/>
          <w:color w:val="auto"/>
        </w:rPr>
        <w:t>Ensono, LP</w:t>
      </w:r>
    </w:p>
    <w:p>
      <w:pPr>
        <w:ind w:left="160"/>
        <w:spacing w:after="0"/>
        <w:rPr>
          <w:sz w:val="20"/>
          <w:szCs w:val="20"/>
          <w:color w:val="auto"/>
        </w:rPr>
      </w:pPr>
      <w:r>
        <w:rPr>
          <w:rFonts w:ascii="Arial" w:cs="Arial" w:eastAsia="Arial" w:hAnsi="Arial"/>
          <w:sz w:val="13"/>
          <w:szCs w:val="13"/>
          <w:color w:val="auto"/>
        </w:rPr>
        <w:t>Telecommunications</w:t>
      </w:r>
    </w:p>
    <w:p>
      <w:pPr>
        <w:spacing w:after="0" w:line="138" w:lineRule="exact"/>
        <w:rPr>
          <w:sz w:val="20"/>
          <w:szCs w:val="20"/>
          <w:color w:val="auto"/>
        </w:rPr>
      </w:pPr>
    </w:p>
    <w:p>
      <w:pPr>
        <w:spacing w:after="0"/>
        <w:rPr>
          <w:sz w:val="20"/>
          <w:szCs w:val="20"/>
          <w:color w:val="auto"/>
        </w:rPr>
      </w:pPr>
      <w:r>
        <w:rPr>
          <w:rFonts w:ascii="Arial" w:cs="Arial" w:eastAsia="Arial" w:hAnsi="Arial"/>
          <w:sz w:val="12"/>
          <w:szCs w:val="12"/>
          <w:color w:val="auto"/>
        </w:rPr>
        <w:t>Evergreen North America Acquisition, LLC</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13"/>
          <w:szCs w:val="13"/>
          <w:color w:val="auto"/>
        </w:rPr>
        <w:t>Environmental Industries</w:t>
      </w:r>
    </w:p>
    <w:p>
      <w:pPr>
        <w:spacing w:after="0" w:line="143" w:lineRule="exact"/>
        <w:rPr>
          <w:sz w:val="20"/>
          <w:szCs w:val="20"/>
          <w:color w:val="auto"/>
        </w:rPr>
      </w:pPr>
    </w:p>
    <w:p>
      <w:pPr>
        <w:spacing w:after="0"/>
        <w:rPr>
          <w:sz w:val="20"/>
          <w:szCs w:val="20"/>
          <w:color w:val="auto"/>
        </w:rPr>
      </w:pPr>
      <w:r>
        <w:rPr>
          <w:rFonts w:ascii="Arial" w:cs="Arial" w:eastAsia="Arial" w:hAnsi="Arial"/>
          <w:sz w:val="13"/>
          <w:szCs w:val="13"/>
          <w:color w:val="auto"/>
        </w:rPr>
        <w:t>Firstlight Holdco Inc.</w:t>
      </w:r>
    </w:p>
    <w:p>
      <w:pPr>
        <w:ind w:left="160"/>
        <w:spacing w:after="0"/>
        <w:rPr>
          <w:sz w:val="20"/>
          <w:szCs w:val="20"/>
          <w:color w:val="auto"/>
        </w:rPr>
      </w:pPr>
      <w:r>
        <w:rPr>
          <w:rFonts w:ascii="Arial" w:cs="Arial" w:eastAsia="Arial" w:hAnsi="Arial"/>
          <w:sz w:val="13"/>
          <w:szCs w:val="13"/>
          <w:color w:val="auto"/>
        </w:rPr>
        <w:t>Telecommunications</w:t>
      </w:r>
    </w:p>
    <w:p>
      <w:pPr>
        <w:spacing w:after="0" w:line="133" w:lineRule="exact"/>
        <w:rPr>
          <w:sz w:val="20"/>
          <w:szCs w:val="20"/>
          <w:color w:val="auto"/>
        </w:rPr>
      </w:pPr>
    </w:p>
    <w:p>
      <w:pPr>
        <w:spacing w:after="0"/>
        <w:rPr>
          <w:sz w:val="20"/>
          <w:szCs w:val="20"/>
          <w:color w:val="auto"/>
        </w:rPr>
      </w:pPr>
      <w:r>
        <w:rPr>
          <w:rFonts w:ascii="Arial" w:cs="Arial" w:eastAsia="Arial" w:hAnsi="Arial"/>
          <w:sz w:val="13"/>
          <w:szCs w:val="13"/>
          <w:color w:val="auto"/>
        </w:rPr>
        <w:t>Geo Parent Corporation</w:t>
      </w:r>
    </w:p>
    <w:p>
      <w:pPr>
        <w:ind w:left="160"/>
        <w:spacing w:after="0"/>
        <w:rPr>
          <w:sz w:val="20"/>
          <w:szCs w:val="20"/>
          <w:color w:val="auto"/>
        </w:rPr>
      </w:pPr>
      <w:r>
        <w:rPr>
          <w:rFonts w:ascii="Arial" w:cs="Arial" w:eastAsia="Arial" w:hAnsi="Arial"/>
          <w:sz w:val="10"/>
          <w:szCs w:val="10"/>
          <w:color w:val="auto"/>
        </w:rPr>
        <w:t>Media: Advertising, Printing &amp; Publishing</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color w:val="auto"/>
        </w:rPr>
        <w:t>GI Revelation Acquisition LLC</w:t>
      </w:r>
    </w:p>
    <w:p>
      <w:pPr>
        <w:ind w:left="160"/>
        <w:spacing w:after="0"/>
        <w:rPr>
          <w:sz w:val="20"/>
          <w:szCs w:val="20"/>
          <w:color w:val="auto"/>
        </w:rPr>
      </w:pPr>
      <w:r>
        <w:rPr>
          <w:rFonts w:ascii="Arial" w:cs="Arial" w:eastAsia="Arial" w:hAnsi="Arial"/>
          <w:sz w:val="13"/>
          <w:szCs w:val="13"/>
          <w:color w:val="auto"/>
        </w:rPr>
        <w:t>Services: Business</w:t>
      </w:r>
    </w:p>
    <w:p>
      <w:pPr>
        <w:spacing w:after="0" w:line="138" w:lineRule="exact"/>
        <w:rPr>
          <w:sz w:val="20"/>
          <w:szCs w:val="20"/>
          <w:color w:val="auto"/>
        </w:rPr>
      </w:pPr>
    </w:p>
    <w:p>
      <w:pPr>
        <w:spacing w:after="0"/>
        <w:rPr>
          <w:sz w:val="20"/>
          <w:szCs w:val="20"/>
          <w:color w:val="auto"/>
        </w:rPr>
      </w:pPr>
      <w:r>
        <w:rPr>
          <w:rFonts w:ascii="Arial" w:cs="Arial" w:eastAsia="Arial" w:hAnsi="Arial"/>
          <w:sz w:val="13"/>
          <w:szCs w:val="13"/>
          <w:color w:val="auto"/>
        </w:rPr>
        <w:t>GK Holdings, Inc.</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3"/>
          <w:szCs w:val="13"/>
          <w:color w:val="auto"/>
        </w:rPr>
        <w:t>Services: Business</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Global Integrated Flooring Systems Inc.</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3"/>
          <w:szCs w:val="13"/>
          <w:color w:val="auto"/>
        </w:rPr>
        <w:t>Consumer goods: Durable</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Global Integrated Flooring Systems Inc.</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3"/>
          <w:szCs w:val="13"/>
          <w:color w:val="auto"/>
        </w:rPr>
        <w:t>Consumer goods: Durable</w:t>
      </w:r>
    </w:p>
    <w:p>
      <w:pPr>
        <w:spacing w:after="0" w:line="143" w:lineRule="exact"/>
        <w:rPr>
          <w:sz w:val="20"/>
          <w:szCs w:val="20"/>
          <w:color w:val="auto"/>
        </w:rPr>
      </w:pPr>
    </w:p>
    <w:p>
      <w:pPr>
        <w:spacing w:after="0"/>
        <w:rPr>
          <w:sz w:val="20"/>
          <w:szCs w:val="20"/>
          <w:color w:val="auto"/>
        </w:rPr>
      </w:pPr>
      <w:r>
        <w:rPr>
          <w:rFonts w:ascii="Arial" w:cs="Arial" w:eastAsia="Arial" w:hAnsi="Arial"/>
          <w:sz w:val="13"/>
          <w:szCs w:val="13"/>
          <w:color w:val="auto"/>
        </w:rPr>
        <w:t>Global Tel*Link Corporation</w:t>
      </w:r>
    </w:p>
    <w:p>
      <w:pPr>
        <w:ind w:left="160"/>
        <w:spacing w:after="0"/>
        <w:rPr>
          <w:sz w:val="20"/>
          <w:szCs w:val="20"/>
          <w:color w:val="auto"/>
        </w:rPr>
      </w:pPr>
      <w:r>
        <w:rPr>
          <w:rFonts w:ascii="Arial" w:cs="Arial" w:eastAsia="Arial" w:hAnsi="Arial"/>
          <w:sz w:val="13"/>
          <w:szCs w:val="13"/>
          <w:color w:val="auto"/>
        </w:rPr>
        <w:t>Telecommunications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Initial</w:t>
            </w: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780" w:type="dxa"/>
            <w:vAlign w:val="bottom"/>
            <w:gridSpan w:val="2"/>
          </w:tcPr>
          <w:p>
            <w:pPr>
              <w:ind w:left="880"/>
              <w:spacing w:after="0" w:line="135" w:lineRule="exact"/>
              <w:rPr>
                <w:sz w:val="20"/>
                <w:szCs w:val="20"/>
                <w:color w:val="auto"/>
              </w:rPr>
            </w:pPr>
            <w:r>
              <w:rPr>
                <w:rFonts w:ascii="Arial" w:cs="Arial" w:eastAsia="Arial" w:hAnsi="Arial"/>
                <w:sz w:val="13"/>
                <w:szCs w:val="13"/>
                <w:b w:val="1"/>
                <w:bCs w:val="1"/>
                <w:color w:val="auto"/>
              </w:rPr>
              <w:t>Investment</w:t>
            </w:r>
          </w:p>
        </w:tc>
        <w:tc>
          <w:tcPr>
            <w:tcW w:w="118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jc w:val="right"/>
              <w:ind w:right="480"/>
              <w:spacing w:after="0" w:line="135" w:lineRule="exact"/>
              <w:rPr>
                <w:sz w:val="20"/>
                <w:szCs w:val="20"/>
                <w:color w:val="auto"/>
              </w:rPr>
            </w:pPr>
            <w:r>
              <w:rPr>
                <w:rFonts w:ascii="Arial" w:cs="Arial" w:eastAsia="Arial" w:hAnsi="Arial"/>
                <w:sz w:val="13"/>
                <w:szCs w:val="13"/>
                <w:b w:val="1"/>
                <w:bCs w:val="1"/>
                <w:color w:val="auto"/>
              </w:rPr>
              <w:t>Amortized</w:t>
            </w:r>
          </w:p>
        </w:tc>
        <w:tc>
          <w:tcPr>
            <w:tcW w:w="1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640" w:type="dxa"/>
            <w:vAlign w:val="bottom"/>
            <w:tcBorders>
              <w:bottom w:val="single" w:sz="8" w:color="auto"/>
            </w:tcBorders>
          </w:tcPr>
          <w:p>
            <w:pPr>
              <w:ind w:left="460"/>
              <w:spacing w:after="0"/>
              <w:rPr>
                <w:sz w:val="20"/>
                <w:szCs w:val="20"/>
                <w:color w:val="auto"/>
              </w:rPr>
            </w:pPr>
            <w:r>
              <w:rPr>
                <w:rFonts w:ascii="Arial" w:cs="Arial" w:eastAsia="Arial" w:hAnsi="Arial"/>
                <w:sz w:val="13"/>
                <w:szCs w:val="13"/>
                <w:b w:val="1"/>
                <w:bCs w:val="1"/>
                <w:color w:val="auto"/>
              </w:rPr>
              <w:t>Interest Rate¹ / Maturity</w:t>
            </w:r>
            <w:r>
              <w:rPr>
                <w:rFonts w:ascii="Arial" w:cs="Arial" w:eastAsia="Arial" w:hAnsi="Arial"/>
                <w:sz w:val="10"/>
                <w:szCs w:val="10"/>
                <w:b w:val="1"/>
                <w:bCs w:val="1"/>
                <w:color w:val="auto"/>
              </w:rPr>
              <w:t>15</w:t>
            </w:r>
          </w:p>
        </w:tc>
        <w:tc>
          <w:tcPr>
            <w:tcW w:w="140" w:type="dxa"/>
            <w:vAlign w:val="bottom"/>
          </w:tcPr>
          <w:p>
            <w:pPr>
              <w:spacing w:after="0"/>
              <w:rPr>
                <w:sz w:val="13"/>
                <w:szCs w:val="13"/>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Date</w:t>
            </w:r>
          </w:p>
        </w:tc>
        <w:tc>
          <w:tcPr>
            <w:tcW w:w="140" w:type="dxa"/>
            <w:vAlign w:val="bottom"/>
          </w:tcPr>
          <w:p>
            <w:pPr>
              <w:spacing w:after="0"/>
              <w:rPr>
                <w:sz w:val="13"/>
                <w:szCs w:val="13"/>
                <w:color w:val="auto"/>
              </w:rPr>
            </w:pPr>
          </w:p>
        </w:tc>
        <w:tc>
          <w:tcPr>
            <w:tcW w:w="110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Principal</w:t>
            </w:r>
          </w:p>
        </w:tc>
        <w:tc>
          <w:tcPr>
            <w:tcW w:w="240" w:type="dxa"/>
            <w:vAlign w:val="bottom"/>
          </w:tcPr>
          <w:p>
            <w:pPr>
              <w:spacing w:after="0"/>
              <w:rPr>
                <w:sz w:val="13"/>
                <w:szCs w:val="13"/>
                <w:color w:val="auto"/>
              </w:rPr>
            </w:pPr>
          </w:p>
        </w:tc>
        <w:tc>
          <w:tcPr>
            <w:tcW w:w="100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b w:val="1"/>
                <w:bCs w:val="1"/>
                <w:color w:val="auto"/>
              </w:rPr>
              <w:t>Cost</w:t>
            </w:r>
          </w:p>
        </w:tc>
        <w:tc>
          <w:tcPr>
            <w:tcW w:w="260" w:type="dxa"/>
            <w:vAlign w:val="bottom"/>
          </w:tcPr>
          <w:p>
            <w:pPr>
              <w:spacing w:after="0"/>
              <w:rPr>
                <w:sz w:val="13"/>
                <w:szCs w:val="13"/>
                <w:color w:val="auto"/>
              </w:rPr>
            </w:pPr>
          </w:p>
        </w:tc>
        <w:tc>
          <w:tcPr>
            <w:tcW w:w="118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0"/>
                <w:szCs w:val="10"/>
                <w:b w:val="1"/>
                <w:bCs w:val="1"/>
                <w:color w:val="auto"/>
              </w:rPr>
              <w:t>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560" w:type="dxa"/>
            <w:vAlign w:val="bottom"/>
          </w:tcPr>
          <w:p>
            <w:pPr>
              <w:spacing w:after="0"/>
              <w:rPr>
                <w:sz w:val="20"/>
                <w:szCs w:val="20"/>
                <w:color w:val="auto"/>
              </w:rPr>
            </w:pPr>
            <w:r>
              <w:rPr>
                <w:rFonts w:ascii="Arial" w:cs="Arial" w:eastAsia="Arial" w:hAnsi="Arial"/>
                <w:sz w:val="11"/>
                <w:szCs w:val="11"/>
                <w:color w:val="auto"/>
              </w:rPr>
              <w:t>(8)(13)</w:t>
            </w:r>
          </w:p>
        </w:tc>
        <w:tc>
          <w:tcPr>
            <w:tcW w:w="3140" w:type="dxa"/>
            <w:vAlign w:val="bottom"/>
            <w:gridSpan w:val="4"/>
            <w:vMerge w:val="restart"/>
          </w:tcPr>
          <w:p>
            <w:pPr>
              <w:ind w:left="80"/>
              <w:spacing w:after="0"/>
              <w:rPr>
                <w:sz w:val="20"/>
                <w:szCs w:val="20"/>
                <w:color w:val="auto"/>
              </w:rPr>
            </w:pPr>
            <w:r>
              <w:rPr>
                <w:rFonts w:ascii="Arial" w:cs="Arial" w:eastAsia="Arial" w:hAnsi="Arial"/>
                <w:sz w:val="13"/>
                <w:szCs w:val="13"/>
                <w:color w:val="auto"/>
              </w:rPr>
              <w:t>Senior Secured Loan — First Lien Term Loan A</w:t>
            </w: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2"/>
        </w:trPr>
        <w:tc>
          <w:tcPr>
            <w:tcW w:w="560" w:type="dxa"/>
            <w:vAlign w:val="bottom"/>
          </w:tcPr>
          <w:p>
            <w:pPr>
              <w:spacing w:after="0"/>
              <w:rPr>
                <w:sz w:val="5"/>
                <w:szCs w:val="5"/>
                <w:color w:val="auto"/>
              </w:rPr>
            </w:pPr>
          </w:p>
        </w:tc>
        <w:tc>
          <w:tcPr>
            <w:tcW w:w="3140" w:type="dxa"/>
            <w:vAlign w:val="bottom"/>
            <w:gridSpan w:val="4"/>
            <w:vMerge w:val="continue"/>
          </w:tcPr>
          <w:p>
            <w:pPr>
              <w:spacing w:after="0"/>
              <w:rPr>
                <w:sz w:val="5"/>
                <w:szCs w:val="5"/>
                <w:color w:val="auto"/>
              </w:rPr>
            </w:pPr>
          </w:p>
        </w:tc>
        <w:tc>
          <w:tcPr>
            <w:tcW w:w="10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560" w:type="dxa"/>
            <w:vAlign w:val="bottom"/>
          </w:tcPr>
          <w:p>
            <w:pPr>
              <w:spacing w:after="0"/>
              <w:rPr>
                <w:sz w:val="13"/>
                <w:szCs w:val="13"/>
                <w:color w:val="auto"/>
              </w:rPr>
            </w:pPr>
          </w:p>
        </w:tc>
        <w:tc>
          <w:tcPr>
            <w:tcW w:w="360" w:type="dxa"/>
            <w:vAlign w:val="bottom"/>
            <w:gridSpan w:val="2"/>
          </w:tcPr>
          <w:p>
            <w:pPr>
              <w:ind w:left="80"/>
              <w:spacing w:after="0"/>
              <w:rPr>
                <w:sz w:val="20"/>
                <w:szCs w:val="20"/>
                <w:color w:val="auto"/>
              </w:rPr>
            </w:pPr>
            <w:r>
              <w:rPr>
                <w:rFonts w:ascii="Arial" w:cs="Arial" w:eastAsia="Arial" w:hAnsi="Arial"/>
                <w:sz w:val="13"/>
                <w:szCs w:val="13"/>
                <w:color w:val="auto"/>
                <w:w w:val="87"/>
              </w:rPr>
              <w:t>6.6%</w:t>
            </w:r>
          </w:p>
        </w:tc>
        <w:tc>
          <w:tcPr>
            <w:tcW w:w="2780" w:type="dxa"/>
            <w:vAlign w:val="bottom"/>
            <w:gridSpan w:val="2"/>
          </w:tcPr>
          <w:p>
            <w:pPr>
              <w:ind w:left="20"/>
              <w:spacing w:after="0"/>
              <w:rPr>
                <w:sz w:val="20"/>
                <w:szCs w:val="20"/>
                <w:color w:val="auto"/>
              </w:rPr>
            </w:pPr>
            <w:r>
              <w:rPr>
                <w:rFonts w:ascii="Arial" w:cs="Arial" w:eastAsia="Arial" w:hAnsi="Arial"/>
                <w:sz w:val="13"/>
                <w:szCs w:val="13"/>
                <w:color w:val="auto"/>
                <w:w w:val="97"/>
              </w:rPr>
              <w:t>Cash, 1 Month Libor (0.11%) + 6.50% , Due 8/21</w:t>
            </w: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10/28/2020</w:t>
            </w:r>
          </w:p>
        </w:tc>
        <w:tc>
          <w:tcPr>
            <w:tcW w:w="14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3"/>
                <w:szCs w:val="13"/>
                <w:color w:val="auto"/>
              </w:rPr>
              <w:t>2,395,175</w:t>
            </w:r>
          </w:p>
        </w:tc>
        <w:tc>
          <w:tcPr>
            <w:tcW w:w="24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2,233,990</w:t>
            </w:r>
          </w:p>
        </w:tc>
        <w:tc>
          <w:tcPr>
            <w:tcW w:w="26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3"/>
                <w:szCs w:val="13"/>
                <w:color w:val="auto"/>
              </w:rPr>
              <w:t>2,391,342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560" w:type="dxa"/>
            <w:vAlign w:val="bottom"/>
          </w:tcPr>
          <w:p>
            <w:pPr>
              <w:spacing w:after="0"/>
              <w:rPr>
                <w:sz w:val="20"/>
                <w:szCs w:val="20"/>
                <w:color w:val="auto"/>
              </w:rPr>
            </w:pPr>
            <w:r>
              <w:rPr>
                <w:rFonts w:ascii="Arial" w:cs="Arial" w:eastAsia="Arial" w:hAnsi="Arial"/>
                <w:sz w:val="11"/>
                <w:szCs w:val="11"/>
                <w:color w:val="auto"/>
              </w:rPr>
              <w:t>(5)(8)(13)</w:t>
            </w:r>
          </w:p>
        </w:tc>
        <w:tc>
          <w:tcPr>
            <w:tcW w:w="3140" w:type="dxa"/>
            <w:vAlign w:val="bottom"/>
            <w:gridSpan w:val="4"/>
            <w:vMerge w:val="restart"/>
          </w:tcPr>
          <w:p>
            <w:pPr>
              <w:ind w:left="80"/>
              <w:spacing w:after="0"/>
              <w:rPr>
                <w:sz w:val="20"/>
                <w:szCs w:val="20"/>
                <w:color w:val="auto"/>
              </w:rPr>
            </w:pPr>
            <w:r>
              <w:rPr>
                <w:rFonts w:ascii="Arial" w:cs="Arial" w:eastAsia="Arial" w:hAnsi="Arial"/>
                <w:sz w:val="13"/>
                <w:szCs w:val="13"/>
                <w:color w:val="auto"/>
                <w:w w:val="95"/>
              </w:rPr>
              <w:t>Senior Secured Loan — First Lien Term Loan B, 10.3%</w:t>
            </w: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
        </w:trPr>
        <w:tc>
          <w:tcPr>
            <w:tcW w:w="560" w:type="dxa"/>
            <w:vAlign w:val="bottom"/>
          </w:tcPr>
          <w:p>
            <w:pPr>
              <w:spacing w:after="0"/>
              <w:rPr>
                <w:sz w:val="5"/>
                <w:szCs w:val="5"/>
                <w:color w:val="auto"/>
              </w:rPr>
            </w:pPr>
          </w:p>
        </w:tc>
        <w:tc>
          <w:tcPr>
            <w:tcW w:w="3140" w:type="dxa"/>
            <w:vAlign w:val="bottom"/>
            <w:gridSpan w:val="4"/>
            <w:vMerge w:val="continue"/>
          </w:tcPr>
          <w:p>
            <w:pPr>
              <w:spacing w:after="0"/>
              <w:rPr>
                <w:sz w:val="5"/>
                <w:szCs w:val="5"/>
                <w:color w:val="auto"/>
              </w:rPr>
            </w:pPr>
          </w:p>
        </w:tc>
        <w:tc>
          <w:tcPr>
            <w:tcW w:w="10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560" w:type="dxa"/>
            <w:vAlign w:val="bottom"/>
          </w:tcPr>
          <w:p>
            <w:pPr>
              <w:spacing w:after="0"/>
              <w:rPr>
                <w:sz w:val="13"/>
                <w:szCs w:val="13"/>
                <w:color w:val="auto"/>
              </w:rPr>
            </w:pPr>
          </w:p>
        </w:tc>
        <w:tc>
          <w:tcPr>
            <w:tcW w:w="3140" w:type="dxa"/>
            <w:vAlign w:val="bottom"/>
            <w:gridSpan w:val="4"/>
          </w:tcPr>
          <w:p>
            <w:pPr>
              <w:ind w:left="80"/>
              <w:spacing w:after="0"/>
              <w:rPr>
                <w:sz w:val="20"/>
                <w:szCs w:val="20"/>
                <w:color w:val="auto"/>
              </w:rPr>
            </w:pPr>
            <w:r>
              <w:rPr>
                <w:rFonts w:ascii="Arial" w:cs="Arial" w:eastAsia="Arial" w:hAnsi="Arial"/>
                <w:sz w:val="13"/>
                <w:szCs w:val="13"/>
                <w:color w:val="auto"/>
              </w:rPr>
              <w:t>PIK, Due 8/21</w:t>
            </w: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10/28/2020</w:t>
            </w:r>
          </w:p>
        </w:tc>
        <w:tc>
          <w:tcPr>
            <w:tcW w:w="14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3"/>
                <w:szCs w:val="13"/>
                <w:color w:val="auto"/>
              </w:rPr>
              <w:t>1,779,324</w:t>
            </w:r>
          </w:p>
        </w:tc>
        <w:tc>
          <w:tcPr>
            <w:tcW w:w="24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1,354,400</w:t>
            </w:r>
          </w:p>
        </w:tc>
        <w:tc>
          <w:tcPr>
            <w:tcW w:w="26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3"/>
                <w:szCs w:val="13"/>
                <w:color w:val="auto"/>
              </w:rPr>
              <w:t>1,709,574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2"/>
        </w:trPr>
        <w:tc>
          <w:tcPr>
            <w:tcW w:w="3700" w:type="dxa"/>
            <w:vAlign w:val="bottom"/>
            <w:gridSpan w:val="5"/>
          </w:tcPr>
          <w:p>
            <w:pPr>
              <w:ind w:left="440"/>
              <w:spacing w:after="0"/>
              <w:rPr>
                <w:sz w:val="20"/>
                <w:szCs w:val="20"/>
                <w:color w:val="auto"/>
              </w:rPr>
            </w:pPr>
            <w:r>
              <w:rPr>
                <w:rFonts w:ascii="Arial" w:cs="Arial" w:eastAsia="Arial" w:hAnsi="Arial"/>
                <w:sz w:val="11"/>
                <w:szCs w:val="11"/>
                <w:color w:val="auto"/>
              </w:rPr>
              <w:t xml:space="preserve">(14) </w:t>
            </w:r>
            <w:r>
              <w:rPr>
                <w:rFonts w:ascii="Arial" w:cs="Arial" w:eastAsia="Arial" w:hAnsi="Arial"/>
                <w:sz w:val="12"/>
                <w:szCs w:val="12"/>
                <w:color w:val="auto"/>
              </w:rPr>
              <w:t>Senior Secured Loan — First Lien Term Loan</w:t>
            </w:r>
          </w:p>
        </w:tc>
        <w:tc>
          <w:tcPr>
            <w:tcW w:w="10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0"/>
        </w:trPr>
        <w:tc>
          <w:tcPr>
            <w:tcW w:w="560" w:type="dxa"/>
            <w:vAlign w:val="bottom"/>
          </w:tcPr>
          <w:p>
            <w:pPr>
              <w:spacing w:after="0"/>
              <w:rPr>
                <w:sz w:val="13"/>
                <w:szCs w:val="13"/>
                <w:color w:val="auto"/>
              </w:rPr>
            </w:pPr>
          </w:p>
        </w:tc>
        <w:tc>
          <w:tcPr>
            <w:tcW w:w="360" w:type="dxa"/>
            <w:vAlign w:val="bottom"/>
            <w:gridSpan w:val="2"/>
          </w:tcPr>
          <w:p>
            <w:pPr>
              <w:ind w:left="80"/>
              <w:spacing w:after="0"/>
              <w:rPr>
                <w:sz w:val="20"/>
                <w:szCs w:val="20"/>
                <w:color w:val="auto"/>
              </w:rPr>
            </w:pPr>
            <w:r>
              <w:rPr>
                <w:rFonts w:ascii="Arial" w:cs="Arial" w:eastAsia="Arial" w:hAnsi="Arial"/>
                <w:sz w:val="13"/>
                <w:szCs w:val="13"/>
                <w:color w:val="auto"/>
                <w:w w:val="87"/>
              </w:rPr>
              <w:t>4.4%</w:t>
            </w:r>
          </w:p>
        </w:tc>
        <w:tc>
          <w:tcPr>
            <w:tcW w:w="2780" w:type="dxa"/>
            <w:vAlign w:val="bottom"/>
            <w:gridSpan w:val="2"/>
          </w:tcPr>
          <w:p>
            <w:pPr>
              <w:ind w:left="20"/>
              <w:spacing w:after="0"/>
              <w:rPr>
                <w:sz w:val="20"/>
                <w:szCs w:val="20"/>
                <w:color w:val="auto"/>
              </w:rPr>
            </w:pPr>
            <w:r>
              <w:rPr>
                <w:rFonts w:ascii="Arial" w:cs="Arial" w:eastAsia="Arial" w:hAnsi="Arial"/>
                <w:sz w:val="13"/>
                <w:szCs w:val="13"/>
                <w:color w:val="auto"/>
                <w:w w:val="97"/>
              </w:rPr>
              <w:t>Cash, 1 Month Libor (0.11%) + 4.25% , Due 6/25</w:t>
            </w:r>
          </w:p>
        </w:tc>
        <w:tc>
          <w:tcPr>
            <w:tcW w:w="1040" w:type="dxa"/>
            <w:vAlign w:val="bottom"/>
          </w:tcPr>
          <w:p>
            <w:pPr>
              <w:jc w:val="right"/>
              <w:spacing w:after="0"/>
              <w:rPr>
                <w:sz w:val="20"/>
                <w:szCs w:val="20"/>
                <w:color w:val="auto"/>
              </w:rPr>
            </w:pPr>
            <w:r>
              <w:rPr>
                <w:rFonts w:ascii="Arial" w:cs="Arial" w:eastAsia="Arial" w:hAnsi="Arial"/>
                <w:sz w:val="13"/>
                <w:szCs w:val="13"/>
                <w:color w:val="auto"/>
              </w:rPr>
              <w:t>10/28/2020</w:t>
            </w:r>
          </w:p>
        </w:tc>
        <w:tc>
          <w:tcPr>
            <w:tcW w:w="1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4,874,687</w:t>
            </w:r>
          </w:p>
        </w:tc>
        <w:tc>
          <w:tcPr>
            <w:tcW w:w="2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3,982,425</w:t>
            </w:r>
          </w:p>
        </w:tc>
        <w:tc>
          <w:tcPr>
            <w:tcW w:w="2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4,769,588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560" w:type="dxa"/>
            <w:vAlign w:val="bottom"/>
          </w:tcPr>
          <w:p>
            <w:pPr>
              <w:spacing w:after="0"/>
              <w:rPr>
                <w:sz w:val="20"/>
                <w:szCs w:val="20"/>
                <w:color w:val="auto"/>
              </w:rPr>
            </w:pPr>
            <w:r>
              <w:rPr>
                <w:rFonts w:ascii="Arial" w:cs="Arial" w:eastAsia="Arial" w:hAnsi="Arial"/>
                <w:sz w:val="11"/>
                <w:szCs w:val="11"/>
                <w:color w:val="auto"/>
              </w:rPr>
              <w:t>(8)(13)(14)</w:t>
            </w:r>
          </w:p>
        </w:tc>
        <w:tc>
          <w:tcPr>
            <w:tcW w:w="3140" w:type="dxa"/>
            <w:vAlign w:val="bottom"/>
            <w:gridSpan w:val="4"/>
          </w:tcPr>
          <w:p>
            <w:pPr>
              <w:ind w:left="80"/>
              <w:spacing w:after="0"/>
              <w:rPr>
                <w:sz w:val="20"/>
                <w:szCs w:val="20"/>
                <w:color w:val="auto"/>
              </w:rPr>
            </w:pPr>
            <w:r>
              <w:rPr>
                <w:rFonts w:ascii="Arial" w:cs="Arial" w:eastAsia="Arial" w:hAnsi="Arial"/>
                <w:sz w:val="13"/>
                <w:szCs w:val="13"/>
                <w:color w:val="auto"/>
              </w:rPr>
              <w:t>Junior Secured Loan — Term Loan (Second Lien)</w:t>
            </w:r>
          </w:p>
        </w:tc>
        <w:tc>
          <w:tcPr>
            <w:tcW w:w="10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0"/>
        </w:trPr>
        <w:tc>
          <w:tcPr>
            <w:tcW w:w="560" w:type="dxa"/>
            <w:vAlign w:val="bottom"/>
          </w:tcPr>
          <w:p>
            <w:pPr>
              <w:spacing w:after="0"/>
              <w:rPr>
                <w:sz w:val="13"/>
                <w:szCs w:val="13"/>
                <w:color w:val="auto"/>
              </w:rPr>
            </w:pPr>
          </w:p>
        </w:tc>
        <w:tc>
          <w:tcPr>
            <w:tcW w:w="360" w:type="dxa"/>
            <w:vAlign w:val="bottom"/>
            <w:gridSpan w:val="2"/>
          </w:tcPr>
          <w:p>
            <w:pPr>
              <w:ind w:left="80"/>
              <w:spacing w:after="0"/>
              <w:rPr>
                <w:sz w:val="20"/>
                <w:szCs w:val="20"/>
                <w:color w:val="auto"/>
              </w:rPr>
            </w:pPr>
            <w:r>
              <w:rPr>
                <w:rFonts w:ascii="Arial" w:cs="Arial" w:eastAsia="Arial" w:hAnsi="Arial"/>
                <w:sz w:val="13"/>
                <w:szCs w:val="13"/>
                <w:color w:val="auto"/>
                <w:w w:val="87"/>
              </w:rPr>
              <w:t>9.4%</w:t>
            </w:r>
          </w:p>
        </w:tc>
        <w:tc>
          <w:tcPr>
            <w:tcW w:w="2780" w:type="dxa"/>
            <w:vAlign w:val="bottom"/>
            <w:gridSpan w:val="2"/>
          </w:tcPr>
          <w:p>
            <w:pPr>
              <w:ind w:left="20"/>
              <w:spacing w:after="0"/>
              <w:rPr>
                <w:sz w:val="20"/>
                <w:szCs w:val="20"/>
                <w:color w:val="auto"/>
              </w:rPr>
            </w:pPr>
            <w:r>
              <w:rPr>
                <w:rFonts w:ascii="Arial" w:cs="Arial" w:eastAsia="Arial" w:hAnsi="Arial"/>
                <w:sz w:val="13"/>
                <w:szCs w:val="13"/>
                <w:color w:val="auto"/>
                <w:w w:val="97"/>
              </w:rPr>
              <w:t>Cash, 1 Month Libor (0.11%) + 9.25% , Due 6/26</w:t>
            </w:r>
          </w:p>
        </w:tc>
        <w:tc>
          <w:tcPr>
            <w:tcW w:w="1040" w:type="dxa"/>
            <w:vAlign w:val="bottom"/>
          </w:tcPr>
          <w:p>
            <w:pPr>
              <w:jc w:val="right"/>
              <w:spacing w:after="0"/>
              <w:rPr>
                <w:sz w:val="20"/>
                <w:szCs w:val="20"/>
                <w:color w:val="auto"/>
              </w:rPr>
            </w:pPr>
            <w:r>
              <w:rPr>
                <w:rFonts w:ascii="Arial" w:cs="Arial" w:eastAsia="Arial" w:hAnsi="Arial"/>
                <w:sz w:val="13"/>
                <w:szCs w:val="13"/>
                <w:color w:val="auto"/>
              </w:rPr>
              <w:t>12/18/2019</w:t>
            </w:r>
          </w:p>
        </w:tc>
        <w:tc>
          <w:tcPr>
            <w:tcW w:w="1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1,700,000</w:t>
            </w:r>
          </w:p>
        </w:tc>
        <w:tc>
          <w:tcPr>
            <w:tcW w:w="2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1,538,445</w:t>
            </w:r>
          </w:p>
        </w:tc>
        <w:tc>
          <w:tcPr>
            <w:tcW w:w="2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1,700,000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560" w:type="dxa"/>
            <w:vAlign w:val="bottom"/>
          </w:tcPr>
          <w:p>
            <w:pPr>
              <w:spacing w:after="0"/>
              <w:rPr>
                <w:sz w:val="20"/>
                <w:szCs w:val="20"/>
                <w:color w:val="auto"/>
              </w:rPr>
            </w:pPr>
            <w:r>
              <w:rPr>
                <w:rFonts w:ascii="Arial" w:cs="Arial" w:eastAsia="Arial" w:hAnsi="Arial"/>
                <w:sz w:val="11"/>
                <w:szCs w:val="11"/>
                <w:color w:val="auto"/>
              </w:rPr>
              <w:t>(8)(13)(14)</w:t>
            </w:r>
          </w:p>
        </w:tc>
        <w:tc>
          <w:tcPr>
            <w:tcW w:w="3140" w:type="dxa"/>
            <w:vAlign w:val="bottom"/>
            <w:gridSpan w:val="4"/>
          </w:tcPr>
          <w:p>
            <w:pPr>
              <w:ind w:left="80"/>
              <w:spacing w:after="0"/>
              <w:rPr>
                <w:sz w:val="20"/>
                <w:szCs w:val="20"/>
                <w:color w:val="auto"/>
              </w:rPr>
            </w:pPr>
            <w:r>
              <w:rPr>
                <w:rFonts w:ascii="Arial" w:cs="Arial" w:eastAsia="Arial" w:hAnsi="Arial"/>
                <w:sz w:val="13"/>
                <w:szCs w:val="13"/>
                <w:color w:val="auto"/>
              </w:rPr>
              <w:t>Senior Secured Loan — Term Loan</w:t>
            </w:r>
          </w:p>
        </w:tc>
        <w:tc>
          <w:tcPr>
            <w:tcW w:w="10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560" w:type="dxa"/>
            <w:vAlign w:val="bottom"/>
          </w:tcPr>
          <w:p>
            <w:pPr>
              <w:spacing w:after="0"/>
              <w:rPr>
                <w:sz w:val="11"/>
                <w:szCs w:val="11"/>
                <w:color w:val="auto"/>
              </w:rPr>
            </w:pPr>
          </w:p>
        </w:tc>
        <w:tc>
          <w:tcPr>
            <w:tcW w:w="360" w:type="dxa"/>
            <w:vAlign w:val="bottom"/>
            <w:gridSpan w:val="2"/>
          </w:tcPr>
          <w:p>
            <w:pPr>
              <w:ind w:left="80"/>
              <w:spacing w:after="0" w:line="135" w:lineRule="exact"/>
              <w:rPr>
                <w:sz w:val="20"/>
                <w:szCs w:val="20"/>
                <w:color w:val="auto"/>
              </w:rPr>
            </w:pPr>
            <w:r>
              <w:rPr>
                <w:rFonts w:ascii="Arial" w:cs="Arial" w:eastAsia="Arial" w:hAnsi="Arial"/>
                <w:sz w:val="13"/>
                <w:szCs w:val="13"/>
                <w:color w:val="auto"/>
                <w:w w:val="87"/>
              </w:rPr>
              <w:t>6.0%</w:t>
            </w:r>
          </w:p>
        </w:tc>
        <w:tc>
          <w:tcPr>
            <w:tcW w:w="2780" w:type="dxa"/>
            <w:vAlign w:val="bottom"/>
            <w:gridSpan w:val="2"/>
          </w:tcPr>
          <w:p>
            <w:pPr>
              <w:ind w:left="20"/>
              <w:spacing w:after="0" w:line="135" w:lineRule="exact"/>
              <w:rPr>
                <w:sz w:val="20"/>
                <w:szCs w:val="20"/>
                <w:color w:val="auto"/>
              </w:rPr>
            </w:pPr>
            <w:r>
              <w:rPr>
                <w:rFonts w:ascii="Arial" w:cs="Arial" w:eastAsia="Arial" w:hAnsi="Arial"/>
                <w:sz w:val="13"/>
                <w:szCs w:val="13"/>
                <w:color w:val="auto"/>
                <w:w w:val="95"/>
              </w:rPr>
              <w:t>Cash, 6 month Libor (1.00%) + 5.00%; Libor Floor</w:t>
            </w: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560" w:type="dxa"/>
            <w:vAlign w:val="bottom"/>
          </w:tcPr>
          <w:p>
            <w:pPr>
              <w:spacing w:after="0"/>
              <w:rPr>
                <w:sz w:val="13"/>
                <w:szCs w:val="13"/>
                <w:color w:val="auto"/>
              </w:rPr>
            </w:pPr>
          </w:p>
        </w:tc>
        <w:tc>
          <w:tcPr>
            <w:tcW w:w="3140" w:type="dxa"/>
            <w:vAlign w:val="bottom"/>
            <w:gridSpan w:val="4"/>
          </w:tcPr>
          <w:p>
            <w:pPr>
              <w:ind w:left="80"/>
              <w:spacing w:after="0"/>
              <w:rPr>
                <w:sz w:val="20"/>
                <w:szCs w:val="20"/>
                <w:color w:val="auto"/>
              </w:rPr>
            </w:pPr>
            <w:r>
              <w:rPr>
                <w:rFonts w:ascii="Arial" w:cs="Arial" w:eastAsia="Arial" w:hAnsi="Arial"/>
                <w:sz w:val="13"/>
                <w:szCs w:val="13"/>
                <w:color w:val="auto"/>
              </w:rPr>
              <w:t>1.00% , Due 6/22</w:t>
            </w:r>
          </w:p>
        </w:tc>
        <w:tc>
          <w:tcPr>
            <w:tcW w:w="1040" w:type="dxa"/>
            <w:vAlign w:val="bottom"/>
          </w:tcPr>
          <w:p>
            <w:pPr>
              <w:jc w:val="right"/>
              <w:spacing w:after="0"/>
              <w:rPr>
                <w:sz w:val="20"/>
                <w:szCs w:val="20"/>
                <w:color w:val="auto"/>
              </w:rPr>
            </w:pPr>
            <w:r>
              <w:rPr>
                <w:rFonts w:ascii="Arial" w:cs="Arial" w:eastAsia="Arial" w:hAnsi="Arial"/>
                <w:sz w:val="13"/>
                <w:szCs w:val="13"/>
                <w:color w:val="auto"/>
              </w:rPr>
              <w:t>6/21/2016</w:t>
            </w:r>
          </w:p>
        </w:tc>
        <w:tc>
          <w:tcPr>
            <w:tcW w:w="1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959,321</w:t>
            </w:r>
          </w:p>
        </w:tc>
        <w:tc>
          <w:tcPr>
            <w:tcW w:w="2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960,545</w:t>
            </w:r>
          </w:p>
        </w:tc>
        <w:tc>
          <w:tcPr>
            <w:tcW w:w="2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959,321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560" w:type="dxa"/>
            <w:vAlign w:val="bottom"/>
          </w:tcPr>
          <w:p>
            <w:pPr>
              <w:spacing w:after="0"/>
              <w:rPr>
                <w:sz w:val="20"/>
                <w:szCs w:val="20"/>
                <w:color w:val="auto"/>
              </w:rPr>
            </w:pPr>
            <w:r>
              <w:rPr>
                <w:rFonts w:ascii="Arial" w:cs="Arial" w:eastAsia="Arial" w:hAnsi="Arial"/>
                <w:sz w:val="11"/>
                <w:szCs w:val="11"/>
                <w:color w:val="auto"/>
              </w:rPr>
              <w:t>(8)(13)(14)</w:t>
            </w:r>
          </w:p>
        </w:tc>
        <w:tc>
          <w:tcPr>
            <w:tcW w:w="3140" w:type="dxa"/>
            <w:vAlign w:val="bottom"/>
            <w:gridSpan w:val="4"/>
          </w:tcPr>
          <w:p>
            <w:pPr>
              <w:ind w:left="80"/>
              <w:spacing w:after="0"/>
              <w:rPr>
                <w:sz w:val="20"/>
                <w:szCs w:val="20"/>
                <w:color w:val="auto"/>
              </w:rPr>
            </w:pPr>
            <w:r>
              <w:rPr>
                <w:rFonts w:ascii="Arial" w:cs="Arial" w:eastAsia="Arial" w:hAnsi="Arial"/>
                <w:sz w:val="13"/>
                <w:szCs w:val="13"/>
                <w:color w:val="auto"/>
                <w:w w:val="94"/>
              </w:rPr>
              <w:t>Junior Secured Loan — Initial Term Loan (Second Lien)</w:t>
            </w:r>
          </w:p>
        </w:tc>
        <w:tc>
          <w:tcPr>
            <w:tcW w:w="10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0"/>
        </w:trPr>
        <w:tc>
          <w:tcPr>
            <w:tcW w:w="560" w:type="dxa"/>
            <w:vAlign w:val="bottom"/>
          </w:tcPr>
          <w:p>
            <w:pPr>
              <w:spacing w:after="0"/>
              <w:rPr>
                <w:sz w:val="13"/>
                <w:szCs w:val="13"/>
                <w:color w:val="auto"/>
              </w:rPr>
            </w:pPr>
          </w:p>
        </w:tc>
        <w:tc>
          <w:tcPr>
            <w:tcW w:w="360" w:type="dxa"/>
            <w:vAlign w:val="bottom"/>
            <w:gridSpan w:val="2"/>
          </w:tcPr>
          <w:p>
            <w:pPr>
              <w:ind w:left="80"/>
              <w:spacing w:after="0"/>
              <w:rPr>
                <w:sz w:val="20"/>
                <w:szCs w:val="20"/>
                <w:color w:val="auto"/>
              </w:rPr>
            </w:pPr>
            <w:r>
              <w:rPr>
                <w:rFonts w:ascii="Arial" w:cs="Arial" w:eastAsia="Arial" w:hAnsi="Arial"/>
                <w:sz w:val="13"/>
                <w:szCs w:val="13"/>
                <w:color w:val="auto"/>
                <w:w w:val="87"/>
              </w:rPr>
              <w:t>7.7%</w:t>
            </w:r>
          </w:p>
        </w:tc>
        <w:tc>
          <w:tcPr>
            <w:tcW w:w="2780" w:type="dxa"/>
            <w:vAlign w:val="bottom"/>
            <w:gridSpan w:val="2"/>
          </w:tcPr>
          <w:p>
            <w:pPr>
              <w:ind w:left="20"/>
              <w:spacing w:after="0"/>
              <w:rPr>
                <w:sz w:val="20"/>
                <w:szCs w:val="20"/>
                <w:color w:val="auto"/>
              </w:rPr>
            </w:pPr>
            <w:r>
              <w:rPr>
                <w:rFonts w:ascii="Arial" w:cs="Arial" w:eastAsia="Arial" w:hAnsi="Arial"/>
                <w:sz w:val="13"/>
                <w:szCs w:val="13"/>
                <w:color w:val="auto"/>
              </w:rPr>
              <w:t>Cash, Due 7/26</w:t>
            </w:r>
          </w:p>
        </w:tc>
        <w:tc>
          <w:tcPr>
            <w:tcW w:w="1040" w:type="dxa"/>
            <w:vAlign w:val="bottom"/>
          </w:tcPr>
          <w:p>
            <w:pPr>
              <w:jc w:val="right"/>
              <w:spacing w:after="0"/>
              <w:rPr>
                <w:sz w:val="20"/>
                <w:szCs w:val="20"/>
                <w:color w:val="auto"/>
              </w:rPr>
            </w:pPr>
            <w:r>
              <w:rPr>
                <w:rFonts w:ascii="Arial" w:cs="Arial" w:eastAsia="Arial" w:hAnsi="Arial"/>
                <w:sz w:val="13"/>
                <w:szCs w:val="13"/>
                <w:color w:val="auto"/>
              </w:rPr>
              <w:t>12/18/2019</w:t>
            </w:r>
          </w:p>
        </w:tc>
        <w:tc>
          <w:tcPr>
            <w:tcW w:w="1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400,000</w:t>
            </w:r>
          </w:p>
        </w:tc>
        <w:tc>
          <w:tcPr>
            <w:tcW w:w="2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363,686</w:t>
            </w:r>
          </w:p>
        </w:tc>
        <w:tc>
          <w:tcPr>
            <w:tcW w:w="2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397,400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560" w:type="dxa"/>
            <w:vAlign w:val="bottom"/>
          </w:tcPr>
          <w:p>
            <w:pPr>
              <w:spacing w:after="0"/>
              <w:rPr>
                <w:sz w:val="20"/>
                <w:szCs w:val="20"/>
                <w:color w:val="auto"/>
              </w:rPr>
            </w:pPr>
            <w:r>
              <w:rPr>
                <w:rFonts w:ascii="Arial" w:cs="Arial" w:eastAsia="Arial" w:hAnsi="Arial"/>
                <w:sz w:val="11"/>
                <w:szCs w:val="11"/>
                <w:color w:val="auto"/>
              </w:rPr>
              <w:t>(8)(13)(14)</w:t>
            </w:r>
          </w:p>
        </w:tc>
        <w:tc>
          <w:tcPr>
            <w:tcW w:w="3140" w:type="dxa"/>
            <w:vAlign w:val="bottom"/>
            <w:gridSpan w:val="4"/>
          </w:tcPr>
          <w:p>
            <w:pPr>
              <w:ind w:left="80"/>
              <w:spacing w:after="0"/>
              <w:rPr>
                <w:sz w:val="20"/>
                <w:szCs w:val="20"/>
                <w:color w:val="auto"/>
              </w:rPr>
            </w:pPr>
            <w:r>
              <w:rPr>
                <w:rFonts w:ascii="Arial" w:cs="Arial" w:eastAsia="Arial" w:hAnsi="Arial"/>
                <w:sz w:val="13"/>
                <w:szCs w:val="13"/>
                <w:color w:val="auto"/>
              </w:rPr>
              <w:t>Senior Secured Loan — First Lien Term Loan</w:t>
            </w:r>
          </w:p>
        </w:tc>
        <w:tc>
          <w:tcPr>
            <w:tcW w:w="10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0"/>
        </w:trPr>
        <w:tc>
          <w:tcPr>
            <w:tcW w:w="560" w:type="dxa"/>
            <w:vAlign w:val="bottom"/>
          </w:tcPr>
          <w:p>
            <w:pPr>
              <w:spacing w:after="0"/>
              <w:rPr>
                <w:sz w:val="13"/>
                <w:szCs w:val="13"/>
                <w:color w:val="auto"/>
              </w:rPr>
            </w:pPr>
          </w:p>
        </w:tc>
        <w:tc>
          <w:tcPr>
            <w:tcW w:w="360" w:type="dxa"/>
            <w:vAlign w:val="bottom"/>
            <w:gridSpan w:val="2"/>
          </w:tcPr>
          <w:p>
            <w:pPr>
              <w:ind w:left="80"/>
              <w:spacing w:after="0"/>
              <w:rPr>
                <w:sz w:val="20"/>
                <w:szCs w:val="20"/>
                <w:color w:val="auto"/>
              </w:rPr>
            </w:pPr>
            <w:r>
              <w:rPr>
                <w:rFonts w:ascii="Arial" w:cs="Arial" w:eastAsia="Arial" w:hAnsi="Arial"/>
                <w:sz w:val="13"/>
                <w:szCs w:val="13"/>
                <w:color w:val="auto"/>
                <w:w w:val="87"/>
              </w:rPr>
              <w:t>5.1%</w:t>
            </w:r>
          </w:p>
        </w:tc>
        <w:tc>
          <w:tcPr>
            <w:tcW w:w="2780" w:type="dxa"/>
            <w:vAlign w:val="bottom"/>
            <w:gridSpan w:val="2"/>
          </w:tcPr>
          <w:p>
            <w:pPr>
              <w:ind w:left="20"/>
              <w:spacing w:after="0"/>
              <w:rPr>
                <w:sz w:val="20"/>
                <w:szCs w:val="20"/>
                <w:color w:val="auto"/>
              </w:rPr>
            </w:pPr>
            <w:r>
              <w:rPr>
                <w:rFonts w:ascii="Arial" w:cs="Arial" w:eastAsia="Arial" w:hAnsi="Arial"/>
                <w:sz w:val="13"/>
                <w:szCs w:val="13"/>
                <w:color w:val="auto"/>
                <w:w w:val="94"/>
              </w:rPr>
              <w:t>Cash, 1 Month Libor (0.11%) + 5.00% , Due 12/25</w:t>
            </w:r>
          </w:p>
        </w:tc>
        <w:tc>
          <w:tcPr>
            <w:tcW w:w="1040" w:type="dxa"/>
            <w:vAlign w:val="bottom"/>
          </w:tcPr>
          <w:p>
            <w:pPr>
              <w:jc w:val="right"/>
              <w:spacing w:after="0"/>
              <w:rPr>
                <w:sz w:val="20"/>
                <w:szCs w:val="20"/>
                <w:color w:val="auto"/>
              </w:rPr>
            </w:pPr>
            <w:r>
              <w:rPr>
                <w:rFonts w:ascii="Arial" w:cs="Arial" w:eastAsia="Arial" w:hAnsi="Arial"/>
                <w:sz w:val="13"/>
                <w:szCs w:val="13"/>
                <w:color w:val="auto"/>
              </w:rPr>
              <w:t>10/28/2020</w:t>
            </w:r>
          </w:p>
        </w:tc>
        <w:tc>
          <w:tcPr>
            <w:tcW w:w="1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3,281,639</w:t>
            </w:r>
          </w:p>
        </w:tc>
        <w:tc>
          <w:tcPr>
            <w:tcW w:w="2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2,846,137</w:t>
            </w:r>
          </w:p>
        </w:tc>
        <w:tc>
          <w:tcPr>
            <w:tcW w:w="2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3,270,481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560" w:type="dxa"/>
            <w:vAlign w:val="bottom"/>
          </w:tcPr>
          <w:p>
            <w:pPr>
              <w:spacing w:after="0"/>
              <w:rPr>
                <w:sz w:val="20"/>
                <w:szCs w:val="20"/>
                <w:color w:val="auto"/>
              </w:rPr>
            </w:pPr>
            <w:r>
              <w:rPr>
                <w:rFonts w:ascii="Arial" w:cs="Arial" w:eastAsia="Arial" w:hAnsi="Arial"/>
                <w:sz w:val="11"/>
                <w:szCs w:val="11"/>
                <w:color w:val="auto"/>
              </w:rPr>
              <w:t>(8)(14)(21)</w:t>
            </w:r>
          </w:p>
        </w:tc>
        <w:tc>
          <w:tcPr>
            <w:tcW w:w="3140" w:type="dxa"/>
            <w:vAlign w:val="bottom"/>
            <w:gridSpan w:val="4"/>
          </w:tcPr>
          <w:p>
            <w:pPr>
              <w:ind w:left="80"/>
              <w:spacing w:after="0"/>
              <w:rPr>
                <w:sz w:val="20"/>
                <w:szCs w:val="20"/>
                <w:color w:val="auto"/>
              </w:rPr>
            </w:pPr>
            <w:r>
              <w:rPr>
                <w:rFonts w:ascii="Arial" w:cs="Arial" w:eastAsia="Arial" w:hAnsi="Arial"/>
                <w:sz w:val="13"/>
                <w:szCs w:val="13"/>
                <w:color w:val="auto"/>
                <w:w w:val="99"/>
              </w:rPr>
              <w:t>Senior Secured Loan — Initial Term Loan (First Lien)</w:t>
            </w:r>
          </w:p>
        </w:tc>
        <w:tc>
          <w:tcPr>
            <w:tcW w:w="10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0"/>
        </w:trPr>
        <w:tc>
          <w:tcPr>
            <w:tcW w:w="560" w:type="dxa"/>
            <w:vAlign w:val="bottom"/>
          </w:tcPr>
          <w:p>
            <w:pPr>
              <w:spacing w:after="0"/>
              <w:rPr>
                <w:sz w:val="13"/>
                <w:szCs w:val="13"/>
                <w:color w:val="auto"/>
              </w:rPr>
            </w:pPr>
          </w:p>
        </w:tc>
        <w:tc>
          <w:tcPr>
            <w:tcW w:w="360" w:type="dxa"/>
            <w:vAlign w:val="bottom"/>
            <w:gridSpan w:val="2"/>
          </w:tcPr>
          <w:p>
            <w:pPr>
              <w:ind w:left="80"/>
              <w:spacing w:after="0"/>
              <w:rPr>
                <w:sz w:val="20"/>
                <w:szCs w:val="20"/>
                <w:color w:val="auto"/>
              </w:rPr>
            </w:pPr>
            <w:r>
              <w:rPr>
                <w:rFonts w:ascii="Arial" w:cs="Arial" w:eastAsia="Arial" w:hAnsi="Arial"/>
                <w:sz w:val="13"/>
                <w:szCs w:val="13"/>
                <w:color w:val="auto"/>
                <w:w w:val="87"/>
              </w:rPr>
              <w:t>5.1%</w:t>
            </w:r>
          </w:p>
        </w:tc>
        <w:tc>
          <w:tcPr>
            <w:tcW w:w="2780" w:type="dxa"/>
            <w:vAlign w:val="bottom"/>
            <w:gridSpan w:val="2"/>
          </w:tcPr>
          <w:p>
            <w:pPr>
              <w:ind w:left="20"/>
              <w:spacing w:after="0"/>
              <w:rPr>
                <w:sz w:val="20"/>
                <w:szCs w:val="20"/>
                <w:color w:val="auto"/>
              </w:rPr>
            </w:pPr>
            <w:r>
              <w:rPr>
                <w:rFonts w:ascii="Arial" w:cs="Arial" w:eastAsia="Arial" w:hAnsi="Arial"/>
                <w:sz w:val="13"/>
                <w:szCs w:val="13"/>
                <w:color w:val="auto"/>
                <w:w w:val="97"/>
              </w:rPr>
              <w:t>Cash, 1 Month Libor (0.11%) + 5.00% , Due 4/25</w:t>
            </w:r>
          </w:p>
        </w:tc>
        <w:tc>
          <w:tcPr>
            <w:tcW w:w="1040" w:type="dxa"/>
            <w:vAlign w:val="bottom"/>
          </w:tcPr>
          <w:p>
            <w:pPr>
              <w:jc w:val="right"/>
              <w:spacing w:after="0"/>
              <w:rPr>
                <w:sz w:val="20"/>
                <w:szCs w:val="20"/>
                <w:color w:val="auto"/>
              </w:rPr>
            </w:pPr>
            <w:r>
              <w:rPr>
                <w:rFonts w:ascii="Arial" w:cs="Arial" w:eastAsia="Arial" w:hAnsi="Arial"/>
                <w:sz w:val="13"/>
                <w:szCs w:val="13"/>
                <w:color w:val="auto"/>
              </w:rPr>
              <w:t>5/22/2020</w:t>
            </w:r>
          </w:p>
        </w:tc>
        <w:tc>
          <w:tcPr>
            <w:tcW w:w="1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3,892,437</w:t>
            </w:r>
          </w:p>
        </w:tc>
        <w:tc>
          <w:tcPr>
            <w:tcW w:w="2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3,505,119</w:t>
            </w:r>
          </w:p>
        </w:tc>
        <w:tc>
          <w:tcPr>
            <w:tcW w:w="2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3,905,419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560" w:type="dxa"/>
            <w:vAlign w:val="bottom"/>
          </w:tcPr>
          <w:p>
            <w:pPr>
              <w:spacing w:after="0"/>
              <w:rPr>
                <w:sz w:val="20"/>
                <w:szCs w:val="20"/>
                <w:color w:val="auto"/>
              </w:rPr>
            </w:pPr>
            <w:r>
              <w:rPr>
                <w:rFonts w:ascii="Arial" w:cs="Arial" w:eastAsia="Arial" w:hAnsi="Arial"/>
                <w:sz w:val="11"/>
                <w:szCs w:val="11"/>
                <w:color w:val="auto"/>
              </w:rPr>
              <w:t>(5)(8)(13)</w:t>
            </w:r>
          </w:p>
        </w:tc>
        <w:tc>
          <w:tcPr>
            <w:tcW w:w="3140" w:type="dxa"/>
            <w:vAlign w:val="bottom"/>
            <w:gridSpan w:val="4"/>
            <w:vMerge w:val="restart"/>
          </w:tcPr>
          <w:p>
            <w:pPr>
              <w:ind w:left="80"/>
              <w:spacing w:after="0"/>
              <w:rPr>
                <w:sz w:val="20"/>
                <w:szCs w:val="20"/>
                <w:color w:val="auto"/>
              </w:rPr>
            </w:pPr>
            <w:r>
              <w:rPr>
                <w:rFonts w:ascii="Arial" w:cs="Arial" w:eastAsia="Arial" w:hAnsi="Arial"/>
                <w:sz w:val="13"/>
                <w:szCs w:val="13"/>
                <w:color w:val="auto"/>
                <w:w w:val="94"/>
              </w:rPr>
              <w:t>Junior Secured Loan — Initial Term Loan (Second Lien)</w:t>
            </w: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
        </w:trPr>
        <w:tc>
          <w:tcPr>
            <w:tcW w:w="560" w:type="dxa"/>
            <w:vAlign w:val="bottom"/>
          </w:tcPr>
          <w:p>
            <w:pPr>
              <w:spacing w:after="0"/>
              <w:rPr>
                <w:sz w:val="5"/>
                <w:szCs w:val="5"/>
                <w:color w:val="auto"/>
              </w:rPr>
            </w:pPr>
          </w:p>
        </w:tc>
        <w:tc>
          <w:tcPr>
            <w:tcW w:w="3140" w:type="dxa"/>
            <w:vAlign w:val="bottom"/>
            <w:gridSpan w:val="4"/>
            <w:vMerge w:val="continue"/>
          </w:tcPr>
          <w:p>
            <w:pPr>
              <w:spacing w:after="0"/>
              <w:rPr>
                <w:sz w:val="5"/>
                <w:szCs w:val="5"/>
                <w:color w:val="auto"/>
              </w:rPr>
            </w:pPr>
          </w:p>
        </w:tc>
        <w:tc>
          <w:tcPr>
            <w:tcW w:w="10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560" w:type="dxa"/>
            <w:vAlign w:val="bottom"/>
          </w:tcPr>
          <w:p>
            <w:pPr>
              <w:spacing w:after="0"/>
              <w:rPr>
                <w:sz w:val="13"/>
                <w:szCs w:val="13"/>
                <w:color w:val="auto"/>
              </w:rPr>
            </w:pPr>
          </w:p>
        </w:tc>
        <w:tc>
          <w:tcPr>
            <w:tcW w:w="3140" w:type="dxa"/>
            <w:vAlign w:val="bottom"/>
            <w:gridSpan w:val="4"/>
          </w:tcPr>
          <w:p>
            <w:pPr>
              <w:ind w:left="80"/>
              <w:spacing w:after="0"/>
              <w:rPr>
                <w:sz w:val="20"/>
                <w:szCs w:val="20"/>
                <w:color w:val="auto"/>
              </w:rPr>
            </w:pPr>
            <w:r>
              <w:rPr>
                <w:rFonts w:ascii="Arial" w:cs="Arial" w:eastAsia="Arial" w:hAnsi="Arial"/>
                <w:sz w:val="13"/>
                <w:szCs w:val="13"/>
                <w:color w:val="auto"/>
              </w:rPr>
              <w:t>13.3% Cash, Due 1/22</w:t>
            </w: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1/30/2015</w:t>
            </w:r>
          </w:p>
        </w:tc>
        <w:tc>
          <w:tcPr>
            <w:tcW w:w="14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3"/>
                <w:szCs w:val="13"/>
                <w:color w:val="auto"/>
              </w:rPr>
              <w:t>1,500,000</w:t>
            </w:r>
          </w:p>
        </w:tc>
        <w:tc>
          <w:tcPr>
            <w:tcW w:w="24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1,496,527</w:t>
            </w:r>
          </w:p>
        </w:tc>
        <w:tc>
          <w:tcPr>
            <w:tcW w:w="26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3"/>
                <w:szCs w:val="13"/>
                <w:color w:val="auto"/>
              </w:rPr>
              <w:t>831,900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560" w:type="dxa"/>
            <w:vAlign w:val="bottom"/>
          </w:tcPr>
          <w:p>
            <w:pPr>
              <w:spacing w:after="0"/>
              <w:rPr>
                <w:sz w:val="20"/>
                <w:szCs w:val="20"/>
                <w:color w:val="auto"/>
              </w:rPr>
            </w:pPr>
            <w:r>
              <w:rPr>
                <w:rFonts w:ascii="Arial" w:cs="Arial" w:eastAsia="Arial" w:hAnsi="Arial"/>
                <w:sz w:val="11"/>
                <w:szCs w:val="11"/>
                <w:color w:val="auto"/>
              </w:rPr>
              <w:t>(8)(13)</w:t>
            </w:r>
          </w:p>
        </w:tc>
        <w:tc>
          <w:tcPr>
            <w:tcW w:w="3140" w:type="dxa"/>
            <w:vAlign w:val="bottom"/>
            <w:gridSpan w:val="4"/>
            <w:vMerge w:val="restart"/>
          </w:tcPr>
          <w:p>
            <w:pPr>
              <w:ind w:left="80"/>
              <w:spacing w:after="0"/>
              <w:rPr>
                <w:sz w:val="20"/>
                <w:szCs w:val="20"/>
                <w:color w:val="auto"/>
              </w:rPr>
            </w:pPr>
            <w:r>
              <w:rPr>
                <w:rFonts w:ascii="Arial" w:cs="Arial" w:eastAsia="Arial" w:hAnsi="Arial"/>
                <w:sz w:val="13"/>
                <w:szCs w:val="13"/>
                <w:color w:val="auto"/>
              </w:rPr>
              <w:t>Senior Secured Loan — Revolver</w:t>
            </w: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
        </w:trPr>
        <w:tc>
          <w:tcPr>
            <w:tcW w:w="560" w:type="dxa"/>
            <w:vAlign w:val="bottom"/>
          </w:tcPr>
          <w:p>
            <w:pPr>
              <w:spacing w:after="0"/>
              <w:rPr>
                <w:sz w:val="5"/>
                <w:szCs w:val="5"/>
                <w:color w:val="auto"/>
              </w:rPr>
            </w:pPr>
          </w:p>
        </w:tc>
        <w:tc>
          <w:tcPr>
            <w:tcW w:w="3140" w:type="dxa"/>
            <w:vAlign w:val="bottom"/>
            <w:gridSpan w:val="4"/>
            <w:vMerge w:val="continue"/>
          </w:tcPr>
          <w:p>
            <w:pPr>
              <w:spacing w:after="0"/>
              <w:rPr>
                <w:sz w:val="5"/>
                <w:szCs w:val="5"/>
                <w:color w:val="auto"/>
              </w:rPr>
            </w:pPr>
          </w:p>
        </w:tc>
        <w:tc>
          <w:tcPr>
            <w:tcW w:w="10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560" w:type="dxa"/>
            <w:vAlign w:val="bottom"/>
          </w:tcPr>
          <w:p>
            <w:pPr>
              <w:spacing w:after="0"/>
              <w:rPr>
                <w:sz w:val="13"/>
                <w:szCs w:val="13"/>
                <w:color w:val="auto"/>
              </w:rPr>
            </w:pPr>
          </w:p>
        </w:tc>
        <w:tc>
          <w:tcPr>
            <w:tcW w:w="360" w:type="dxa"/>
            <w:vAlign w:val="bottom"/>
            <w:gridSpan w:val="2"/>
          </w:tcPr>
          <w:p>
            <w:pPr>
              <w:ind w:left="80"/>
              <w:spacing w:after="0"/>
              <w:rPr>
                <w:sz w:val="20"/>
                <w:szCs w:val="20"/>
                <w:color w:val="auto"/>
              </w:rPr>
            </w:pPr>
            <w:r>
              <w:rPr>
                <w:rFonts w:ascii="Arial" w:cs="Arial" w:eastAsia="Arial" w:hAnsi="Arial"/>
                <w:sz w:val="13"/>
                <w:szCs w:val="13"/>
                <w:color w:val="auto"/>
                <w:w w:val="87"/>
              </w:rPr>
              <w:t>0.8%</w:t>
            </w:r>
          </w:p>
        </w:tc>
        <w:tc>
          <w:tcPr>
            <w:tcW w:w="2780" w:type="dxa"/>
            <w:vAlign w:val="bottom"/>
            <w:gridSpan w:val="2"/>
          </w:tcPr>
          <w:p>
            <w:pPr>
              <w:ind w:left="20"/>
              <w:spacing w:after="0"/>
              <w:rPr>
                <w:sz w:val="20"/>
                <w:szCs w:val="20"/>
                <w:color w:val="auto"/>
              </w:rPr>
            </w:pPr>
            <w:r>
              <w:rPr>
                <w:rFonts w:ascii="Arial" w:cs="Arial" w:eastAsia="Arial" w:hAnsi="Arial"/>
                <w:sz w:val="13"/>
                <w:szCs w:val="13"/>
                <w:color w:val="auto"/>
              </w:rPr>
              <w:t>Cash, Due 2/23</w:t>
            </w: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10/28/2020</w:t>
            </w:r>
          </w:p>
        </w:tc>
        <w:tc>
          <w:tcPr>
            <w:tcW w:w="14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3"/>
                <w:szCs w:val="13"/>
                <w:color w:val="auto"/>
              </w:rPr>
              <w:t>0</w:t>
            </w:r>
          </w:p>
        </w:tc>
        <w:tc>
          <w:tcPr>
            <w:tcW w:w="240" w:type="dxa"/>
            <w:vAlign w:val="bottom"/>
          </w:tcPr>
          <w:p>
            <w:pPr>
              <w:spacing w:after="0"/>
              <w:rPr>
                <w:sz w:val="13"/>
                <w:szCs w:val="13"/>
                <w:color w:val="auto"/>
              </w:rPr>
            </w:pPr>
          </w:p>
        </w:tc>
        <w:tc>
          <w:tcPr>
            <w:tcW w:w="126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(0)</w:t>
            </w:r>
          </w:p>
        </w:tc>
        <w:tc>
          <w:tcPr>
            <w:tcW w:w="1220" w:type="dxa"/>
            <w:vAlign w:val="bottom"/>
            <w:gridSpan w:val="2"/>
            <w:vMerge w:val="restart"/>
          </w:tcPr>
          <w:p>
            <w:pPr>
              <w:jc w:val="right"/>
              <w:spacing w:after="0"/>
              <w:rPr>
                <w:sz w:val="20"/>
                <w:szCs w:val="20"/>
                <w:color w:val="auto"/>
              </w:rPr>
            </w:pPr>
            <w:r>
              <w:rPr>
                <w:rFonts w:ascii="Arial" w:cs="Arial" w:eastAsia="Arial" w:hAnsi="Arial"/>
                <w:sz w:val="13"/>
                <w:szCs w:val="13"/>
                <w:color w:val="auto"/>
              </w:rPr>
              <w:t>(18,077)</w:t>
            </w: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2"/>
        </w:trPr>
        <w:tc>
          <w:tcPr>
            <w:tcW w:w="560" w:type="dxa"/>
            <w:vAlign w:val="bottom"/>
          </w:tcPr>
          <w:p>
            <w:pPr>
              <w:spacing w:after="0"/>
              <w:rPr>
                <w:sz w:val="20"/>
                <w:szCs w:val="20"/>
                <w:color w:val="auto"/>
              </w:rPr>
            </w:pPr>
            <w:r>
              <w:rPr>
                <w:rFonts w:ascii="Arial" w:cs="Arial" w:eastAsia="Arial" w:hAnsi="Arial"/>
                <w:sz w:val="11"/>
                <w:szCs w:val="11"/>
                <w:color w:val="auto"/>
              </w:rPr>
              <w:t>(8)(13)</w:t>
            </w:r>
          </w:p>
        </w:tc>
        <w:tc>
          <w:tcPr>
            <w:tcW w:w="3140" w:type="dxa"/>
            <w:vAlign w:val="bottom"/>
            <w:gridSpan w:val="4"/>
          </w:tcPr>
          <w:p>
            <w:pPr>
              <w:ind w:left="80"/>
              <w:spacing w:after="0"/>
              <w:rPr>
                <w:sz w:val="20"/>
                <w:szCs w:val="20"/>
                <w:color w:val="auto"/>
              </w:rPr>
            </w:pPr>
            <w:r>
              <w:rPr>
                <w:rFonts w:ascii="Arial" w:cs="Arial" w:eastAsia="Arial" w:hAnsi="Arial"/>
                <w:sz w:val="13"/>
                <w:szCs w:val="13"/>
                <w:color w:val="auto"/>
              </w:rPr>
              <w:t>Senior Secured Loan — First Lien Term Loan</w:t>
            </w:r>
          </w:p>
        </w:tc>
        <w:tc>
          <w:tcPr>
            <w:tcW w:w="10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560" w:type="dxa"/>
            <w:vAlign w:val="bottom"/>
          </w:tcPr>
          <w:p>
            <w:pPr>
              <w:spacing w:after="0"/>
              <w:rPr>
                <w:sz w:val="11"/>
                <w:szCs w:val="11"/>
                <w:color w:val="auto"/>
              </w:rPr>
            </w:pPr>
          </w:p>
        </w:tc>
        <w:tc>
          <w:tcPr>
            <w:tcW w:w="360" w:type="dxa"/>
            <w:vAlign w:val="bottom"/>
            <w:gridSpan w:val="2"/>
          </w:tcPr>
          <w:p>
            <w:pPr>
              <w:ind w:left="80"/>
              <w:spacing w:after="0" w:line="135" w:lineRule="exact"/>
              <w:rPr>
                <w:sz w:val="20"/>
                <w:szCs w:val="20"/>
                <w:color w:val="auto"/>
              </w:rPr>
            </w:pPr>
            <w:r>
              <w:rPr>
                <w:rFonts w:ascii="Arial" w:cs="Arial" w:eastAsia="Arial" w:hAnsi="Arial"/>
                <w:sz w:val="13"/>
                <w:szCs w:val="13"/>
                <w:color w:val="auto"/>
                <w:w w:val="87"/>
              </w:rPr>
              <w:t>9.3%</w:t>
            </w:r>
          </w:p>
        </w:tc>
        <w:tc>
          <w:tcPr>
            <w:tcW w:w="2780" w:type="dxa"/>
            <w:vAlign w:val="bottom"/>
            <w:gridSpan w:val="2"/>
          </w:tcPr>
          <w:p>
            <w:pPr>
              <w:ind w:left="20"/>
              <w:spacing w:after="0" w:line="135" w:lineRule="exact"/>
              <w:rPr>
                <w:sz w:val="20"/>
                <w:szCs w:val="20"/>
                <w:color w:val="auto"/>
              </w:rPr>
            </w:pPr>
            <w:r>
              <w:rPr>
                <w:rFonts w:ascii="Arial" w:cs="Arial" w:eastAsia="Arial" w:hAnsi="Arial"/>
                <w:sz w:val="13"/>
                <w:szCs w:val="13"/>
                <w:color w:val="auto"/>
                <w:w w:val="95"/>
              </w:rPr>
              <w:t>Cash, 3 Month Libor (1.00%) + 8.25%; Libor Floor</w:t>
            </w: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560" w:type="dxa"/>
            <w:vAlign w:val="bottom"/>
          </w:tcPr>
          <w:p>
            <w:pPr>
              <w:spacing w:after="0"/>
              <w:rPr>
                <w:sz w:val="13"/>
                <w:szCs w:val="13"/>
                <w:color w:val="auto"/>
              </w:rPr>
            </w:pPr>
          </w:p>
        </w:tc>
        <w:tc>
          <w:tcPr>
            <w:tcW w:w="3140" w:type="dxa"/>
            <w:vAlign w:val="bottom"/>
            <w:gridSpan w:val="4"/>
          </w:tcPr>
          <w:p>
            <w:pPr>
              <w:ind w:left="80"/>
              <w:spacing w:after="0"/>
              <w:rPr>
                <w:sz w:val="20"/>
                <w:szCs w:val="20"/>
                <w:color w:val="auto"/>
              </w:rPr>
            </w:pPr>
            <w:r>
              <w:rPr>
                <w:rFonts w:ascii="Arial" w:cs="Arial" w:eastAsia="Arial" w:hAnsi="Arial"/>
                <w:sz w:val="13"/>
                <w:szCs w:val="13"/>
                <w:color w:val="auto"/>
              </w:rPr>
              <w:t>1.00% , Due 2/23</w:t>
            </w:r>
          </w:p>
        </w:tc>
        <w:tc>
          <w:tcPr>
            <w:tcW w:w="1040" w:type="dxa"/>
            <w:vAlign w:val="bottom"/>
          </w:tcPr>
          <w:p>
            <w:pPr>
              <w:jc w:val="right"/>
              <w:spacing w:after="0"/>
              <w:rPr>
                <w:sz w:val="20"/>
                <w:szCs w:val="20"/>
                <w:color w:val="auto"/>
              </w:rPr>
            </w:pPr>
            <w:r>
              <w:rPr>
                <w:rFonts w:ascii="Arial" w:cs="Arial" w:eastAsia="Arial" w:hAnsi="Arial"/>
                <w:sz w:val="13"/>
                <w:szCs w:val="13"/>
                <w:color w:val="auto"/>
              </w:rPr>
              <w:t>10/28/2020</w:t>
            </w:r>
          </w:p>
        </w:tc>
        <w:tc>
          <w:tcPr>
            <w:tcW w:w="1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6,300,000</w:t>
            </w:r>
          </w:p>
        </w:tc>
        <w:tc>
          <w:tcPr>
            <w:tcW w:w="2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4,301,340</w:t>
            </w:r>
          </w:p>
        </w:tc>
        <w:tc>
          <w:tcPr>
            <w:tcW w:w="2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3,642,660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560" w:type="dxa"/>
            <w:vAlign w:val="bottom"/>
          </w:tcPr>
          <w:p>
            <w:pPr>
              <w:spacing w:after="0"/>
              <w:rPr>
                <w:sz w:val="20"/>
                <w:szCs w:val="20"/>
                <w:color w:val="auto"/>
              </w:rPr>
            </w:pPr>
            <w:r>
              <w:rPr>
                <w:rFonts w:ascii="Arial" w:cs="Arial" w:eastAsia="Arial" w:hAnsi="Arial"/>
                <w:sz w:val="11"/>
                <w:szCs w:val="11"/>
                <w:color w:val="auto"/>
              </w:rPr>
              <w:t>(8)(14)</w:t>
            </w:r>
          </w:p>
        </w:tc>
        <w:tc>
          <w:tcPr>
            <w:tcW w:w="3140" w:type="dxa"/>
            <w:vAlign w:val="bottom"/>
            <w:gridSpan w:val="4"/>
          </w:tcPr>
          <w:p>
            <w:pPr>
              <w:ind w:left="80"/>
              <w:spacing w:after="0"/>
              <w:rPr>
                <w:sz w:val="20"/>
                <w:szCs w:val="20"/>
                <w:color w:val="auto"/>
              </w:rPr>
            </w:pPr>
            <w:r>
              <w:rPr>
                <w:rFonts w:ascii="Arial" w:cs="Arial" w:eastAsia="Arial" w:hAnsi="Arial"/>
                <w:sz w:val="13"/>
                <w:szCs w:val="13"/>
                <w:color w:val="auto"/>
              </w:rPr>
              <w:t>Junior Secured Loan — Loan (Second Lien)</w:t>
            </w:r>
          </w:p>
        </w:tc>
        <w:tc>
          <w:tcPr>
            <w:tcW w:w="10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0"/>
        </w:trPr>
        <w:tc>
          <w:tcPr>
            <w:tcW w:w="560" w:type="dxa"/>
            <w:vAlign w:val="bottom"/>
          </w:tcPr>
          <w:p>
            <w:pPr>
              <w:spacing w:after="0"/>
              <w:rPr>
                <w:sz w:val="13"/>
                <w:szCs w:val="13"/>
                <w:color w:val="auto"/>
              </w:rPr>
            </w:pPr>
          </w:p>
        </w:tc>
        <w:tc>
          <w:tcPr>
            <w:tcW w:w="360" w:type="dxa"/>
            <w:vAlign w:val="bottom"/>
            <w:gridSpan w:val="2"/>
          </w:tcPr>
          <w:p>
            <w:pPr>
              <w:ind w:left="80"/>
              <w:spacing w:after="0"/>
              <w:rPr>
                <w:sz w:val="20"/>
                <w:szCs w:val="20"/>
                <w:color w:val="auto"/>
              </w:rPr>
            </w:pPr>
            <w:r>
              <w:rPr>
                <w:rFonts w:ascii="Arial" w:cs="Arial" w:eastAsia="Arial" w:hAnsi="Arial"/>
                <w:sz w:val="13"/>
                <w:szCs w:val="13"/>
                <w:color w:val="auto"/>
                <w:w w:val="87"/>
              </w:rPr>
              <w:t>8.4%</w:t>
            </w:r>
          </w:p>
        </w:tc>
        <w:tc>
          <w:tcPr>
            <w:tcW w:w="2780" w:type="dxa"/>
            <w:vAlign w:val="bottom"/>
            <w:gridSpan w:val="2"/>
          </w:tcPr>
          <w:p>
            <w:pPr>
              <w:ind w:left="20"/>
              <w:spacing w:after="0"/>
              <w:rPr>
                <w:sz w:val="20"/>
                <w:szCs w:val="20"/>
                <w:color w:val="auto"/>
              </w:rPr>
            </w:pPr>
            <w:r>
              <w:rPr>
                <w:rFonts w:ascii="Arial" w:cs="Arial" w:eastAsia="Arial" w:hAnsi="Arial"/>
                <w:sz w:val="13"/>
                <w:szCs w:val="13"/>
                <w:color w:val="auto"/>
                <w:w w:val="94"/>
              </w:rPr>
              <w:t>Cash, 1 Month Libor (0.11%) + 8.25% , Due 11/26</w:t>
            </w:r>
          </w:p>
        </w:tc>
        <w:tc>
          <w:tcPr>
            <w:tcW w:w="1040" w:type="dxa"/>
            <w:vAlign w:val="bottom"/>
          </w:tcPr>
          <w:p>
            <w:pPr>
              <w:jc w:val="right"/>
              <w:spacing w:after="0"/>
              <w:rPr>
                <w:sz w:val="20"/>
                <w:szCs w:val="20"/>
                <w:color w:val="auto"/>
              </w:rPr>
            </w:pPr>
            <w:r>
              <w:rPr>
                <w:rFonts w:ascii="Arial" w:cs="Arial" w:eastAsia="Arial" w:hAnsi="Arial"/>
                <w:sz w:val="13"/>
                <w:szCs w:val="13"/>
                <w:color w:val="auto"/>
              </w:rPr>
              <w:t>5/21/2013</w:t>
            </w:r>
          </w:p>
        </w:tc>
        <w:tc>
          <w:tcPr>
            <w:tcW w:w="1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1,500,000</w:t>
            </w:r>
          </w:p>
        </w:tc>
        <w:tc>
          <w:tcPr>
            <w:tcW w:w="2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1,481,807</w:t>
            </w:r>
          </w:p>
        </w:tc>
        <w:tc>
          <w:tcPr>
            <w:tcW w:w="2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1,161,465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-1556385</wp:posOffset>
            </wp:positionH>
            <wp:positionV relativeFrom="paragraph">
              <wp:posOffset>-3357880</wp:posOffset>
            </wp:positionV>
            <wp:extent cx="7132320" cy="2654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-1556385</wp:posOffset>
            </wp:positionH>
            <wp:positionV relativeFrom="paragraph">
              <wp:posOffset>-2997835</wp:posOffset>
            </wp:positionV>
            <wp:extent cx="7132320" cy="1797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-1556385</wp:posOffset>
            </wp:positionH>
            <wp:positionV relativeFrom="paragraph">
              <wp:posOffset>-2723515</wp:posOffset>
            </wp:positionV>
            <wp:extent cx="7132320" cy="1797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-1556385</wp:posOffset>
            </wp:positionH>
            <wp:positionV relativeFrom="paragraph">
              <wp:posOffset>-2449195</wp:posOffset>
            </wp:positionV>
            <wp:extent cx="7132320" cy="2660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266065"/>
                    </a:xfrm>
                    <a:prstGeom prst="rect">
                      <a:avLst/>
                    </a:prstGeom>
                    <a:noFill/>
                  </pic:spPr>
                </pic:pic>
              </a:graphicData>
            </a:graphic>
          </wp:anchor>
        </w:drawing>
        <w:drawing>
          <wp:anchor simplePos="0" relativeHeight="251657728" behindDoc="1" locked="0" layoutInCell="0" allowOverlap="1">
            <wp:simplePos x="0" y="0"/>
            <wp:positionH relativeFrom="column">
              <wp:posOffset>-1556385</wp:posOffset>
            </wp:positionH>
            <wp:positionV relativeFrom="paragraph">
              <wp:posOffset>-2089150</wp:posOffset>
            </wp:positionV>
            <wp:extent cx="7132320" cy="1797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-1556385</wp:posOffset>
            </wp:positionH>
            <wp:positionV relativeFrom="paragraph">
              <wp:posOffset>-1814830</wp:posOffset>
            </wp:positionV>
            <wp:extent cx="7132320" cy="1797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-1556385</wp:posOffset>
            </wp:positionH>
            <wp:positionV relativeFrom="paragraph">
              <wp:posOffset>-1541145</wp:posOffset>
            </wp:positionV>
            <wp:extent cx="7132320" cy="1803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80340"/>
                    </a:xfrm>
                    <a:prstGeom prst="rect">
                      <a:avLst/>
                    </a:prstGeom>
                    <a:noFill/>
                  </pic:spPr>
                </pic:pic>
              </a:graphicData>
            </a:graphic>
          </wp:anchor>
        </w:drawing>
        <w:drawing>
          <wp:anchor simplePos="0" relativeHeight="251657728" behindDoc="1" locked="0" layoutInCell="0" allowOverlap="1">
            <wp:simplePos x="0" y="0"/>
            <wp:positionH relativeFrom="column">
              <wp:posOffset>-1556385</wp:posOffset>
            </wp:positionH>
            <wp:positionV relativeFrom="paragraph">
              <wp:posOffset>-1266190</wp:posOffset>
            </wp:positionV>
            <wp:extent cx="7132320" cy="2654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-1556385</wp:posOffset>
            </wp:positionH>
            <wp:positionV relativeFrom="paragraph">
              <wp:posOffset>-906145</wp:posOffset>
            </wp:positionV>
            <wp:extent cx="7132320" cy="2654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-1556385</wp:posOffset>
            </wp:positionH>
            <wp:positionV relativeFrom="paragraph">
              <wp:posOffset>-546100</wp:posOffset>
            </wp:positionV>
            <wp:extent cx="7132320" cy="2654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-1556385</wp:posOffset>
            </wp:positionH>
            <wp:positionV relativeFrom="paragraph">
              <wp:posOffset>-186055</wp:posOffset>
            </wp:positionV>
            <wp:extent cx="7132320" cy="1797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-1556385</wp:posOffset>
            </wp:positionH>
            <wp:positionV relativeFrom="paragraph">
              <wp:posOffset>-3726815</wp:posOffset>
            </wp:positionV>
            <wp:extent cx="7132320" cy="2743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20" w:space="140"/>
            <w:col w:w="8700"/>
          </w:cols>
          <w:pgMar w:left="320" w:top="336" w:right="419" w:bottom="1440" w:gutter="0" w:footer="0" w:header="0"/>
        </w:sectPr>
      </w:pPr>
    </w:p>
    <w:p>
      <w:pPr>
        <w:spacing w:after="0" w:line="288"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748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320" w:top="336" w:right="419" w:bottom="144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149"/>
        </w:trPr>
        <w:tc>
          <w:tcPr>
            <w:tcW w:w="18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Initial</w:t>
            </w: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35"/>
        </w:trPr>
        <w:tc>
          <w:tcPr>
            <w:tcW w:w="1860" w:type="dxa"/>
            <w:vAlign w:val="bottom"/>
          </w:tcPr>
          <w:p>
            <w:pPr>
              <w:spacing w:after="0" w:line="135" w:lineRule="exact"/>
              <w:rPr>
                <w:sz w:val="20"/>
                <w:szCs w:val="20"/>
                <w:color w:val="auto"/>
              </w:rPr>
            </w:pPr>
            <w:r>
              <w:rPr>
                <w:rFonts w:ascii="Arial" w:cs="Arial" w:eastAsia="Arial" w:hAnsi="Arial"/>
                <w:sz w:val="13"/>
                <w:szCs w:val="13"/>
                <w:b w:val="1"/>
                <w:bCs w:val="1"/>
                <w:color w:val="auto"/>
              </w:rPr>
              <w:t>Portfolio Company /</w:t>
            </w: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6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7"/>
              </w:rPr>
              <w:t>Investment</w:t>
            </w:r>
          </w:p>
        </w:tc>
        <w:tc>
          <w:tcPr>
            <w:tcW w:w="118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1"/>
              </w:rPr>
              <w:t>Amortized</w:t>
            </w: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3"/>
        </w:trPr>
        <w:tc>
          <w:tcPr>
            <w:tcW w:w="18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Principal Business</w:t>
            </w:r>
          </w:p>
        </w:tc>
        <w:tc>
          <w:tcPr>
            <w:tcW w:w="600" w:type="dxa"/>
            <w:vAlign w:val="bottom"/>
            <w:tcBorders>
              <w:bottom w:val="single" w:sz="8" w:color="auto"/>
            </w:tcBorders>
          </w:tcPr>
          <w:p>
            <w:pPr>
              <w:spacing w:after="0"/>
              <w:rPr>
                <w:sz w:val="13"/>
                <w:szCs w:val="13"/>
                <w:color w:val="auto"/>
              </w:rPr>
            </w:pPr>
          </w:p>
        </w:tc>
        <w:tc>
          <w:tcPr>
            <w:tcW w:w="46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2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Interest Rate¹ / Maturity</w:t>
            </w:r>
            <w:r>
              <w:rPr>
                <w:rFonts w:ascii="Arial" w:cs="Arial" w:eastAsia="Arial" w:hAnsi="Arial"/>
                <w:sz w:val="10"/>
                <w:szCs w:val="10"/>
                <w:b w:val="1"/>
                <w:bCs w:val="1"/>
                <w:color w:val="auto"/>
                <w:w w:val="92"/>
              </w:rPr>
              <w:t>15</w:t>
            </w:r>
          </w:p>
        </w:tc>
        <w:tc>
          <w:tcPr>
            <w:tcW w:w="14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Date</w:t>
            </w:r>
          </w:p>
        </w:tc>
        <w:tc>
          <w:tcPr>
            <w:tcW w:w="140" w:type="dxa"/>
            <w:vAlign w:val="bottom"/>
            <w:tcBorders>
              <w:bottom w:val="single" w:sz="8" w:color="CFF0FC"/>
            </w:tcBorders>
          </w:tcPr>
          <w:p>
            <w:pPr>
              <w:spacing w:after="0"/>
              <w:rPr>
                <w:sz w:val="13"/>
                <w:szCs w:val="13"/>
                <w:color w:val="auto"/>
              </w:rPr>
            </w:pPr>
          </w:p>
        </w:tc>
        <w:tc>
          <w:tcPr>
            <w:tcW w:w="110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Principal</w:t>
            </w:r>
          </w:p>
        </w:tc>
        <w:tc>
          <w:tcPr>
            <w:tcW w:w="24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Cost</w:t>
            </w:r>
          </w:p>
        </w:tc>
        <w:tc>
          <w:tcPr>
            <w:tcW w:w="260" w:type="dxa"/>
            <w:vAlign w:val="bottom"/>
            <w:tcBorders>
              <w:bottom w:val="single" w:sz="8" w:color="CFF0FC"/>
            </w:tcBorders>
          </w:tcPr>
          <w:p>
            <w:pPr>
              <w:spacing w:after="0"/>
              <w:rPr>
                <w:sz w:val="13"/>
                <w:szCs w:val="13"/>
                <w:color w:val="auto"/>
              </w:rPr>
            </w:pPr>
          </w:p>
        </w:tc>
        <w:tc>
          <w:tcPr>
            <w:tcW w:w="118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0"/>
                <w:szCs w:val="10"/>
                <w:b w:val="1"/>
                <w:bCs w:val="1"/>
                <w:color w:val="auto"/>
              </w:rPr>
              <w:t>2</w:t>
            </w:r>
          </w:p>
        </w:tc>
        <w:tc>
          <w:tcPr>
            <w:tcW w:w="120" w:type="dxa"/>
            <w:vAlign w:val="bottom"/>
            <w:tcBorders>
              <w:bottom w:val="single" w:sz="8" w:color="CFF0FC"/>
            </w:tcBorders>
          </w:tcPr>
          <w:p>
            <w:pPr>
              <w:spacing w:after="0"/>
              <w:rPr>
                <w:sz w:val="13"/>
                <w:szCs w:val="13"/>
                <w:color w:val="auto"/>
              </w:rPr>
            </w:pPr>
          </w:p>
        </w:tc>
      </w:tr>
      <w:tr>
        <w:trPr>
          <w:trHeight w:val="128"/>
        </w:trPr>
        <w:tc>
          <w:tcPr>
            <w:tcW w:w="1860" w:type="dxa"/>
            <w:vAlign w:val="bottom"/>
            <w:shd w:val="clear" w:color="auto" w:fill="CFF0FC"/>
          </w:tcPr>
          <w:p>
            <w:pPr>
              <w:spacing w:after="0" w:line="128" w:lineRule="exact"/>
              <w:rPr>
                <w:sz w:val="20"/>
                <w:szCs w:val="20"/>
                <w:color w:val="auto"/>
              </w:rPr>
            </w:pPr>
            <w:r>
              <w:rPr>
                <w:rFonts w:ascii="Arial" w:cs="Arial" w:eastAsia="Arial" w:hAnsi="Arial"/>
                <w:sz w:val="13"/>
                <w:szCs w:val="13"/>
                <w:color w:val="auto"/>
              </w:rPr>
              <w:t>Gruden Acquisition, Inc.</w:t>
            </w: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(8)(14)</w:t>
            </w:r>
          </w:p>
        </w:tc>
        <w:tc>
          <w:tcPr>
            <w:tcW w:w="180" w:type="dxa"/>
            <w:vAlign w:val="bottom"/>
            <w:shd w:val="clear" w:color="auto" w:fill="CFF0FC"/>
          </w:tcPr>
          <w:p>
            <w:pPr>
              <w:spacing w:after="0"/>
              <w:rPr>
                <w:sz w:val="11"/>
                <w:szCs w:val="11"/>
                <w:color w:val="auto"/>
              </w:rPr>
            </w:pPr>
          </w:p>
        </w:tc>
        <w:tc>
          <w:tcPr>
            <w:tcW w:w="2920" w:type="dxa"/>
            <w:vAlign w:val="bottom"/>
            <w:shd w:val="clear" w:color="auto" w:fill="CFF0FC"/>
          </w:tcPr>
          <w:p>
            <w:pPr>
              <w:spacing w:after="0" w:line="128" w:lineRule="exact"/>
              <w:rPr>
                <w:sz w:val="20"/>
                <w:szCs w:val="20"/>
                <w:color w:val="auto"/>
              </w:rPr>
            </w:pPr>
            <w:r>
              <w:rPr>
                <w:rFonts w:ascii="Arial" w:cs="Arial" w:eastAsia="Arial" w:hAnsi="Arial"/>
                <w:sz w:val="13"/>
                <w:szCs w:val="13"/>
                <w:color w:val="auto"/>
              </w:rPr>
              <w:t>Senior Secured Loan — First Lien Term Loan</w:t>
            </w:r>
          </w:p>
        </w:tc>
        <w:tc>
          <w:tcPr>
            <w:tcW w:w="14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186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Transportation: Cargo</w:t>
            </w:r>
          </w:p>
        </w:tc>
        <w:tc>
          <w:tcPr>
            <w:tcW w:w="60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3240" w:type="dxa"/>
            <w:vAlign w:val="bottom"/>
            <w:gridSpan w:val="3"/>
            <w:shd w:val="clear" w:color="auto" w:fill="CFF0FC"/>
          </w:tcPr>
          <w:p>
            <w:pPr>
              <w:ind w:left="180"/>
              <w:spacing w:after="0" w:line="135" w:lineRule="exact"/>
              <w:rPr>
                <w:sz w:val="20"/>
                <w:szCs w:val="20"/>
                <w:color w:val="auto"/>
              </w:rPr>
            </w:pPr>
            <w:r>
              <w:rPr>
                <w:rFonts w:ascii="Arial" w:cs="Arial" w:eastAsia="Arial" w:hAnsi="Arial"/>
                <w:sz w:val="13"/>
                <w:szCs w:val="13"/>
                <w:color w:val="auto"/>
                <w:w w:val="94"/>
              </w:rPr>
              <w:t>6.5% Cash, 3 Month Libor (1.00%) + 5.50%; Libor Floor</w:t>
            </w:r>
          </w:p>
        </w:tc>
        <w:tc>
          <w:tcPr>
            <w:tcW w:w="10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18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3240" w:type="dxa"/>
            <w:vAlign w:val="bottom"/>
            <w:gridSpan w:val="3"/>
            <w:shd w:val="clear" w:color="auto" w:fill="CFF0FC"/>
          </w:tcPr>
          <w:p>
            <w:pPr>
              <w:ind w:left="180"/>
              <w:spacing w:after="0"/>
              <w:rPr>
                <w:sz w:val="20"/>
                <w:szCs w:val="20"/>
                <w:color w:val="auto"/>
              </w:rPr>
            </w:pPr>
            <w:r>
              <w:rPr>
                <w:rFonts w:ascii="Arial" w:cs="Arial" w:eastAsia="Arial" w:hAnsi="Arial"/>
                <w:sz w:val="13"/>
                <w:szCs w:val="13"/>
                <w:color w:val="auto"/>
              </w:rPr>
              <w:t>1.00% , Due 8/22</w:t>
            </w: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2,407,962</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2,117,470</w:t>
            </w:r>
          </w:p>
        </w:tc>
        <w:tc>
          <w:tcPr>
            <w:tcW w:w="26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2,407,962</w:t>
            </w:r>
          </w:p>
        </w:tc>
        <w:tc>
          <w:tcPr>
            <w:tcW w:w="120" w:type="dxa"/>
            <w:vAlign w:val="bottom"/>
            <w:shd w:val="clear" w:color="auto" w:fill="CFF0FC"/>
          </w:tcPr>
          <w:p>
            <w:pPr>
              <w:spacing w:after="0"/>
              <w:rPr>
                <w:sz w:val="12"/>
                <w:szCs w:val="12"/>
                <w:color w:val="auto"/>
              </w:rPr>
            </w:pPr>
          </w:p>
        </w:tc>
      </w:tr>
    </w:tbl>
    <w:p>
      <w:pPr>
        <w:spacing w:after="0" w:line="148" w:lineRule="exact"/>
        <w:rPr>
          <w:sz w:val="20"/>
          <w:szCs w:val="20"/>
          <w:color w:val="auto"/>
        </w:rPr>
      </w:pPr>
    </w:p>
    <w:p>
      <w:pPr>
        <w:sectPr>
          <w:pgSz w:w="11900" w:h="16838" w:orient="portrait"/>
          <w:cols w:equalWidth="0" w:num="1">
            <w:col w:w="11240"/>
          </w:cols>
          <w:pgMar w:left="320" w:top="336" w:right="339" w:bottom="1440" w:gutter="0" w:footer="0" w:header="0"/>
        </w:sectPr>
      </w:pPr>
    </w:p>
    <w:tbl>
      <w:tblPr>
        <w:tblLayout w:type="fixed"/>
        <w:tblInd w:w="0" w:type="dxa"/>
        <w:tblCellMar>
          <w:top w:w="0" w:type="dxa"/>
          <w:left w:w="0" w:type="dxa"/>
          <w:bottom w:w="0" w:type="dxa"/>
          <w:right w:w="0" w:type="dxa"/>
        </w:tblCellMar>
      </w:tblPr>
      <w:tr>
        <w:trPr>
          <w:trHeight w:val="160"/>
        </w:trPr>
        <w:tc>
          <w:tcPr>
            <w:tcW w:w="2420" w:type="dxa"/>
            <w:vAlign w:val="bottom"/>
          </w:tcPr>
          <w:p>
            <w:pPr>
              <w:spacing w:after="0"/>
              <w:rPr>
                <w:sz w:val="20"/>
                <w:szCs w:val="20"/>
                <w:color w:val="auto"/>
              </w:rPr>
            </w:pPr>
            <w:r>
              <w:rPr>
                <w:rFonts w:ascii="Arial" w:cs="Arial" w:eastAsia="Arial" w:hAnsi="Arial"/>
                <w:sz w:val="13"/>
                <w:szCs w:val="13"/>
                <w:color w:val="auto"/>
              </w:rPr>
              <w:t>Grupo HIMA San Pablo, Inc.</w:t>
            </w:r>
          </w:p>
        </w:tc>
        <w:tc>
          <w:tcPr>
            <w:tcW w:w="520" w:type="dxa"/>
            <w:vAlign w:val="bottom"/>
          </w:tcPr>
          <w:p>
            <w:pPr>
              <w:ind w:left="40"/>
              <w:spacing w:after="0"/>
              <w:rPr>
                <w:sz w:val="20"/>
                <w:szCs w:val="20"/>
                <w:color w:val="auto"/>
              </w:rPr>
            </w:pPr>
            <w:r>
              <w:rPr>
                <w:rFonts w:ascii="Arial" w:cs="Arial" w:eastAsia="Arial" w:hAnsi="Arial"/>
                <w:sz w:val="11"/>
                <w:szCs w:val="11"/>
                <w:color w:val="auto"/>
                <w:w w:val="87"/>
              </w:rPr>
              <w:t>(8)(13)(14)</w:t>
            </w:r>
          </w:p>
        </w:tc>
      </w:tr>
      <w:tr>
        <w:trPr>
          <w:trHeight w:val="270"/>
        </w:trPr>
        <w:tc>
          <w:tcPr>
            <w:tcW w:w="2420" w:type="dxa"/>
            <w:vAlign w:val="bottom"/>
          </w:tcPr>
          <w:p>
            <w:pPr>
              <w:ind w:left="200"/>
              <w:spacing w:after="0"/>
              <w:rPr>
                <w:sz w:val="20"/>
                <w:szCs w:val="20"/>
                <w:color w:val="auto"/>
              </w:rPr>
            </w:pPr>
            <w:r>
              <w:rPr>
                <w:rFonts w:ascii="Arial" w:cs="Arial" w:eastAsia="Arial" w:hAnsi="Arial"/>
                <w:sz w:val="13"/>
                <w:szCs w:val="13"/>
                <w:color w:val="auto"/>
              </w:rPr>
              <w:t>Healthcare &amp; Pharmaceuticals</w:t>
            </w:r>
          </w:p>
        </w:tc>
        <w:tc>
          <w:tcPr>
            <w:tcW w:w="520" w:type="dxa"/>
            <w:vAlign w:val="bottom"/>
          </w:tcPr>
          <w:p>
            <w:pPr>
              <w:spacing w:after="0"/>
              <w:rPr>
                <w:sz w:val="23"/>
                <w:szCs w:val="23"/>
                <w:color w:val="auto"/>
              </w:rPr>
            </w:pPr>
          </w:p>
        </w:tc>
      </w:tr>
      <w:tr>
        <w:trPr>
          <w:trHeight w:val="297"/>
        </w:trPr>
        <w:tc>
          <w:tcPr>
            <w:tcW w:w="2420" w:type="dxa"/>
            <w:vAlign w:val="bottom"/>
          </w:tcPr>
          <w:p>
            <w:pPr>
              <w:spacing w:after="0"/>
              <w:rPr>
                <w:sz w:val="20"/>
                <w:szCs w:val="20"/>
                <w:color w:val="auto"/>
              </w:rPr>
            </w:pPr>
            <w:r>
              <w:rPr>
                <w:rFonts w:ascii="Arial" w:cs="Arial" w:eastAsia="Arial" w:hAnsi="Arial"/>
                <w:sz w:val="13"/>
                <w:szCs w:val="13"/>
                <w:color w:val="auto"/>
              </w:rPr>
              <w:t>Grupo HIMA San Pablo, Inc.</w:t>
            </w:r>
          </w:p>
        </w:tc>
        <w:tc>
          <w:tcPr>
            <w:tcW w:w="520" w:type="dxa"/>
            <w:vAlign w:val="bottom"/>
          </w:tcPr>
          <w:p>
            <w:pPr>
              <w:ind w:left="40"/>
              <w:spacing w:after="0"/>
              <w:rPr>
                <w:sz w:val="20"/>
                <w:szCs w:val="20"/>
                <w:color w:val="auto"/>
              </w:rPr>
            </w:pPr>
            <w:r>
              <w:rPr>
                <w:rFonts w:ascii="Arial" w:cs="Arial" w:eastAsia="Arial" w:hAnsi="Arial"/>
                <w:sz w:val="11"/>
                <w:szCs w:val="11"/>
                <w:color w:val="auto"/>
                <w:w w:val="98"/>
              </w:rPr>
              <w:t>(5)(8)(13)</w:t>
            </w:r>
          </w:p>
        </w:tc>
      </w:tr>
      <w:tr>
        <w:trPr>
          <w:trHeight w:val="270"/>
        </w:trPr>
        <w:tc>
          <w:tcPr>
            <w:tcW w:w="2420" w:type="dxa"/>
            <w:vAlign w:val="bottom"/>
          </w:tcPr>
          <w:p>
            <w:pPr>
              <w:ind w:left="200"/>
              <w:spacing w:after="0"/>
              <w:rPr>
                <w:sz w:val="20"/>
                <w:szCs w:val="20"/>
                <w:color w:val="auto"/>
              </w:rPr>
            </w:pPr>
            <w:r>
              <w:rPr>
                <w:rFonts w:ascii="Arial" w:cs="Arial" w:eastAsia="Arial" w:hAnsi="Arial"/>
                <w:sz w:val="13"/>
                <w:szCs w:val="13"/>
                <w:color w:val="auto"/>
              </w:rPr>
              <w:t>Healthcare &amp; Pharmaceuticals</w:t>
            </w:r>
          </w:p>
        </w:tc>
        <w:tc>
          <w:tcPr>
            <w:tcW w:w="520" w:type="dxa"/>
            <w:vAlign w:val="bottom"/>
          </w:tcPr>
          <w:p>
            <w:pPr>
              <w:spacing w:after="0"/>
              <w:rPr>
                <w:sz w:val="23"/>
                <w:szCs w:val="23"/>
                <w:color w:val="auto"/>
              </w:rPr>
            </w:pPr>
          </w:p>
        </w:tc>
      </w:tr>
      <w:tr>
        <w:trPr>
          <w:trHeight w:val="297"/>
        </w:trPr>
        <w:tc>
          <w:tcPr>
            <w:tcW w:w="2420" w:type="dxa"/>
            <w:vAlign w:val="bottom"/>
          </w:tcPr>
          <w:p>
            <w:pPr>
              <w:spacing w:after="0"/>
              <w:rPr>
                <w:sz w:val="20"/>
                <w:szCs w:val="20"/>
                <w:color w:val="auto"/>
              </w:rPr>
            </w:pPr>
            <w:r>
              <w:rPr>
                <w:rFonts w:ascii="Arial" w:cs="Arial" w:eastAsia="Arial" w:hAnsi="Arial"/>
                <w:sz w:val="13"/>
                <w:szCs w:val="13"/>
                <w:color w:val="auto"/>
              </w:rPr>
              <w:t>H-CA II, LLC</w:t>
            </w:r>
          </w:p>
        </w:tc>
        <w:tc>
          <w:tcPr>
            <w:tcW w:w="520" w:type="dxa"/>
            <w:vAlign w:val="bottom"/>
          </w:tcPr>
          <w:p>
            <w:pPr>
              <w:ind w:left="40"/>
              <w:spacing w:after="0"/>
              <w:rPr>
                <w:sz w:val="20"/>
                <w:szCs w:val="20"/>
                <w:color w:val="auto"/>
              </w:rPr>
            </w:pPr>
            <w:r>
              <w:rPr>
                <w:rFonts w:ascii="Arial" w:cs="Arial" w:eastAsia="Arial" w:hAnsi="Arial"/>
                <w:sz w:val="11"/>
                <w:szCs w:val="11"/>
                <w:color w:val="auto"/>
              </w:rPr>
              <w:t>(8)(13)</w:t>
            </w:r>
          </w:p>
        </w:tc>
      </w:tr>
      <w:tr>
        <w:trPr>
          <w:trHeight w:val="270"/>
        </w:trPr>
        <w:tc>
          <w:tcPr>
            <w:tcW w:w="2420" w:type="dxa"/>
            <w:vAlign w:val="bottom"/>
          </w:tcPr>
          <w:p>
            <w:pPr>
              <w:ind w:left="200"/>
              <w:spacing w:after="0"/>
              <w:rPr>
                <w:sz w:val="20"/>
                <w:szCs w:val="20"/>
                <w:color w:val="auto"/>
              </w:rPr>
            </w:pPr>
            <w:r>
              <w:rPr>
                <w:rFonts w:ascii="Arial" w:cs="Arial" w:eastAsia="Arial" w:hAnsi="Arial"/>
                <w:sz w:val="13"/>
                <w:szCs w:val="13"/>
                <w:color w:val="auto"/>
              </w:rPr>
              <w:t>Healthcare &amp; Pharmaceuticals</w:t>
            </w:r>
          </w:p>
        </w:tc>
        <w:tc>
          <w:tcPr>
            <w:tcW w:w="520" w:type="dxa"/>
            <w:vAlign w:val="bottom"/>
          </w:tcPr>
          <w:p>
            <w:pPr>
              <w:spacing w:after="0"/>
              <w:rPr>
                <w:sz w:val="23"/>
                <w:szCs w:val="23"/>
                <w:color w:val="auto"/>
              </w:rPr>
            </w:pPr>
          </w:p>
        </w:tc>
      </w:tr>
      <w:tr>
        <w:trPr>
          <w:trHeight w:val="272"/>
        </w:trPr>
        <w:tc>
          <w:tcPr>
            <w:tcW w:w="2420" w:type="dxa"/>
            <w:vAlign w:val="bottom"/>
          </w:tcPr>
          <w:p>
            <w:pPr>
              <w:spacing w:after="0"/>
              <w:rPr>
                <w:sz w:val="20"/>
                <w:szCs w:val="20"/>
                <w:color w:val="auto"/>
              </w:rPr>
            </w:pPr>
            <w:r>
              <w:rPr>
                <w:rFonts w:ascii="Arial" w:cs="Arial" w:eastAsia="Arial" w:hAnsi="Arial"/>
                <w:sz w:val="13"/>
                <w:szCs w:val="13"/>
                <w:color w:val="auto"/>
              </w:rPr>
              <w:t>HDC/HW Intermediate Holdings, LLC</w:t>
            </w:r>
          </w:p>
        </w:tc>
        <w:tc>
          <w:tcPr>
            <w:tcW w:w="520" w:type="dxa"/>
            <w:vAlign w:val="bottom"/>
          </w:tcPr>
          <w:p>
            <w:pPr>
              <w:ind w:left="40"/>
              <w:spacing w:after="0"/>
              <w:rPr>
                <w:sz w:val="20"/>
                <w:szCs w:val="20"/>
                <w:color w:val="auto"/>
              </w:rPr>
            </w:pPr>
            <w:r>
              <w:rPr>
                <w:rFonts w:ascii="Arial" w:cs="Arial" w:eastAsia="Arial" w:hAnsi="Arial"/>
                <w:sz w:val="11"/>
                <w:szCs w:val="11"/>
                <w:color w:val="auto"/>
                <w:w w:val="87"/>
              </w:rPr>
              <w:t>(8)(13)(14)</w:t>
            </w:r>
          </w:p>
        </w:tc>
      </w:tr>
      <w:tr>
        <w:trPr>
          <w:trHeight w:val="160"/>
        </w:trPr>
        <w:tc>
          <w:tcPr>
            <w:tcW w:w="2420" w:type="dxa"/>
            <w:vAlign w:val="bottom"/>
          </w:tcPr>
          <w:p>
            <w:pPr>
              <w:ind w:left="160"/>
              <w:spacing w:after="0"/>
              <w:rPr>
                <w:sz w:val="20"/>
                <w:szCs w:val="20"/>
                <w:color w:val="auto"/>
              </w:rPr>
            </w:pPr>
            <w:r>
              <w:rPr>
                <w:rFonts w:ascii="Arial" w:cs="Arial" w:eastAsia="Arial" w:hAnsi="Arial"/>
                <w:sz w:val="13"/>
                <w:szCs w:val="13"/>
                <w:color w:val="auto"/>
              </w:rPr>
              <w:t>High Tech Industries</w:t>
            </w:r>
          </w:p>
        </w:tc>
        <w:tc>
          <w:tcPr>
            <w:tcW w:w="520" w:type="dxa"/>
            <w:vAlign w:val="bottom"/>
          </w:tcPr>
          <w:p>
            <w:pPr>
              <w:spacing w:after="0"/>
              <w:rPr>
                <w:sz w:val="13"/>
                <w:szCs w:val="13"/>
                <w:color w:val="auto"/>
              </w:rPr>
            </w:pPr>
          </w:p>
        </w:tc>
      </w:tr>
      <w:tr>
        <w:trPr>
          <w:trHeight w:val="407"/>
        </w:trPr>
        <w:tc>
          <w:tcPr>
            <w:tcW w:w="2420" w:type="dxa"/>
            <w:vAlign w:val="bottom"/>
          </w:tcPr>
          <w:p>
            <w:pPr>
              <w:spacing w:after="0"/>
              <w:rPr>
                <w:sz w:val="20"/>
                <w:szCs w:val="20"/>
                <w:color w:val="auto"/>
              </w:rPr>
            </w:pPr>
            <w:r>
              <w:rPr>
                <w:rFonts w:ascii="Arial" w:cs="Arial" w:eastAsia="Arial" w:hAnsi="Arial"/>
                <w:sz w:val="13"/>
                <w:szCs w:val="13"/>
                <w:color w:val="auto"/>
              </w:rPr>
              <w:t>HDC/HW Intermediate Holdings, LLC</w:t>
            </w:r>
          </w:p>
        </w:tc>
        <w:tc>
          <w:tcPr>
            <w:tcW w:w="520" w:type="dxa"/>
            <w:vAlign w:val="bottom"/>
          </w:tcPr>
          <w:p>
            <w:pPr>
              <w:ind w:left="40"/>
              <w:spacing w:after="0"/>
              <w:rPr>
                <w:sz w:val="20"/>
                <w:szCs w:val="20"/>
                <w:color w:val="auto"/>
              </w:rPr>
            </w:pPr>
            <w:r>
              <w:rPr>
                <w:rFonts w:ascii="Arial" w:cs="Arial" w:eastAsia="Arial" w:hAnsi="Arial"/>
                <w:sz w:val="11"/>
                <w:szCs w:val="11"/>
                <w:color w:val="auto"/>
                <w:w w:val="87"/>
              </w:rPr>
              <w:t>(8)(13)(14)</w:t>
            </w:r>
          </w:p>
        </w:tc>
      </w:tr>
      <w:tr>
        <w:trPr>
          <w:trHeight w:val="160"/>
        </w:trPr>
        <w:tc>
          <w:tcPr>
            <w:tcW w:w="2420" w:type="dxa"/>
            <w:vAlign w:val="bottom"/>
          </w:tcPr>
          <w:p>
            <w:pPr>
              <w:ind w:left="160"/>
              <w:spacing w:after="0"/>
              <w:rPr>
                <w:sz w:val="20"/>
                <w:szCs w:val="20"/>
                <w:color w:val="auto"/>
              </w:rPr>
            </w:pPr>
            <w:r>
              <w:rPr>
                <w:rFonts w:ascii="Arial" w:cs="Arial" w:eastAsia="Arial" w:hAnsi="Arial"/>
                <w:sz w:val="13"/>
                <w:szCs w:val="13"/>
                <w:color w:val="auto"/>
              </w:rPr>
              <w:t>High Tech Industries</w:t>
            </w:r>
          </w:p>
        </w:tc>
        <w:tc>
          <w:tcPr>
            <w:tcW w:w="520" w:type="dxa"/>
            <w:vAlign w:val="bottom"/>
          </w:tcPr>
          <w:p>
            <w:pPr>
              <w:spacing w:after="0"/>
              <w:rPr>
                <w:sz w:val="13"/>
                <w:szCs w:val="13"/>
                <w:color w:val="auto"/>
              </w:rPr>
            </w:pPr>
          </w:p>
        </w:tc>
      </w:tr>
      <w:tr>
        <w:trPr>
          <w:trHeight w:val="432"/>
        </w:trPr>
        <w:tc>
          <w:tcPr>
            <w:tcW w:w="2420" w:type="dxa"/>
            <w:vAlign w:val="bottom"/>
          </w:tcPr>
          <w:p>
            <w:pPr>
              <w:spacing w:after="0"/>
              <w:rPr>
                <w:sz w:val="20"/>
                <w:szCs w:val="20"/>
                <w:color w:val="auto"/>
              </w:rPr>
            </w:pPr>
            <w:r>
              <w:rPr>
                <w:rFonts w:ascii="Arial" w:cs="Arial" w:eastAsia="Arial" w:hAnsi="Arial"/>
                <w:sz w:val="13"/>
                <w:szCs w:val="13"/>
                <w:color w:val="auto"/>
              </w:rPr>
              <w:t>Helix Acquisition Holdings, Inc.</w:t>
            </w:r>
          </w:p>
        </w:tc>
        <w:tc>
          <w:tcPr>
            <w:tcW w:w="520" w:type="dxa"/>
            <w:vAlign w:val="bottom"/>
          </w:tcPr>
          <w:p>
            <w:pPr>
              <w:ind w:left="40"/>
              <w:spacing w:after="0"/>
              <w:rPr>
                <w:sz w:val="20"/>
                <w:szCs w:val="20"/>
                <w:color w:val="auto"/>
              </w:rPr>
            </w:pPr>
            <w:r>
              <w:rPr>
                <w:rFonts w:ascii="Arial" w:cs="Arial" w:eastAsia="Arial" w:hAnsi="Arial"/>
                <w:sz w:val="11"/>
                <w:szCs w:val="11"/>
                <w:color w:val="auto"/>
              </w:rPr>
              <w:t>(8)(14)</w:t>
            </w:r>
          </w:p>
        </w:tc>
      </w:tr>
      <w:tr>
        <w:trPr>
          <w:trHeight w:val="270"/>
        </w:trPr>
        <w:tc>
          <w:tcPr>
            <w:tcW w:w="2420" w:type="dxa"/>
            <w:vAlign w:val="bottom"/>
          </w:tcPr>
          <w:p>
            <w:pPr>
              <w:ind w:left="200"/>
              <w:spacing w:after="0"/>
              <w:rPr>
                <w:sz w:val="20"/>
                <w:szCs w:val="20"/>
                <w:color w:val="auto"/>
              </w:rPr>
            </w:pPr>
            <w:r>
              <w:rPr>
                <w:rFonts w:ascii="Arial" w:cs="Arial" w:eastAsia="Arial" w:hAnsi="Arial"/>
                <w:sz w:val="13"/>
                <w:szCs w:val="13"/>
                <w:color w:val="auto"/>
              </w:rPr>
              <w:t>Metals &amp; Mining</w:t>
            </w:r>
          </w:p>
        </w:tc>
        <w:tc>
          <w:tcPr>
            <w:tcW w:w="520" w:type="dxa"/>
            <w:vAlign w:val="bottom"/>
          </w:tcPr>
          <w:p>
            <w:pPr>
              <w:spacing w:after="0"/>
              <w:rPr>
                <w:sz w:val="23"/>
                <w:szCs w:val="23"/>
                <w:color w:val="auto"/>
              </w:rPr>
            </w:pPr>
          </w:p>
        </w:tc>
      </w:tr>
      <w:tr>
        <w:trPr>
          <w:trHeight w:val="272"/>
        </w:trPr>
        <w:tc>
          <w:tcPr>
            <w:tcW w:w="2420" w:type="dxa"/>
            <w:vAlign w:val="bottom"/>
          </w:tcPr>
          <w:p>
            <w:pPr>
              <w:spacing w:after="0"/>
              <w:rPr>
                <w:sz w:val="20"/>
                <w:szCs w:val="20"/>
                <w:color w:val="auto"/>
              </w:rPr>
            </w:pPr>
            <w:r>
              <w:rPr>
                <w:rFonts w:ascii="Arial" w:cs="Arial" w:eastAsia="Arial" w:hAnsi="Arial"/>
                <w:sz w:val="13"/>
                <w:szCs w:val="13"/>
                <w:color w:val="auto"/>
              </w:rPr>
              <w:t>Hoffmaster Group, Inc.</w:t>
            </w:r>
          </w:p>
        </w:tc>
        <w:tc>
          <w:tcPr>
            <w:tcW w:w="520" w:type="dxa"/>
            <w:vAlign w:val="bottom"/>
          </w:tcPr>
          <w:p>
            <w:pPr>
              <w:ind w:left="40"/>
              <w:spacing w:after="0"/>
              <w:rPr>
                <w:sz w:val="20"/>
                <w:szCs w:val="20"/>
                <w:color w:val="auto"/>
              </w:rPr>
            </w:pPr>
            <w:r>
              <w:rPr>
                <w:rFonts w:ascii="Arial" w:cs="Arial" w:eastAsia="Arial" w:hAnsi="Arial"/>
                <w:sz w:val="11"/>
                <w:szCs w:val="11"/>
                <w:color w:val="auto"/>
                <w:w w:val="87"/>
              </w:rPr>
              <w:t>(8)(13)(14)</w:t>
            </w:r>
          </w:p>
        </w:tc>
      </w:tr>
      <w:tr>
        <w:trPr>
          <w:trHeight w:val="160"/>
        </w:trPr>
        <w:tc>
          <w:tcPr>
            <w:tcW w:w="2420" w:type="dxa"/>
            <w:vAlign w:val="bottom"/>
          </w:tcPr>
          <w:p>
            <w:pPr>
              <w:ind w:left="160"/>
              <w:spacing w:after="0"/>
              <w:rPr>
                <w:sz w:val="20"/>
                <w:szCs w:val="20"/>
                <w:color w:val="auto"/>
              </w:rPr>
            </w:pPr>
            <w:r>
              <w:rPr>
                <w:rFonts w:ascii="Arial" w:cs="Arial" w:eastAsia="Arial" w:hAnsi="Arial"/>
                <w:sz w:val="13"/>
                <w:szCs w:val="13"/>
                <w:color w:val="auto"/>
              </w:rPr>
              <w:t>Forest Products &amp; Paper</w:t>
            </w:r>
          </w:p>
        </w:tc>
        <w:tc>
          <w:tcPr>
            <w:tcW w:w="520" w:type="dxa"/>
            <w:vAlign w:val="bottom"/>
          </w:tcPr>
          <w:p>
            <w:pPr>
              <w:spacing w:after="0"/>
              <w:rPr>
                <w:sz w:val="13"/>
                <w:szCs w:val="13"/>
                <w:color w:val="auto"/>
              </w:rPr>
            </w:pPr>
          </w:p>
        </w:tc>
      </w:tr>
      <w:tr>
        <w:trPr>
          <w:trHeight w:val="432"/>
        </w:trPr>
        <w:tc>
          <w:tcPr>
            <w:tcW w:w="2420" w:type="dxa"/>
            <w:vAlign w:val="bottom"/>
          </w:tcPr>
          <w:p>
            <w:pPr>
              <w:spacing w:after="0"/>
              <w:rPr>
                <w:sz w:val="20"/>
                <w:szCs w:val="20"/>
                <w:color w:val="auto"/>
              </w:rPr>
            </w:pPr>
            <w:r>
              <w:rPr>
                <w:rFonts w:ascii="Arial" w:cs="Arial" w:eastAsia="Arial" w:hAnsi="Arial"/>
                <w:sz w:val="13"/>
                <w:szCs w:val="13"/>
                <w:color w:val="auto"/>
              </w:rPr>
              <w:t>Holley Purchaser, Inc.</w:t>
            </w:r>
          </w:p>
        </w:tc>
        <w:tc>
          <w:tcPr>
            <w:tcW w:w="520" w:type="dxa"/>
            <w:vAlign w:val="bottom"/>
          </w:tcPr>
          <w:p>
            <w:pPr>
              <w:ind w:left="40"/>
              <w:spacing w:after="0"/>
              <w:rPr>
                <w:sz w:val="20"/>
                <w:szCs w:val="20"/>
                <w:color w:val="auto"/>
              </w:rPr>
            </w:pPr>
            <w:r>
              <w:rPr>
                <w:rFonts w:ascii="Arial" w:cs="Arial" w:eastAsia="Arial" w:hAnsi="Arial"/>
                <w:sz w:val="11"/>
                <w:szCs w:val="11"/>
                <w:color w:val="auto"/>
              </w:rPr>
              <w:t>(8)(14)</w:t>
            </w:r>
          </w:p>
        </w:tc>
      </w:tr>
      <w:tr>
        <w:trPr>
          <w:trHeight w:val="270"/>
        </w:trPr>
        <w:tc>
          <w:tcPr>
            <w:tcW w:w="2420" w:type="dxa"/>
            <w:vAlign w:val="bottom"/>
          </w:tcPr>
          <w:p>
            <w:pPr>
              <w:ind w:left="200"/>
              <w:spacing w:after="0"/>
              <w:rPr>
                <w:sz w:val="20"/>
                <w:szCs w:val="20"/>
                <w:color w:val="auto"/>
              </w:rPr>
            </w:pPr>
            <w:r>
              <w:rPr>
                <w:rFonts w:ascii="Arial" w:cs="Arial" w:eastAsia="Arial" w:hAnsi="Arial"/>
                <w:sz w:val="13"/>
                <w:szCs w:val="13"/>
                <w:color w:val="auto"/>
                <w:w w:val="88"/>
              </w:rPr>
              <w:t>Banking, Finance, Insurance &amp; Real Estate</w:t>
            </w:r>
          </w:p>
        </w:tc>
        <w:tc>
          <w:tcPr>
            <w:tcW w:w="520" w:type="dxa"/>
            <w:vAlign w:val="bottom"/>
          </w:tcPr>
          <w:p>
            <w:pPr>
              <w:spacing w:after="0"/>
              <w:rPr>
                <w:sz w:val="23"/>
                <w:szCs w:val="23"/>
                <w:color w:val="auto"/>
              </w:rPr>
            </w:pPr>
          </w:p>
        </w:tc>
      </w:tr>
      <w:tr>
        <w:trPr>
          <w:trHeight w:val="272"/>
        </w:trPr>
        <w:tc>
          <w:tcPr>
            <w:tcW w:w="2420" w:type="dxa"/>
            <w:vAlign w:val="bottom"/>
          </w:tcPr>
          <w:p>
            <w:pPr>
              <w:spacing w:after="0"/>
              <w:rPr>
                <w:sz w:val="20"/>
                <w:szCs w:val="20"/>
                <w:color w:val="auto"/>
              </w:rPr>
            </w:pPr>
            <w:r>
              <w:rPr>
                <w:rFonts w:ascii="Arial" w:cs="Arial" w:eastAsia="Arial" w:hAnsi="Arial"/>
                <w:sz w:val="13"/>
                <w:szCs w:val="13"/>
                <w:color w:val="auto"/>
              </w:rPr>
              <w:t>Infobase Holdings, Inc.</w:t>
            </w:r>
          </w:p>
        </w:tc>
        <w:tc>
          <w:tcPr>
            <w:tcW w:w="520" w:type="dxa"/>
            <w:vAlign w:val="bottom"/>
          </w:tcPr>
          <w:p>
            <w:pPr>
              <w:ind w:left="40"/>
              <w:spacing w:after="0"/>
              <w:rPr>
                <w:sz w:val="20"/>
                <w:szCs w:val="20"/>
                <w:color w:val="auto"/>
              </w:rPr>
            </w:pPr>
            <w:r>
              <w:rPr>
                <w:rFonts w:ascii="Arial" w:cs="Arial" w:eastAsia="Arial" w:hAnsi="Arial"/>
                <w:sz w:val="11"/>
                <w:szCs w:val="11"/>
                <w:color w:val="auto"/>
                <w:w w:val="87"/>
              </w:rPr>
              <w:t>(8)(13)(14)</w:t>
            </w:r>
          </w:p>
        </w:tc>
      </w:tr>
      <w:tr>
        <w:trPr>
          <w:trHeight w:val="160"/>
        </w:trPr>
        <w:tc>
          <w:tcPr>
            <w:tcW w:w="2420" w:type="dxa"/>
            <w:vAlign w:val="bottom"/>
          </w:tcPr>
          <w:p>
            <w:pPr>
              <w:ind w:left="160"/>
              <w:spacing w:after="0"/>
              <w:rPr>
                <w:sz w:val="20"/>
                <w:szCs w:val="20"/>
                <w:color w:val="auto"/>
              </w:rPr>
            </w:pPr>
            <w:r>
              <w:rPr>
                <w:rFonts w:ascii="Arial" w:cs="Arial" w:eastAsia="Arial" w:hAnsi="Arial"/>
                <w:sz w:val="13"/>
                <w:szCs w:val="13"/>
                <w:color w:val="auto"/>
              </w:rPr>
              <w:t>High Tech Industries</w:t>
            </w:r>
          </w:p>
        </w:tc>
        <w:tc>
          <w:tcPr>
            <w:tcW w:w="520" w:type="dxa"/>
            <w:vAlign w:val="bottom"/>
          </w:tcPr>
          <w:p>
            <w:pPr>
              <w:spacing w:after="0"/>
              <w:rPr>
                <w:sz w:val="13"/>
                <w:szCs w:val="13"/>
                <w:color w:val="auto"/>
              </w:rPr>
            </w:pPr>
          </w:p>
        </w:tc>
      </w:tr>
      <w:tr>
        <w:trPr>
          <w:trHeight w:val="432"/>
        </w:trPr>
        <w:tc>
          <w:tcPr>
            <w:tcW w:w="2420" w:type="dxa"/>
            <w:vAlign w:val="bottom"/>
          </w:tcPr>
          <w:p>
            <w:pPr>
              <w:spacing w:after="0"/>
              <w:rPr>
                <w:sz w:val="20"/>
                <w:szCs w:val="20"/>
                <w:color w:val="auto"/>
              </w:rPr>
            </w:pPr>
            <w:r>
              <w:rPr>
                <w:rFonts w:ascii="Arial" w:cs="Arial" w:eastAsia="Arial" w:hAnsi="Arial"/>
                <w:sz w:val="13"/>
                <w:szCs w:val="13"/>
                <w:color w:val="auto"/>
              </w:rPr>
              <w:t>Infobase Holdings, Inc.</w:t>
            </w:r>
          </w:p>
        </w:tc>
        <w:tc>
          <w:tcPr>
            <w:tcW w:w="520" w:type="dxa"/>
            <w:vAlign w:val="bottom"/>
          </w:tcPr>
          <w:p>
            <w:pPr>
              <w:ind w:left="40"/>
              <w:spacing w:after="0"/>
              <w:rPr>
                <w:sz w:val="20"/>
                <w:szCs w:val="20"/>
                <w:color w:val="auto"/>
              </w:rPr>
            </w:pPr>
            <w:r>
              <w:rPr>
                <w:rFonts w:ascii="Arial" w:cs="Arial" w:eastAsia="Arial" w:hAnsi="Arial"/>
                <w:sz w:val="11"/>
                <w:szCs w:val="11"/>
                <w:color w:val="auto"/>
                <w:w w:val="87"/>
              </w:rPr>
              <w:t>(8)(13)(14)</w:t>
            </w:r>
          </w:p>
        </w:tc>
      </w:tr>
      <w:tr>
        <w:trPr>
          <w:trHeight w:val="270"/>
        </w:trPr>
        <w:tc>
          <w:tcPr>
            <w:tcW w:w="2420" w:type="dxa"/>
            <w:vAlign w:val="bottom"/>
          </w:tcPr>
          <w:p>
            <w:pPr>
              <w:ind w:left="200"/>
              <w:spacing w:after="0"/>
              <w:rPr>
                <w:sz w:val="20"/>
                <w:szCs w:val="20"/>
                <w:color w:val="auto"/>
              </w:rPr>
            </w:pPr>
            <w:r>
              <w:rPr>
                <w:rFonts w:ascii="Arial" w:cs="Arial" w:eastAsia="Arial" w:hAnsi="Arial"/>
                <w:sz w:val="13"/>
                <w:szCs w:val="13"/>
                <w:color w:val="auto"/>
              </w:rPr>
              <w:t>High Tech Industries</w:t>
            </w:r>
          </w:p>
        </w:tc>
        <w:tc>
          <w:tcPr>
            <w:tcW w:w="52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br w:type="column"/>
      </w:r>
    </w:p>
    <w:p>
      <w:pPr>
        <w:ind w:right="240"/>
        <w:spacing w:after="0" w:line="230" w:lineRule="auto"/>
        <w:rPr>
          <w:sz w:val="20"/>
          <w:szCs w:val="20"/>
          <w:color w:val="auto"/>
        </w:rPr>
      </w:pPr>
      <w:r>
        <w:rPr>
          <w:rFonts w:ascii="Arial" w:cs="Arial" w:eastAsia="Arial" w:hAnsi="Arial"/>
          <w:sz w:val="13"/>
          <w:szCs w:val="13"/>
          <w:color w:val="auto"/>
        </w:rPr>
        <w:t>Senior Secured Loan — Term B Loan (First Lien) 10.5% Cash, 3 Month Libor (1.50%) + 9.00%; Libor Floor 1.50% , Due 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-1962785</wp:posOffset>
            </wp:positionH>
            <wp:positionV relativeFrom="paragraph">
              <wp:posOffset>-271780</wp:posOffset>
            </wp:positionV>
            <wp:extent cx="7132320" cy="2660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266065"/>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87630</wp:posOffset>
            </wp:positionV>
            <wp:extent cx="7132320" cy="2654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180" w:lineRule="exact"/>
        <w:rPr>
          <w:sz w:val="20"/>
          <w:szCs w:val="20"/>
          <w:color w:val="auto"/>
        </w:rPr>
      </w:pPr>
    </w:p>
    <w:p>
      <w:pPr>
        <w:spacing w:after="0"/>
        <w:rPr>
          <w:sz w:val="20"/>
          <w:szCs w:val="20"/>
          <w:color w:val="auto"/>
        </w:rPr>
      </w:pPr>
      <w:r>
        <w:rPr>
          <w:rFonts w:ascii="Arial" w:cs="Arial" w:eastAsia="Arial" w:hAnsi="Arial"/>
          <w:sz w:val="13"/>
          <w:szCs w:val="13"/>
          <w:color w:val="auto"/>
        </w:rPr>
        <w:t>Junior Secured Loan — Term Loan (Second Lien)</w:t>
      </w:r>
    </w:p>
    <w:p>
      <w:pPr>
        <w:spacing w:after="0"/>
        <w:rPr>
          <w:sz w:val="20"/>
          <w:szCs w:val="20"/>
          <w:color w:val="auto"/>
        </w:rPr>
      </w:pPr>
      <w:r>
        <w:rPr>
          <w:rFonts w:ascii="Arial" w:cs="Arial" w:eastAsia="Arial" w:hAnsi="Arial"/>
          <w:sz w:val="13"/>
          <w:szCs w:val="13"/>
          <w:color w:val="auto"/>
        </w:rPr>
        <w:t>13.8% Cash, Due 7/18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-1962785</wp:posOffset>
            </wp:positionH>
            <wp:positionV relativeFrom="paragraph">
              <wp:posOffset>130810</wp:posOffset>
            </wp:positionV>
            <wp:extent cx="7132320" cy="2654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248" w:lineRule="exact"/>
        <w:rPr>
          <w:sz w:val="20"/>
          <w:szCs w:val="20"/>
          <w:color w:val="auto"/>
        </w:rPr>
      </w:pPr>
    </w:p>
    <w:p>
      <w:pPr>
        <w:spacing w:after="0"/>
        <w:rPr>
          <w:sz w:val="20"/>
          <w:szCs w:val="20"/>
          <w:color w:val="auto"/>
        </w:rPr>
      </w:pPr>
      <w:r>
        <w:rPr>
          <w:rFonts w:ascii="Arial" w:cs="Arial" w:eastAsia="Arial" w:hAnsi="Arial"/>
          <w:sz w:val="13"/>
          <w:szCs w:val="13"/>
          <w:color w:val="auto"/>
        </w:rPr>
        <w:t>Senior Secured Loan — Term Loan</w:t>
      </w:r>
    </w:p>
    <w:p>
      <w:pPr>
        <w:spacing w:after="0"/>
        <w:rPr>
          <w:sz w:val="20"/>
          <w:szCs w:val="20"/>
          <w:color w:val="auto"/>
        </w:rPr>
      </w:pPr>
      <w:r>
        <w:rPr>
          <w:rFonts w:ascii="Arial" w:cs="Arial" w:eastAsia="Arial" w:hAnsi="Arial"/>
          <w:sz w:val="13"/>
          <w:szCs w:val="13"/>
          <w:color w:val="auto"/>
        </w:rPr>
        <w:t>19.0% Cash, Due 2/24</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color w:val="auto"/>
        </w:rPr>
        <w:t>Senior Secured Loan — Revolver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-1962785</wp:posOffset>
            </wp:positionH>
            <wp:positionV relativeFrom="paragraph">
              <wp:posOffset>-90805</wp:posOffset>
            </wp:positionV>
            <wp:extent cx="7132320" cy="2660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spacing w:after="0"/>
        <w:rPr>
          <w:sz w:val="20"/>
          <w:szCs w:val="20"/>
          <w:color w:val="auto"/>
        </w:rPr>
      </w:pPr>
      <w:r>
        <w:rPr>
          <w:rFonts w:ascii="Arial" w:cs="Arial" w:eastAsia="Arial" w:hAnsi="Arial"/>
          <w:sz w:val="10"/>
          <w:szCs w:val="10"/>
          <w:color w:val="auto"/>
        </w:rPr>
        <w:t>9.5% Cash, 3 Month Libor (1.00%) + 8.50%; Libor Floor</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1.00% , Due 12/23</w:t>
      </w:r>
    </w:p>
    <w:p>
      <w:pPr>
        <w:spacing w:after="0" w:line="133" w:lineRule="exact"/>
        <w:rPr>
          <w:sz w:val="20"/>
          <w:szCs w:val="20"/>
          <w:color w:val="auto"/>
        </w:rPr>
      </w:pPr>
    </w:p>
    <w:p>
      <w:pPr>
        <w:spacing w:after="0"/>
        <w:rPr>
          <w:sz w:val="20"/>
          <w:szCs w:val="20"/>
          <w:color w:val="auto"/>
        </w:rPr>
      </w:pPr>
      <w:r>
        <w:rPr>
          <w:rFonts w:ascii="Arial" w:cs="Arial" w:eastAsia="Arial" w:hAnsi="Arial"/>
          <w:sz w:val="13"/>
          <w:szCs w:val="13"/>
          <w:color w:val="auto"/>
        </w:rPr>
        <w:t>Senior Secured Loan — First Lien Term Loan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-1962785</wp:posOffset>
            </wp:positionH>
            <wp:positionV relativeFrom="paragraph">
              <wp:posOffset>-90805</wp:posOffset>
            </wp:positionV>
            <wp:extent cx="7132320" cy="2654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rPr>
          <w:sz w:val="20"/>
          <w:szCs w:val="20"/>
          <w:color w:val="auto"/>
        </w:rPr>
      </w:pPr>
      <w:r>
        <w:rPr>
          <w:rFonts w:ascii="Arial" w:cs="Arial" w:eastAsia="Arial" w:hAnsi="Arial"/>
          <w:sz w:val="10"/>
          <w:szCs w:val="10"/>
          <w:color w:val="auto"/>
        </w:rPr>
        <w:t>9.5% Cash, 3 Month Libor (1.00%) + 8.50%; Libor Floor</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1.00% , Due 12/23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-1962785</wp:posOffset>
            </wp:positionH>
            <wp:positionV relativeFrom="paragraph">
              <wp:posOffset>87630</wp:posOffset>
            </wp:positionV>
            <wp:extent cx="7132320" cy="2654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Arial" w:cs="Arial" w:eastAsia="Arial" w:hAnsi="Arial"/>
          <w:sz w:val="10"/>
          <w:szCs w:val="10"/>
          <w:color w:val="auto"/>
        </w:rPr>
        <w:t>Junior Secured Loan — Initial Term Loan (Second Lien)</w:t>
      </w:r>
    </w:p>
    <w:p>
      <w:pPr>
        <w:spacing w:after="0" w:line="30" w:lineRule="exact"/>
        <w:rPr>
          <w:sz w:val="20"/>
          <w:szCs w:val="20"/>
          <w:color w:val="auto"/>
        </w:rPr>
      </w:pPr>
    </w:p>
    <w:p>
      <w:pPr>
        <w:spacing w:after="0"/>
        <w:rPr>
          <w:sz w:val="20"/>
          <w:szCs w:val="20"/>
          <w:color w:val="auto"/>
        </w:rPr>
      </w:pPr>
      <w:r>
        <w:rPr>
          <w:rFonts w:ascii="Arial" w:cs="Arial" w:eastAsia="Arial" w:hAnsi="Arial"/>
          <w:sz w:val="10"/>
          <w:szCs w:val="10"/>
          <w:color w:val="auto"/>
        </w:rPr>
        <w:t>8.2% Cash, 3 Month Libor (0.20%) + 8.00% , Due 9/25</w:t>
      </w:r>
    </w:p>
    <w:p>
      <w:pPr>
        <w:spacing w:after="0" w:line="240" w:lineRule="exact"/>
        <w:rPr>
          <w:sz w:val="20"/>
          <w:szCs w:val="20"/>
          <w:color w:val="auto"/>
        </w:rPr>
      </w:pPr>
    </w:p>
    <w:p>
      <w:pPr>
        <w:spacing w:after="0"/>
        <w:rPr>
          <w:sz w:val="20"/>
          <w:szCs w:val="20"/>
          <w:color w:val="auto"/>
        </w:rPr>
      </w:pPr>
      <w:r>
        <w:rPr>
          <w:rFonts w:ascii="Arial" w:cs="Arial" w:eastAsia="Arial" w:hAnsi="Arial"/>
          <w:sz w:val="10"/>
          <w:szCs w:val="10"/>
          <w:color w:val="auto"/>
        </w:rPr>
        <w:t>Junior Secured Loan — Initial Term Loan (Second Lien)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-1962785</wp:posOffset>
            </wp:positionH>
            <wp:positionV relativeFrom="paragraph">
              <wp:posOffset>-71755</wp:posOffset>
            </wp:positionV>
            <wp:extent cx="7132320" cy="2660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0"/>
          <w:szCs w:val="10"/>
          <w:color w:val="auto"/>
        </w:rPr>
        <w:t>5.8% Cash, 3 Month Libor (1.00%) + 4.76%; Libor Floor</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1.00% , Due 11/24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-1962785</wp:posOffset>
            </wp:positionH>
            <wp:positionV relativeFrom="paragraph">
              <wp:posOffset>87630</wp:posOffset>
            </wp:positionV>
            <wp:extent cx="7132320" cy="2654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color w:val="auto"/>
        </w:rPr>
        <w:t>Senior Secured Loan — First Lien Term Loan A</w:t>
      </w:r>
    </w:p>
    <w:p>
      <w:pPr>
        <w:spacing w:after="0"/>
        <w:rPr>
          <w:sz w:val="20"/>
          <w:szCs w:val="20"/>
          <w:color w:val="auto"/>
        </w:rPr>
      </w:pPr>
      <w:r>
        <w:rPr>
          <w:rFonts w:ascii="Arial" w:cs="Arial" w:eastAsia="Arial" w:hAnsi="Arial"/>
          <w:sz w:val="10"/>
          <w:szCs w:val="10"/>
          <w:color w:val="auto"/>
        </w:rPr>
        <w:t>5.2% Cash, 3 Month Libor (0.21%) + 5.00% , Due 10/25</w:t>
      </w:r>
    </w:p>
    <w:p>
      <w:pPr>
        <w:spacing w:after="0" w:line="235" w:lineRule="exact"/>
        <w:rPr>
          <w:sz w:val="20"/>
          <w:szCs w:val="20"/>
          <w:color w:val="auto"/>
        </w:rPr>
      </w:pPr>
    </w:p>
    <w:p>
      <w:pPr>
        <w:spacing w:after="0"/>
        <w:rPr>
          <w:sz w:val="20"/>
          <w:szCs w:val="20"/>
          <w:color w:val="auto"/>
        </w:rPr>
      </w:pPr>
      <w:r>
        <w:rPr>
          <w:rFonts w:ascii="Arial" w:cs="Arial" w:eastAsia="Arial" w:hAnsi="Arial"/>
          <w:sz w:val="13"/>
          <w:szCs w:val="13"/>
          <w:color w:val="auto"/>
        </w:rPr>
        <w:t>Senior Secured Loan — Term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-1962785</wp:posOffset>
            </wp:positionH>
            <wp:positionV relativeFrom="paragraph">
              <wp:posOffset>-90805</wp:posOffset>
            </wp:positionV>
            <wp:extent cx="7132320" cy="2654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rPr>
          <w:sz w:val="20"/>
          <w:szCs w:val="20"/>
          <w:color w:val="auto"/>
        </w:rPr>
      </w:pPr>
      <w:r>
        <w:rPr>
          <w:rFonts w:ascii="Arial" w:cs="Arial" w:eastAsia="Arial" w:hAnsi="Arial"/>
          <w:sz w:val="10"/>
          <w:szCs w:val="10"/>
          <w:color w:val="auto"/>
        </w:rPr>
        <w:t>5.3% Cash, 3 Month Libor (1.00%) + 4.25%; Libor Floor</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1.00% , Due 12/22</w:t>
      </w:r>
    </w:p>
    <w:p>
      <w:pPr>
        <w:spacing w:after="0" w:line="133" w:lineRule="exact"/>
        <w:rPr>
          <w:sz w:val="20"/>
          <w:szCs w:val="20"/>
          <w:color w:val="auto"/>
        </w:rPr>
      </w:pPr>
    </w:p>
    <w:p>
      <w:pPr>
        <w:spacing w:after="0"/>
        <w:rPr>
          <w:sz w:val="20"/>
          <w:szCs w:val="20"/>
          <w:color w:val="auto"/>
        </w:rPr>
      </w:pPr>
      <w:r>
        <w:rPr>
          <w:rFonts w:ascii="Arial" w:cs="Arial" w:eastAsia="Arial" w:hAnsi="Arial"/>
          <w:sz w:val="13"/>
          <w:szCs w:val="13"/>
          <w:color w:val="auto"/>
        </w:rPr>
        <w:t>Senior Secured Loan — Term Loan (add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-1962785</wp:posOffset>
            </wp:positionH>
            <wp:positionV relativeFrom="paragraph">
              <wp:posOffset>-90805</wp:posOffset>
            </wp:positionV>
            <wp:extent cx="7132320" cy="2660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spacing w:after="0"/>
        <w:rPr>
          <w:sz w:val="20"/>
          <w:szCs w:val="20"/>
          <w:color w:val="auto"/>
        </w:rPr>
      </w:pPr>
      <w:r>
        <w:rPr>
          <w:rFonts w:ascii="Arial" w:cs="Arial" w:eastAsia="Arial" w:hAnsi="Arial"/>
          <w:sz w:val="10"/>
          <w:szCs w:val="10"/>
          <w:color w:val="auto"/>
        </w:rPr>
        <w:t>5.5% Cash, 3 Month Libor (1.00%) + 4.50%; Libor Floor</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1.00% , Due 12/22</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940" w:type="dxa"/>
            <w:vAlign w:val="bottom"/>
          </w:tcPr>
          <w:p>
            <w:pPr>
              <w:jc w:val="right"/>
              <w:ind w:right="297"/>
              <w:spacing w:after="0"/>
              <w:rPr>
                <w:sz w:val="20"/>
                <w:szCs w:val="20"/>
                <w:color w:val="auto"/>
              </w:rPr>
            </w:pPr>
            <w:r>
              <w:rPr>
                <w:rFonts w:ascii="Arial" w:cs="Arial" w:eastAsia="Arial" w:hAnsi="Arial"/>
                <w:sz w:val="13"/>
                <w:szCs w:val="13"/>
                <w:color w:val="auto"/>
                <w:w w:val="96"/>
              </w:rPr>
              <w:t>1/30/2013</w:t>
            </w:r>
          </w:p>
        </w:tc>
        <w:tc>
          <w:tcPr>
            <w:tcW w:w="1240" w:type="dxa"/>
            <w:vAlign w:val="bottom"/>
          </w:tcPr>
          <w:p>
            <w:pPr>
              <w:jc w:val="right"/>
              <w:ind w:right="317"/>
              <w:spacing w:after="0"/>
              <w:rPr>
                <w:sz w:val="20"/>
                <w:szCs w:val="20"/>
                <w:color w:val="auto"/>
              </w:rPr>
            </w:pPr>
            <w:r>
              <w:rPr>
                <w:rFonts w:ascii="Arial" w:cs="Arial" w:eastAsia="Arial" w:hAnsi="Arial"/>
                <w:sz w:val="13"/>
                <w:szCs w:val="13"/>
                <w:color w:val="auto"/>
              </w:rPr>
              <w:t>2,702,232</w:t>
            </w:r>
          </w:p>
        </w:tc>
        <w:tc>
          <w:tcPr>
            <w:tcW w:w="1340" w:type="dxa"/>
            <w:vAlign w:val="bottom"/>
          </w:tcPr>
          <w:p>
            <w:pPr>
              <w:jc w:val="right"/>
              <w:ind w:right="397"/>
              <w:spacing w:after="0"/>
              <w:rPr>
                <w:sz w:val="20"/>
                <w:szCs w:val="20"/>
                <w:color w:val="auto"/>
              </w:rPr>
            </w:pPr>
            <w:r>
              <w:rPr>
                <w:rFonts w:ascii="Arial" w:cs="Arial" w:eastAsia="Arial" w:hAnsi="Arial"/>
                <w:sz w:val="13"/>
                <w:szCs w:val="13"/>
                <w:color w:val="auto"/>
              </w:rPr>
              <w:t>2,702,232</w:t>
            </w:r>
          </w:p>
        </w:tc>
        <w:tc>
          <w:tcPr>
            <w:tcW w:w="960" w:type="dxa"/>
            <w:vAlign w:val="bottom"/>
          </w:tcPr>
          <w:p>
            <w:pPr>
              <w:jc w:val="right"/>
              <w:spacing w:after="0"/>
              <w:rPr>
                <w:sz w:val="20"/>
                <w:szCs w:val="20"/>
                <w:color w:val="auto"/>
              </w:rPr>
            </w:pPr>
            <w:r>
              <w:rPr>
                <w:rFonts w:ascii="Arial" w:cs="Arial" w:eastAsia="Arial" w:hAnsi="Arial"/>
                <w:sz w:val="13"/>
                <w:szCs w:val="13"/>
                <w:color w:val="auto"/>
              </w:rPr>
              <w:t>2,013,163</w:t>
            </w:r>
          </w:p>
        </w:tc>
      </w:tr>
      <w:tr>
        <w:trPr>
          <w:trHeight w:val="567"/>
        </w:trPr>
        <w:tc>
          <w:tcPr>
            <w:tcW w:w="940" w:type="dxa"/>
            <w:vAlign w:val="bottom"/>
          </w:tcPr>
          <w:p>
            <w:pPr>
              <w:jc w:val="right"/>
              <w:ind w:right="297"/>
              <w:spacing w:after="0"/>
              <w:rPr>
                <w:sz w:val="20"/>
                <w:szCs w:val="20"/>
                <w:color w:val="auto"/>
              </w:rPr>
            </w:pPr>
            <w:r>
              <w:rPr>
                <w:rFonts w:ascii="Arial" w:cs="Arial" w:eastAsia="Arial" w:hAnsi="Arial"/>
                <w:sz w:val="13"/>
                <w:szCs w:val="13"/>
                <w:color w:val="auto"/>
                <w:w w:val="96"/>
              </w:rPr>
              <w:t>1/30/2013</w:t>
            </w:r>
          </w:p>
        </w:tc>
        <w:tc>
          <w:tcPr>
            <w:tcW w:w="1240" w:type="dxa"/>
            <w:vAlign w:val="bottom"/>
          </w:tcPr>
          <w:p>
            <w:pPr>
              <w:jc w:val="right"/>
              <w:ind w:right="317"/>
              <w:spacing w:after="0"/>
              <w:rPr>
                <w:sz w:val="20"/>
                <w:szCs w:val="20"/>
                <w:color w:val="auto"/>
              </w:rPr>
            </w:pPr>
            <w:r>
              <w:rPr>
                <w:rFonts w:ascii="Arial" w:cs="Arial" w:eastAsia="Arial" w:hAnsi="Arial"/>
                <w:sz w:val="13"/>
                <w:szCs w:val="13"/>
                <w:color w:val="auto"/>
              </w:rPr>
              <w:t>7,191,667</w:t>
            </w:r>
          </w:p>
        </w:tc>
        <w:tc>
          <w:tcPr>
            <w:tcW w:w="1340" w:type="dxa"/>
            <w:vAlign w:val="bottom"/>
          </w:tcPr>
          <w:p>
            <w:pPr>
              <w:jc w:val="right"/>
              <w:ind w:right="397"/>
              <w:spacing w:after="0"/>
              <w:rPr>
                <w:sz w:val="20"/>
                <w:szCs w:val="20"/>
                <w:color w:val="auto"/>
              </w:rPr>
            </w:pPr>
            <w:r>
              <w:rPr>
                <w:rFonts w:ascii="Arial" w:cs="Arial" w:eastAsia="Arial" w:hAnsi="Arial"/>
                <w:sz w:val="13"/>
                <w:szCs w:val="13"/>
                <w:color w:val="auto"/>
              </w:rPr>
              <w:t>7,191,667</w:t>
            </w:r>
          </w:p>
        </w:tc>
        <w:tc>
          <w:tcPr>
            <w:tcW w:w="960" w:type="dxa"/>
            <w:vAlign w:val="bottom"/>
          </w:tcPr>
          <w:p>
            <w:pPr>
              <w:jc w:val="right"/>
              <w:spacing w:after="0"/>
              <w:rPr>
                <w:sz w:val="20"/>
                <w:szCs w:val="20"/>
                <w:color w:val="auto"/>
              </w:rPr>
            </w:pPr>
            <w:r>
              <w:rPr>
                <w:rFonts w:ascii="Arial" w:cs="Arial" w:eastAsia="Arial" w:hAnsi="Arial"/>
                <w:sz w:val="13"/>
                <w:szCs w:val="13"/>
                <w:color w:val="auto"/>
              </w:rPr>
              <w:t>15,822</w:t>
            </w:r>
          </w:p>
        </w:tc>
      </w:tr>
      <w:tr>
        <w:trPr>
          <w:trHeight w:val="567"/>
        </w:trPr>
        <w:tc>
          <w:tcPr>
            <w:tcW w:w="940" w:type="dxa"/>
            <w:vAlign w:val="bottom"/>
          </w:tcPr>
          <w:p>
            <w:pPr>
              <w:jc w:val="right"/>
              <w:ind w:right="297"/>
              <w:spacing w:after="0"/>
              <w:rPr>
                <w:sz w:val="20"/>
                <w:szCs w:val="20"/>
                <w:color w:val="auto"/>
              </w:rPr>
            </w:pPr>
            <w:r>
              <w:rPr>
                <w:rFonts w:ascii="Arial" w:cs="Arial" w:eastAsia="Arial" w:hAnsi="Arial"/>
                <w:sz w:val="13"/>
                <w:szCs w:val="13"/>
                <w:color w:val="auto"/>
                <w:w w:val="96"/>
              </w:rPr>
              <w:t>2/16/2021</w:t>
            </w:r>
          </w:p>
        </w:tc>
        <w:tc>
          <w:tcPr>
            <w:tcW w:w="1240" w:type="dxa"/>
            <w:vAlign w:val="bottom"/>
          </w:tcPr>
          <w:p>
            <w:pPr>
              <w:jc w:val="right"/>
              <w:ind w:right="317"/>
              <w:spacing w:after="0"/>
              <w:rPr>
                <w:sz w:val="20"/>
                <w:szCs w:val="20"/>
                <w:color w:val="auto"/>
              </w:rPr>
            </w:pPr>
            <w:r>
              <w:rPr>
                <w:rFonts w:ascii="Arial" w:cs="Arial" w:eastAsia="Arial" w:hAnsi="Arial"/>
                <w:sz w:val="13"/>
                <w:szCs w:val="13"/>
                <w:color w:val="auto"/>
              </w:rPr>
              <w:t>2,000,000</w:t>
            </w:r>
          </w:p>
        </w:tc>
        <w:tc>
          <w:tcPr>
            <w:tcW w:w="1340" w:type="dxa"/>
            <w:vAlign w:val="bottom"/>
          </w:tcPr>
          <w:p>
            <w:pPr>
              <w:jc w:val="right"/>
              <w:ind w:right="397"/>
              <w:spacing w:after="0"/>
              <w:rPr>
                <w:sz w:val="20"/>
                <w:szCs w:val="20"/>
                <w:color w:val="auto"/>
              </w:rPr>
            </w:pPr>
            <w:r>
              <w:rPr>
                <w:rFonts w:ascii="Arial" w:cs="Arial" w:eastAsia="Arial" w:hAnsi="Arial"/>
                <w:sz w:val="13"/>
                <w:szCs w:val="13"/>
                <w:color w:val="auto"/>
              </w:rPr>
              <w:t>2,000,000</w:t>
            </w:r>
          </w:p>
        </w:tc>
        <w:tc>
          <w:tcPr>
            <w:tcW w:w="960" w:type="dxa"/>
            <w:vAlign w:val="bottom"/>
          </w:tcPr>
          <w:p>
            <w:pPr>
              <w:jc w:val="right"/>
              <w:spacing w:after="0"/>
              <w:rPr>
                <w:sz w:val="20"/>
                <w:szCs w:val="20"/>
                <w:color w:val="auto"/>
              </w:rPr>
            </w:pPr>
            <w:r>
              <w:rPr>
                <w:rFonts w:ascii="Arial" w:cs="Arial" w:eastAsia="Arial" w:hAnsi="Arial"/>
                <w:sz w:val="13"/>
                <w:szCs w:val="13"/>
                <w:color w:val="auto"/>
              </w:rPr>
              <w:t>2,000,000</w:t>
            </w:r>
          </w:p>
        </w:tc>
      </w:tr>
      <w:tr>
        <w:trPr>
          <w:trHeight w:val="567"/>
        </w:trPr>
        <w:tc>
          <w:tcPr>
            <w:tcW w:w="940" w:type="dxa"/>
            <w:vAlign w:val="bottom"/>
          </w:tcPr>
          <w:p>
            <w:pPr>
              <w:jc w:val="right"/>
              <w:ind w:right="297"/>
              <w:spacing w:after="0"/>
              <w:rPr>
                <w:sz w:val="20"/>
                <w:szCs w:val="20"/>
                <w:color w:val="auto"/>
              </w:rPr>
            </w:pPr>
            <w:r>
              <w:rPr>
                <w:rFonts w:ascii="Arial" w:cs="Arial" w:eastAsia="Arial" w:hAnsi="Arial"/>
                <w:sz w:val="13"/>
                <w:szCs w:val="13"/>
                <w:color w:val="auto"/>
                <w:w w:val="86"/>
              </w:rPr>
              <w:t>10/28/2020</w:t>
            </w:r>
          </w:p>
        </w:tc>
        <w:tc>
          <w:tcPr>
            <w:tcW w:w="1240" w:type="dxa"/>
            <w:vAlign w:val="bottom"/>
          </w:tcPr>
          <w:p>
            <w:pPr>
              <w:jc w:val="right"/>
              <w:ind w:right="317"/>
              <w:spacing w:after="0"/>
              <w:rPr>
                <w:sz w:val="20"/>
                <w:szCs w:val="20"/>
                <w:color w:val="auto"/>
              </w:rPr>
            </w:pPr>
            <w:r>
              <w:rPr>
                <w:rFonts w:ascii="Arial" w:cs="Arial" w:eastAsia="Arial" w:hAnsi="Arial"/>
                <w:sz w:val="13"/>
                <w:szCs w:val="13"/>
                <w:color w:val="auto"/>
              </w:rPr>
              <w:t>669,722</w:t>
            </w:r>
          </w:p>
        </w:tc>
        <w:tc>
          <w:tcPr>
            <w:tcW w:w="1340" w:type="dxa"/>
            <w:vAlign w:val="bottom"/>
          </w:tcPr>
          <w:p>
            <w:pPr>
              <w:jc w:val="right"/>
              <w:ind w:right="397"/>
              <w:spacing w:after="0"/>
              <w:rPr>
                <w:sz w:val="20"/>
                <w:szCs w:val="20"/>
                <w:color w:val="auto"/>
              </w:rPr>
            </w:pPr>
            <w:r>
              <w:rPr>
                <w:rFonts w:ascii="Arial" w:cs="Arial" w:eastAsia="Arial" w:hAnsi="Arial"/>
                <w:sz w:val="13"/>
                <w:szCs w:val="13"/>
                <w:color w:val="auto"/>
              </w:rPr>
              <w:t>570,746</w:t>
            </w:r>
          </w:p>
        </w:tc>
        <w:tc>
          <w:tcPr>
            <w:tcW w:w="960" w:type="dxa"/>
            <w:vAlign w:val="bottom"/>
          </w:tcPr>
          <w:p>
            <w:pPr>
              <w:jc w:val="right"/>
              <w:spacing w:after="0"/>
              <w:rPr>
                <w:sz w:val="20"/>
                <w:szCs w:val="20"/>
                <w:color w:val="auto"/>
              </w:rPr>
            </w:pPr>
            <w:r>
              <w:rPr>
                <w:rFonts w:ascii="Arial" w:cs="Arial" w:eastAsia="Arial" w:hAnsi="Arial"/>
                <w:sz w:val="13"/>
                <w:szCs w:val="13"/>
                <w:color w:val="auto"/>
              </w:rPr>
              <w:t>635,232</w:t>
            </w:r>
          </w:p>
        </w:tc>
      </w:tr>
      <w:tr>
        <w:trPr>
          <w:trHeight w:val="567"/>
        </w:trPr>
        <w:tc>
          <w:tcPr>
            <w:tcW w:w="940" w:type="dxa"/>
            <w:vAlign w:val="bottom"/>
          </w:tcPr>
          <w:p>
            <w:pPr>
              <w:jc w:val="right"/>
              <w:ind w:right="297"/>
              <w:spacing w:after="0"/>
              <w:rPr>
                <w:sz w:val="20"/>
                <w:szCs w:val="20"/>
                <w:color w:val="auto"/>
              </w:rPr>
            </w:pPr>
            <w:r>
              <w:rPr>
                <w:rFonts w:ascii="Arial" w:cs="Arial" w:eastAsia="Arial" w:hAnsi="Arial"/>
                <w:sz w:val="13"/>
                <w:szCs w:val="13"/>
                <w:color w:val="auto"/>
                <w:w w:val="86"/>
              </w:rPr>
              <w:t>10/28/2020</w:t>
            </w:r>
          </w:p>
        </w:tc>
        <w:tc>
          <w:tcPr>
            <w:tcW w:w="1240" w:type="dxa"/>
            <w:vAlign w:val="bottom"/>
          </w:tcPr>
          <w:p>
            <w:pPr>
              <w:jc w:val="right"/>
              <w:ind w:right="317"/>
              <w:spacing w:after="0"/>
              <w:rPr>
                <w:sz w:val="20"/>
                <w:szCs w:val="20"/>
                <w:color w:val="auto"/>
              </w:rPr>
            </w:pPr>
            <w:r>
              <w:rPr>
                <w:rFonts w:ascii="Arial" w:cs="Arial" w:eastAsia="Arial" w:hAnsi="Arial"/>
                <w:sz w:val="13"/>
                <w:szCs w:val="13"/>
                <w:color w:val="auto"/>
              </w:rPr>
              <w:t>6,580,021</w:t>
            </w:r>
          </w:p>
        </w:tc>
        <w:tc>
          <w:tcPr>
            <w:tcW w:w="1340" w:type="dxa"/>
            <w:vAlign w:val="bottom"/>
          </w:tcPr>
          <w:p>
            <w:pPr>
              <w:jc w:val="right"/>
              <w:ind w:right="397"/>
              <w:spacing w:after="0"/>
              <w:rPr>
                <w:sz w:val="20"/>
                <w:szCs w:val="20"/>
                <w:color w:val="auto"/>
              </w:rPr>
            </w:pPr>
            <w:r>
              <w:rPr>
                <w:rFonts w:ascii="Arial" w:cs="Arial" w:eastAsia="Arial" w:hAnsi="Arial"/>
                <w:sz w:val="13"/>
                <w:szCs w:val="13"/>
                <w:color w:val="auto"/>
              </w:rPr>
              <w:t>5,607,585</w:t>
            </w:r>
          </w:p>
        </w:tc>
        <w:tc>
          <w:tcPr>
            <w:tcW w:w="960" w:type="dxa"/>
            <w:vAlign w:val="bottom"/>
          </w:tcPr>
          <w:p>
            <w:pPr>
              <w:jc w:val="right"/>
              <w:spacing w:after="0"/>
              <w:rPr>
                <w:sz w:val="20"/>
                <w:szCs w:val="20"/>
                <w:color w:val="auto"/>
              </w:rPr>
            </w:pPr>
            <w:r>
              <w:rPr>
                <w:rFonts w:ascii="Arial" w:cs="Arial" w:eastAsia="Arial" w:hAnsi="Arial"/>
                <w:sz w:val="13"/>
                <w:szCs w:val="13"/>
                <w:color w:val="auto"/>
              </w:rPr>
              <w:t>6,241,150</w:t>
            </w:r>
          </w:p>
        </w:tc>
      </w:tr>
      <w:tr>
        <w:trPr>
          <w:trHeight w:val="567"/>
        </w:trPr>
        <w:tc>
          <w:tcPr>
            <w:tcW w:w="940" w:type="dxa"/>
            <w:vAlign w:val="bottom"/>
          </w:tcPr>
          <w:p>
            <w:pPr>
              <w:jc w:val="right"/>
              <w:ind w:right="297"/>
              <w:spacing w:after="0"/>
              <w:rPr>
                <w:sz w:val="20"/>
                <w:szCs w:val="20"/>
                <w:color w:val="auto"/>
              </w:rPr>
            </w:pPr>
            <w:r>
              <w:rPr>
                <w:rFonts w:ascii="Arial" w:cs="Arial" w:eastAsia="Arial" w:hAnsi="Arial"/>
                <w:sz w:val="13"/>
                <w:szCs w:val="13"/>
                <w:color w:val="auto"/>
                <w:w w:val="86"/>
              </w:rPr>
              <w:t>12/18/2019</w:t>
            </w:r>
          </w:p>
        </w:tc>
        <w:tc>
          <w:tcPr>
            <w:tcW w:w="1240" w:type="dxa"/>
            <w:vAlign w:val="bottom"/>
          </w:tcPr>
          <w:p>
            <w:pPr>
              <w:jc w:val="right"/>
              <w:ind w:right="317"/>
              <w:spacing w:after="0"/>
              <w:rPr>
                <w:sz w:val="20"/>
                <w:szCs w:val="20"/>
                <w:color w:val="auto"/>
              </w:rPr>
            </w:pPr>
            <w:r>
              <w:rPr>
                <w:rFonts w:ascii="Arial" w:cs="Arial" w:eastAsia="Arial" w:hAnsi="Arial"/>
                <w:sz w:val="13"/>
                <w:szCs w:val="13"/>
                <w:color w:val="auto"/>
              </w:rPr>
              <w:t>1,400,000</w:t>
            </w:r>
          </w:p>
        </w:tc>
        <w:tc>
          <w:tcPr>
            <w:tcW w:w="1340" w:type="dxa"/>
            <w:vAlign w:val="bottom"/>
          </w:tcPr>
          <w:p>
            <w:pPr>
              <w:jc w:val="right"/>
              <w:ind w:right="397"/>
              <w:spacing w:after="0"/>
              <w:rPr>
                <w:sz w:val="20"/>
                <w:szCs w:val="20"/>
                <w:color w:val="auto"/>
              </w:rPr>
            </w:pPr>
            <w:r>
              <w:rPr>
                <w:rFonts w:ascii="Arial" w:cs="Arial" w:eastAsia="Arial" w:hAnsi="Arial"/>
                <w:sz w:val="13"/>
                <w:szCs w:val="13"/>
                <w:color w:val="auto"/>
              </w:rPr>
              <w:t>1,228,584</w:t>
            </w:r>
          </w:p>
        </w:tc>
        <w:tc>
          <w:tcPr>
            <w:tcW w:w="960" w:type="dxa"/>
            <w:vAlign w:val="bottom"/>
          </w:tcPr>
          <w:p>
            <w:pPr>
              <w:jc w:val="right"/>
              <w:spacing w:after="0"/>
              <w:rPr>
                <w:sz w:val="20"/>
                <w:szCs w:val="20"/>
                <w:color w:val="auto"/>
              </w:rPr>
            </w:pPr>
            <w:r>
              <w:rPr>
                <w:rFonts w:ascii="Arial" w:cs="Arial" w:eastAsia="Arial" w:hAnsi="Arial"/>
                <w:sz w:val="13"/>
                <w:szCs w:val="13"/>
                <w:color w:val="auto"/>
              </w:rPr>
              <w:t>1,324,169</w:t>
            </w:r>
          </w:p>
        </w:tc>
      </w:tr>
      <w:tr>
        <w:trPr>
          <w:trHeight w:val="567"/>
        </w:trPr>
        <w:tc>
          <w:tcPr>
            <w:tcW w:w="940" w:type="dxa"/>
            <w:vAlign w:val="bottom"/>
          </w:tcPr>
          <w:p>
            <w:pPr>
              <w:jc w:val="right"/>
              <w:ind w:right="297"/>
              <w:spacing w:after="0"/>
              <w:rPr>
                <w:sz w:val="20"/>
                <w:szCs w:val="20"/>
                <w:color w:val="auto"/>
              </w:rPr>
            </w:pPr>
            <w:r>
              <w:rPr>
                <w:rFonts w:ascii="Arial" w:cs="Arial" w:eastAsia="Arial" w:hAnsi="Arial"/>
                <w:sz w:val="13"/>
                <w:szCs w:val="13"/>
                <w:color w:val="auto"/>
              </w:rPr>
              <w:t>5/6/2014</w:t>
            </w:r>
          </w:p>
        </w:tc>
        <w:tc>
          <w:tcPr>
            <w:tcW w:w="1240" w:type="dxa"/>
            <w:vAlign w:val="bottom"/>
          </w:tcPr>
          <w:p>
            <w:pPr>
              <w:jc w:val="right"/>
              <w:ind w:right="317"/>
              <w:spacing w:after="0"/>
              <w:rPr>
                <w:sz w:val="20"/>
                <w:szCs w:val="20"/>
                <w:color w:val="auto"/>
              </w:rPr>
            </w:pPr>
            <w:r>
              <w:rPr>
                <w:rFonts w:ascii="Arial" w:cs="Arial" w:eastAsia="Arial" w:hAnsi="Arial"/>
                <w:sz w:val="13"/>
                <w:szCs w:val="13"/>
                <w:color w:val="auto"/>
              </w:rPr>
              <w:t>1,600,000</w:t>
            </w:r>
          </w:p>
        </w:tc>
        <w:tc>
          <w:tcPr>
            <w:tcW w:w="1340" w:type="dxa"/>
            <w:vAlign w:val="bottom"/>
          </w:tcPr>
          <w:p>
            <w:pPr>
              <w:jc w:val="right"/>
              <w:ind w:right="397"/>
              <w:spacing w:after="0"/>
              <w:rPr>
                <w:sz w:val="20"/>
                <w:szCs w:val="20"/>
                <w:color w:val="auto"/>
              </w:rPr>
            </w:pPr>
            <w:r>
              <w:rPr>
                <w:rFonts w:ascii="Arial" w:cs="Arial" w:eastAsia="Arial" w:hAnsi="Arial"/>
                <w:sz w:val="13"/>
                <w:szCs w:val="13"/>
                <w:color w:val="auto"/>
              </w:rPr>
              <w:t>1,578,115</w:t>
            </w:r>
          </w:p>
        </w:tc>
        <w:tc>
          <w:tcPr>
            <w:tcW w:w="960" w:type="dxa"/>
            <w:vAlign w:val="bottom"/>
          </w:tcPr>
          <w:p>
            <w:pPr>
              <w:jc w:val="right"/>
              <w:spacing w:after="0"/>
              <w:rPr>
                <w:sz w:val="20"/>
                <w:szCs w:val="20"/>
                <w:color w:val="auto"/>
              </w:rPr>
            </w:pPr>
            <w:r>
              <w:rPr>
                <w:rFonts w:ascii="Arial" w:cs="Arial" w:eastAsia="Arial" w:hAnsi="Arial"/>
                <w:sz w:val="13"/>
                <w:szCs w:val="13"/>
                <w:color w:val="auto"/>
              </w:rPr>
              <w:t>1,294,720</w:t>
            </w:r>
          </w:p>
        </w:tc>
      </w:tr>
      <w:tr>
        <w:trPr>
          <w:trHeight w:val="567"/>
        </w:trPr>
        <w:tc>
          <w:tcPr>
            <w:tcW w:w="940" w:type="dxa"/>
            <w:vAlign w:val="bottom"/>
          </w:tcPr>
          <w:p>
            <w:pPr>
              <w:jc w:val="right"/>
              <w:ind w:right="297"/>
              <w:spacing w:after="0"/>
              <w:rPr>
                <w:sz w:val="20"/>
                <w:szCs w:val="20"/>
                <w:color w:val="auto"/>
              </w:rPr>
            </w:pPr>
            <w:r>
              <w:rPr>
                <w:rFonts w:ascii="Arial" w:cs="Arial" w:eastAsia="Arial" w:hAnsi="Arial"/>
                <w:sz w:val="13"/>
                <w:szCs w:val="13"/>
                <w:color w:val="auto"/>
                <w:w w:val="86"/>
              </w:rPr>
              <w:t>10/28/2020</w:t>
            </w:r>
          </w:p>
        </w:tc>
        <w:tc>
          <w:tcPr>
            <w:tcW w:w="1240" w:type="dxa"/>
            <w:vAlign w:val="bottom"/>
          </w:tcPr>
          <w:p>
            <w:pPr>
              <w:jc w:val="right"/>
              <w:ind w:right="317"/>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397"/>
              <w:spacing w:after="0"/>
              <w:rPr>
                <w:sz w:val="20"/>
                <w:szCs w:val="20"/>
                <w:color w:val="auto"/>
              </w:rPr>
            </w:pPr>
            <w:r>
              <w:rPr>
                <w:rFonts w:ascii="Arial" w:cs="Arial" w:eastAsia="Arial" w:hAnsi="Arial"/>
                <w:sz w:val="13"/>
                <w:szCs w:val="13"/>
                <w:color w:val="auto"/>
              </w:rPr>
              <w:t>84,648</w:t>
            </w: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567"/>
        </w:trPr>
        <w:tc>
          <w:tcPr>
            <w:tcW w:w="940" w:type="dxa"/>
            <w:vAlign w:val="bottom"/>
          </w:tcPr>
          <w:p>
            <w:pPr>
              <w:jc w:val="right"/>
              <w:ind w:right="297"/>
              <w:spacing w:after="0"/>
              <w:rPr>
                <w:sz w:val="20"/>
                <w:szCs w:val="20"/>
                <w:color w:val="auto"/>
              </w:rPr>
            </w:pPr>
            <w:r>
              <w:rPr>
                <w:rFonts w:ascii="Arial" w:cs="Arial" w:eastAsia="Arial" w:hAnsi="Arial"/>
                <w:sz w:val="13"/>
                <w:szCs w:val="13"/>
                <w:color w:val="auto"/>
                <w:w w:val="86"/>
              </w:rPr>
              <w:t>12/13/2017</w:t>
            </w:r>
          </w:p>
        </w:tc>
        <w:tc>
          <w:tcPr>
            <w:tcW w:w="1240" w:type="dxa"/>
            <w:vAlign w:val="bottom"/>
          </w:tcPr>
          <w:p>
            <w:pPr>
              <w:jc w:val="right"/>
              <w:ind w:right="317"/>
              <w:spacing w:after="0"/>
              <w:rPr>
                <w:sz w:val="20"/>
                <w:szCs w:val="20"/>
                <w:color w:val="auto"/>
              </w:rPr>
            </w:pPr>
            <w:r>
              <w:rPr>
                <w:rFonts w:ascii="Arial" w:cs="Arial" w:eastAsia="Arial" w:hAnsi="Arial"/>
                <w:sz w:val="13"/>
                <w:szCs w:val="13"/>
                <w:color w:val="auto"/>
              </w:rPr>
              <w:t>1,837,500</w:t>
            </w:r>
          </w:p>
        </w:tc>
        <w:tc>
          <w:tcPr>
            <w:tcW w:w="1340" w:type="dxa"/>
            <w:vAlign w:val="bottom"/>
          </w:tcPr>
          <w:p>
            <w:pPr>
              <w:jc w:val="right"/>
              <w:ind w:right="397"/>
              <w:spacing w:after="0"/>
              <w:rPr>
                <w:sz w:val="20"/>
                <w:szCs w:val="20"/>
                <w:color w:val="auto"/>
              </w:rPr>
            </w:pPr>
            <w:r>
              <w:rPr>
                <w:rFonts w:ascii="Arial" w:cs="Arial" w:eastAsia="Arial" w:hAnsi="Arial"/>
                <w:sz w:val="13"/>
                <w:szCs w:val="13"/>
                <w:color w:val="auto"/>
              </w:rPr>
              <w:t>1,830,426</w:t>
            </w:r>
          </w:p>
        </w:tc>
        <w:tc>
          <w:tcPr>
            <w:tcW w:w="960" w:type="dxa"/>
            <w:vAlign w:val="bottom"/>
          </w:tcPr>
          <w:p>
            <w:pPr>
              <w:jc w:val="right"/>
              <w:spacing w:after="0"/>
              <w:rPr>
                <w:sz w:val="20"/>
                <w:szCs w:val="20"/>
                <w:color w:val="auto"/>
              </w:rPr>
            </w:pPr>
            <w:r>
              <w:rPr>
                <w:rFonts w:ascii="Arial" w:cs="Arial" w:eastAsia="Arial" w:hAnsi="Arial"/>
                <w:sz w:val="13"/>
                <w:szCs w:val="13"/>
                <w:color w:val="auto"/>
              </w:rPr>
              <w:t>1,837,500</w:t>
            </w:r>
          </w:p>
        </w:tc>
      </w:tr>
      <w:tr>
        <w:trPr>
          <w:trHeight w:val="567"/>
        </w:trPr>
        <w:tc>
          <w:tcPr>
            <w:tcW w:w="940" w:type="dxa"/>
            <w:vAlign w:val="bottom"/>
          </w:tcPr>
          <w:p>
            <w:pPr>
              <w:jc w:val="right"/>
              <w:ind w:right="297"/>
              <w:spacing w:after="0"/>
              <w:rPr>
                <w:sz w:val="20"/>
                <w:szCs w:val="20"/>
                <w:color w:val="auto"/>
              </w:rPr>
            </w:pPr>
            <w:r>
              <w:rPr>
                <w:rFonts w:ascii="Arial" w:cs="Arial" w:eastAsia="Arial" w:hAnsi="Arial"/>
                <w:sz w:val="13"/>
                <w:szCs w:val="13"/>
                <w:color w:val="auto"/>
                <w:w w:val="86"/>
              </w:rPr>
              <w:t>12/13/2017</w:t>
            </w:r>
          </w:p>
        </w:tc>
        <w:tc>
          <w:tcPr>
            <w:tcW w:w="1240" w:type="dxa"/>
            <w:vAlign w:val="bottom"/>
          </w:tcPr>
          <w:p>
            <w:pPr>
              <w:jc w:val="right"/>
              <w:ind w:right="317"/>
              <w:spacing w:after="0"/>
              <w:rPr>
                <w:sz w:val="20"/>
                <w:szCs w:val="20"/>
                <w:color w:val="auto"/>
              </w:rPr>
            </w:pPr>
            <w:r>
              <w:rPr>
                <w:rFonts w:ascii="Arial" w:cs="Arial" w:eastAsia="Arial" w:hAnsi="Arial"/>
                <w:sz w:val="13"/>
                <w:szCs w:val="13"/>
                <w:color w:val="auto"/>
              </w:rPr>
              <w:t>1,948,120</w:t>
            </w:r>
          </w:p>
        </w:tc>
        <w:tc>
          <w:tcPr>
            <w:tcW w:w="1340" w:type="dxa"/>
            <w:vAlign w:val="bottom"/>
          </w:tcPr>
          <w:p>
            <w:pPr>
              <w:jc w:val="right"/>
              <w:ind w:right="397"/>
              <w:spacing w:after="0"/>
              <w:rPr>
                <w:sz w:val="20"/>
                <w:szCs w:val="20"/>
                <w:color w:val="auto"/>
              </w:rPr>
            </w:pPr>
            <w:r>
              <w:rPr>
                <w:rFonts w:ascii="Arial" w:cs="Arial" w:eastAsia="Arial" w:hAnsi="Arial"/>
                <w:sz w:val="13"/>
                <w:szCs w:val="13"/>
                <w:color w:val="auto"/>
              </w:rPr>
              <w:t>1,940,620</w:t>
            </w:r>
          </w:p>
        </w:tc>
        <w:tc>
          <w:tcPr>
            <w:tcW w:w="960" w:type="dxa"/>
            <w:vAlign w:val="bottom"/>
          </w:tcPr>
          <w:p>
            <w:pPr>
              <w:jc w:val="right"/>
              <w:spacing w:after="0"/>
              <w:rPr>
                <w:sz w:val="20"/>
                <w:szCs w:val="20"/>
                <w:color w:val="auto"/>
              </w:rPr>
            </w:pPr>
            <w:r>
              <w:rPr>
                <w:rFonts w:ascii="Arial" w:cs="Arial" w:eastAsia="Arial" w:hAnsi="Arial"/>
                <w:sz w:val="13"/>
                <w:szCs w:val="13"/>
                <w:color w:val="auto"/>
              </w:rPr>
              <w:t>1,948,120</w:t>
            </w:r>
          </w:p>
        </w:tc>
      </w:tr>
    </w:tbl>
    <w:p>
      <w:pPr>
        <w:spacing w:after="0" w:line="122" w:lineRule="exact"/>
        <w:rPr>
          <w:sz w:val="20"/>
          <w:szCs w:val="20"/>
          <w:color w:val="auto"/>
        </w:rPr>
      </w:pPr>
    </w:p>
    <w:p>
      <w:pPr>
        <w:sectPr>
          <w:pgSz w:w="11900" w:h="16838" w:orient="portrait"/>
          <w:cols w:equalWidth="0" w:num="3">
            <w:col w:w="2940" w:space="160"/>
            <w:col w:w="2900" w:space="620"/>
            <w:col w:w="4620"/>
          </w:cols>
          <w:pgMar w:left="320" w:top="336" w:right="33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1880" w:type="dxa"/>
            <w:vAlign w:val="bottom"/>
            <w:shd w:val="clear" w:color="auto" w:fill="CFF0FC"/>
          </w:tcPr>
          <w:p>
            <w:pPr>
              <w:spacing w:after="0"/>
              <w:rPr>
                <w:sz w:val="20"/>
                <w:szCs w:val="20"/>
                <w:color w:val="auto"/>
              </w:rPr>
            </w:pPr>
            <w:r>
              <w:rPr>
                <w:rFonts w:ascii="Arial" w:cs="Arial" w:eastAsia="Arial" w:hAnsi="Arial"/>
                <w:sz w:val="13"/>
                <w:szCs w:val="13"/>
                <w:color w:val="auto"/>
              </w:rPr>
              <w:t>Intermedia Holdings, Inc.</w:t>
            </w:r>
          </w:p>
        </w:tc>
        <w:tc>
          <w:tcPr>
            <w:tcW w:w="1040" w:type="dxa"/>
            <w:vAlign w:val="bottom"/>
            <w:shd w:val="clear" w:color="auto" w:fill="CFF0FC"/>
          </w:tcPr>
          <w:p>
            <w:pPr>
              <w:jc w:val="right"/>
              <w:ind w:right="106"/>
              <w:spacing w:after="0"/>
              <w:rPr>
                <w:sz w:val="20"/>
                <w:szCs w:val="20"/>
                <w:color w:val="auto"/>
              </w:rPr>
            </w:pPr>
            <w:r>
              <w:rPr>
                <w:rFonts w:ascii="Arial" w:cs="Arial" w:eastAsia="Arial" w:hAnsi="Arial"/>
                <w:sz w:val="11"/>
                <w:szCs w:val="11"/>
                <w:color w:val="auto"/>
              </w:rPr>
              <w:t>(8)(14)</w:t>
            </w:r>
          </w:p>
        </w:tc>
        <w:tc>
          <w:tcPr>
            <w:tcW w:w="3380" w:type="dxa"/>
            <w:vAlign w:val="bottom"/>
            <w:shd w:val="clear" w:color="auto" w:fill="CFF0FC"/>
          </w:tcPr>
          <w:p>
            <w:pPr>
              <w:ind w:left="180"/>
              <w:spacing w:after="0"/>
              <w:rPr>
                <w:sz w:val="20"/>
                <w:szCs w:val="20"/>
                <w:color w:val="auto"/>
              </w:rPr>
            </w:pPr>
            <w:r>
              <w:rPr>
                <w:rFonts w:ascii="Arial" w:cs="Arial" w:eastAsia="Arial" w:hAnsi="Arial"/>
                <w:sz w:val="13"/>
                <w:szCs w:val="13"/>
                <w:color w:val="auto"/>
              </w:rPr>
              <w:t>Senior Secured Loan — First Lien Term Loan A</w:t>
            </w:r>
          </w:p>
        </w:tc>
        <w:tc>
          <w:tcPr>
            <w:tcW w:w="126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r>
      <w:tr>
        <w:trPr>
          <w:trHeight w:val="135"/>
        </w:trPr>
        <w:tc>
          <w:tcPr>
            <w:tcW w:w="188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3380" w:type="dxa"/>
            <w:vAlign w:val="bottom"/>
            <w:shd w:val="clear" w:color="auto" w:fill="CFF0FC"/>
          </w:tcPr>
          <w:p>
            <w:pPr>
              <w:ind w:left="180"/>
              <w:spacing w:after="0" w:line="135" w:lineRule="exact"/>
              <w:rPr>
                <w:sz w:val="20"/>
                <w:szCs w:val="20"/>
                <w:color w:val="auto"/>
              </w:rPr>
            </w:pPr>
            <w:r>
              <w:rPr>
                <w:rFonts w:ascii="Arial" w:cs="Arial" w:eastAsia="Arial" w:hAnsi="Arial"/>
                <w:sz w:val="13"/>
                <w:szCs w:val="13"/>
                <w:color w:val="auto"/>
                <w:w w:val="99"/>
              </w:rPr>
              <w:t>7.0% Cash, 1 Month Libor (1.00%) + 6.00%; Libor Floor</w:t>
            </w:r>
          </w:p>
        </w:tc>
        <w:tc>
          <w:tcPr>
            <w:tcW w:w="126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r>
      <w:tr>
        <w:trPr>
          <w:trHeight w:val="149"/>
        </w:trPr>
        <w:tc>
          <w:tcPr>
            <w:tcW w:w="1880" w:type="dxa"/>
            <w:vAlign w:val="bottom"/>
            <w:shd w:val="clear" w:color="auto" w:fill="CFF0FC"/>
          </w:tcPr>
          <w:p>
            <w:pPr>
              <w:ind w:left="200"/>
              <w:spacing w:after="0"/>
              <w:rPr>
                <w:sz w:val="20"/>
                <w:szCs w:val="20"/>
                <w:color w:val="auto"/>
              </w:rPr>
            </w:pPr>
            <w:r>
              <w:rPr>
                <w:rFonts w:ascii="Arial" w:cs="Arial" w:eastAsia="Arial" w:hAnsi="Arial"/>
                <w:sz w:val="13"/>
                <w:szCs w:val="13"/>
                <w:color w:val="auto"/>
              </w:rPr>
              <w:t>High Tech Industries</w:t>
            </w:r>
          </w:p>
        </w:tc>
        <w:tc>
          <w:tcPr>
            <w:tcW w:w="1040" w:type="dxa"/>
            <w:vAlign w:val="bottom"/>
            <w:shd w:val="clear" w:color="auto" w:fill="CFF0FC"/>
          </w:tcPr>
          <w:p>
            <w:pPr>
              <w:spacing w:after="0"/>
              <w:rPr>
                <w:sz w:val="12"/>
                <w:szCs w:val="12"/>
                <w:color w:val="auto"/>
              </w:rPr>
            </w:pPr>
          </w:p>
        </w:tc>
        <w:tc>
          <w:tcPr>
            <w:tcW w:w="3380" w:type="dxa"/>
            <w:vAlign w:val="bottom"/>
            <w:shd w:val="clear" w:color="auto" w:fill="CFF0FC"/>
          </w:tcPr>
          <w:p>
            <w:pPr>
              <w:ind w:left="180"/>
              <w:spacing w:after="0"/>
              <w:rPr>
                <w:sz w:val="20"/>
                <w:szCs w:val="20"/>
                <w:color w:val="auto"/>
              </w:rPr>
            </w:pPr>
            <w:r>
              <w:rPr>
                <w:rFonts w:ascii="Arial" w:cs="Arial" w:eastAsia="Arial" w:hAnsi="Arial"/>
                <w:sz w:val="13"/>
                <w:szCs w:val="13"/>
                <w:color w:val="auto"/>
              </w:rPr>
              <w:t>1.00% , Due 7/25</w:t>
            </w:r>
          </w:p>
        </w:tc>
        <w:tc>
          <w:tcPr>
            <w:tcW w:w="1260" w:type="dxa"/>
            <w:vAlign w:val="bottom"/>
            <w:shd w:val="clear" w:color="auto" w:fill="CFF0FC"/>
          </w:tcPr>
          <w:p>
            <w:pPr>
              <w:jc w:val="right"/>
              <w:ind w:right="297"/>
              <w:spacing w:after="0"/>
              <w:rPr>
                <w:sz w:val="20"/>
                <w:szCs w:val="20"/>
                <w:color w:val="auto"/>
              </w:rPr>
            </w:pPr>
            <w:r>
              <w:rPr>
                <w:rFonts w:ascii="Arial" w:cs="Arial" w:eastAsia="Arial" w:hAnsi="Arial"/>
                <w:sz w:val="13"/>
                <w:szCs w:val="13"/>
                <w:color w:val="auto"/>
              </w:rPr>
              <w:t>10/28/2020</w:t>
            </w:r>
          </w:p>
        </w:tc>
        <w:tc>
          <w:tcPr>
            <w:tcW w:w="1240" w:type="dxa"/>
            <w:vAlign w:val="bottom"/>
            <w:shd w:val="clear" w:color="auto" w:fill="CFF0FC"/>
          </w:tcPr>
          <w:p>
            <w:pPr>
              <w:jc w:val="right"/>
              <w:ind w:right="317"/>
              <w:spacing w:after="0"/>
              <w:rPr>
                <w:sz w:val="20"/>
                <w:szCs w:val="20"/>
                <w:color w:val="auto"/>
              </w:rPr>
            </w:pPr>
            <w:r>
              <w:rPr>
                <w:rFonts w:ascii="Arial" w:cs="Arial" w:eastAsia="Arial" w:hAnsi="Arial"/>
                <w:sz w:val="13"/>
                <w:szCs w:val="13"/>
                <w:color w:val="auto"/>
              </w:rPr>
              <w:t>2,688,562</w:t>
            </w:r>
          </w:p>
        </w:tc>
        <w:tc>
          <w:tcPr>
            <w:tcW w:w="1340" w:type="dxa"/>
            <w:vAlign w:val="bottom"/>
            <w:shd w:val="clear" w:color="auto" w:fill="CFF0FC"/>
          </w:tcPr>
          <w:p>
            <w:pPr>
              <w:jc w:val="right"/>
              <w:ind w:right="397"/>
              <w:spacing w:after="0"/>
              <w:rPr>
                <w:sz w:val="20"/>
                <w:szCs w:val="20"/>
                <w:color w:val="auto"/>
              </w:rPr>
            </w:pPr>
            <w:r>
              <w:rPr>
                <w:rFonts w:ascii="Arial" w:cs="Arial" w:eastAsia="Arial" w:hAnsi="Arial"/>
                <w:sz w:val="13"/>
                <w:szCs w:val="13"/>
                <w:color w:val="auto"/>
              </w:rPr>
              <w:t>2,361,937</w:t>
            </w:r>
          </w:p>
        </w:tc>
        <w:tc>
          <w:tcPr>
            <w:tcW w:w="11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2,686,412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149"/>
        </w:trPr>
        <w:tc>
          <w:tcPr>
            <w:tcW w:w="2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Initial</w:t>
            </w: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35"/>
        </w:trPr>
        <w:tc>
          <w:tcPr>
            <w:tcW w:w="2520" w:type="dxa"/>
            <w:vAlign w:val="bottom"/>
          </w:tcPr>
          <w:p>
            <w:pPr>
              <w:spacing w:after="0" w:line="135" w:lineRule="exact"/>
              <w:rPr>
                <w:sz w:val="20"/>
                <w:szCs w:val="20"/>
                <w:color w:val="auto"/>
              </w:rPr>
            </w:pPr>
            <w:r>
              <w:rPr>
                <w:rFonts w:ascii="Arial" w:cs="Arial" w:eastAsia="Arial" w:hAnsi="Arial"/>
                <w:sz w:val="13"/>
                <w:szCs w:val="13"/>
                <w:b w:val="1"/>
                <w:bCs w:val="1"/>
                <w:color w:val="auto"/>
              </w:rPr>
              <w:t>Portfolio Company /</w:t>
            </w: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60" w:type="dxa"/>
            <w:vAlign w:val="bottom"/>
            <w:gridSpan w:val="2"/>
          </w:tcPr>
          <w:p>
            <w:pPr>
              <w:ind w:left="820"/>
              <w:spacing w:after="0" w:line="135" w:lineRule="exact"/>
              <w:rPr>
                <w:sz w:val="20"/>
                <w:szCs w:val="20"/>
                <w:color w:val="auto"/>
              </w:rPr>
            </w:pPr>
            <w:r>
              <w:rPr>
                <w:rFonts w:ascii="Arial" w:cs="Arial" w:eastAsia="Arial" w:hAnsi="Arial"/>
                <w:sz w:val="13"/>
                <w:szCs w:val="13"/>
                <w:b w:val="1"/>
                <w:bCs w:val="1"/>
                <w:color w:val="auto"/>
              </w:rPr>
              <w:t>Investment</w:t>
            </w:r>
          </w:p>
        </w:tc>
        <w:tc>
          <w:tcPr>
            <w:tcW w:w="11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gridSpan w:val="2"/>
          </w:tcPr>
          <w:p>
            <w:pPr>
              <w:jc w:val="right"/>
              <w:ind w:right="500"/>
              <w:spacing w:after="0" w:line="135" w:lineRule="exact"/>
              <w:rPr>
                <w:sz w:val="20"/>
                <w:szCs w:val="20"/>
                <w:color w:val="auto"/>
              </w:rPr>
            </w:pPr>
            <w:r>
              <w:rPr>
                <w:rFonts w:ascii="Arial" w:cs="Arial" w:eastAsia="Arial" w:hAnsi="Arial"/>
                <w:sz w:val="13"/>
                <w:szCs w:val="13"/>
                <w:b w:val="1"/>
                <w:bCs w:val="1"/>
                <w:color w:val="auto"/>
              </w:rPr>
              <w:t>Amortized</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3"/>
        </w:trPr>
        <w:tc>
          <w:tcPr>
            <w:tcW w:w="25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Principal Business</w:t>
            </w:r>
          </w:p>
        </w:tc>
        <w:tc>
          <w:tcPr>
            <w:tcW w:w="420" w:type="dxa"/>
            <w:vAlign w:val="bottom"/>
            <w:tcBorders>
              <w:bottom w:val="single" w:sz="8" w:color="auto"/>
            </w:tcBorders>
          </w:tcPr>
          <w:p>
            <w:pPr>
              <w:spacing w:after="0"/>
              <w:rPr>
                <w:sz w:val="13"/>
                <w:szCs w:val="13"/>
                <w:color w:val="auto"/>
              </w:rPr>
            </w:pPr>
          </w:p>
        </w:tc>
        <w:tc>
          <w:tcPr>
            <w:tcW w:w="7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540" w:type="dxa"/>
            <w:vAlign w:val="bottom"/>
            <w:tcBorders>
              <w:bottom w:val="single" w:sz="8" w:color="auto"/>
            </w:tcBorders>
          </w:tcPr>
          <w:p>
            <w:pPr>
              <w:ind w:left="400"/>
              <w:spacing w:after="0"/>
              <w:rPr>
                <w:sz w:val="20"/>
                <w:szCs w:val="20"/>
                <w:color w:val="auto"/>
              </w:rPr>
            </w:pPr>
            <w:r>
              <w:rPr>
                <w:rFonts w:ascii="Arial" w:cs="Arial" w:eastAsia="Arial" w:hAnsi="Arial"/>
                <w:sz w:val="13"/>
                <w:szCs w:val="13"/>
                <w:b w:val="1"/>
                <w:bCs w:val="1"/>
                <w:color w:val="auto"/>
              </w:rPr>
              <w:t>Interest Rate¹ / Maturity</w:t>
            </w:r>
            <w:r>
              <w:rPr>
                <w:rFonts w:ascii="Arial" w:cs="Arial" w:eastAsia="Arial" w:hAnsi="Arial"/>
                <w:sz w:val="10"/>
                <w:szCs w:val="10"/>
                <w:b w:val="1"/>
                <w:bCs w:val="1"/>
                <w:color w:val="auto"/>
              </w:rPr>
              <w:t>15</w:t>
            </w:r>
          </w:p>
        </w:tc>
        <w:tc>
          <w:tcPr>
            <w:tcW w:w="12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Date</w:t>
            </w:r>
          </w:p>
        </w:tc>
        <w:tc>
          <w:tcPr>
            <w:tcW w:w="120" w:type="dxa"/>
            <w:vAlign w:val="bottom"/>
            <w:tcBorders>
              <w:bottom w:val="single" w:sz="8" w:color="CFF0FC"/>
            </w:tcBorders>
          </w:tcPr>
          <w:p>
            <w:pPr>
              <w:spacing w:after="0"/>
              <w:rPr>
                <w:sz w:val="13"/>
                <w:szCs w:val="13"/>
                <w:color w:val="auto"/>
              </w:rPr>
            </w:pPr>
          </w:p>
        </w:tc>
        <w:tc>
          <w:tcPr>
            <w:tcW w:w="8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Principal</w:t>
            </w:r>
          </w:p>
        </w:tc>
        <w:tc>
          <w:tcPr>
            <w:tcW w:w="220" w:type="dxa"/>
            <w:vAlign w:val="bottom"/>
            <w:tcBorders>
              <w:bottom w:val="single" w:sz="8" w:color="CFF0FC"/>
            </w:tcBorders>
          </w:tcPr>
          <w:p>
            <w:pPr>
              <w:spacing w:after="0"/>
              <w:rPr>
                <w:sz w:val="13"/>
                <w:szCs w:val="13"/>
                <w:color w:val="auto"/>
              </w:rPr>
            </w:pPr>
          </w:p>
        </w:tc>
        <w:tc>
          <w:tcPr>
            <w:tcW w:w="1140" w:type="dxa"/>
            <w:vAlign w:val="bottom"/>
            <w:tcBorders>
              <w:bottom w:val="single" w:sz="8" w:color="auto"/>
            </w:tcBorders>
          </w:tcPr>
          <w:p>
            <w:pPr>
              <w:jc w:val="right"/>
              <w:ind w:right="397"/>
              <w:spacing w:after="0"/>
              <w:rPr>
                <w:sz w:val="20"/>
                <w:szCs w:val="20"/>
                <w:color w:val="auto"/>
              </w:rPr>
            </w:pPr>
            <w:r>
              <w:rPr>
                <w:rFonts w:ascii="Arial" w:cs="Arial" w:eastAsia="Arial" w:hAnsi="Arial"/>
                <w:sz w:val="13"/>
                <w:szCs w:val="13"/>
                <w:b w:val="1"/>
                <w:bCs w:val="1"/>
                <w:color w:val="auto"/>
              </w:rPr>
              <w:t>Cost</w:t>
            </w:r>
          </w:p>
        </w:tc>
        <w:tc>
          <w:tcPr>
            <w:tcW w:w="22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0"/>
                <w:szCs w:val="10"/>
                <w:b w:val="1"/>
                <w:bCs w:val="1"/>
                <w:color w:val="auto"/>
              </w:rPr>
              <w:t>2</w:t>
            </w:r>
          </w:p>
        </w:tc>
        <w:tc>
          <w:tcPr>
            <w:tcW w:w="120" w:type="dxa"/>
            <w:vAlign w:val="bottom"/>
            <w:tcBorders>
              <w:bottom w:val="single" w:sz="8" w:color="CFF0FC"/>
            </w:tcBorders>
          </w:tcPr>
          <w:p>
            <w:pPr>
              <w:spacing w:after="0"/>
              <w:rPr>
                <w:sz w:val="13"/>
                <w:szCs w:val="13"/>
                <w:color w:val="auto"/>
              </w:rPr>
            </w:pPr>
          </w:p>
        </w:tc>
      </w:tr>
      <w:tr>
        <w:trPr>
          <w:trHeight w:val="128"/>
        </w:trPr>
        <w:tc>
          <w:tcPr>
            <w:tcW w:w="2520" w:type="dxa"/>
            <w:vAlign w:val="bottom"/>
            <w:shd w:val="clear" w:color="auto" w:fill="CFF0FC"/>
          </w:tcPr>
          <w:p>
            <w:pPr>
              <w:spacing w:after="0" w:line="128" w:lineRule="exact"/>
              <w:rPr>
                <w:sz w:val="20"/>
                <w:szCs w:val="20"/>
                <w:color w:val="auto"/>
              </w:rPr>
            </w:pPr>
            <w:r>
              <w:rPr>
                <w:rFonts w:ascii="Arial" w:cs="Arial" w:eastAsia="Arial" w:hAnsi="Arial"/>
                <w:sz w:val="13"/>
                <w:szCs w:val="13"/>
                <w:color w:val="auto"/>
              </w:rPr>
              <w:t>Janus International Group, LLC</w:t>
            </w:r>
          </w:p>
        </w:tc>
        <w:tc>
          <w:tcPr>
            <w:tcW w:w="1120" w:type="dxa"/>
            <w:vAlign w:val="bottom"/>
            <w:gridSpan w:val="2"/>
            <w:shd w:val="clear" w:color="auto" w:fill="CFF0FC"/>
          </w:tcPr>
          <w:p>
            <w:pPr>
              <w:ind w:left="420"/>
              <w:spacing w:after="0"/>
              <w:rPr>
                <w:sz w:val="20"/>
                <w:szCs w:val="20"/>
                <w:color w:val="auto"/>
              </w:rPr>
            </w:pPr>
            <w:r>
              <w:rPr>
                <w:rFonts w:ascii="Arial" w:cs="Arial" w:eastAsia="Arial" w:hAnsi="Arial"/>
                <w:sz w:val="11"/>
                <w:szCs w:val="11"/>
                <w:color w:val="auto"/>
              </w:rPr>
              <w:t>(8)(14)</w:t>
            </w:r>
          </w:p>
        </w:tc>
        <w:tc>
          <w:tcPr>
            <w:tcW w:w="20" w:type="dxa"/>
            <w:vAlign w:val="bottom"/>
            <w:shd w:val="clear" w:color="auto" w:fill="CFF0FC"/>
          </w:tcPr>
          <w:p>
            <w:pPr>
              <w:spacing w:after="0"/>
              <w:rPr>
                <w:sz w:val="11"/>
                <w:szCs w:val="11"/>
                <w:color w:val="auto"/>
              </w:rPr>
            </w:pPr>
          </w:p>
        </w:tc>
        <w:tc>
          <w:tcPr>
            <w:tcW w:w="2840" w:type="dxa"/>
            <w:vAlign w:val="bottom"/>
            <w:gridSpan w:val="2"/>
            <w:shd w:val="clear" w:color="auto" w:fill="CFF0FC"/>
          </w:tcPr>
          <w:p>
            <w:pPr>
              <w:spacing w:after="0" w:line="128" w:lineRule="exact"/>
              <w:rPr>
                <w:sz w:val="20"/>
                <w:szCs w:val="20"/>
                <w:color w:val="auto"/>
              </w:rPr>
            </w:pPr>
            <w:r>
              <w:rPr>
                <w:rFonts w:ascii="Arial" w:cs="Arial" w:eastAsia="Arial" w:hAnsi="Arial"/>
                <w:sz w:val="13"/>
                <w:szCs w:val="13"/>
                <w:color w:val="auto"/>
              </w:rPr>
              <w:t>Senior Secured Loan — First Lien Term Loan B</w:t>
            </w: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52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Construction &amp; Building</w:t>
            </w:r>
          </w:p>
        </w:tc>
        <w:tc>
          <w:tcPr>
            <w:tcW w:w="4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2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94"/>
              </w:rPr>
              <w:t>4.3%</w:t>
            </w:r>
          </w:p>
        </w:tc>
        <w:tc>
          <w:tcPr>
            <w:tcW w:w="266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Cash, 3 Month Libor (1.00%) + 3.25%;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5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Floor 1.00% , Due 2/25</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2,193,340</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1,887,968</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2,193,790</w:t>
            </w:r>
          </w:p>
        </w:tc>
        <w:tc>
          <w:tcPr>
            <w:tcW w:w="120" w:type="dxa"/>
            <w:vAlign w:val="bottom"/>
            <w:shd w:val="clear" w:color="auto" w:fill="CFF0FC"/>
          </w:tcPr>
          <w:p>
            <w:pPr>
              <w:spacing w:after="0"/>
              <w:rPr>
                <w:sz w:val="12"/>
                <w:szCs w:val="12"/>
                <w:color w:val="auto"/>
              </w:rPr>
            </w:pPr>
          </w:p>
        </w:tc>
      </w:tr>
      <w:tr>
        <w:trPr>
          <w:trHeight w:val="148"/>
        </w:trPr>
        <w:tc>
          <w:tcPr>
            <w:tcW w:w="2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5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Keeco, LLC</w:t>
            </w:r>
          </w:p>
        </w:tc>
        <w:tc>
          <w:tcPr>
            <w:tcW w:w="1120" w:type="dxa"/>
            <w:vAlign w:val="bottom"/>
            <w:gridSpan w:val="2"/>
            <w:shd w:val="clear" w:color="auto" w:fill="CFF0FC"/>
          </w:tcPr>
          <w:p>
            <w:pPr>
              <w:ind w:left="420"/>
              <w:spacing w:after="0"/>
              <w:rPr>
                <w:sz w:val="20"/>
                <w:szCs w:val="20"/>
                <w:color w:val="auto"/>
              </w:rPr>
            </w:pPr>
            <w:r>
              <w:rPr>
                <w:rFonts w:ascii="Arial" w:cs="Arial" w:eastAsia="Arial" w:hAnsi="Arial"/>
                <w:sz w:val="11"/>
                <w:szCs w:val="11"/>
                <w:color w:val="auto"/>
              </w:rPr>
              <w:t>(8)(13)(14)</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First Lien Term Loan A</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52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2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94"/>
              </w:rPr>
              <w:t>9.5%</w:t>
            </w:r>
          </w:p>
        </w:tc>
        <w:tc>
          <w:tcPr>
            <w:tcW w:w="266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Cash, 0.5% PIK, 1 Month Libor (1.75%) +</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5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Consumer goods: Durable</w:t>
            </w:r>
          </w:p>
        </w:tc>
        <w:tc>
          <w:tcPr>
            <w:tcW w:w="4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7.75%; Libor Floor 1.75% , Due 3/24</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5,561,624</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4,663,522</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5,418,690</w:t>
            </w:r>
          </w:p>
        </w:tc>
        <w:tc>
          <w:tcPr>
            <w:tcW w:w="120" w:type="dxa"/>
            <w:vAlign w:val="bottom"/>
            <w:shd w:val="clear" w:color="auto" w:fill="CFF0FC"/>
          </w:tcPr>
          <w:p>
            <w:pPr>
              <w:spacing w:after="0"/>
              <w:rPr>
                <w:sz w:val="12"/>
                <w:szCs w:val="12"/>
                <w:color w:val="auto"/>
              </w:rPr>
            </w:pPr>
          </w:p>
        </w:tc>
      </w:tr>
      <w:tr>
        <w:trPr>
          <w:trHeight w:val="148"/>
        </w:trPr>
        <w:tc>
          <w:tcPr>
            <w:tcW w:w="2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5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Lifescan Global Corporation</w:t>
            </w:r>
          </w:p>
        </w:tc>
        <w:tc>
          <w:tcPr>
            <w:tcW w:w="1120" w:type="dxa"/>
            <w:vAlign w:val="bottom"/>
            <w:gridSpan w:val="2"/>
            <w:shd w:val="clear" w:color="auto" w:fill="CFF0FC"/>
          </w:tcPr>
          <w:p>
            <w:pPr>
              <w:ind w:left="420"/>
              <w:spacing w:after="0"/>
              <w:rPr>
                <w:sz w:val="20"/>
                <w:szCs w:val="20"/>
                <w:color w:val="auto"/>
              </w:rPr>
            </w:pPr>
            <w:r>
              <w:rPr>
                <w:rFonts w:ascii="Arial" w:cs="Arial" w:eastAsia="Arial" w:hAnsi="Arial"/>
                <w:sz w:val="11"/>
                <w:szCs w:val="11"/>
                <w:color w:val="auto"/>
              </w:rPr>
              <w:t>(8)(14)</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First Lien Term Loan A</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52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2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94"/>
              </w:rPr>
              <w:t>6.2%</w:t>
            </w:r>
          </w:p>
        </w:tc>
        <w:tc>
          <w:tcPr>
            <w:tcW w:w="266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Cash, 3 Month Libor (0.20%) + 6.00% , Due</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5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Healthcare &amp; Pharmaceuticals</w:t>
            </w:r>
          </w:p>
        </w:tc>
        <w:tc>
          <w:tcPr>
            <w:tcW w:w="4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2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w w:val="85"/>
              </w:rPr>
              <w:t>10/24</w:t>
            </w:r>
          </w:p>
        </w:tc>
        <w:tc>
          <w:tcPr>
            <w:tcW w:w="25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3,167,755</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2,655,825</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3,078,931</w:t>
            </w:r>
          </w:p>
        </w:tc>
        <w:tc>
          <w:tcPr>
            <w:tcW w:w="120" w:type="dxa"/>
            <w:vAlign w:val="bottom"/>
            <w:shd w:val="clear" w:color="auto" w:fill="CFF0FC"/>
          </w:tcPr>
          <w:p>
            <w:pPr>
              <w:spacing w:after="0"/>
              <w:rPr>
                <w:sz w:val="12"/>
                <w:szCs w:val="12"/>
                <w:color w:val="auto"/>
              </w:rPr>
            </w:pPr>
          </w:p>
        </w:tc>
      </w:tr>
      <w:tr>
        <w:trPr>
          <w:trHeight w:val="149"/>
        </w:trPr>
        <w:tc>
          <w:tcPr>
            <w:tcW w:w="2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5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Location Services Holdings, LLC</w:t>
            </w:r>
          </w:p>
        </w:tc>
        <w:tc>
          <w:tcPr>
            <w:tcW w:w="1120" w:type="dxa"/>
            <w:vAlign w:val="bottom"/>
            <w:gridSpan w:val="2"/>
            <w:shd w:val="clear" w:color="auto" w:fill="CFF0FC"/>
          </w:tcPr>
          <w:p>
            <w:pPr>
              <w:ind w:left="420"/>
              <w:spacing w:after="0"/>
              <w:rPr>
                <w:sz w:val="20"/>
                <w:szCs w:val="20"/>
                <w:color w:val="auto"/>
              </w:rPr>
            </w:pPr>
            <w:r>
              <w:rPr>
                <w:rFonts w:ascii="Arial" w:cs="Arial" w:eastAsia="Arial" w:hAnsi="Arial"/>
                <w:sz w:val="11"/>
                <w:szCs w:val="11"/>
                <w:color w:val="auto"/>
                <w:w w:val="94"/>
              </w:rPr>
              <w:t>(8)(13)(14)(21)</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Revolving Credit</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52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Services: Business</w:t>
            </w:r>
          </w:p>
        </w:tc>
        <w:tc>
          <w:tcPr>
            <w:tcW w:w="4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2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94"/>
              </w:rPr>
              <w:t>7.8%</w:t>
            </w:r>
          </w:p>
        </w:tc>
        <w:tc>
          <w:tcPr>
            <w:tcW w:w="266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Cash, 1 Month Libor (1.00%) + 6.75%;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5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Floor 1.00% , Due 5/21</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11/7/2019</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2,291,667</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2,285,656</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2,202,792</w:t>
            </w:r>
          </w:p>
        </w:tc>
        <w:tc>
          <w:tcPr>
            <w:tcW w:w="120" w:type="dxa"/>
            <w:vAlign w:val="bottom"/>
            <w:shd w:val="clear" w:color="auto" w:fill="CFF0FC"/>
          </w:tcPr>
          <w:p>
            <w:pPr>
              <w:spacing w:after="0"/>
              <w:rPr>
                <w:sz w:val="12"/>
                <w:szCs w:val="12"/>
                <w:color w:val="auto"/>
              </w:rPr>
            </w:pPr>
          </w:p>
        </w:tc>
      </w:tr>
      <w:tr>
        <w:trPr>
          <w:trHeight w:val="148"/>
        </w:trPr>
        <w:tc>
          <w:tcPr>
            <w:tcW w:w="2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5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Luminii LLC</w:t>
            </w:r>
          </w:p>
        </w:tc>
        <w:tc>
          <w:tcPr>
            <w:tcW w:w="1120" w:type="dxa"/>
            <w:vAlign w:val="bottom"/>
            <w:gridSpan w:val="2"/>
            <w:shd w:val="clear" w:color="auto" w:fill="CFF0FC"/>
          </w:tcPr>
          <w:p>
            <w:pPr>
              <w:ind w:left="420"/>
              <w:spacing w:after="0"/>
              <w:rPr>
                <w:sz w:val="20"/>
                <w:szCs w:val="20"/>
                <w:color w:val="auto"/>
              </w:rPr>
            </w:pPr>
            <w:r>
              <w:rPr>
                <w:rFonts w:ascii="Arial" w:cs="Arial" w:eastAsia="Arial" w:hAnsi="Arial"/>
                <w:sz w:val="11"/>
                <w:szCs w:val="11"/>
                <w:color w:val="auto"/>
              </w:rPr>
              <w:t>(8)(13)(14)</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Revolver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52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2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94"/>
              </w:rPr>
              <w:t>7.3%</w:t>
            </w:r>
          </w:p>
        </w:tc>
        <w:tc>
          <w:tcPr>
            <w:tcW w:w="266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Cash, 3 Month Libor (1.00%) + 6.25%;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5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Construction &amp; Building</w:t>
            </w:r>
          </w:p>
        </w:tc>
        <w:tc>
          <w:tcPr>
            <w:tcW w:w="4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Floor 1.00% , Due 4/23</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343,473</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304,874</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334,096</w:t>
            </w:r>
          </w:p>
        </w:tc>
        <w:tc>
          <w:tcPr>
            <w:tcW w:w="120" w:type="dxa"/>
            <w:vAlign w:val="bottom"/>
            <w:shd w:val="clear" w:color="auto" w:fill="CFF0FC"/>
          </w:tcPr>
          <w:p>
            <w:pPr>
              <w:spacing w:after="0"/>
              <w:rPr>
                <w:sz w:val="12"/>
                <w:szCs w:val="12"/>
                <w:color w:val="auto"/>
              </w:rPr>
            </w:pPr>
          </w:p>
        </w:tc>
      </w:tr>
      <w:tr>
        <w:trPr>
          <w:trHeight w:val="148"/>
        </w:trPr>
        <w:tc>
          <w:tcPr>
            <w:tcW w:w="2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5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Luminii LLC</w:t>
            </w:r>
          </w:p>
        </w:tc>
        <w:tc>
          <w:tcPr>
            <w:tcW w:w="1120" w:type="dxa"/>
            <w:vAlign w:val="bottom"/>
            <w:gridSpan w:val="2"/>
            <w:shd w:val="clear" w:color="auto" w:fill="CFF0FC"/>
          </w:tcPr>
          <w:p>
            <w:pPr>
              <w:ind w:left="420"/>
              <w:spacing w:after="0"/>
              <w:rPr>
                <w:sz w:val="20"/>
                <w:szCs w:val="20"/>
                <w:color w:val="auto"/>
              </w:rPr>
            </w:pPr>
            <w:r>
              <w:rPr>
                <w:rFonts w:ascii="Arial" w:cs="Arial" w:eastAsia="Arial" w:hAnsi="Arial"/>
                <w:sz w:val="11"/>
                <w:szCs w:val="11"/>
                <w:color w:val="auto"/>
              </w:rPr>
              <w:t>(8)(13)(14)</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First Lien Term Loan B</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52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2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94"/>
              </w:rPr>
              <w:t>7.3%</w:t>
            </w:r>
          </w:p>
        </w:tc>
        <w:tc>
          <w:tcPr>
            <w:tcW w:w="266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Cash, 3 Month Libor (1.00%) + 6.25%;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5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Construction &amp; Building</w:t>
            </w:r>
          </w:p>
        </w:tc>
        <w:tc>
          <w:tcPr>
            <w:tcW w:w="4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Floor 1.00% , Due 4/23</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7,116,777</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6,316,997</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6,987,252</w:t>
            </w:r>
          </w:p>
        </w:tc>
        <w:tc>
          <w:tcPr>
            <w:tcW w:w="120" w:type="dxa"/>
            <w:vAlign w:val="bottom"/>
            <w:shd w:val="clear" w:color="auto" w:fill="CFF0FC"/>
          </w:tcPr>
          <w:p>
            <w:pPr>
              <w:spacing w:after="0"/>
              <w:rPr>
                <w:sz w:val="12"/>
                <w:szCs w:val="12"/>
                <w:color w:val="auto"/>
              </w:rPr>
            </w:pPr>
          </w:p>
        </w:tc>
      </w:tr>
      <w:tr>
        <w:trPr>
          <w:trHeight w:val="148"/>
        </w:trPr>
        <w:tc>
          <w:tcPr>
            <w:tcW w:w="2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5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Mag Ds Corp.</w:t>
            </w:r>
          </w:p>
        </w:tc>
        <w:tc>
          <w:tcPr>
            <w:tcW w:w="1120" w:type="dxa"/>
            <w:vAlign w:val="bottom"/>
            <w:gridSpan w:val="2"/>
            <w:shd w:val="clear" w:color="auto" w:fill="CFF0FC"/>
          </w:tcPr>
          <w:p>
            <w:pPr>
              <w:ind w:left="420"/>
              <w:spacing w:after="0"/>
              <w:rPr>
                <w:sz w:val="20"/>
                <w:szCs w:val="20"/>
                <w:color w:val="auto"/>
              </w:rPr>
            </w:pPr>
            <w:r>
              <w:rPr>
                <w:rFonts w:ascii="Arial" w:cs="Arial" w:eastAsia="Arial" w:hAnsi="Arial"/>
                <w:sz w:val="11"/>
                <w:szCs w:val="11"/>
                <w:color w:val="auto"/>
                <w:w w:val="94"/>
              </w:rPr>
              <w:t>(8)(13)(14)(21)</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First Lien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520" w:type="dxa"/>
            <w:vAlign w:val="bottom"/>
            <w:shd w:val="clear" w:color="auto" w:fill="CFF0FC"/>
          </w:tcPr>
          <w:p>
            <w:pPr>
              <w:ind w:left="160"/>
              <w:spacing w:after="0"/>
              <w:rPr>
                <w:sz w:val="20"/>
                <w:szCs w:val="20"/>
                <w:color w:val="auto"/>
              </w:rPr>
            </w:pPr>
            <w:r>
              <w:rPr>
                <w:rFonts w:ascii="Arial" w:cs="Arial" w:eastAsia="Arial" w:hAnsi="Arial"/>
                <w:sz w:val="13"/>
                <w:szCs w:val="13"/>
                <w:color w:val="auto"/>
              </w:rPr>
              <w:t>Aerospace and Defense</w:t>
            </w:r>
          </w:p>
        </w:tc>
        <w:tc>
          <w:tcPr>
            <w:tcW w:w="4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2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w w:val="94"/>
              </w:rPr>
              <w:t>6.2%</w:t>
            </w:r>
          </w:p>
        </w:tc>
        <w:tc>
          <w:tcPr>
            <w:tcW w:w="2660" w:type="dxa"/>
            <w:vAlign w:val="bottom"/>
            <w:gridSpan w:val="2"/>
            <w:shd w:val="clear" w:color="auto" w:fill="CFF0FC"/>
          </w:tcPr>
          <w:p>
            <w:pPr>
              <w:spacing w:after="0"/>
              <w:rPr>
                <w:sz w:val="20"/>
                <w:szCs w:val="20"/>
                <w:color w:val="auto"/>
              </w:rPr>
            </w:pPr>
            <w:r>
              <w:rPr>
                <w:rFonts w:ascii="Arial" w:cs="Arial" w:eastAsia="Arial" w:hAnsi="Arial"/>
                <w:sz w:val="13"/>
                <w:szCs w:val="13"/>
                <w:color w:val="auto"/>
                <w:w w:val="93"/>
              </w:rPr>
              <w:t>Cash, 3 Month Libor (0.20%) + 6.00% , Due 4/27</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3,980,000</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3,345,014</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3,898,808</w:t>
            </w:r>
          </w:p>
        </w:tc>
        <w:tc>
          <w:tcPr>
            <w:tcW w:w="120" w:type="dxa"/>
            <w:vAlign w:val="bottom"/>
            <w:shd w:val="clear" w:color="auto" w:fill="CFF0FC"/>
          </w:tcPr>
          <w:p>
            <w:pPr>
              <w:spacing w:after="0"/>
              <w:rPr>
                <w:sz w:val="12"/>
                <w:szCs w:val="12"/>
                <w:color w:val="auto"/>
              </w:rPr>
            </w:pPr>
          </w:p>
        </w:tc>
      </w:tr>
      <w:tr>
        <w:trPr>
          <w:trHeight w:val="148"/>
        </w:trPr>
        <w:tc>
          <w:tcPr>
            <w:tcW w:w="2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5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Maxor National Pharmacy Services, LLC</w:t>
            </w:r>
          </w:p>
        </w:tc>
        <w:tc>
          <w:tcPr>
            <w:tcW w:w="1120" w:type="dxa"/>
            <w:vAlign w:val="bottom"/>
            <w:gridSpan w:val="2"/>
            <w:shd w:val="clear" w:color="auto" w:fill="CFF0FC"/>
          </w:tcPr>
          <w:p>
            <w:pPr>
              <w:ind w:left="420"/>
              <w:spacing w:after="0"/>
              <w:rPr>
                <w:sz w:val="20"/>
                <w:szCs w:val="20"/>
                <w:color w:val="auto"/>
              </w:rPr>
            </w:pPr>
            <w:r>
              <w:rPr>
                <w:rFonts w:ascii="Arial" w:cs="Arial" w:eastAsia="Arial" w:hAnsi="Arial"/>
                <w:sz w:val="11"/>
                <w:szCs w:val="11"/>
                <w:color w:val="auto"/>
              </w:rPr>
              <w:t>(8)(13)(14)</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First Lien Term Loan B</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52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2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94"/>
              </w:rPr>
              <w:t>9.1%</w:t>
            </w:r>
          </w:p>
        </w:tc>
        <w:tc>
          <w:tcPr>
            <w:tcW w:w="266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Cash, 3 Month Libor (1.00%) + 8.05%;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5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Healthcare &amp; Pharmaceuticals</w:t>
            </w:r>
          </w:p>
        </w:tc>
        <w:tc>
          <w:tcPr>
            <w:tcW w:w="4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Floor 1.00% , Due 11/23</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8,531,223</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7,531,071</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8,531,223</w:t>
            </w:r>
          </w:p>
        </w:tc>
        <w:tc>
          <w:tcPr>
            <w:tcW w:w="120" w:type="dxa"/>
            <w:vAlign w:val="bottom"/>
            <w:shd w:val="clear" w:color="auto" w:fill="CFF0FC"/>
          </w:tcPr>
          <w:p>
            <w:pPr>
              <w:spacing w:after="0"/>
              <w:rPr>
                <w:sz w:val="12"/>
                <w:szCs w:val="12"/>
                <w:color w:val="auto"/>
              </w:rPr>
            </w:pPr>
          </w:p>
        </w:tc>
      </w:tr>
      <w:tr>
        <w:trPr>
          <w:trHeight w:val="148"/>
        </w:trPr>
        <w:tc>
          <w:tcPr>
            <w:tcW w:w="2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5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Maxor National Pharmacy Services, LLC</w:t>
            </w:r>
          </w:p>
        </w:tc>
        <w:tc>
          <w:tcPr>
            <w:tcW w:w="1120" w:type="dxa"/>
            <w:vAlign w:val="bottom"/>
            <w:gridSpan w:val="2"/>
            <w:shd w:val="clear" w:color="auto" w:fill="CFF0FC"/>
          </w:tcPr>
          <w:p>
            <w:pPr>
              <w:ind w:left="420"/>
              <w:spacing w:after="0"/>
              <w:rPr>
                <w:sz w:val="20"/>
                <w:szCs w:val="20"/>
                <w:color w:val="auto"/>
              </w:rPr>
            </w:pPr>
            <w:r>
              <w:rPr>
                <w:rFonts w:ascii="Arial" w:cs="Arial" w:eastAsia="Arial" w:hAnsi="Arial"/>
                <w:sz w:val="11"/>
                <w:szCs w:val="11"/>
                <w:color w:val="auto"/>
              </w:rPr>
              <w:t>(8)(13)(14)</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Revolver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520" w:type="dxa"/>
            <w:vAlign w:val="bottom"/>
            <w:shd w:val="clear" w:color="auto" w:fill="CFF0FC"/>
          </w:tcPr>
          <w:p>
            <w:pPr>
              <w:ind w:left="160"/>
              <w:spacing w:after="0"/>
              <w:rPr>
                <w:sz w:val="20"/>
                <w:szCs w:val="20"/>
                <w:color w:val="auto"/>
              </w:rPr>
            </w:pPr>
            <w:r>
              <w:rPr>
                <w:rFonts w:ascii="Arial" w:cs="Arial" w:eastAsia="Arial" w:hAnsi="Arial"/>
                <w:sz w:val="13"/>
                <w:szCs w:val="13"/>
                <w:color w:val="auto"/>
              </w:rPr>
              <w:t>Healthcare &amp; Pharmaceuticals</w:t>
            </w:r>
          </w:p>
        </w:tc>
        <w:tc>
          <w:tcPr>
            <w:tcW w:w="4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2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w w:val="94"/>
              </w:rPr>
              <w:t>0.5%</w:t>
            </w:r>
          </w:p>
        </w:tc>
        <w:tc>
          <w:tcPr>
            <w:tcW w:w="266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Cash, Due 11/22</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(0)</w:t>
            </w: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r>
      <w:tr>
        <w:trPr>
          <w:trHeight w:val="148"/>
        </w:trPr>
        <w:tc>
          <w:tcPr>
            <w:tcW w:w="2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5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Ministry Brands, LLC</w:t>
            </w:r>
          </w:p>
        </w:tc>
        <w:tc>
          <w:tcPr>
            <w:tcW w:w="1120" w:type="dxa"/>
            <w:vAlign w:val="bottom"/>
            <w:gridSpan w:val="2"/>
            <w:shd w:val="clear" w:color="auto" w:fill="CFF0FC"/>
          </w:tcPr>
          <w:p>
            <w:pPr>
              <w:ind w:left="420"/>
              <w:spacing w:after="0"/>
              <w:rPr>
                <w:sz w:val="20"/>
                <w:szCs w:val="20"/>
                <w:color w:val="auto"/>
              </w:rPr>
            </w:pPr>
            <w:r>
              <w:rPr>
                <w:rFonts w:ascii="Arial" w:cs="Arial" w:eastAsia="Arial" w:hAnsi="Arial"/>
                <w:sz w:val="11"/>
                <w:szCs w:val="11"/>
                <w:color w:val="auto"/>
              </w:rPr>
              <w:t>(8)(13)(14)</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w w:val="96"/>
              </w:rPr>
              <w:t>Junior Secured Loan — April 2018 Incremental Term</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52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Electronics</w:t>
            </w:r>
          </w:p>
        </w:tc>
        <w:tc>
          <w:tcPr>
            <w:tcW w:w="4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980" w:type="dxa"/>
            <w:vAlign w:val="bottom"/>
            <w:gridSpan w:val="4"/>
            <w:shd w:val="clear" w:color="auto" w:fill="CFF0FC"/>
          </w:tcPr>
          <w:p>
            <w:pPr>
              <w:ind w:left="20"/>
              <w:spacing w:after="0" w:line="135" w:lineRule="exact"/>
              <w:rPr>
                <w:sz w:val="20"/>
                <w:szCs w:val="20"/>
                <w:color w:val="auto"/>
              </w:rPr>
            </w:pPr>
            <w:r>
              <w:rPr>
                <w:rFonts w:ascii="Arial" w:cs="Arial" w:eastAsia="Arial" w:hAnsi="Arial"/>
                <w:sz w:val="13"/>
                <w:szCs w:val="13"/>
                <w:color w:val="auto"/>
              </w:rPr>
              <w:t>Loan (Second Lien)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52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2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94"/>
              </w:rPr>
              <w:t>5.2%</w:t>
            </w:r>
          </w:p>
        </w:tc>
        <w:tc>
          <w:tcPr>
            <w:tcW w:w="266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Cash, 3 Month Libor (1.00%) + 4.23%;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5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Floor 1.00% , Due 6/23</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12/18/2019</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6,000,000</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5,600,515</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5,819,400</w:t>
            </w:r>
          </w:p>
        </w:tc>
        <w:tc>
          <w:tcPr>
            <w:tcW w:w="120" w:type="dxa"/>
            <w:vAlign w:val="bottom"/>
            <w:shd w:val="clear" w:color="auto" w:fill="CFF0FC"/>
          </w:tcPr>
          <w:p>
            <w:pPr>
              <w:spacing w:after="0"/>
              <w:rPr>
                <w:sz w:val="12"/>
                <w:szCs w:val="12"/>
                <w:color w:val="auto"/>
              </w:rPr>
            </w:pPr>
          </w:p>
        </w:tc>
      </w:tr>
      <w:tr>
        <w:trPr>
          <w:trHeight w:val="148"/>
        </w:trPr>
        <w:tc>
          <w:tcPr>
            <w:tcW w:w="2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5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Mother's Market &amp; Kitchen, Inc.</w:t>
            </w:r>
          </w:p>
        </w:tc>
        <w:tc>
          <w:tcPr>
            <w:tcW w:w="1120" w:type="dxa"/>
            <w:vAlign w:val="bottom"/>
            <w:gridSpan w:val="2"/>
            <w:shd w:val="clear" w:color="auto" w:fill="CFF0FC"/>
          </w:tcPr>
          <w:p>
            <w:pPr>
              <w:ind w:left="420"/>
              <w:spacing w:after="0"/>
              <w:rPr>
                <w:sz w:val="20"/>
                <w:szCs w:val="20"/>
                <w:color w:val="auto"/>
              </w:rPr>
            </w:pPr>
            <w:r>
              <w:rPr>
                <w:rFonts w:ascii="Arial" w:cs="Arial" w:eastAsia="Arial" w:hAnsi="Arial"/>
                <w:sz w:val="11"/>
                <w:szCs w:val="11"/>
                <w:color w:val="auto"/>
              </w:rPr>
              <w:t>(8)(13)(14)</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First Lien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52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Healthcare &amp; Pharmaceuticals</w:t>
            </w:r>
          </w:p>
        </w:tc>
        <w:tc>
          <w:tcPr>
            <w:tcW w:w="4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2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94"/>
              </w:rPr>
              <w:t>5.2%</w:t>
            </w:r>
          </w:p>
        </w:tc>
        <w:tc>
          <w:tcPr>
            <w:tcW w:w="266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Cash, 3 Month Libor (1.00%) + 4.23%;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5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Floor 1.00% , Due 7/23</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6,907,585</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6,114,095</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6,907,585</w:t>
            </w:r>
          </w:p>
        </w:tc>
        <w:tc>
          <w:tcPr>
            <w:tcW w:w="120" w:type="dxa"/>
            <w:vAlign w:val="bottom"/>
            <w:shd w:val="clear" w:color="auto" w:fill="CFF0FC"/>
          </w:tcPr>
          <w:p>
            <w:pPr>
              <w:spacing w:after="0"/>
              <w:rPr>
                <w:sz w:val="12"/>
                <w:szCs w:val="12"/>
                <w:color w:val="auto"/>
              </w:rPr>
            </w:pPr>
          </w:p>
        </w:tc>
      </w:tr>
      <w:tr>
        <w:trPr>
          <w:trHeight w:val="148"/>
        </w:trPr>
        <w:tc>
          <w:tcPr>
            <w:tcW w:w="2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5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MountainTop Financial, LLC</w:t>
            </w:r>
          </w:p>
        </w:tc>
        <w:tc>
          <w:tcPr>
            <w:tcW w:w="1120" w:type="dxa"/>
            <w:vAlign w:val="bottom"/>
            <w:gridSpan w:val="2"/>
            <w:shd w:val="clear" w:color="auto" w:fill="CFF0FC"/>
          </w:tcPr>
          <w:p>
            <w:pPr>
              <w:ind w:left="420"/>
              <w:spacing w:after="0"/>
              <w:rPr>
                <w:sz w:val="20"/>
                <w:szCs w:val="20"/>
                <w:color w:val="auto"/>
              </w:rPr>
            </w:pPr>
            <w:r>
              <w:rPr>
                <w:rFonts w:ascii="Arial" w:cs="Arial" w:eastAsia="Arial" w:hAnsi="Arial"/>
                <w:sz w:val="11"/>
                <w:szCs w:val="11"/>
                <w:color w:val="auto"/>
              </w:rPr>
              <w:t>(8)(13)(14)</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First Lien Term Loan A</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52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Transportation: Cargo</w:t>
            </w:r>
          </w:p>
        </w:tc>
        <w:tc>
          <w:tcPr>
            <w:tcW w:w="4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2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94"/>
              </w:rPr>
              <w:t>8.5%</w:t>
            </w:r>
          </w:p>
        </w:tc>
        <w:tc>
          <w:tcPr>
            <w:tcW w:w="266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Cash, 3 Month Libor (1.50%) + 7.00%;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5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Floor 1.50% , Due 3/24</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6,338,579</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5,609,620</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6,338,579</w:t>
            </w:r>
          </w:p>
        </w:tc>
        <w:tc>
          <w:tcPr>
            <w:tcW w:w="120" w:type="dxa"/>
            <w:vAlign w:val="bottom"/>
            <w:shd w:val="clear" w:color="auto" w:fill="CFF0FC"/>
          </w:tcPr>
          <w:p>
            <w:pPr>
              <w:spacing w:after="0"/>
              <w:rPr>
                <w:sz w:val="12"/>
                <w:szCs w:val="12"/>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49"/>
        </w:trPr>
        <w:tc>
          <w:tcPr>
            <w:tcW w:w="2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Initial</w:t>
            </w: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35"/>
        </w:trPr>
        <w:tc>
          <w:tcPr>
            <w:tcW w:w="2640" w:type="dxa"/>
            <w:vAlign w:val="bottom"/>
          </w:tcPr>
          <w:p>
            <w:pPr>
              <w:spacing w:after="0" w:line="135" w:lineRule="exact"/>
              <w:rPr>
                <w:sz w:val="20"/>
                <w:szCs w:val="20"/>
                <w:color w:val="auto"/>
              </w:rPr>
            </w:pPr>
            <w:r>
              <w:rPr>
                <w:rFonts w:ascii="Arial" w:cs="Arial" w:eastAsia="Arial" w:hAnsi="Arial"/>
                <w:sz w:val="13"/>
                <w:szCs w:val="13"/>
                <w:b w:val="1"/>
                <w:bCs w:val="1"/>
                <w:color w:val="auto"/>
              </w:rPr>
              <w:t>Portfolio Company /</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80" w:type="dxa"/>
            <w:vAlign w:val="bottom"/>
            <w:gridSpan w:val="2"/>
          </w:tcPr>
          <w:p>
            <w:pPr>
              <w:ind w:left="840"/>
              <w:spacing w:after="0" w:line="135" w:lineRule="exact"/>
              <w:rPr>
                <w:sz w:val="20"/>
                <w:szCs w:val="20"/>
                <w:color w:val="auto"/>
              </w:rPr>
            </w:pPr>
            <w:r>
              <w:rPr>
                <w:rFonts w:ascii="Arial" w:cs="Arial" w:eastAsia="Arial" w:hAnsi="Arial"/>
                <w:sz w:val="13"/>
                <w:szCs w:val="13"/>
                <w:b w:val="1"/>
                <w:bCs w:val="1"/>
                <w:color w:val="auto"/>
              </w:rPr>
              <w:t>Investment</w:t>
            </w:r>
          </w:p>
        </w:tc>
        <w:tc>
          <w:tcPr>
            <w:tcW w:w="11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gridSpan w:val="2"/>
          </w:tcPr>
          <w:p>
            <w:pPr>
              <w:jc w:val="right"/>
              <w:ind w:right="500"/>
              <w:spacing w:after="0" w:line="135" w:lineRule="exact"/>
              <w:rPr>
                <w:sz w:val="20"/>
                <w:szCs w:val="20"/>
                <w:color w:val="auto"/>
              </w:rPr>
            </w:pPr>
            <w:r>
              <w:rPr>
                <w:rFonts w:ascii="Arial" w:cs="Arial" w:eastAsia="Arial" w:hAnsi="Arial"/>
                <w:sz w:val="13"/>
                <w:szCs w:val="13"/>
                <w:b w:val="1"/>
                <w:bCs w:val="1"/>
                <w:color w:val="auto"/>
              </w:rPr>
              <w:t>Amortized</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3"/>
        </w:trPr>
        <w:tc>
          <w:tcPr>
            <w:tcW w:w="26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Principal Business</w:t>
            </w:r>
          </w:p>
        </w:tc>
        <w:tc>
          <w:tcPr>
            <w:tcW w:w="300" w:type="dxa"/>
            <w:vAlign w:val="bottom"/>
            <w:tcBorders>
              <w:bottom w:val="single" w:sz="8" w:color="auto"/>
            </w:tcBorders>
          </w:tcPr>
          <w:p>
            <w:pPr>
              <w:spacing w:after="0"/>
              <w:rPr>
                <w:sz w:val="13"/>
                <w:szCs w:val="13"/>
                <w:color w:val="auto"/>
              </w:rPr>
            </w:pPr>
          </w:p>
        </w:tc>
        <w:tc>
          <w:tcPr>
            <w:tcW w:w="7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560" w:type="dxa"/>
            <w:vAlign w:val="bottom"/>
            <w:tcBorders>
              <w:bottom w:val="single" w:sz="8" w:color="auto"/>
            </w:tcBorders>
          </w:tcPr>
          <w:p>
            <w:pPr>
              <w:ind w:left="420"/>
              <w:spacing w:after="0"/>
              <w:rPr>
                <w:sz w:val="20"/>
                <w:szCs w:val="20"/>
                <w:color w:val="auto"/>
              </w:rPr>
            </w:pPr>
            <w:r>
              <w:rPr>
                <w:rFonts w:ascii="Arial" w:cs="Arial" w:eastAsia="Arial" w:hAnsi="Arial"/>
                <w:sz w:val="13"/>
                <w:szCs w:val="13"/>
                <w:b w:val="1"/>
                <w:bCs w:val="1"/>
                <w:color w:val="auto"/>
              </w:rPr>
              <w:t>Interest Rate¹ / Maturity</w:t>
            </w:r>
            <w:r>
              <w:rPr>
                <w:rFonts w:ascii="Arial" w:cs="Arial" w:eastAsia="Arial" w:hAnsi="Arial"/>
                <w:sz w:val="10"/>
                <w:szCs w:val="10"/>
                <w:b w:val="1"/>
                <w:bCs w:val="1"/>
                <w:color w:val="auto"/>
              </w:rPr>
              <w:t>15</w:t>
            </w:r>
          </w:p>
        </w:tc>
        <w:tc>
          <w:tcPr>
            <w:tcW w:w="12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Date</w:t>
            </w:r>
          </w:p>
        </w:tc>
        <w:tc>
          <w:tcPr>
            <w:tcW w:w="120" w:type="dxa"/>
            <w:vAlign w:val="bottom"/>
            <w:tcBorders>
              <w:bottom w:val="single" w:sz="8" w:color="CFF0FC"/>
            </w:tcBorders>
          </w:tcPr>
          <w:p>
            <w:pPr>
              <w:spacing w:after="0"/>
              <w:rPr>
                <w:sz w:val="13"/>
                <w:szCs w:val="13"/>
                <w:color w:val="auto"/>
              </w:rPr>
            </w:pPr>
          </w:p>
        </w:tc>
        <w:tc>
          <w:tcPr>
            <w:tcW w:w="8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Principal</w:t>
            </w:r>
          </w:p>
        </w:tc>
        <w:tc>
          <w:tcPr>
            <w:tcW w:w="220" w:type="dxa"/>
            <w:vAlign w:val="bottom"/>
            <w:tcBorders>
              <w:bottom w:val="single" w:sz="8" w:color="CFF0FC"/>
            </w:tcBorders>
          </w:tcPr>
          <w:p>
            <w:pPr>
              <w:spacing w:after="0"/>
              <w:rPr>
                <w:sz w:val="13"/>
                <w:szCs w:val="13"/>
                <w:color w:val="auto"/>
              </w:rPr>
            </w:pPr>
          </w:p>
        </w:tc>
        <w:tc>
          <w:tcPr>
            <w:tcW w:w="1140" w:type="dxa"/>
            <w:vAlign w:val="bottom"/>
            <w:tcBorders>
              <w:bottom w:val="single" w:sz="8" w:color="auto"/>
            </w:tcBorders>
          </w:tcPr>
          <w:p>
            <w:pPr>
              <w:jc w:val="right"/>
              <w:ind w:right="397"/>
              <w:spacing w:after="0"/>
              <w:rPr>
                <w:sz w:val="20"/>
                <w:szCs w:val="20"/>
                <w:color w:val="auto"/>
              </w:rPr>
            </w:pPr>
            <w:r>
              <w:rPr>
                <w:rFonts w:ascii="Arial" w:cs="Arial" w:eastAsia="Arial" w:hAnsi="Arial"/>
                <w:sz w:val="13"/>
                <w:szCs w:val="13"/>
                <w:b w:val="1"/>
                <w:bCs w:val="1"/>
                <w:color w:val="auto"/>
              </w:rPr>
              <w:t>Cost</w:t>
            </w:r>
          </w:p>
        </w:tc>
        <w:tc>
          <w:tcPr>
            <w:tcW w:w="22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0"/>
                <w:szCs w:val="10"/>
                <w:b w:val="1"/>
                <w:bCs w:val="1"/>
                <w:color w:val="auto"/>
              </w:rPr>
              <w:t>2</w:t>
            </w:r>
          </w:p>
        </w:tc>
        <w:tc>
          <w:tcPr>
            <w:tcW w:w="120" w:type="dxa"/>
            <w:vAlign w:val="bottom"/>
            <w:tcBorders>
              <w:bottom w:val="single" w:sz="8" w:color="CFF0FC"/>
            </w:tcBorders>
          </w:tcPr>
          <w:p>
            <w:pPr>
              <w:spacing w:after="0"/>
              <w:rPr>
                <w:sz w:val="13"/>
                <w:szCs w:val="13"/>
                <w:color w:val="auto"/>
              </w:rPr>
            </w:pPr>
          </w:p>
        </w:tc>
      </w:tr>
      <w:tr>
        <w:trPr>
          <w:trHeight w:val="128"/>
        </w:trPr>
        <w:tc>
          <w:tcPr>
            <w:tcW w:w="2640" w:type="dxa"/>
            <w:vAlign w:val="bottom"/>
            <w:shd w:val="clear" w:color="auto" w:fill="CFF0FC"/>
          </w:tcPr>
          <w:p>
            <w:pPr>
              <w:spacing w:after="0" w:line="128" w:lineRule="exact"/>
              <w:rPr>
                <w:sz w:val="20"/>
                <w:szCs w:val="20"/>
                <w:color w:val="auto"/>
              </w:rPr>
            </w:pPr>
            <w:r>
              <w:rPr>
                <w:rFonts w:ascii="Arial" w:cs="Arial" w:eastAsia="Arial" w:hAnsi="Arial"/>
                <w:sz w:val="13"/>
                <w:szCs w:val="13"/>
                <w:color w:val="auto"/>
              </w:rPr>
              <w:t>MSM Acquisitions, Inc.</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rPr>
              <w:t>(8)(13)(14)</w:t>
            </w:r>
          </w:p>
        </w:tc>
        <w:tc>
          <w:tcPr>
            <w:tcW w:w="20" w:type="dxa"/>
            <w:vAlign w:val="bottom"/>
            <w:shd w:val="clear" w:color="auto" w:fill="CFF0FC"/>
          </w:tcPr>
          <w:p>
            <w:pPr>
              <w:spacing w:after="0"/>
              <w:rPr>
                <w:sz w:val="11"/>
                <w:szCs w:val="11"/>
                <w:color w:val="auto"/>
              </w:rPr>
            </w:pPr>
          </w:p>
        </w:tc>
        <w:tc>
          <w:tcPr>
            <w:tcW w:w="2840" w:type="dxa"/>
            <w:vAlign w:val="bottom"/>
            <w:gridSpan w:val="2"/>
            <w:shd w:val="clear" w:color="auto" w:fill="CFF0FC"/>
          </w:tcPr>
          <w:p>
            <w:pPr>
              <w:spacing w:after="0" w:line="128" w:lineRule="exact"/>
              <w:rPr>
                <w:sz w:val="20"/>
                <w:szCs w:val="20"/>
                <w:color w:val="auto"/>
              </w:rPr>
            </w:pPr>
            <w:r>
              <w:rPr>
                <w:rFonts w:ascii="Arial" w:cs="Arial" w:eastAsia="Arial" w:hAnsi="Arial"/>
                <w:sz w:val="13"/>
                <w:szCs w:val="13"/>
                <w:color w:val="auto"/>
                <w:w w:val="97"/>
              </w:rPr>
              <w:t>Senior Secured Loan — Delayed Draw Term Loan</w:t>
            </w: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6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Services: Business</w:t>
            </w: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980" w:type="dxa"/>
            <w:vAlign w:val="bottom"/>
            <w:gridSpan w:val="4"/>
            <w:shd w:val="clear" w:color="auto" w:fill="CFF0FC"/>
          </w:tcPr>
          <w:p>
            <w:pPr>
              <w:ind w:left="20"/>
              <w:spacing w:after="0" w:line="135" w:lineRule="exact"/>
              <w:rPr>
                <w:sz w:val="20"/>
                <w:szCs w:val="20"/>
                <w:color w:val="auto"/>
              </w:rPr>
            </w:pPr>
            <w:r>
              <w:rPr>
                <w:rFonts w:ascii="Arial" w:cs="Arial" w:eastAsia="Arial" w:hAnsi="Arial"/>
                <w:sz w:val="13"/>
                <w:szCs w:val="13"/>
                <w:color w:val="auto"/>
              </w:rPr>
              <w:t>(First Lien)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6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7"/>
              </w:rPr>
              <w:t>1.0%</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(1.00%) + 0.00%; Libor Floor 1.00% ,</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Due 6/22</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12/31/2020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1,484,515</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1,490,585</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1,481,577</w:t>
            </w:r>
          </w:p>
        </w:tc>
        <w:tc>
          <w:tcPr>
            <w:tcW w:w="120" w:type="dxa"/>
            <w:vAlign w:val="bottom"/>
            <w:shd w:val="clear" w:color="auto" w:fill="CFF0FC"/>
          </w:tcPr>
          <w:p>
            <w:pPr>
              <w:spacing w:after="0"/>
              <w:rPr>
                <w:sz w:val="12"/>
                <w:szCs w:val="12"/>
                <w:color w:val="auto"/>
              </w:rPr>
            </w:pPr>
          </w:p>
        </w:tc>
      </w:tr>
      <w:tr>
        <w:trPr>
          <w:trHeight w:val="148"/>
        </w:trPr>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MSM Acquisitions, Inc.</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rPr>
              <w:t>(8)(13)(14)</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First Lien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6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Services: Business</w:t>
            </w: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7"/>
              </w:rPr>
              <w:t>7.3%</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1 Month Libor (1.00%) + 6.25%;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Floor 1.00% , Due 1/26</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12/31/2020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7,041,176</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6,956,854</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7,034,135</w:t>
            </w:r>
          </w:p>
        </w:tc>
        <w:tc>
          <w:tcPr>
            <w:tcW w:w="120" w:type="dxa"/>
            <w:vAlign w:val="bottom"/>
            <w:shd w:val="clear" w:color="auto" w:fill="CFF0FC"/>
          </w:tcPr>
          <w:p>
            <w:pPr>
              <w:spacing w:after="0"/>
              <w:rPr>
                <w:sz w:val="12"/>
                <w:szCs w:val="12"/>
                <w:color w:val="auto"/>
              </w:rPr>
            </w:pPr>
          </w:p>
        </w:tc>
      </w:tr>
      <w:tr>
        <w:trPr>
          <w:trHeight w:val="148"/>
        </w:trPr>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Nasco Healthcare Inc.</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w w:val="94"/>
              </w:rPr>
              <w:t>(8)(13)(14)(21)</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6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Healthcare, Education and Childcare</w:t>
            </w: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7"/>
              </w:rPr>
              <w:t>6.5%</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3 Month Libor (1.00%) + 5.50%;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Floor 1.00% , Due 6/23</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5/22/2020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4,299,944</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4,162,129</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4,095,697</w:t>
            </w:r>
          </w:p>
        </w:tc>
        <w:tc>
          <w:tcPr>
            <w:tcW w:w="120" w:type="dxa"/>
            <w:vAlign w:val="bottom"/>
            <w:shd w:val="clear" w:color="auto" w:fill="CFF0FC"/>
          </w:tcPr>
          <w:p>
            <w:pPr>
              <w:spacing w:after="0"/>
              <w:rPr>
                <w:sz w:val="12"/>
                <w:szCs w:val="12"/>
                <w:color w:val="auto"/>
              </w:rPr>
            </w:pPr>
          </w:p>
        </w:tc>
      </w:tr>
      <w:tr>
        <w:trPr>
          <w:trHeight w:val="148"/>
        </w:trPr>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Navex Topco, Inc.</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w w:val="94"/>
              </w:rPr>
              <w:t>(8)(14)(18)(21)</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Junior Secured Loan — Initial Term Loan (Second</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6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Electronics</w:t>
            </w: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9"/>
              </w:rPr>
              <w:t>Lien)</w:t>
            </w:r>
          </w:p>
        </w:tc>
        <w:tc>
          <w:tcPr>
            <w:tcW w:w="25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0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w w:val="87"/>
              </w:rPr>
              <w:t>7.1%</w:t>
            </w:r>
          </w:p>
        </w:tc>
        <w:tc>
          <w:tcPr>
            <w:tcW w:w="268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w w:val="93"/>
              </w:rPr>
              <w:t>Cash, 1 Month Libor (0.11%) + 7.00% , Due 9/26</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12/4/2018</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7,700,000</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7,243,443</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7,502,726</w:t>
            </w:r>
          </w:p>
        </w:tc>
        <w:tc>
          <w:tcPr>
            <w:tcW w:w="120" w:type="dxa"/>
            <w:vAlign w:val="bottom"/>
            <w:shd w:val="clear" w:color="auto" w:fill="CFF0FC"/>
          </w:tcPr>
          <w:p>
            <w:pPr>
              <w:spacing w:after="0"/>
              <w:rPr>
                <w:sz w:val="12"/>
                <w:szCs w:val="12"/>
                <w:color w:val="auto"/>
              </w:rPr>
            </w:pPr>
          </w:p>
        </w:tc>
      </w:tr>
      <w:tr>
        <w:trPr>
          <w:trHeight w:val="148"/>
        </w:trPr>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Naviga Inc.</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rPr>
              <w:t>(8)(13)(14)</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Delayed Draw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6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Services: Business</w:t>
            </w: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980" w:type="dxa"/>
            <w:vAlign w:val="bottom"/>
            <w:gridSpan w:val="4"/>
            <w:shd w:val="clear" w:color="auto" w:fill="CFF0FC"/>
          </w:tcPr>
          <w:p>
            <w:pPr>
              <w:ind w:left="20"/>
              <w:spacing w:after="0" w:line="135" w:lineRule="exact"/>
              <w:rPr>
                <w:sz w:val="20"/>
                <w:szCs w:val="20"/>
                <w:color w:val="auto"/>
              </w:rPr>
            </w:pPr>
            <w:r>
              <w:rPr>
                <w:rFonts w:ascii="Arial" w:cs="Arial" w:eastAsia="Arial" w:hAnsi="Arial"/>
                <w:sz w:val="13"/>
                <w:szCs w:val="13"/>
                <w:color w:val="auto"/>
                <w:w w:val="97"/>
              </w:rPr>
              <w:t>11.0% Cash, 3 Month Libor (1.00%) + 10.00%;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Floor 1.00% , Due 12/22</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460,709</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407,920</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449,191</w:t>
            </w:r>
          </w:p>
        </w:tc>
        <w:tc>
          <w:tcPr>
            <w:tcW w:w="120" w:type="dxa"/>
            <w:vAlign w:val="bottom"/>
            <w:shd w:val="clear" w:color="auto" w:fill="CFF0FC"/>
          </w:tcPr>
          <w:p>
            <w:pPr>
              <w:spacing w:after="0"/>
              <w:rPr>
                <w:sz w:val="12"/>
                <w:szCs w:val="12"/>
                <w:color w:val="auto"/>
              </w:rPr>
            </w:pPr>
          </w:p>
        </w:tc>
      </w:tr>
      <w:tr>
        <w:trPr>
          <w:trHeight w:val="148"/>
        </w:trPr>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Naviga Inc.</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rPr>
              <w:t>(8)(13)(14)</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First Lien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6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Services: Business</w:t>
            </w: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7"/>
              </w:rPr>
              <w:t>8.0%</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3 Month Libor (1.00%) + 7.00%;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Floor 1.00% , Due 12/22</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328,982</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250,448</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311,847</w:t>
            </w:r>
          </w:p>
        </w:tc>
        <w:tc>
          <w:tcPr>
            <w:tcW w:w="120" w:type="dxa"/>
            <w:vAlign w:val="bottom"/>
            <w:shd w:val="clear" w:color="auto" w:fill="CFF0FC"/>
          </w:tcPr>
          <w:p>
            <w:pPr>
              <w:spacing w:after="0"/>
              <w:rPr>
                <w:sz w:val="12"/>
                <w:szCs w:val="12"/>
                <w:color w:val="auto"/>
              </w:rPr>
            </w:pPr>
          </w:p>
        </w:tc>
      </w:tr>
      <w:tr>
        <w:trPr>
          <w:trHeight w:val="148"/>
        </w:trPr>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Naviga Inc.</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rPr>
              <w:t>(8)(13)(14)</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First Lien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6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Services: Business</w:t>
            </w: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7"/>
              </w:rPr>
              <w:t>8.0%</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3 Month Libor (1.00%) + 7.00%;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Floor 1.00% , Due 12/22</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5,037,700</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4,460,819</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4,911,757</w:t>
            </w:r>
          </w:p>
        </w:tc>
        <w:tc>
          <w:tcPr>
            <w:tcW w:w="120" w:type="dxa"/>
            <w:vAlign w:val="bottom"/>
            <w:shd w:val="clear" w:color="auto" w:fill="CFF0FC"/>
          </w:tcPr>
          <w:p>
            <w:pPr>
              <w:spacing w:after="0"/>
              <w:rPr>
                <w:sz w:val="12"/>
                <w:szCs w:val="12"/>
                <w:color w:val="auto"/>
              </w:rPr>
            </w:pPr>
          </w:p>
        </w:tc>
      </w:tr>
      <w:tr>
        <w:trPr>
          <w:trHeight w:val="148"/>
        </w:trPr>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Naviga Inc.</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rPr>
              <w:t>(8)(13)</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Delayed Draw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640" w:type="dxa"/>
            <w:vAlign w:val="bottom"/>
            <w:shd w:val="clear" w:color="auto" w:fill="CFF0FC"/>
          </w:tcPr>
          <w:p>
            <w:pPr>
              <w:ind w:left="160"/>
              <w:spacing w:after="0"/>
              <w:rPr>
                <w:sz w:val="20"/>
                <w:szCs w:val="20"/>
                <w:color w:val="auto"/>
              </w:rPr>
            </w:pPr>
            <w:r>
              <w:rPr>
                <w:rFonts w:ascii="Arial" w:cs="Arial" w:eastAsia="Arial" w:hAnsi="Arial"/>
                <w:sz w:val="13"/>
                <w:szCs w:val="13"/>
                <w:color w:val="auto"/>
              </w:rPr>
              <w:t>Services: Business</w:t>
            </w: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0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w w:val="87"/>
              </w:rPr>
              <w:t>0.5%</w:t>
            </w:r>
          </w:p>
        </w:tc>
        <w:tc>
          <w:tcPr>
            <w:tcW w:w="268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Cash, Due 12/22</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3/1/2021</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(9,075)</w:t>
            </w: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(9,517)</w:t>
            </w:r>
          </w:p>
        </w:tc>
      </w:tr>
      <w:tr>
        <w:trPr>
          <w:trHeight w:val="148"/>
        </w:trPr>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Naviga Inc.</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rPr>
              <w:t>(8)(13)</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640" w:type="dxa"/>
            <w:vAlign w:val="bottom"/>
            <w:shd w:val="clear" w:color="auto" w:fill="CFF0FC"/>
          </w:tcPr>
          <w:p>
            <w:pPr>
              <w:ind w:left="160"/>
              <w:spacing w:after="0"/>
              <w:rPr>
                <w:sz w:val="20"/>
                <w:szCs w:val="20"/>
                <w:color w:val="auto"/>
              </w:rPr>
            </w:pPr>
            <w:r>
              <w:rPr>
                <w:rFonts w:ascii="Arial" w:cs="Arial" w:eastAsia="Arial" w:hAnsi="Arial"/>
                <w:sz w:val="13"/>
                <w:szCs w:val="13"/>
                <w:color w:val="auto"/>
              </w:rPr>
              <w:t>Services: Business</w:t>
            </w: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0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w w:val="87"/>
              </w:rPr>
              <w:t>7.3%</w:t>
            </w:r>
          </w:p>
        </w:tc>
        <w:tc>
          <w:tcPr>
            <w:tcW w:w="268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Cash, Due 12/22</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3/1/2021</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717,269</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700,170</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699,337</w:t>
            </w:r>
          </w:p>
        </w:tc>
        <w:tc>
          <w:tcPr>
            <w:tcW w:w="120" w:type="dxa"/>
            <w:vAlign w:val="bottom"/>
            <w:shd w:val="clear" w:color="auto" w:fill="CFF0FC"/>
          </w:tcPr>
          <w:p>
            <w:pPr>
              <w:spacing w:after="0"/>
              <w:rPr>
                <w:sz w:val="12"/>
                <w:szCs w:val="12"/>
                <w:color w:val="auto"/>
              </w:rPr>
            </w:pPr>
          </w:p>
        </w:tc>
      </w:tr>
      <w:tr>
        <w:trPr>
          <w:trHeight w:val="148"/>
        </w:trPr>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Novetta Solutions, LLC</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rPr>
              <w:t>(8)(14)</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First Lien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6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High Tech Industries</w:t>
            </w: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7"/>
              </w:rPr>
              <w:t>6.0%</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3 Month Libor (1.00%) + 5.00%;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Floor 1.00% , Due 10/22</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1,938,615</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1,709,943</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1,934,990</w:t>
            </w:r>
          </w:p>
        </w:tc>
        <w:tc>
          <w:tcPr>
            <w:tcW w:w="120" w:type="dxa"/>
            <w:vAlign w:val="bottom"/>
            <w:shd w:val="clear" w:color="auto" w:fill="CFF0FC"/>
          </w:tcPr>
          <w:p>
            <w:pPr>
              <w:spacing w:after="0"/>
              <w:rPr>
                <w:sz w:val="12"/>
                <w:szCs w:val="12"/>
                <w:color w:val="auto"/>
              </w:rPr>
            </w:pPr>
          </w:p>
        </w:tc>
      </w:tr>
      <w:tr>
        <w:trPr>
          <w:trHeight w:val="149"/>
        </w:trPr>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Orbit Purchaser LLC</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rPr>
              <w:t>(8)(13)(14)</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w w:val="97"/>
              </w:rPr>
              <w:t>Senior Secured Loan — Incremental First Lien Term</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6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w w:val="99"/>
              </w:rPr>
              <w:t>Banking, Finance, Insurance &amp; Real Estate</w:t>
            </w: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9"/>
              </w:rPr>
              <w:t>Loan</w:t>
            </w:r>
          </w:p>
        </w:tc>
        <w:tc>
          <w:tcPr>
            <w:tcW w:w="25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6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7"/>
              </w:rPr>
              <w:t>5.5%</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3 Month Libor (1.00%) + 4.50%;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Floor 1.00% , Due 10/24</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1,535,951</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1,349,442</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1,535,951</w:t>
            </w:r>
          </w:p>
        </w:tc>
        <w:tc>
          <w:tcPr>
            <w:tcW w:w="120" w:type="dxa"/>
            <w:vAlign w:val="bottom"/>
            <w:shd w:val="clear" w:color="auto" w:fill="CFF0FC"/>
          </w:tcPr>
          <w:p>
            <w:pPr>
              <w:spacing w:after="0"/>
              <w:rPr>
                <w:sz w:val="12"/>
                <w:szCs w:val="12"/>
                <w:color w:val="auto"/>
              </w:rPr>
            </w:pPr>
          </w:p>
        </w:tc>
      </w:tr>
      <w:tr>
        <w:trPr>
          <w:trHeight w:val="149"/>
        </w:trPr>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Orbit Purchaser LLC</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rPr>
              <w:t>(8)(13)(14)</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First Lien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6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w w:val="99"/>
              </w:rPr>
              <w:t>Banking, Finance, Insurance &amp; Real Estate</w:t>
            </w: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7"/>
              </w:rPr>
              <w:t>5.5%</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3 Month Libor (1.00%) + 4.50%;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Floor 1.00% , Due 10/24</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2,541,621</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2,228,065</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2,541,621</w:t>
            </w:r>
          </w:p>
        </w:tc>
        <w:tc>
          <w:tcPr>
            <w:tcW w:w="120" w:type="dxa"/>
            <w:vAlign w:val="bottom"/>
            <w:shd w:val="clear" w:color="auto" w:fill="CFF0FC"/>
          </w:tcPr>
          <w:p>
            <w:pPr>
              <w:spacing w:after="0"/>
              <w:rPr>
                <w:sz w:val="12"/>
                <w:szCs w:val="12"/>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49"/>
        </w:trPr>
        <w:tc>
          <w:tcPr>
            <w:tcW w:w="2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Initial</w:t>
            </w: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35"/>
        </w:trPr>
        <w:tc>
          <w:tcPr>
            <w:tcW w:w="2640" w:type="dxa"/>
            <w:vAlign w:val="bottom"/>
          </w:tcPr>
          <w:p>
            <w:pPr>
              <w:spacing w:after="0" w:line="135" w:lineRule="exact"/>
              <w:rPr>
                <w:sz w:val="20"/>
                <w:szCs w:val="20"/>
                <w:color w:val="auto"/>
              </w:rPr>
            </w:pPr>
            <w:r>
              <w:rPr>
                <w:rFonts w:ascii="Arial" w:cs="Arial" w:eastAsia="Arial" w:hAnsi="Arial"/>
                <w:sz w:val="13"/>
                <w:szCs w:val="13"/>
                <w:b w:val="1"/>
                <w:bCs w:val="1"/>
                <w:color w:val="auto"/>
              </w:rPr>
              <w:t>Portfolio Company /</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80" w:type="dxa"/>
            <w:vAlign w:val="bottom"/>
            <w:gridSpan w:val="2"/>
          </w:tcPr>
          <w:p>
            <w:pPr>
              <w:ind w:left="840"/>
              <w:spacing w:after="0" w:line="135" w:lineRule="exact"/>
              <w:rPr>
                <w:sz w:val="20"/>
                <w:szCs w:val="20"/>
                <w:color w:val="auto"/>
              </w:rPr>
            </w:pPr>
            <w:r>
              <w:rPr>
                <w:rFonts w:ascii="Arial" w:cs="Arial" w:eastAsia="Arial" w:hAnsi="Arial"/>
                <w:sz w:val="13"/>
                <w:szCs w:val="13"/>
                <w:b w:val="1"/>
                <w:bCs w:val="1"/>
                <w:color w:val="auto"/>
              </w:rPr>
              <w:t>Investment</w:t>
            </w:r>
          </w:p>
        </w:tc>
        <w:tc>
          <w:tcPr>
            <w:tcW w:w="11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gridSpan w:val="2"/>
          </w:tcPr>
          <w:p>
            <w:pPr>
              <w:ind w:left="280"/>
              <w:spacing w:after="0" w:line="135" w:lineRule="exact"/>
              <w:rPr>
                <w:sz w:val="20"/>
                <w:szCs w:val="20"/>
                <w:color w:val="auto"/>
              </w:rPr>
            </w:pPr>
            <w:r>
              <w:rPr>
                <w:rFonts w:ascii="Arial" w:cs="Arial" w:eastAsia="Arial" w:hAnsi="Arial"/>
                <w:sz w:val="13"/>
                <w:szCs w:val="13"/>
                <w:b w:val="1"/>
                <w:bCs w:val="1"/>
                <w:color w:val="auto"/>
              </w:rPr>
              <w:t>Amortized</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3"/>
        </w:trPr>
        <w:tc>
          <w:tcPr>
            <w:tcW w:w="26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Principal Business</w:t>
            </w:r>
          </w:p>
        </w:tc>
        <w:tc>
          <w:tcPr>
            <w:tcW w:w="300" w:type="dxa"/>
            <w:vAlign w:val="bottom"/>
            <w:tcBorders>
              <w:bottom w:val="single" w:sz="8" w:color="auto"/>
            </w:tcBorders>
          </w:tcPr>
          <w:p>
            <w:pPr>
              <w:spacing w:after="0"/>
              <w:rPr>
                <w:sz w:val="13"/>
                <w:szCs w:val="13"/>
                <w:color w:val="auto"/>
              </w:rPr>
            </w:pPr>
          </w:p>
        </w:tc>
        <w:tc>
          <w:tcPr>
            <w:tcW w:w="7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560" w:type="dxa"/>
            <w:vAlign w:val="bottom"/>
            <w:tcBorders>
              <w:bottom w:val="single" w:sz="8" w:color="auto"/>
            </w:tcBorders>
          </w:tcPr>
          <w:p>
            <w:pPr>
              <w:ind w:left="420"/>
              <w:spacing w:after="0"/>
              <w:rPr>
                <w:sz w:val="20"/>
                <w:szCs w:val="20"/>
                <w:color w:val="auto"/>
              </w:rPr>
            </w:pPr>
            <w:r>
              <w:rPr>
                <w:rFonts w:ascii="Arial" w:cs="Arial" w:eastAsia="Arial" w:hAnsi="Arial"/>
                <w:sz w:val="13"/>
                <w:szCs w:val="13"/>
                <w:b w:val="1"/>
                <w:bCs w:val="1"/>
                <w:color w:val="auto"/>
              </w:rPr>
              <w:t>Interest Rate¹ / Maturity</w:t>
            </w:r>
            <w:r>
              <w:rPr>
                <w:rFonts w:ascii="Arial" w:cs="Arial" w:eastAsia="Arial" w:hAnsi="Arial"/>
                <w:sz w:val="10"/>
                <w:szCs w:val="10"/>
                <w:b w:val="1"/>
                <w:bCs w:val="1"/>
                <w:color w:val="auto"/>
              </w:rPr>
              <w:t>15</w:t>
            </w:r>
          </w:p>
        </w:tc>
        <w:tc>
          <w:tcPr>
            <w:tcW w:w="12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Date</w:t>
            </w:r>
          </w:p>
        </w:tc>
        <w:tc>
          <w:tcPr>
            <w:tcW w:w="120" w:type="dxa"/>
            <w:vAlign w:val="bottom"/>
            <w:tcBorders>
              <w:bottom w:val="single" w:sz="8" w:color="CFF0FC"/>
            </w:tcBorders>
          </w:tcPr>
          <w:p>
            <w:pPr>
              <w:spacing w:after="0"/>
              <w:rPr>
                <w:sz w:val="13"/>
                <w:szCs w:val="13"/>
                <w:color w:val="auto"/>
              </w:rPr>
            </w:pPr>
          </w:p>
        </w:tc>
        <w:tc>
          <w:tcPr>
            <w:tcW w:w="8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Principal</w:t>
            </w:r>
          </w:p>
        </w:tc>
        <w:tc>
          <w:tcPr>
            <w:tcW w:w="220" w:type="dxa"/>
            <w:vAlign w:val="bottom"/>
            <w:tcBorders>
              <w:bottom w:val="single" w:sz="8" w:color="CFF0FC"/>
            </w:tcBorders>
          </w:tcPr>
          <w:p>
            <w:pPr>
              <w:spacing w:after="0"/>
              <w:rPr>
                <w:sz w:val="13"/>
                <w:szCs w:val="13"/>
                <w:color w:val="auto"/>
              </w:rPr>
            </w:pPr>
          </w:p>
        </w:tc>
        <w:tc>
          <w:tcPr>
            <w:tcW w:w="1140" w:type="dxa"/>
            <w:vAlign w:val="bottom"/>
            <w:tcBorders>
              <w:bottom w:val="single" w:sz="8" w:color="auto"/>
            </w:tcBorders>
          </w:tcPr>
          <w:p>
            <w:pPr>
              <w:jc w:val="right"/>
              <w:ind w:right="397"/>
              <w:spacing w:after="0"/>
              <w:rPr>
                <w:sz w:val="20"/>
                <w:szCs w:val="20"/>
                <w:color w:val="auto"/>
              </w:rPr>
            </w:pPr>
            <w:r>
              <w:rPr>
                <w:rFonts w:ascii="Arial" w:cs="Arial" w:eastAsia="Arial" w:hAnsi="Arial"/>
                <w:sz w:val="13"/>
                <w:szCs w:val="13"/>
                <w:b w:val="1"/>
                <w:bCs w:val="1"/>
                <w:color w:val="auto"/>
              </w:rPr>
              <w:t>Cost</w:t>
            </w:r>
          </w:p>
        </w:tc>
        <w:tc>
          <w:tcPr>
            <w:tcW w:w="22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0"/>
                <w:szCs w:val="10"/>
                <w:b w:val="1"/>
                <w:bCs w:val="1"/>
                <w:color w:val="auto"/>
              </w:rPr>
              <w:t>2</w:t>
            </w:r>
          </w:p>
        </w:tc>
        <w:tc>
          <w:tcPr>
            <w:tcW w:w="120" w:type="dxa"/>
            <w:vAlign w:val="bottom"/>
            <w:tcBorders>
              <w:bottom w:val="single" w:sz="8" w:color="CFF0FC"/>
            </w:tcBorders>
          </w:tcPr>
          <w:p>
            <w:pPr>
              <w:spacing w:after="0"/>
              <w:rPr>
                <w:sz w:val="13"/>
                <w:szCs w:val="13"/>
                <w:color w:val="auto"/>
              </w:rPr>
            </w:pPr>
          </w:p>
        </w:tc>
      </w:tr>
      <w:tr>
        <w:trPr>
          <w:trHeight w:val="128"/>
        </w:trPr>
        <w:tc>
          <w:tcPr>
            <w:tcW w:w="2640" w:type="dxa"/>
            <w:vAlign w:val="bottom"/>
            <w:shd w:val="clear" w:color="auto" w:fill="CFF0FC"/>
          </w:tcPr>
          <w:p>
            <w:pPr>
              <w:spacing w:after="0" w:line="128" w:lineRule="exact"/>
              <w:rPr>
                <w:sz w:val="20"/>
                <w:szCs w:val="20"/>
                <w:color w:val="auto"/>
              </w:rPr>
            </w:pPr>
            <w:r>
              <w:rPr>
                <w:rFonts w:ascii="Arial" w:cs="Arial" w:eastAsia="Arial" w:hAnsi="Arial"/>
                <w:sz w:val="13"/>
                <w:szCs w:val="13"/>
                <w:color w:val="auto"/>
              </w:rPr>
              <w:t>Orbit Purchaser LLC</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rPr>
              <w:t>(8)(13)(14)</w:t>
            </w:r>
          </w:p>
        </w:tc>
        <w:tc>
          <w:tcPr>
            <w:tcW w:w="20" w:type="dxa"/>
            <w:vAlign w:val="bottom"/>
            <w:shd w:val="clear" w:color="auto" w:fill="CFF0FC"/>
          </w:tcPr>
          <w:p>
            <w:pPr>
              <w:spacing w:after="0"/>
              <w:rPr>
                <w:sz w:val="11"/>
                <w:szCs w:val="11"/>
                <w:color w:val="auto"/>
              </w:rPr>
            </w:pPr>
          </w:p>
        </w:tc>
        <w:tc>
          <w:tcPr>
            <w:tcW w:w="2840" w:type="dxa"/>
            <w:vAlign w:val="bottom"/>
            <w:gridSpan w:val="2"/>
            <w:shd w:val="clear" w:color="auto" w:fill="CFF0FC"/>
          </w:tcPr>
          <w:p>
            <w:pPr>
              <w:spacing w:after="0" w:line="128" w:lineRule="exact"/>
              <w:rPr>
                <w:sz w:val="20"/>
                <w:szCs w:val="20"/>
                <w:color w:val="auto"/>
              </w:rPr>
            </w:pPr>
            <w:r>
              <w:rPr>
                <w:rFonts w:ascii="Arial" w:cs="Arial" w:eastAsia="Arial" w:hAnsi="Arial"/>
                <w:sz w:val="13"/>
                <w:szCs w:val="13"/>
                <w:color w:val="auto"/>
                <w:w w:val="97"/>
              </w:rPr>
              <w:t>Senior Secured Loan — Delayed Draw Term Loan</w:t>
            </w: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6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w w:val="99"/>
              </w:rPr>
              <w:t>Banking, Finance, Insurance &amp; Real Estate</w:t>
            </w: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7"/>
              </w:rPr>
              <w:t>5.5%</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3 Month Libor (1.00%) + 4.50%;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Floor 1.00% , Due 10/24</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743,202</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652,956</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743,202</w:t>
            </w:r>
          </w:p>
        </w:tc>
        <w:tc>
          <w:tcPr>
            <w:tcW w:w="120" w:type="dxa"/>
            <w:vAlign w:val="bottom"/>
            <w:shd w:val="clear" w:color="auto" w:fill="CFF0FC"/>
          </w:tcPr>
          <w:p>
            <w:pPr>
              <w:spacing w:after="0"/>
              <w:rPr>
                <w:sz w:val="12"/>
                <w:szCs w:val="12"/>
                <w:color w:val="auto"/>
              </w:rPr>
            </w:pPr>
          </w:p>
        </w:tc>
      </w:tr>
      <w:tr>
        <w:trPr>
          <w:trHeight w:val="148"/>
        </w:trPr>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Phoenix Guarantor Inc.</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rPr>
              <w:t>(8)(13)(14)</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Junior Secured Loan — Term Loan Second Lien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6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Healthcare &amp; Pharmaceuticals</w:t>
            </w: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7"/>
              </w:rPr>
              <w:t>9.3%</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1 Month Libor (1.00%) + 8.25%;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Floor 1.00% , Due 3/27</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12/18/2019</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1,200,000</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1,104,223</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1,200,000</w:t>
            </w:r>
          </w:p>
        </w:tc>
        <w:tc>
          <w:tcPr>
            <w:tcW w:w="120" w:type="dxa"/>
            <w:vAlign w:val="bottom"/>
            <w:shd w:val="clear" w:color="auto" w:fill="CFF0FC"/>
          </w:tcPr>
          <w:p>
            <w:pPr>
              <w:spacing w:after="0"/>
              <w:rPr>
                <w:sz w:val="12"/>
                <w:szCs w:val="12"/>
                <w:color w:val="auto"/>
              </w:rPr>
            </w:pPr>
          </w:p>
        </w:tc>
      </w:tr>
      <w:tr>
        <w:trPr>
          <w:trHeight w:val="148"/>
        </w:trPr>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Pinstripe Holdings, LLC</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rPr>
              <w:t>(8)(13)(14)</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Initial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6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Services: Business</w:t>
            </w: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7"/>
              </w:rPr>
              <w:t>8.0%</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6 month Libor (1.00%) + 7.00%;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Floor 1.00% , Due 1/25</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1/17/2019</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4,900,000</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4,837,653</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4,774,070</w:t>
            </w:r>
          </w:p>
        </w:tc>
        <w:tc>
          <w:tcPr>
            <w:tcW w:w="120" w:type="dxa"/>
            <w:vAlign w:val="bottom"/>
            <w:shd w:val="clear" w:color="auto" w:fill="CFF0FC"/>
          </w:tcPr>
          <w:p>
            <w:pPr>
              <w:spacing w:after="0"/>
              <w:rPr>
                <w:sz w:val="12"/>
                <w:szCs w:val="12"/>
                <w:color w:val="auto"/>
              </w:rPr>
            </w:pPr>
          </w:p>
        </w:tc>
      </w:tr>
      <w:tr>
        <w:trPr>
          <w:trHeight w:val="148"/>
        </w:trPr>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PromptCare Companies, The</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rPr>
              <w:t>(8)(13)(14)</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First Delayed Draw Term</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6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Healthcare &amp; Pharmaceuticals</w:t>
            </w: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9"/>
              </w:rPr>
              <w:t>Loan</w:t>
            </w:r>
          </w:p>
        </w:tc>
        <w:tc>
          <w:tcPr>
            <w:tcW w:w="25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6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7"/>
              </w:rPr>
              <w:t>6.3%</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1 Month Libor (1.00%) + 5.25%;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Floor 1.00% , Due 12/25</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2/20/2020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538,636</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534,272</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538,636</w:t>
            </w:r>
          </w:p>
        </w:tc>
        <w:tc>
          <w:tcPr>
            <w:tcW w:w="120" w:type="dxa"/>
            <w:vAlign w:val="bottom"/>
            <w:shd w:val="clear" w:color="auto" w:fill="CFF0FC"/>
          </w:tcPr>
          <w:p>
            <w:pPr>
              <w:spacing w:after="0"/>
              <w:rPr>
                <w:sz w:val="12"/>
                <w:szCs w:val="12"/>
                <w:color w:val="auto"/>
              </w:rPr>
            </w:pPr>
          </w:p>
        </w:tc>
      </w:tr>
      <w:tr>
        <w:trPr>
          <w:trHeight w:val="148"/>
        </w:trPr>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PromptCare Companies, The</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w w:val="94"/>
              </w:rPr>
              <w:t>(8)(13)(14)(21)</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w w:val="96"/>
              </w:rPr>
              <w:t>Senior Secured Loan — Second Delayed Draw Term</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6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Healthcare &amp; Pharmaceuticals</w:t>
            </w: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9"/>
              </w:rPr>
              <w:t>Loan</w:t>
            </w:r>
          </w:p>
        </w:tc>
        <w:tc>
          <w:tcPr>
            <w:tcW w:w="25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0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w w:val="87"/>
              </w:rPr>
              <w:t>1.0%</w:t>
            </w:r>
          </w:p>
        </w:tc>
        <w:tc>
          <w:tcPr>
            <w:tcW w:w="268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Cash, Due 12/25</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2/20/2020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445,091</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442,879</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445,091</w:t>
            </w:r>
          </w:p>
        </w:tc>
        <w:tc>
          <w:tcPr>
            <w:tcW w:w="120" w:type="dxa"/>
            <w:vAlign w:val="bottom"/>
            <w:shd w:val="clear" w:color="auto" w:fill="CFF0FC"/>
          </w:tcPr>
          <w:p>
            <w:pPr>
              <w:spacing w:after="0"/>
              <w:rPr>
                <w:sz w:val="12"/>
                <w:szCs w:val="12"/>
                <w:color w:val="auto"/>
              </w:rPr>
            </w:pPr>
          </w:p>
        </w:tc>
      </w:tr>
      <w:tr>
        <w:trPr>
          <w:trHeight w:val="148"/>
        </w:trPr>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PromptCare Companies, The</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w w:val="94"/>
              </w:rPr>
              <w:t>(8)(13)(14)(21)</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6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Healthcare &amp; Pharmaceuticals</w:t>
            </w: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7"/>
              </w:rPr>
              <w:t>6.3%</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1 Month Libor (1.00%) + 5.25%;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Floor 1.00% , Due 12/25</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2/20/2020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3,860,227</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3,828,949</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3,860,227</w:t>
            </w:r>
          </w:p>
        </w:tc>
        <w:tc>
          <w:tcPr>
            <w:tcW w:w="120" w:type="dxa"/>
            <w:vAlign w:val="bottom"/>
            <w:shd w:val="clear" w:color="auto" w:fill="CFF0FC"/>
          </w:tcPr>
          <w:p>
            <w:pPr>
              <w:spacing w:after="0"/>
              <w:rPr>
                <w:sz w:val="12"/>
                <w:szCs w:val="12"/>
                <w:color w:val="auto"/>
              </w:rPr>
            </w:pPr>
          </w:p>
        </w:tc>
      </w:tr>
      <w:tr>
        <w:trPr>
          <w:trHeight w:val="148"/>
        </w:trPr>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PSC Industrial Holdings Corp.</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rPr>
              <w:t>(8)(14)</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Junior Secured Loan — Initial Term Loan (Second</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6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Environmental Industries</w:t>
            </w: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980" w:type="dxa"/>
            <w:vAlign w:val="bottom"/>
            <w:gridSpan w:val="4"/>
            <w:shd w:val="clear" w:color="auto" w:fill="CFF0FC"/>
          </w:tcPr>
          <w:p>
            <w:pPr>
              <w:ind w:left="20"/>
              <w:spacing w:after="0" w:line="135" w:lineRule="exact"/>
              <w:rPr>
                <w:sz w:val="20"/>
                <w:szCs w:val="20"/>
                <w:color w:val="auto"/>
              </w:rPr>
            </w:pPr>
            <w:r>
              <w:rPr>
                <w:rFonts w:ascii="Arial" w:cs="Arial" w:eastAsia="Arial" w:hAnsi="Arial"/>
                <w:sz w:val="13"/>
                <w:szCs w:val="13"/>
                <w:color w:val="auto"/>
              </w:rPr>
              <w:t>Lien)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6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7"/>
              </w:rPr>
              <w:t>9.5%</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1 Month Libor (1.00%) + 8.50%;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Floor 1.00% , Due 10/25</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10/5/2017</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3,000,000</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2,964,815</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2,667,495</w:t>
            </w:r>
          </w:p>
        </w:tc>
        <w:tc>
          <w:tcPr>
            <w:tcW w:w="120" w:type="dxa"/>
            <w:vAlign w:val="bottom"/>
            <w:shd w:val="clear" w:color="auto" w:fill="CFF0FC"/>
          </w:tcPr>
          <w:p>
            <w:pPr>
              <w:spacing w:after="0"/>
              <w:rPr>
                <w:sz w:val="12"/>
                <w:szCs w:val="12"/>
                <w:color w:val="auto"/>
              </w:rPr>
            </w:pPr>
          </w:p>
        </w:tc>
      </w:tr>
      <w:tr>
        <w:trPr>
          <w:trHeight w:val="149"/>
        </w:trPr>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PVHC Holding Corp</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rPr>
              <w:t>(8)(13)(14)</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Initial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6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Containers, Packaging and Glass</w:t>
            </w: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7"/>
              </w:rPr>
              <w:t>5.8%</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3 Month Libor (1.00%) + 4.75%;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Floor 1.00% , Due 8/24</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8/10/2018</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2,808,000</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2,800,141</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2,569,320</w:t>
            </w:r>
          </w:p>
        </w:tc>
        <w:tc>
          <w:tcPr>
            <w:tcW w:w="120" w:type="dxa"/>
            <w:vAlign w:val="bottom"/>
            <w:shd w:val="clear" w:color="auto" w:fill="CFF0FC"/>
          </w:tcPr>
          <w:p>
            <w:pPr>
              <w:spacing w:after="0"/>
              <w:rPr>
                <w:sz w:val="12"/>
                <w:szCs w:val="12"/>
                <w:color w:val="auto"/>
              </w:rPr>
            </w:pPr>
          </w:p>
        </w:tc>
      </w:tr>
      <w:tr>
        <w:trPr>
          <w:trHeight w:val="148"/>
        </w:trPr>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Q Holding Company (fka Lex Precision Corp)</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rPr>
              <w:t>(8)(13)(14)</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First Lien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6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Chemicals, Plastics &amp; Rubber</w:t>
            </w: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7"/>
              </w:rPr>
              <w:t>6.0%</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3 Month Libor (1.00%) + 5.00%;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Floor 1.00% , Due 12/23</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2,372,982</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1,950,163</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2,255,519</w:t>
            </w:r>
          </w:p>
        </w:tc>
        <w:tc>
          <w:tcPr>
            <w:tcW w:w="120" w:type="dxa"/>
            <w:vAlign w:val="bottom"/>
            <w:shd w:val="clear" w:color="auto" w:fill="CFF0FC"/>
          </w:tcPr>
          <w:p>
            <w:pPr>
              <w:spacing w:after="0"/>
              <w:rPr>
                <w:sz w:val="12"/>
                <w:szCs w:val="12"/>
                <w:color w:val="auto"/>
              </w:rPr>
            </w:pPr>
          </w:p>
        </w:tc>
      </w:tr>
      <w:tr>
        <w:trPr>
          <w:trHeight w:val="148"/>
        </w:trPr>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Qualtek USA, LLC</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rPr>
              <w:t>(8)(14)</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First Lien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6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High Tech Industries</w:t>
            </w: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7"/>
              </w:rPr>
              <w:t>7.3%</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3 Month Libor (1.00%) + 6.25%;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Floor 1.00% , Due 7/25</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5,622,872</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4,540,222</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5,416,710</w:t>
            </w:r>
          </w:p>
        </w:tc>
        <w:tc>
          <w:tcPr>
            <w:tcW w:w="120" w:type="dxa"/>
            <w:vAlign w:val="bottom"/>
            <w:shd w:val="clear" w:color="auto" w:fill="CFF0FC"/>
          </w:tcPr>
          <w:p>
            <w:pPr>
              <w:spacing w:after="0"/>
              <w:rPr>
                <w:sz w:val="12"/>
                <w:szCs w:val="12"/>
                <w:color w:val="auto"/>
              </w:rPr>
            </w:pPr>
          </w:p>
        </w:tc>
      </w:tr>
      <w:tr>
        <w:trPr>
          <w:trHeight w:val="149"/>
        </w:trPr>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RA Outdoors, LLC</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rPr>
              <w:t>(8)(13)(14)</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First Lien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6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Services: Business</w:t>
            </w: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7"/>
              </w:rPr>
              <w:t>5.8%</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3 Month Libor (1.00%) + 4.75%;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Floor 1.00% , Due 9/24</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7,187,982</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6,318,096</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7,187,982</w:t>
            </w:r>
          </w:p>
        </w:tc>
        <w:tc>
          <w:tcPr>
            <w:tcW w:w="120" w:type="dxa"/>
            <w:vAlign w:val="bottom"/>
            <w:shd w:val="clear" w:color="auto" w:fill="CFF0FC"/>
          </w:tcPr>
          <w:p>
            <w:pPr>
              <w:spacing w:after="0"/>
              <w:rPr>
                <w:sz w:val="12"/>
                <w:szCs w:val="12"/>
                <w:color w:val="auto"/>
              </w:rPr>
            </w:pPr>
          </w:p>
        </w:tc>
      </w:tr>
      <w:tr>
        <w:trPr>
          <w:trHeight w:val="149"/>
        </w:trPr>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Radiology Partners, Inc</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rPr>
              <w:t>(8)(14)(21)</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Term B Loan (First Lien)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640" w:type="dxa"/>
            <w:vAlign w:val="bottom"/>
            <w:shd w:val="clear" w:color="auto" w:fill="CFF0FC"/>
          </w:tcPr>
          <w:p>
            <w:pPr>
              <w:ind w:left="160"/>
              <w:spacing w:after="0"/>
              <w:rPr>
                <w:sz w:val="20"/>
                <w:szCs w:val="20"/>
                <w:color w:val="auto"/>
              </w:rPr>
            </w:pPr>
            <w:r>
              <w:rPr>
                <w:rFonts w:ascii="Arial" w:cs="Arial" w:eastAsia="Arial" w:hAnsi="Arial"/>
                <w:sz w:val="13"/>
                <w:szCs w:val="13"/>
                <w:color w:val="auto"/>
              </w:rPr>
              <w:t>Healthcare &amp; Pharmaceuticals</w:t>
            </w: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0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w w:val="87"/>
              </w:rPr>
              <w:t>4.4%</w:t>
            </w:r>
          </w:p>
        </w:tc>
        <w:tc>
          <w:tcPr>
            <w:tcW w:w="268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w w:val="93"/>
              </w:rPr>
              <w:t>Cash, 1 Month Libor (0.11%) + 4.25% , Due 7/25</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3/24/2020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7,000,000</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5,893,436</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6,956,985</w:t>
            </w:r>
          </w:p>
        </w:tc>
        <w:tc>
          <w:tcPr>
            <w:tcW w:w="120" w:type="dxa"/>
            <w:vAlign w:val="bottom"/>
            <w:shd w:val="clear" w:color="auto" w:fill="CFF0FC"/>
          </w:tcPr>
          <w:p>
            <w:pPr>
              <w:spacing w:after="0"/>
              <w:rPr>
                <w:sz w:val="12"/>
                <w:szCs w:val="12"/>
                <w:color w:val="auto"/>
              </w:rPr>
            </w:pPr>
          </w:p>
        </w:tc>
      </w:tr>
      <w:tr>
        <w:trPr>
          <w:trHeight w:val="149"/>
        </w:trPr>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Radius Aerospace, Inc.</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rPr>
              <w:t>(8)(13)(14)</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Initial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6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Aerospace and Defense</w:t>
            </w: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7"/>
              </w:rPr>
              <w:t>7.3%</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3 Month Libor (1.00%) + 6.27%;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Floor 1.00% , Due 3/25</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6/27/2019</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6,860,000</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6,788,493</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6,311,200</w:t>
            </w:r>
          </w:p>
        </w:tc>
        <w:tc>
          <w:tcPr>
            <w:tcW w:w="120" w:type="dxa"/>
            <w:vAlign w:val="bottom"/>
            <w:shd w:val="clear" w:color="auto" w:fill="CFF0FC"/>
          </w:tcPr>
          <w:p>
            <w:pPr>
              <w:spacing w:after="0"/>
              <w:rPr>
                <w:sz w:val="12"/>
                <w:szCs w:val="12"/>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49"/>
        </w:trPr>
        <w:tc>
          <w:tcPr>
            <w:tcW w:w="2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Initial</w:t>
            </w: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35"/>
        </w:trPr>
        <w:tc>
          <w:tcPr>
            <w:tcW w:w="2640" w:type="dxa"/>
            <w:vAlign w:val="bottom"/>
          </w:tcPr>
          <w:p>
            <w:pPr>
              <w:spacing w:after="0" w:line="135" w:lineRule="exact"/>
              <w:rPr>
                <w:sz w:val="20"/>
                <w:szCs w:val="20"/>
                <w:color w:val="auto"/>
              </w:rPr>
            </w:pPr>
            <w:r>
              <w:rPr>
                <w:rFonts w:ascii="Arial" w:cs="Arial" w:eastAsia="Arial" w:hAnsi="Arial"/>
                <w:sz w:val="13"/>
                <w:szCs w:val="13"/>
                <w:b w:val="1"/>
                <w:bCs w:val="1"/>
                <w:color w:val="auto"/>
              </w:rPr>
              <w:t>Portfolio Company /</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80" w:type="dxa"/>
            <w:vAlign w:val="bottom"/>
            <w:gridSpan w:val="2"/>
          </w:tcPr>
          <w:p>
            <w:pPr>
              <w:ind w:left="840"/>
              <w:spacing w:after="0" w:line="135" w:lineRule="exact"/>
              <w:rPr>
                <w:sz w:val="20"/>
                <w:szCs w:val="20"/>
                <w:color w:val="auto"/>
              </w:rPr>
            </w:pPr>
            <w:r>
              <w:rPr>
                <w:rFonts w:ascii="Arial" w:cs="Arial" w:eastAsia="Arial" w:hAnsi="Arial"/>
                <w:sz w:val="13"/>
                <w:szCs w:val="13"/>
                <w:b w:val="1"/>
                <w:bCs w:val="1"/>
                <w:color w:val="auto"/>
              </w:rPr>
              <w:t>Investment</w:t>
            </w:r>
          </w:p>
        </w:tc>
        <w:tc>
          <w:tcPr>
            <w:tcW w:w="11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gridSpan w:val="2"/>
          </w:tcPr>
          <w:p>
            <w:pPr>
              <w:jc w:val="right"/>
              <w:ind w:right="500"/>
              <w:spacing w:after="0" w:line="135" w:lineRule="exact"/>
              <w:rPr>
                <w:sz w:val="20"/>
                <w:szCs w:val="20"/>
                <w:color w:val="auto"/>
              </w:rPr>
            </w:pPr>
            <w:r>
              <w:rPr>
                <w:rFonts w:ascii="Arial" w:cs="Arial" w:eastAsia="Arial" w:hAnsi="Arial"/>
                <w:sz w:val="13"/>
                <w:szCs w:val="13"/>
                <w:b w:val="1"/>
                <w:bCs w:val="1"/>
                <w:color w:val="auto"/>
              </w:rPr>
              <w:t>Amortized</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3"/>
        </w:trPr>
        <w:tc>
          <w:tcPr>
            <w:tcW w:w="26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Principal Business</w:t>
            </w:r>
          </w:p>
        </w:tc>
        <w:tc>
          <w:tcPr>
            <w:tcW w:w="300" w:type="dxa"/>
            <w:vAlign w:val="bottom"/>
            <w:tcBorders>
              <w:bottom w:val="single" w:sz="8" w:color="auto"/>
            </w:tcBorders>
          </w:tcPr>
          <w:p>
            <w:pPr>
              <w:spacing w:after="0"/>
              <w:rPr>
                <w:sz w:val="13"/>
                <w:szCs w:val="13"/>
                <w:color w:val="auto"/>
              </w:rPr>
            </w:pPr>
          </w:p>
        </w:tc>
        <w:tc>
          <w:tcPr>
            <w:tcW w:w="7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560" w:type="dxa"/>
            <w:vAlign w:val="bottom"/>
            <w:tcBorders>
              <w:bottom w:val="single" w:sz="8" w:color="auto"/>
            </w:tcBorders>
          </w:tcPr>
          <w:p>
            <w:pPr>
              <w:ind w:left="420"/>
              <w:spacing w:after="0"/>
              <w:rPr>
                <w:sz w:val="20"/>
                <w:szCs w:val="20"/>
                <w:color w:val="auto"/>
              </w:rPr>
            </w:pPr>
            <w:r>
              <w:rPr>
                <w:rFonts w:ascii="Arial" w:cs="Arial" w:eastAsia="Arial" w:hAnsi="Arial"/>
                <w:sz w:val="13"/>
                <w:szCs w:val="13"/>
                <w:b w:val="1"/>
                <w:bCs w:val="1"/>
                <w:color w:val="auto"/>
              </w:rPr>
              <w:t>Interest Rate¹ / Maturity</w:t>
            </w:r>
            <w:r>
              <w:rPr>
                <w:rFonts w:ascii="Arial" w:cs="Arial" w:eastAsia="Arial" w:hAnsi="Arial"/>
                <w:sz w:val="10"/>
                <w:szCs w:val="10"/>
                <w:b w:val="1"/>
                <w:bCs w:val="1"/>
                <w:color w:val="auto"/>
              </w:rPr>
              <w:t>15</w:t>
            </w:r>
          </w:p>
        </w:tc>
        <w:tc>
          <w:tcPr>
            <w:tcW w:w="12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Date</w:t>
            </w:r>
          </w:p>
        </w:tc>
        <w:tc>
          <w:tcPr>
            <w:tcW w:w="120" w:type="dxa"/>
            <w:vAlign w:val="bottom"/>
            <w:tcBorders>
              <w:bottom w:val="single" w:sz="8" w:color="CFF0FC"/>
            </w:tcBorders>
          </w:tcPr>
          <w:p>
            <w:pPr>
              <w:spacing w:after="0"/>
              <w:rPr>
                <w:sz w:val="13"/>
                <w:szCs w:val="13"/>
                <w:color w:val="auto"/>
              </w:rPr>
            </w:pPr>
          </w:p>
        </w:tc>
        <w:tc>
          <w:tcPr>
            <w:tcW w:w="8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Principal</w:t>
            </w:r>
          </w:p>
        </w:tc>
        <w:tc>
          <w:tcPr>
            <w:tcW w:w="220" w:type="dxa"/>
            <w:vAlign w:val="bottom"/>
            <w:tcBorders>
              <w:bottom w:val="single" w:sz="8" w:color="CFF0FC"/>
            </w:tcBorders>
          </w:tcPr>
          <w:p>
            <w:pPr>
              <w:spacing w:after="0"/>
              <w:rPr>
                <w:sz w:val="13"/>
                <w:szCs w:val="13"/>
                <w:color w:val="auto"/>
              </w:rPr>
            </w:pPr>
          </w:p>
        </w:tc>
        <w:tc>
          <w:tcPr>
            <w:tcW w:w="1140" w:type="dxa"/>
            <w:vAlign w:val="bottom"/>
            <w:tcBorders>
              <w:bottom w:val="single" w:sz="8" w:color="auto"/>
            </w:tcBorders>
          </w:tcPr>
          <w:p>
            <w:pPr>
              <w:jc w:val="right"/>
              <w:ind w:right="397"/>
              <w:spacing w:after="0"/>
              <w:rPr>
                <w:sz w:val="20"/>
                <w:szCs w:val="20"/>
                <w:color w:val="auto"/>
              </w:rPr>
            </w:pPr>
            <w:r>
              <w:rPr>
                <w:rFonts w:ascii="Arial" w:cs="Arial" w:eastAsia="Arial" w:hAnsi="Arial"/>
                <w:sz w:val="13"/>
                <w:szCs w:val="13"/>
                <w:b w:val="1"/>
                <w:bCs w:val="1"/>
                <w:color w:val="auto"/>
              </w:rPr>
              <w:t>Cost</w:t>
            </w:r>
          </w:p>
        </w:tc>
        <w:tc>
          <w:tcPr>
            <w:tcW w:w="22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0"/>
                <w:szCs w:val="10"/>
                <w:b w:val="1"/>
                <w:bCs w:val="1"/>
                <w:color w:val="auto"/>
              </w:rPr>
              <w:t>2</w:t>
            </w:r>
          </w:p>
        </w:tc>
        <w:tc>
          <w:tcPr>
            <w:tcW w:w="120" w:type="dxa"/>
            <w:vAlign w:val="bottom"/>
            <w:tcBorders>
              <w:bottom w:val="single" w:sz="8" w:color="CFF0FC"/>
            </w:tcBorders>
          </w:tcPr>
          <w:p>
            <w:pPr>
              <w:spacing w:after="0"/>
              <w:rPr>
                <w:sz w:val="13"/>
                <w:szCs w:val="13"/>
                <w:color w:val="auto"/>
              </w:rPr>
            </w:pPr>
          </w:p>
        </w:tc>
      </w:tr>
      <w:tr>
        <w:trPr>
          <w:trHeight w:val="128"/>
        </w:trPr>
        <w:tc>
          <w:tcPr>
            <w:tcW w:w="2640" w:type="dxa"/>
            <w:vAlign w:val="bottom"/>
            <w:shd w:val="clear" w:color="auto" w:fill="CFF0FC"/>
          </w:tcPr>
          <w:p>
            <w:pPr>
              <w:spacing w:after="0" w:line="128" w:lineRule="exact"/>
              <w:rPr>
                <w:sz w:val="20"/>
                <w:szCs w:val="20"/>
                <w:color w:val="auto"/>
              </w:rPr>
            </w:pPr>
            <w:r>
              <w:rPr>
                <w:rFonts w:ascii="Arial" w:cs="Arial" w:eastAsia="Arial" w:hAnsi="Arial"/>
                <w:sz w:val="13"/>
                <w:szCs w:val="13"/>
                <w:color w:val="auto"/>
              </w:rPr>
              <w:t>Ravn Air Group, Inc.</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rPr>
              <w:t>(5)(8)(13)</w:t>
            </w:r>
          </w:p>
        </w:tc>
        <w:tc>
          <w:tcPr>
            <w:tcW w:w="20" w:type="dxa"/>
            <w:vAlign w:val="bottom"/>
            <w:shd w:val="clear" w:color="auto" w:fill="CFF0FC"/>
          </w:tcPr>
          <w:p>
            <w:pPr>
              <w:spacing w:after="0"/>
              <w:rPr>
                <w:sz w:val="11"/>
                <w:szCs w:val="11"/>
                <w:color w:val="auto"/>
              </w:rPr>
            </w:pPr>
          </w:p>
        </w:tc>
        <w:tc>
          <w:tcPr>
            <w:tcW w:w="2840" w:type="dxa"/>
            <w:vAlign w:val="bottom"/>
            <w:gridSpan w:val="2"/>
            <w:shd w:val="clear" w:color="auto" w:fill="CFF0FC"/>
          </w:tcPr>
          <w:p>
            <w:pPr>
              <w:spacing w:after="0" w:line="128" w:lineRule="exact"/>
              <w:rPr>
                <w:sz w:val="20"/>
                <w:szCs w:val="20"/>
                <w:color w:val="auto"/>
              </w:rPr>
            </w:pPr>
            <w:r>
              <w:rPr>
                <w:rFonts w:ascii="Arial" w:cs="Arial" w:eastAsia="Arial" w:hAnsi="Arial"/>
                <w:sz w:val="13"/>
                <w:szCs w:val="13"/>
                <w:color w:val="auto"/>
              </w:rPr>
              <w:t>Senior Secured Loan — Initial Term Loan</w:t>
            </w: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640" w:type="dxa"/>
            <w:vAlign w:val="bottom"/>
            <w:shd w:val="clear" w:color="auto" w:fill="CFF0FC"/>
          </w:tcPr>
          <w:p>
            <w:pPr>
              <w:ind w:left="160"/>
              <w:spacing w:after="0"/>
              <w:rPr>
                <w:sz w:val="20"/>
                <w:szCs w:val="20"/>
                <w:color w:val="auto"/>
              </w:rPr>
            </w:pPr>
            <w:r>
              <w:rPr>
                <w:rFonts w:ascii="Arial" w:cs="Arial" w:eastAsia="Arial" w:hAnsi="Arial"/>
                <w:sz w:val="13"/>
                <w:szCs w:val="13"/>
                <w:color w:val="auto"/>
              </w:rPr>
              <w:t>Aerospace and Defense</w:t>
            </w: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0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w w:val="87"/>
              </w:rPr>
              <w:t>2.0%</w:t>
            </w:r>
          </w:p>
        </w:tc>
        <w:tc>
          <w:tcPr>
            <w:tcW w:w="268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Cash, Due 7/21</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7/29/2015</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1,015,351</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247,543</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225,306</w:t>
            </w:r>
          </w:p>
        </w:tc>
        <w:tc>
          <w:tcPr>
            <w:tcW w:w="120" w:type="dxa"/>
            <w:vAlign w:val="bottom"/>
            <w:shd w:val="clear" w:color="auto" w:fill="CFF0FC"/>
          </w:tcPr>
          <w:p>
            <w:pPr>
              <w:spacing w:after="0"/>
              <w:rPr>
                <w:sz w:val="12"/>
                <w:szCs w:val="12"/>
                <w:color w:val="auto"/>
              </w:rPr>
            </w:pPr>
          </w:p>
        </w:tc>
      </w:tr>
      <w:tr>
        <w:trPr>
          <w:trHeight w:val="148"/>
        </w:trPr>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Ritedose Holdings I, Inc</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rPr>
              <w:t>(8)(13)(14)</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Revolver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640" w:type="dxa"/>
            <w:vAlign w:val="bottom"/>
            <w:shd w:val="clear" w:color="auto" w:fill="CFF0FC"/>
          </w:tcPr>
          <w:p>
            <w:pPr>
              <w:ind w:left="160"/>
              <w:spacing w:after="0"/>
              <w:rPr>
                <w:sz w:val="20"/>
                <w:szCs w:val="20"/>
                <w:color w:val="auto"/>
              </w:rPr>
            </w:pPr>
            <w:r>
              <w:rPr>
                <w:rFonts w:ascii="Arial" w:cs="Arial" w:eastAsia="Arial" w:hAnsi="Arial"/>
                <w:sz w:val="13"/>
                <w:szCs w:val="13"/>
                <w:color w:val="auto"/>
              </w:rPr>
              <w:t>Healthcare &amp; Pharmaceuticals</w:t>
            </w: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0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w w:val="87"/>
              </w:rPr>
              <w:t>0.5%</w:t>
            </w:r>
          </w:p>
        </w:tc>
        <w:tc>
          <w:tcPr>
            <w:tcW w:w="268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Cash, Due 9/23</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(0)</w:t>
            </w: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r>
      <w:tr>
        <w:trPr>
          <w:trHeight w:val="148"/>
        </w:trPr>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Ritedose Holdings I, Inc</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rPr>
              <w:t>(8)(13)(14)</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First Lien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6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Healthcare &amp; Pharmaceuticals</w:t>
            </w: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7"/>
              </w:rPr>
              <w:t>7.5%</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3 Month Libor (1.00%) + 6.50%;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Floor 1.00% , Due 9/23</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7,162,332</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6,332,543</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7,162,332</w:t>
            </w:r>
          </w:p>
        </w:tc>
        <w:tc>
          <w:tcPr>
            <w:tcW w:w="120" w:type="dxa"/>
            <w:vAlign w:val="bottom"/>
            <w:shd w:val="clear" w:color="auto" w:fill="CFF0FC"/>
          </w:tcPr>
          <w:p>
            <w:pPr>
              <w:spacing w:after="0"/>
              <w:rPr>
                <w:sz w:val="12"/>
                <w:szCs w:val="12"/>
                <w:color w:val="auto"/>
              </w:rPr>
            </w:pPr>
          </w:p>
        </w:tc>
      </w:tr>
      <w:tr>
        <w:trPr>
          <w:trHeight w:val="148"/>
        </w:trPr>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Robertshaw US Holding Corp.</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rPr>
              <w:t>(8)(13)</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Junior Secured Loan — Initial Term Loan (Second</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6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Capital Equipment</w:t>
            </w: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9"/>
              </w:rPr>
              <w:t>Lien)</w:t>
            </w:r>
          </w:p>
        </w:tc>
        <w:tc>
          <w:tcPr>
            <w:tcW w:w="25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6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7"/>
              </w:rPr>
              <w:t>4.7%</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1 Month Libor (1.00%) + 3.65%;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Floor 1.00% , Due 2/26</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2/15/2018</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3,000,000</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2,981,544</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2,610,000</w:t>
            </w:r>
          </w:p>
        </w:tc>
        <w:tc>
          <w:tcPr>
            <w:tcW w:w="120" w:type="dxa"/>
            <w:vAlign w:val="bottom"/>
            <w:shd w:val="clear" w:color="auto" w:fill="CFF0FC"/>
          </w:tcPr>
          <w:p>
            <w:pPr>
              <w:spacing w:after="0"/>
              <w:rPr>
                <w:sz w:val="12"/>
                <w:szCs w:val="12"/>
                <w:color w:val="auto"/>
              </w:rPr>
            </w:pPr>
          </w:p>
        </w:tc>
      </w:tr>
      <w:tr>
        <w:trPr>
          <w:trHeight w:val="149"/>
        </w:trPr>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Roscoe Medical, Inc.</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rPr>
              <w:t>(8)(13)</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Junior Secured Loan — Term Loan (Second Lien)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640" w:type="dxa"/>
            <w:vAlign w:val="bottom"/>
            <w:shd w:val="clear" w:color="auto" w:fill="CFF0FC"/>
          </w:tcPr>
          <w:p>
            <w:pPr>
              <w:ind w:left="160"/>
              <w:spacing w:after="0"/>
              <w:rPr>
                <w:sz w:val="20"/>
                <w:szCs w:val="20"/>
                <w:color w:val="auto"/>
              </w:rPr>
            </w:pPr>
            <w:r>
              <w:rPr>
                <w:rFonts w:ascii="Arial" w:cs="Arial" w:eastAsia="Arial" w:hAnsi="Arial"/>
                <w:sz w:val="13"/>
                <w:szCs w:val="13"/>
                <w:color w:val="auto"/>
              </w:rPr>
              <w:t>Healthcare &amp; Pharmaceuticals</w:t>
            </w: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11.3% Cash, Due 3/21</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3/26/2014</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8,201,777</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8,196,188</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7,894,210</w:t>
            </w:r>
          </w:p>
        </w:tc>
        <w:tc>
          <w:tcPr>
            <w:tcW w:w="120" w:type="dxa"/>
            <w:vAlign w:val="bottom"/>
            <w:shd w:val="clear" w:color="auto" w:fill="CFF0FC"/>
          </w:tcPr>
          <w:p>
            <w:pPr>
              <w:spacing w:after="0"/>
              <w:rPr>
                <w:sz w:val="12"/>
                <w:szCs w:val="12"/>
                <w:color w:val="auto"/>
              </w:rPr>
            </w:pPr>
          </w:p>
        </w:tc>
      </w:tr>
      <w:tr>
        <w:trPr>
          <w:trHeight w:val="148"/>
        </w:trPr>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Safe Fleet Holdings LLC</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rPr>
              <w:t>(8)(14)</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Junior Secured Loan — Initial Term Loan (Second</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6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Automotive</w:t>
            </w: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9"/>
              </w:rPr>
              <w:t>Lien)</w:t>
            </w:r>
          </w:p>
        </w:tc>
        <w:tc>
          <w:tcPr>
            <w:tcW w:w="25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6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7"/>
              </w:rPr>
              <w:t>7.8%</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6 month Libor (1.00%) + 6.75%;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Floor 1.00% , Due 2/26</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12/18/2019</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700,000</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627,739</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679,438</w:t>
            </w:r>
          </w:p>
        </w:tc>
        <w:tc>
          <w:tcPr>
            <w:tcW w:w="120" w:type="dxa"/>
            <w:vAlign w:val="bottom"/>
            <w:shd w:val="clear" w:color="auto" w:fill="CFF0FC"/>
          </w:tcPr>
          <w:p>
            <w:pPr>
              <w:spacing w:after="0"/>
              <w:rPr>
                <w:sz w:val="12"/>
                <w:szCs w:val="12"/>
                <w:color w:val="auto"/>
              </w:rPr>
            </w:pPr>
          </w:p>
        </w:tc>
      </w:tr>
      <w:tr>
        <w:trPr>
          <w:trHeight w:val="148"/>
        </w:trPr>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San Vicente Capital LLC</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w w:val="94"/>
              </w:rPr>
              <w:t>(8)(13)(14)(21)</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6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Telecommunications</w:t>
            </w: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7"/>
              </w:rPr>
              <w:t>9.5%</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3 Month Libor (1.50%) + 8.00%;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Floor 1.50% , Due 6/25</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6/10/2020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2,985,000</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2,947,457</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3,059,625</w:t>
            </w:r>
          </w:p>
        </w:tc>
        <w:tc>
          <w:tcPr>
            <w:tcW w:w="120" w:type="dxa"/>
            <w:vAlign w:val="bottom"/>
            <w:shd w:val="clear" w:color="auto" w:fill="CFF0FC"/>
          </w:tcPr>
          <w:p>
            <w:pPr>
              <w:spacing w:after="0"/>
              <w:rPr>
                <w:sz w:val="12"/>
                <w:szCs w:val="12"/>
                <w:color w:val="auto"/>
              </w:rPr>
            </w:pPr>
          </w:p>
        </w:tc>
      </w:tr>
      <w:tr>
        <w:trPr>
          <w:trHeight w:val="149"/>
        </w:trPr>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SCSG EA Acquisition Company, Inc.</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rPr>
              <w:t>(8)(13)(14)</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Junior Secured Loan — Initial Term Loan (Second</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6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Healthcare &amp; Pharmaceuticals</w:t>
            </w: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9"/>
              </w:rPr>
              <w:t>Lien)</w:t>
            </w:r>
          </w:p>
        </w:tc>
        <w:tc>
          <w:tcPr>
            <w:tcW w:w="25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6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7"/>
              </w:rPr>
              <w:t>9.3%</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3 Month Libor (1.00%) + 8.25%;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Floor 1.00% , Due 9/24</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8/18/2017</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6,000,000</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5,970,234</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5,935,200</w:t>
            </w:r>
          </w:p>
        </w:tc>
        <w:tc>
          <w:tcPr>
            <w:tcW w:w="120" w:type="dxa"/>
            <w:vAlign w:val="bottom"/>
            <w:shd w:val="clear" w:color="auto" w:fill="CFF0FC"/>
          </w:tcPr>
          <w:p>
            <w:pPr>
              <w:spacing w:after="0"/>
              <w:rPr>
                <w:sz w:val="12"/>
                <w:szCs w:val="12"/>
                <w:color w:val="auto"/>
              </w:rPr>
            </w:pPr>
          </w:p>
        </w:tc>
      </w:tr>
      <w:tr>
        <w:trPr>
          <w:trHeight w:val="148"/>
        </w:trPr>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Shipston Group, U.S., Inc.</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w w:val="94"/>
              </w:rPr>
              <w:t>(8)(13)(14)(20)</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First Lien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6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Automotive</w:t>
            </w: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7"/>
              </w:rPr>
              <w:t>7.5%</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2.4% PIK, 1 Month Libor (1.25%) +</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6.25%; Libor Floor 1.25% , Due 9/23</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6,299,241</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5,440,170</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6,120,343</w:t>
            </w:r>
          </w:p>
        </w:tc>
        <w:tc>
          <w:tcPr>
            <w:tcW w:w="120" w:type="dxa"/>
            <w:vAlign w:val="bottom"/>
            <w:shd w:val="clear" w:color="auto" w:fill="CFF0FC"/>
          </w:tcPr>
          <w:p>
            <w:pPr>
              <w:spacing w:after="0"/>
              <w:rPr>
                <w:sz w:val="12"/>
                <w:szCs w:val="12"/>
                <w:color w:val="auto"/>
              </w:rPr>
            </w:pPr>
          </w:p>
        </w:tc>
      </w:tr>
      <w:tr>
        <w:trPr>
          <w:trHeight w:val="148"/>
        </w:trPr>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Smartronix, Inc,</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w w:val="94"/>
              </w:rPr>
              <w:t>(8)(13)(14)(21)</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Initial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6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Services: Business</w:t>
            </w: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7"/>
              </w:rPr>
              <w:t>7.5%</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3 Month Libor (1.50%) + 6.00%;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Floor 1.50% , Due 12/25</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4,949,875</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4,741,656</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4,875,627</w:t>
            </w:r>
          </w:p>
        </w:tc>
        <w:tc>
          <w:tcPr>
            <w:tcW w:w="120" w:type="dxa"/>
            <w:vAlign w:val="bottom"/>
            <w:shd w:val="clear" w:color="auto" w:fill="CFF0FC"/>
          </w:tcPr>
          <w:p>
            <w:pPr>
              <w:spacing w:after="0"/>
              <w:rPr>
                <w:sz w:val="12"/>
                <w:szCs w:val="12"/>
                <w:color w:val="auto"/>
              </w:rPr>
            </w:pPr>
          </w:p>
        </w:tc>
      </w:tr>
      <w:tr>
        <w:trPr>
          <w:trHeight w:val="149"/>
        </w:trPr>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South Street Securities Holdings, Inc</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rPr>
              <w:t>(8)(13)(14)</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Initial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6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w w:val="99"/>
              </w:rPr>
              <w:t>Banking, Finance, Insurance &amp; Real Estate</w:t>
            </w: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7"/>
              </w:rPr>
              <w:t>9.0%</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3 Month Libor (1.00%) + 8.00%;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Floor 1.00% , Due 3/26</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3/24/2021</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7,000,000</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6,825,767</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6,825,000</w:t>
            </w:r>
          </w:p>
        </w:tc>
        <w:tc>
          <w:tcPr>
            <w:tcW w:w="120" w:type="dxa"/>
            <w:vAlign w:val="bottom"/>
            <w:shd w:val="clear" w:color="auto" w:fill="CFF0FC"/>
          </w:tcPr>
          <w:p>
            <w:pPr>
              <w:spacing w:after="0"/>
              <w:rPr>
                <w:sz w:val="12"/>
                <w:szCs w:val="12"/>
                <w:color w:val="auto"/>
              </w:rPr>
            </w:pPr>
          </w:p>
        </w:tc>
      </w:tr>
      <w:tr>
        <w:trPr>
          <w:trHeight w:val="148"/>
        </w:trPr>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Sundance Holdings Group, LLC</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w w:val="94"/>
              </w:rPr>
              <w:t>(8)(13)(14)(20)</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First Lien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6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Retail</w:t>
            </w: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7"/>
              </w:rPr>
              <w:t>7.3%</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2.0% PIK, 3 Month Libor (1.00%) +</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6.25%; Libor Floor 1.00% , Due 5/24</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6,792,219</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5,817,066</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6,661,808</w:t>
            </w:r>
          </w:p>
        </w:tc>
        <w:tc>
          <w:tcPr>
            <w:tcW w:w="120" w:type="dxa"/>
            <w:vAlign w:val="bottom"/>
            <w:shd w:val="clear" w:color="auto" w:fill="CFF0FC"/>
          </w:tcPr>
          <w:p>
            <w:pPr>
              <w:spacing w:after="0"/>
              <w:rPr>
                <w:sz w:val="12"/>
                <w:szCs w:val="12"/>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49"/>
        </w:trPr>
        <w:tc>
          <w:tcPr>
            <w:tcW w:w="2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Initial</w:t>
            </w: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35"/>
        </w:trPr>
        <w:tc>
          <w:tcPr>
            <w:tcW w:w="2640" w:type="dxa"/>
            <w:vAlign w:val="bottom"/>
          </w:tcPr>
          <w:p>
            <w:pPr>
              <w:spacing w:after="0" w:line="135" w:lineRule="exact"/>
              <w:rPr>
                <w:sz w:val="20"/>
                <w:szCs w:val="20"/>
                <w:color w:val="auto"/>
              </w:rPr>
            </w:pPr>
            <w:r>
              <w:rPr>
                <w:rFonts w:ascii="Arial" w:cs="Arial" w:eastAsia="Arial" w:hAnsi="Arial"/>
                <w:sz w:val="13"/>
                <w:szCs w:val="13"/>
                <w:b w:val="1"/>
                <w:bCs w:val="1"/>
                <w:color w:val="auto"/>
              </w:rPr>
              <w:t>Portfolio Company /</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80" w:type="dxa"/>
            <w:vAlign w:val="bottom"/>
            <w:gridSpan w:val="2"/>
          </w:tcPr>
          <w:p>
            <w:pPr>
              <w:ind w:left="840"/>
              <w:spacing w:after="0" w:line="135" w:lineRule="exact"/>
              <w:rPr>
                <w:sz w:val="20"/>
                <w:szCs w:val="20"/>
                <w:color w:val="auto"/>
              </w:rPr>
            </w:pPr>
            <w:r>
              <w:rPr>
                <w:rFonts w:ascii="Arial" w:cs="Arial" w:eastAsia="Arial" w:hAnsi="Arial"/>
                <w:sz w:val="13"/>
                <w:szCs w:val="13"/>
                <w:b w:val="1"/>
                <w:bCs w:val="1"/>
                <w:color w:val="auto"/>
              </w:rPr>
              <w:t>Investment</w:t>
            </w:r>
          </w:p>
        </w:tc>
        <w:tc>
          <w:tcPr>
            <w:tcW w:w="11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gridSpan w:val="2"/>
          </w:tcPr>
          <w:p>
            <w:pPr>
              <w:ind w:left="280"/>
              <w:spacing w:after="0" w:line="135" w:lineRule="exact"/>
              <w:rPr>
                <w:sz w:val="20"/>
                <w:szCs w:val="20"/>
                <w:color w:val="auto"/>
              </w:rPr>
            </w:pPr>
            <w:r>
              <w:rPr>
                <w:rFonts w:ascii="Arial" w:cs="Arial" w:eastAsia="Arial" w:hAnsi="Arial"/>
                <w:sz w:val="13"/>
                <w:szCs w:val="13"/>
                <w:b w:val="1"/>
                <w:bCs w:val="1"/>
                <w:color w:val="auto"/>
              </w:rPr>
              <w:t>Amortized</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3"/>
        </w:trPr>
        <w:tc>
          <w:tcPr>
            <w:tcW w:w="26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Principal Business</w:t>
            </w:r>
          </w:p>
        </w:tc>
        <w:tc>
          <w:tcPr>
            <w:tcW w:w="300" w:type="dxa"/>
            <w:vAlign w:val="bottom"/>
            <w:tcBorders>
              <w:bottom w:val="single" w:sz="8" w:color="auto"/>
            </w:tcBorders>
          </w:tcPr>
          <w:p>
            <w:pPr>
              <w:spacing w:after="0"/>
              <w:rPr>
                <w:sz w:val="13"/>
                <w:szCs w:val="13"/>
                <w:color w:val="auto"/>
              </w:rPr>
            </w:pPr>
          </w:p>
        </w:tc>
        <w:tc>
          <w:tcPr>
            <w:tcW w:w="7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560" w:type="dxa"/>
            <w:vAlign w:val="bottom"/>
            <w:tcBorders>
              <w:bottom w:val="single" w:sz="8" w:color="auto"/>
            </w:tcBorders>
          </w:tcPr>
          <w:p>
            <w:pPr>
              <w:ind w:left="420"/>
              <w:spacing w:after="0"/>
              <w:rPr>
                <w:sz w:val="20"/>
                <w:szCs w:val="20"/>
                <w:color w:val="auto"/>
              </w:rPr>
            </w:pPr>
            <w:r>
              <w:rPr>
                <w:rFonts w:ascii="Arial" w:cs="Arial" w:eastAsia="Arial" w:hAnsi="Arial"/>
                <w:sz w:val="13"/>
                <w:szCs w:val="13"/>
                <w:b w:val="1"/>
                <w:bCs w:val="1"/>
                <w:color w:val="auto"/>
              </w:rPr>
              <w:t>Interest Rate¹ / Maturity</w:t>
            </w:r>
            <w:r>
              <w:rPr>
                <w:rFonts w:ascii="Arial" w:cs="Arial" w:eastAsia="Arial" w:hAnsi="Arial"/>
                <w:sz w:val="10"/>
                <w:szCs w:val="10"/>
                <w:b w:val="1"/>
                <w:bCs w:val="1"/>
                <w:color w:val="auto"/>
              </w:rPr>
              <w:t>15</w:t>
            </w:r>
          </w:p>
        </w:tc>
        <w:tc>
          <w:tcPr>
            <w:tcW w:w="12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Date</w:t>
            </w:r>
          </w:p>
        </w:tc>
        <w:tc>
          <w:tcPr>
            <w:tcW w:w="120" w:type="dxa"/>
            <w:vAlign w:val="bottom"/>
            <w:tcBorders>
              <w:bottom w:val="single" w:sz="8" w:color="CFF0FC"/>
            </w:tcBorders>
          </w:tcPr>
          <w:p>
            <w:pPr>
              <w:spacing w:after="0"/>
              <w:rPr>
                <w:sz w:val="13"/>
                <w:szCs w:val="13"/>
                <w:color w:val="auto"/>
              </w:rPr>
            </w:pPr>
          </w:p>
        </w:tc>
        <w:tc>
          <w:tcPr>
            <w:tcW w:w="8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Principal</w:t>
            </w:r>
          </w:p>
        </w:tc>
        <w:tc>
          <w:tcPr>
            <w:tcW w:w="220" w:type="dxa"/>
            <w:vAlign w:val="bottom"/>
            <w:tcBorders>
              <w:bottom w:val="single" w:sz="8" w:color="CFF0FC"/>
            </w:tcBorders>
          </w:tcPr>
          <w:p>
            <w:pPr>
              <w:spacing w:after="0"/>
              <w:rPr>
                <w:sz w:val="13"/>
                <w:szCs w:val="13"/>
                <w:color w:val="auto"/>
              </w:rPr>
            </w:pPr>
          </w:p>
        </w:tc>
        <w:tc>
          <w:tcPr>
            <w:tcW w:w="1140" w:type="dxa"/>
            <w:vAlign w:val="bottom"/>
            <w:tcBorders>
              <w:bottom w:val="single" w:sz="8" w:color="auto"/>
            </w:tcBorders>
          </w:tcPr>
          <w:p>
            <w:pPr>
              <w:jc w:val="right"/>
              <w:ind w:right="397"/>
              <w:spacing w:after="0"/>
              <w:rPr>
                <w:sz w:val="20"/>
                <w:szCs w:val="20"/>
                <w:color w:val="auto"/>
              </w:rPr>
            </w:pPr>
            <w:r>
              <w:rPr>
                <w:rFonts w:ascii="Arial" w:cs="Arial" w:eastAsia="Arial" w:hAnsi="Arial"/>
                <w:sz w:val="13"/>
                <w:szCs w:val="13"/>
                <w:b w:val="1"/>
                <w:bCs w:val="1"/>
                <w:color w:val="auto"/>
              </w:rPr>
              <w:t>Cost</w:t>
            </w:r>
          </w:p>
        </w:tc>
        <w:tc>
          <w:tcPr>
            <w:tcW w:w="22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0"/>
                <w:szCs w:val="10"/>
                <w:b w:val="1"/>
                <w:bCs w:val="1"/>
                <w:color w:val="auto"/>
              </w:rPr>
              <w:t>2</w:t>
            </w:r>
          </w:p>
        </w:tc>
        <w:tc>
          <w:tcPr>
            <w:tcW w:w="120" w:type="dxa"/>
            <w:vAlign w:val="bottom"/>
            <w:tcBorders>
              <w:bottom w:val="single" w:sz="8" w:color="CFF0FC"/>
            </w:tcBorders>
          </w:tcPr>
          <w:p>
            <w:pPr>
              <w:spacing w:after="0"/>
              <w:rPr>
                <w:sz w:val="13"/>
                <w:szCs w:val="13"/>
                <w:color w:val="auto"/>
              </w:rPr>
            </w:pPr>
          </w:p>
        </w:tc>
      </w:tr>
      <w:tr>
        <w:trPr>
          <w:trHeight w:val="128"/>
        </w:trPr>
        <w:tc>
          <w:tcPr>
            <w:tcW w:w="2640" w:type="dxa"/>
            <w:vAlign w:val="bottom"/>
            <w:shd w:val="clear" w:color="auto" w:fill="CFF0FC"/>
          </w:tcPr>
          <w:p>
            <w:pPr>
              <w:spacing w:after="0" w:line="128" w:lineRule="exact"/>
              <w:rPr>
                <w:sz w:val="20"/>
                <w:szCs w:val="20"/>
                <w:color w:val="auto"/>
              </w:rPr>
            </w:pPr>
            <w:r>
              <w:rPr>
                <w:rFonts w:ascii="Arial" w:cs="Arial" w:eastAsia="Arial" w:hAnsi="Arial"/>
                <w:sz w:val="13"/>
                <w:szCs w:val="13"/>
                <w:color w:val="auto"/>
              </w:rPr>
              <w:t>Syncsort Incorporated</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rPr>
              <w:t>(8)(14)</w:t>
            </w:r>
          </w:p>
        </w:tc>
        <w:tc>
          <w:tcPr>
            <w:tcW w:w="20" w:type="dxa"/>
            <w:vAlign w:val="bottom"/>
            <w:shd w:val="clear" w:color="auto" w:fill="CFF0FC"/>
          </w:tcPr>
          <w:p>
            <w:pPr>
              <w:spacing w:after="0"/>
              <w:rPr>
                <w:sz w:val="11"/>
                <w:szCs w:val="11"/>
                <w:color w:val="auto"/>
              </w:rPr>
            </w:pPr>
          </w:p>
        </w:tc>
        <w:tc>
          <w:tcPr>
            <w:tcW w:w="2840" w:type="dxa"/>
            <w:vAlign w:val="bottom"/>
            <w:gridSpan w:val="2"/>
            <w:shd w:val="clear" w:color="auto" w:fill="CFF0FC"/>
          </w:tcPr>
          <w:p>
            <w:pPr>
              <w:spacing w:after="0" w:line="128" w:lineRule="exact"/>
              <w:rPr>
                <w:sz w:val="20"/>
                <w:szCs w:val="20"/>
                <w:color w:val="auto"/>
              </w:rPr>
            </w:pPr>
            <w:r>
              <w:rPr>
                <w:rFonts w:ascii="Arial" w:cs="Arial" w:eastAsia="Arial" w:hAnsi="Arial"/>
                <w:sz w:val="13"/>
                <w:szCs w:val="13"/>
                <w:color w:val="auto"/>
              </w:rPr>
              <w:t>Senior Secured Loan — First Lien Term Loan</w:t>
            </w: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6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Services: Business</w:t>
            </w: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7"/>
              </w:rPr>
              <w:t>5.5%</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1 Month Libor (0.75%) + 4.75%;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Floor 0.75% , Due 3/28</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3/19/2021</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2,440,763</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2,428,559</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2,428,559</w:t>
            </w:r>
          </w:p>
        </w:tc>
        <w:tc>
          <w:tcPr>
            <w:tcW w:w="120" w:type="dxa"/>
            <w:vAlign w:val="bottom"/>
            <w:shd w:val="clear" w:color="auto" w:fill="CFF0FC"/>
          </w:tcPr>
          <w:p>
            <w:pPr>
              <w:spacing w:after="0"/>
              <w:rPr>
                <w:sz w:val="12"/>
                <w:szCs w:val="12"/>
                <w:color w:val="auto"/>
              </w:rPr>
            </w:pPr>
          </w:p>
        </w:tc>
      </w:tr>
      <w:tr>
        <w:trPr>
          <w:trHeight w:val="149"/>
        </w:trPr>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Syncsort Incorporated</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rPr>
              <w:t>(8)(14)</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First Lien Term Loan B</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6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Services: Business</w:t>
            </w: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7"/>
              </w:rPr>
              <w:t>5.5%</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1 Month Libor (0.75%) + 4.75%;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Floor 0.75% , Due 8/24</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2,783,080</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2,411,028</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2,793,655</w:t>
            </w:r>
          </w:p>
        </w:tc>
        <w:tc>
          <w:tcPr>
            <w:tcW w:w="120" w:type="dxa"/>
            <w:vAlign w:val="bottom"/>
            <w:shd w:val="clear" w:color="auto" w:fill="CFF0FC"/>
          </w:tcPr>
          <w:p>
            <w:pPr>
              <w:spacing w:after="0"/>
              <w:rPr>
                <w:sz w:val="12"/>
                <w:szCs w:val="12"/>
                <w:color w:val="auto"/>
              </w:rPr>
            </w:pPr>
          </w:p>
        </w:tc>
      </w:tr>
      <w:tr>
        <w:trPr>
          <w:trHeight w:val="148"/>
        </w:trPr>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Tailwind Randys, LLC</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rPr>
              <w:t>(8)(13)(14)</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Initial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6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Automotive</w:t>
            </w: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7"/>
              </w:rPr>
              <w:t>6.0%</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3 Month Libor (1.00%) + 5.00%;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Floor 1.00% , Due 5/25</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6/27/2019</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4,912,500</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4,852,172</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4,912,500</w:t>
            </w:r>
          </w:p>
        </w:tc>
        <w:tc>
          <w:tcPr>
            <w:tcW w:w="120" w:type="dxa"/>
            <w:vAlign w:val="bottom"/>
            <w:shd w:val="clear" w:color="auto" w:fill="CFF0FC"/>
          </w:tcPr>
          <w:p>
            <w:pPr>
              <w:spacing w:after="0"/>
              <w:rPr>
                <w:sz w:val="12"/>
                <w:szCs w:val="12"/>
                <w:color w:val="auto"/>
              </w:rPr>
            </w:pPr>
          </w:p>
        </w:tc>
      </w:tr>
      <w:tr>
        <w:trPr>
          <w:trHeight w:val="148"/>
        </w:trPr>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Tank Partners Equipment Holdings LLC</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rPr>
              <w:t>(5)(8)(13)</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Unsecured Bond — 10.000% - 02/2022 -</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6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Energy: Oil &amp; Gas</w:t>
            </w: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980" w:type="dxa"/>
            <w:vAlign w:val="bottom"/>
            <w:gridSpan w:val="4"/>
            <w:shd w:val="clear" w:color="auto" w:fill="CFF0FC"/>
          </w:tcPr>
          <w:p>
            <w:pPr>
              <w:ind w:left="20"/>
              <w:spacing w:after="0" w:line="135" w:lineRule="exact"/>
              <w:rPr>
                <w:sz w:val="20"/>
                <w:szCs w:val="20"/>
                <w:color w:val="auto"/>
              </w:rPr>
            </w:pPr>
            <w:r>
              <w:rPr>
                <w:rFonts w:ascii="Arial" w:cs="Arial" w:eastAsia="Arial" w:hAnsi="Arial"/>
                <w:sz w:val="13"/>
                <w:szCs w:val="13"/>
                <w:color w:val="auto"/>
              </w:rPr>
              <w:t>TankConvert</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0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w w:val="87"/>
              </w:rPr>
              <w:t>0.0%</w:t>
            </w:r>
          </w:p>
        </w:tc>
        <w:tc>
          <w:tcPr>
            <w:tcW w:w="268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Cash, 10.0% PIK, Due 2/22</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2/15/2019</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494,576</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416,170</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41,792</w:t>
            </w:r>
          </w:p>
        </w:tc>
        <w:tc>
          <w:tcPr>
            <w:tcW w:w="120" w:type="dxa"/>
            <w:vAlign w:val="bottom"/>
            <w:shd w:val="clear" w:color="auto" w:fill="CFF0FC"/>
          </w:tcPr>
          <w:p>
            <w:pPr>
              <w:spacing w:after="0"/>
              <w:rPr>
                <w:sz w:val="12"/>
                <w:szCs w:val="12"/>
                <w:color w:val="auto"/>
              </w:rPr>
            </w:pPr>
          </w:p>
        </w:tc>
      </w:tr>
      <w:tr>
        <w:trPr>
          <w:trHeight w:val="149"/>
        </w:trPr>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Tex-Tech Industries, Inc.</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rPr>
              <w:t>(8)(13)(14)</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Junior Secured Loan — Term Loan (Second Lien)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6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Textiles and Leather</w:t>
            </w: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980" w:type="dxa"/>
            <w:vAlign w:val="bottom"/>
            <w:gridSpan w:val="4"/>
            <w:shd w:val="clear" w:color="auto" w:fill="CFF0FC"/>
          </w:tcPr>
          <w:p>
            <w:pPr>
              <w:ind w:left="20"/>
              <w:spacing w:after="0" w:line="135" w:lineRule="exact"/>
              <w:rPr>
                <w:sz w:val="20"/>
                <w:szCs w:val="20"/>
                <w:color w:val="auto"/>
              </w:rPr>
            </w:pPr>
            <w:r>
              <w:rPr>
                <w:rFonts w:ascii="Arial" w:cs="Arial" w:eastAsia="Arial" w:hAnsi="Arial"/>
                <w:sz w:val="13"/>
                <w:szCs w:val="13"/>
                <w:color w:val="auto"/>
                <w:w w:val="99"/>
              </w:rPr>
              <w:t>10.0% Cash, 1 Month Libor (1.00%) + 9.00%;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Floor 1.00% , Due 8/24</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8/24/2017</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12,508,000</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12,421,470</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10,992,030</w:t>
            </w:r>
          </w:p>
        </w:tc>
        <w:tc>
          <w:tcPr>
            <w:tcW w:w="120" w:type="dxa"/>
            <w:vAlign w:val="bottom"/>
            <w:shd w:val="clear" w:color="auto" w:fill="CFF0FC"/>
          </w:tcPr>
          <w:p>
            <w:pPr>
              <w:spacing w:after="0"/>
              <w:rPr>
                <w:sz w:val="12"/>
                <w:szCs w:val="12"/>
                <w:color w:val="auto"/>
              </w:rPr>
            </w:pPr>
          </w:p>
        </w:tc>
      </w:tr>
      <w:tr>
        <w:trPr>
          <w:trHeight w:val="148"/>
        </w:trPr>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The Cook &amp; Boardman Group, LLC</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rPr>
              <w:t>(8)(14)</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First Lien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6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Construction &amp; Building</w:t>
            </w: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7"/>
              </w:rPr>
              <w:t>6.8%</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6 Month Libor (1.00%) + 5.75%;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Floor 1.00% , Due 10/25</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22,864</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r>
      <w:tr>
        <w:trPr>
          <w:trHeight w:val="148"/>
        </w:trPr>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The Edelman Financial Center, LLC</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rPr>
              <w:t>(8)(14)</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Junior Secured Loan — Initial Term Loan (Second</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6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w w:val="99"/>
              </w:rPr>
              <w:t>Banking, Finance, Insurance &amp; Real Estate</w:t>
            </w: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9"/>
              </w:rPr>
              <w:t>Lien)</w:t>
            </w:r>
          </w:p>
        </w:tc>
        <w:tc>
          <w:tcPr>
            <w:tcW w:w="25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0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w w:val="87"/>
              </w:rPr>
              <w:t>6.9%</w:t>
            </w:r>
          </w:p>
        </w:tc>
        <w:tc>
          <w:tcPr>
            <w:tcW w:w="268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w w:val="93"/>
              </w:rPr>
              <w:t>Cash, 1 Month Libor (0.11%) + 6.75% , Due 7/26</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12/18/2019</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300,000</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273,853</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300,750</w:t>
            </w:r>
          </w:p>
        </w:tc>
        <w:tc>
          <w:tcPr>
            <w:tcW w:w="120" w:type="dxa"/>
            <w:vAlign w:val="bottom"/>
            <w:shd w:val="clear" w:color="auto" w:fill="CFF0FC"/>
          </w:tcPr>
          <w:p>
            <w:pPr>
              <w:spacing w:after="0"/>
              <w:rPr>
                <w:sz w:val="12"/>
                <w:szCs w:val="12"/>
                <w:color w:val="auto"/>
              </w:rPr>
            </w:pPr>
          </w:p>
        </w:tc>
      </w:tr>
      <w:tr>
        <w:trPr>
          <w:trHeight w:val="149"/>
        </w:trPr>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Theragenics Corp</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rPr>
              <w:t>(8)(13)(14)</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First Lien Term Loan B</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6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Healthcare &amp; Pharmaceuticals</w:t>
            </w: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7"/>
              </w:rPr>
              <w:t>9.0%</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3 Month Libor (1.00%) + 8.00%;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Floor 1.00% , Due 5/24</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8,100,000</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7,004,543</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7,903,170</w:t>
            </w:r>
          </w:p>
        </w:tc>
        <w:tc>
          <w:tcPr>
            <w:tcW w:w="120" w:type="dxa"/>
            <w:vAlign w:val="bottom"/>
            <w:shd w:val="clear" w:color="auto" w:fill="CFF0FC"/>
          </w:tcPr>
          <w:p>
            <w:pPr>
              <w:spacing w:after="0"/>
              <w:rPr>
                <w:sz w:val="12"/>
                <w:szCs w:val="12"/>
                <w:color w:val="auto"/>
              </w:rPr>
            </w:pPr>
          </w:p>
        </w:tc>
      </w:tr>
      <w:tr>
        <w:trPr>
          <w:trHeight w:val="148"/>
        </w:trPr>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TLE Holdings, LLC</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w w:val="94"/>
              </w:rPr>
              <w:t>(8)(13)(14)(21)</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Initial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6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Healthcare, Education and Childcare</w:t>
            </w: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7"/>
              </w:rPr>
              <w:t>7.0%</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6 month Libor (1.00%) + 6.00%;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Floor 1.00% , Due 6/24</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6/27/2019</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5,616,718</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5,599,693</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5,539,488</w:t>
            </w:r>
          </w:p>
        </w:tc>
        <w:tc>
          <w:tcPr>
            <w:tcW w:w="120" w:type="dxa"/>
            <w:vAlign w:val="bottom"/>
            <w:shd w:val="clear" w:color="auto" w:fill="CFF0FC"/>
          </w:tcPr>
          <w:p>
            <w:pPr>
              <w:spacing w:after="0"/>
              <w:rPr>
                <w:sz w:val="12"/>
                <w:szCs w:val="12"/>
                <w:color w:val="auto"/>
              </w:rPr>
            </w:pPr>
          </w:p>
        </w:tc>
      </w:tr>
      <w:tr>
        <w:trPr>
          <w:trHeight w:val="148"/>
        </w:trPr>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TLE Holdings, LLC</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w w:val="94"/>
              </w:rPr>
              <w:t>(8)(13)(14)(21)</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Delayed Draw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6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Healthcare, Education and Childcare</w:t>
            </w: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7"/>
              </w:rPr>
              <w:t>7.0%</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6 month Libor (1.00%) + 6.00%;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Floor 1.00% , Due 6/24</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6/27/2019</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740,990</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739,871</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730,776</w:t>
            </w:r>
          </w:p>
        </w:tc>
        <w:tc>
          <w:tcPr>
            <w:tcW w:w="120" w:type="dxa"/>
            <w:vAlign w:val="bottom"/>
            <w:shd w:val="clear" w:color="auto" w:fill="CFF0FC"/>
          </w:tcPr>
          <w:p>
            <w:pPr>
              <w:spacing w:after="0"/>
              <w:rPr>
                <w:sz w:val="12"/>
                <w:szCs w:val="12"/>
                <w:color w:val="auto"/>
              </w:rPr>
            </w:pPr>
          </w:p>
        </w:tc>
      </w:tr>
      <w:tr>
        <w:trPr>
          <w:trHeight w:val="149"/>
        </w:trPr>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Travelport Finance (Luxembourg) S.A R.L.</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rPr>
              <w:t>(3)(13)(14)</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640" w:type="dxa"/>
            <w:vAlign w:val="bottom"/>
            <w:shd w:val="clear" w:color="auto" w:fill="CFF0FC"/>
          </w:tcPr>
          <w:p>
            <w:pPr>
              <w:ind w:left="160"/>
              <w:spacing w:after="0"/>
              <w:rPr>
                <w:sz w:val="20"/>
                <w:szCs w:val="20"/>
                <w:color w:val="auto"/>
              </w:rPr>
            </w:pPr>
            <w:r>
              <w:rPr>
                <w:rFonts w:ascii="Arial" w:cs="Arial" w:eastAsia="Arial" w:hAnsi="Arial"/>
                <w:sz w:val="13"/>
                <w:szCs w:val="13"/>
                <w:color w:val="auto"/>
              </w:rPr>
              <w:t>Services: Business</w:t>
            </w: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0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w w:val="87"/>
              </w:rPr>
              <w:t>5.2%</w:t>
            </w:r>
          </w:p>
        </w:tc>
        <w:tc>
          <w:tcPr>
            <w:tcW w:w="268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w w:val="93"/>
              </w:rPr>
              <w:t>Cash, 3 Month Libor (0.20%) + 5.00% , Due 5/26</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3/31/2021</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63,475</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r>
      <w:tr>
        <w:trPr>
          <w:trHeight w:val="148"/>
        </w:trPr>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Triangle Home Fashions LLC</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w w:val="94"/>
              </w:rPr>
              <w:t>(8)(13)(14)(20)</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First Lien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6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Consumer goods: Durable</w:t>
            </w: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7"/>
              </w:rPr>
              <w:t>6.8%</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1 Month Libor (1.00%) + 5.75%;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Floor 1.00% , Due 3/23</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10,500,000</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9,367,057</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10,500,000</w:t>
            </w:r>
          </w:p>
        </w:tc>
        <w:tc>
          <w:tcPr>
            <w:tcW w:w="120" w:type="dxa"/>
            <w:vAlign w:val="bottom"/>
            <w:shd w:val="clear" w:color="auto" w:fill="CFF0FC"/>
          </w:tcPr>
          <w:p>
            <w:pPr>
              <w:spacing w:after="0"/>
              <w:rPr>
                <w:sz w:val="12"/>
                <w:szCs w:val="12"/>
                <w:color w:val="auto"/>
              </w:rPr>
            </w:pPr>
          </w:p>
        </w:tc>
      </w:tr>
      <w:tr>
        <w:trPr>
          <w:trHeight w:val="149"/>
        </w:trPr>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TronAir Parent Inc.</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rPr>
              <w:t>(8)(13)(14)</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w w:val="96"/>
              </w:rPr>
              <w:t>Senior Secured Loan — Initial Term Loan (First Lien)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6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Aerospace and Defense</w:t>
            </w: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7"/>
              </w:rPr>
              <w:t>7.5%</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12 Month Libor (1.00%) + 6.50%;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Floor 1.00% , Due 9/23</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9/30/2016</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964,646</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963,612</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836,059</w:t>
            </w:r>
          </w:p>
        </w:tc>
        <w:tc>
          <w:tcPr>
            <w:tcW w:w="120" w:type="dxa"/>
            <w:vAlign w:val="bottom"/>
            <w:shd w:val="clear" w:color="auto" w:fill="CFF0FC"/>
          </w:tcPr>
          <w:p>
            <w:pPr>
              <w:spacing w:after="0"/>
              <w:rPr>
                <w:sz w:val="12"/>
                <w:szCs w:val="12"/>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49"/>
        </w:trPr>
        <w:tc>
          <w:tcPr>
            <w:tcW w:w="2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w w:val="94"/>
              </w:rPr>
              <w:t>Initial</w:t>
            </w: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35"/>
        </w:trPr>
        <w:tc>
          <w:tcPr>
            <w:tcW w:w="2540" w:type="dxa"/>
            <w:vAlign w:val="bottom"/>
          </w:tcPr>
          <w:p>
            <w:pPr>
              <w:spacing w:after="0" w:line="135" w:lineRule="exact"/>
              <w:rPr>
                <w:sz w:val="20"/>
                <w:szCs w:val="20"/>
                <w:color w:val="auto"/>
              </w:rPr>
            </w:pPr>
            <w:r>
              <w:rPr>
                <w:rFonts w:ascii="Arial" w:cs="Arial" w:eastAsia="Arial" w:hAnsi="Arial"/>
                <w:sz w:val="13"/>
                <w:szCs w:val="13"/>
                <w:b w:val="1"/>
                <w:bCs w:val="1"/>
                <w:color w:val="auto"/>
              </w:rPr>
              <w:t>Portfolio Company /</w:t>
            </w: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9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Investment</w:t>
            </w:r>
          </w:p>
        </w:tc>
        <w:tc>
          <w:tcPr>
            <w:tcW w:w="1260" w:type="dxa"/>
            <w:vAlign w:val="bottom"/>
            <w:gridSpan w:val="3"/>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jc w:val="right"/>
              <w:ind w:right="217"/>
              <w:spacing w:after="0" w:line="135" w:lineRule="exact"/>
              <w:rPr>
                <w:sz w:val="20"/>
                <w:szCs w:val="20"/>
                <w:color w:val="auto"/>
              </w:rPr>
            </w:pPr>
            <w:r>
              <w:rPr>
                <w:rFonts w:ascii="Arial" w:cs="Arial" w:eastAsia="Arial" w:hAnsi="Arial"/>
                <w:sz w:val="13"/>
                <w:szCs w:val="13"/>
                <w:b w:val="1"/>
                <w:bCs w:val="1"/>
                <w:color w:val="auto"/>
              </w:rPr>
              <w:t>Amortized</w:t>
            </w: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3"/>
        </w:trPr>
        <w:tc>
          <w:tcPr>
            <w:tcW w:w="25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Principal Business</w:t>
            </w:r>
          </w:p>
        </w:tc>
        <w:tc>
          <w:tcPr>
            <w:tcW w:w="400" w:type="dxa"/>
            <w:vAlign w:val="bottom"/>
            <w:tcBorders>
              <w:bottom w:val="single" w:sz="8" w:color="auto"/>
            </w:tcBorders>
          </w:tcPr>
          <w:p>
            <w:pPr>
              <w:spacing w:after="0"/>
              <w:rPr>
                <w:sz w:val="13"/>
                <w:szCs w:val="13"/>
                <w:color w:val="auto"/>
              </w:rPr>
            </w:pPr>
          </w:p>
        </w:tc>
        <w:tc>
          <w:tcPr>
            <w:tcW w:w="7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Interest Rate¹ / Maturity</w:t>
            </w:r>
            <w:r>
              <w:rPr>
                <w:rFonts w:ascii="Arial" w:cs="Arial" w:eastAsia="Arial" w:hAnsi="Arial"/>
                <w:sz w:val="10"/>
                <w:szCs w:val="10"/>
                <w:b w:val="1"/>
                <w:bCs w:val="1"/>
                <w:color w:val="auto"/>
                <w:w w:val="92"/>
              </w:rPr>
              <w:t>15</w:t>
            </w:r>
          </w:p>
        </w:tc>
        <w:tc>
          <w:tcPr>
            <w:tcW w:w="12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Date</w:t>
            </w:r>
          </w:p>
        </w:tc>
        <w:tc>
          <w:tcPr>
            <w:tcW w:w="1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w w:val="98"/>
              </w:rPr>
              <w:t>Principal</w:t>
            </w:r>
          </w:p>
        </w:tc>
        <w:tc>
          <w:tcPr>
            <w:tcW w:w="2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7"/>
              <w:spacing w:after="0"/>
              <w:rPr>
                <w:sz w:val="20"/>
                <w:szCs w:val="20"/>
                <w:color w:val="auto"/>
              </w:rPr>
            </w:pPr>
            <w:r>
              <w:rPr>
                <w:rFonts w:ascii="Arial" w:cs="Arial" w:eastAsia="Arial" w:hAnsi="Arial"/>
                <w:sz w:val="13"/>
                <w:szCs w:val="13"/>
                <w:b w:val="1"/>
                <w:bCs w:val="1"/>
                <w:color w:val="auto"/>
              </w:rPr>
              <w:t>Cost</w:t>
            </w:r>
          </w:p>
        </w:tc>
        <w:tc>
          <w:tcPr>
            <w:tcW w:w="22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0"/>
                <w:szCs w:val="10"/>
                <w:b w:val="1"/>
                <w:bCs w:val="1"/>
                <w:color w:val="auto"/>
              </w:rPr>
              <w:t>2</w:t>
            </w:r>
          </w:p>
        </w:tc>
        <w:tc>
          <w:tcPr>
            <w:tcW w:w="120" w:type="dxa"/>
            <w:vAlign w:val="bottom"/>
            <w:tcBorders>
              <w:bottom w:val="single" w:sz="8" w:color="CFF0FC"/>
            </w:tcBorders>
          </w:tcPr>
          <w:p>
            <w:pPr>
              <w:spacing w:after="0"/>
              <w:rPr>
                <w:sz w:val="13"/>
                <w:szCs w:val="13"/>
                <w:color w:val="auto"/>
              </w:rPr>
            </w:pPr>
          </w:p>
        </w:tc>
      </w:tr>
      <w:tr>
        <w:trPr>
          <w:trHeight w:val="128"/>
        </w:trPr>
        <w:tc>
          <w:tcPr>
            <w:tcW w:w="2540" w:type="dxa"/>
            <w:vAlign w:val="bottom"/>
            <w:shd w:val="clear" w:color="auto" w:fill="CFF0FC"/>
          </w:tcPr>
          <w:p>
            <w:pPr>
              <w:spacing w:after="0" w:line="128" w:lineRule="exact"/>
              <w:rPr>
                <w:sz w:val="20"/>
                <w:szCs w:val="20"/>
                <w:color w:val="auto"/>
              </w:rPr>
            </w:pPr>
            <w:r>
              <w:rPr>
                <w:rFonts w:ascii="Arial" w:cs="Arial" w:eastAsia="Arial" w:hAnsi="Arial"/>
                <w:sz w:val="13"/>
                <w:szCs w:val="13"/>
                <w:color w:val="auto"/>
              </w:rPr>
              <w:t>TRSO I, Inc.</w:t>
            </w:r>
          </w:p>
        </w:tc>
        <w:tc>
          <w:tcPr>
            <w:tcW w:w="1100" w:type="dxa"/>
            <w:vAlign w:val="bottom"/>
            <w:gridSpan w:val="2"/>
            <w:shd w:val="clear" w:color="auto" w:fill="CFF0FC"/>
          </w:tcPr>
          <w:p>
            <w:pPr>
              <w:ind w:left="400"/>
              <w:spacing w:after="0"/>
              <w:rPr>
                <w:sz w:val="20"/>
                <w:szCs w:val="20"/>
                <w:color w:val="auto"/>
              </w:rPr>
            </w:pPr>
            <w:r>
              <w:rPr>
                <w:rFonts w:ascii="Arial" w:cs="Arial" w:eastAsia="Arial" w:hAnsi="Arial"/>
                <w:sz w:val="11"/>
                <w:szCs w:val="11"/>
                <w:color w:val="auto"/>
              </w:rPr>
              <w:t>(8)(13)(14)</w:t>
            </w:r>
          </w:p>
        </w:tc>
        <w:tc>
          <w:tcPr>
            <w:tcW w:w="20" w:type="dxa"/>
            <w:vAlign w:val="bottom"/>
            <w:shd w:val="clear" w:color="auto" w:fill="CFF0FC"/>
          </w:tcPr>
          <w:p>
            <w:pPr>
              <w:spacing w:after="0"/>
              <w:rPr>
                <w:sz w:val="11"/>
                <w:szCs w:val="11"/>
                <w:color w:val="auto"/>
              </w:rPr>
            </w:pPr>
          </w:p>
        </w:tc>
        <w:tc>
          <w:tcPr>
            <w:tcW w:w="2840" w:type="dxa"/>
            <w:vAlign w:val="bottom"/>
            <w:shd w:val="clear" w:color="auto" w:fill="CFF0FC"/>
          </w:tcPr>
          <w:p>
            <w:pPr>
              <w:spacing w:after="0" w:line="128" w:lineRule="exact"/>
              <w:rPr>
                <w:sz w:val="20"/>
                <w:szCs w:val="20"/>
                <w:color w:val="auto"/>
              </w:rPr>
            </w:pPr>
            <w:r>
              <w:rPr>
                <w:rFonts w:ascii="Arial" w:cs="Arial" w:eastAsia="Arial" w:hAnsi="Arial"/>
                <w:sz w:val="13"/>
                <w:szCs w:val="13"/>
                <w:color w:val="auto"/>
                <w:w w:val="98"/>
              </w:rPr>
              <w:t>Junior Secured Loan — Term Loan (Second Lien)</w:t>
            </w: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5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Energy: Oil &amp; Gas</w:t>
            </w:r>
          </w:p>
        </w:tc>
        <w:tc>
          <w:tcPr>
            <w:tcW w:w="4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980" w:type="dxa"/>
            <w:vAlign w:val="bottom"/>
            <w:gridSpan w:val="3"/>
            <w:shd w:val="clear" w:color="auto" w:fill="CFF0FC"/>
          </w:tcPr>
          <w:p>
            <w:pPr>
              <w:ind w:left="20"/>
              <w:spacing w:after="0" w:line="135" w:lineRule="exact"/>
              <w:rPr>
                <w:sz w:val="20"/>
                <w:szCs w:val="20"/>
                <w:color w:val="auto"/>
              </w:rPr>
            </w:pPr>
            <w:r>
              <w:rPr>
                <w:rFonts w:ascii="Arial" w:cs="Arial" w:eastAsia="Arial" w:hAnsi="Arial"/>
                <w:sz w:val="13"/>
                <w:szCs w:val="13"/>
                <w:color w:val="auto"/>
                <w:w w:val="97"/>
              </w:rPr>
              <w:t>14.0% Cash, 3 Month Libor (1.00%) + 13.00%;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5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rPr>
              <w:t>Floor 1.00% , Due 12/20</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12/24/2012</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900,000</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899,998</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900,000</w:t>
            </w:r>
          </w:p>
        </w:tc>
        <w:tc>
          <w:tcPr>
            <w:tcW w:w="120" w:type="dxa"/>
            <w:vAlign w:val="bottom"/>
            <w:shd w:val="clear" w:color="auto" w:fill="CFF0FC"/>
          </w:tcPr>
          <w:p>
            <w:pPr>
              <w:spacing w:after="0"/>
              <w:rPr>
                <w:sz w:val="12"/>
                <w:szCs w:val="12"/>
                <w:color w:val="auto"/>
              </w:rPr>
            </w:pPr>
          </w:p>
        </w:tc>
      </w:tr>
      <w:tr>
        <w:trPr>
          <w:trHeight w:val="149"/>
        </w:trPr>
        <w:tc>
          <w:tcPr>
            <w:tcW w:w="2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5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TRSO II, Inc.</w:t>
            </w:r>
          </w:p>
        </w:tc>
        <w:tc>
          <w:tcPr>
            <w:tcW w:w="1100" w:type="dxa"/>
            <w:vAlign w:val="bottom"/>
            <w:gridSpan w:val="2"/>
            <w:shd w:val="clear" w:color="auto" w:fill="CFF0FC"/>
          </w:tcPr>
          <w:p>
            <w:pPr>
              <w:ind w:left="400"/>
              <w:spacing w:after="0"/>
              <w:rPr>
                <w:sz w:val="20"/>
                <w:szCs w:val="20"/>
                <w:color w:val="auto"/>
              </w:rPr>
            </w:pPr>
            <w:r>
              <w:rPr>
                <w:rFonts w:ascii="Arial" w:cs="Arial" w:eastAsia="Arial" w:hAnsi="Arial"/>
                <w:sz w:val="11"/>
                <w:szCs w:val="11"/>
                <w:color w:val="auto"/>
              </w:rPr>
              <w:t>(5)(8)(13)</w:t>
            </w:r>
          </w:p>
        </w:tc>
        <w:tc>
          <w:tcPr>
            <w:tcW w:w="2980" w:type="dxa"/>
            <w:vAlign w:val="bottom"/>
            <w:gridSpan w:val="3"/>
            <w:shd w:val="clear" w:color="auto" w:fill="CFF0FC"/>
          </w:tcPr>
          <w:p>
            <w:pPr>
              <w:ind w:left="20"/>
              <w:spacing w:after="0" w:line="134" w:lineRule="exact"/>
              <w:rPr>
                <w:sz w:val="20"/>
                <w:szCs w:val="20"/>
                <w:color w:val="auto"/>
              </w:rPr>
            </w:pPr>
            <w:r>
              <w:rPr>
                <w:rFonts w:ascii="Arial" w:cs="Arial" w:eastAsia="Arial" w:hAnsi="Arial"/>
                <w:sz w:val="13"/>
                <w:szCs w:val="13"/>
                <w:color w:val="auto"/>
              </w:rPr>
              <w:t>Junior Secured Loan — Promissory Note</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540" w:type="dxa"/>
            <w:vAlign w:val="bottom"/>
            <w:shd w:val="clear" w:color="auto" w:fill="CFF0FC"/>
          </w:tcPr>
          <w:p>
            <w:pPr>
              <w:ind w:left="160"/>
              <w:spacing w:after="0"/>
              <w:rPr>
                <w:sz w:val="20"/>
                <w:szCs w:val="20"/>
                <w:color w:val="auto"/>
              </w:rPr>
            </w:pPr>
            <w:r>
              <w:rPr>
                <w:rFonts w:ascii="Arial" w:cs="Arial" w:eastAsia="Arial" w:hAnsi="Arial"/>
                <w:sz w:val="13"/>
                <w:szCs w:val="13"/>
                <w:color w:val="auto"/>
              </w:rPr>
              <w:t>Energy: Oil &amp; Gas</w:t>
            </w:r>
          </w:p>
        </w:tc>
        <w:tc>
          <w:tcPr>
            <w:tcW w:w="4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rPr>
              <w:t>0.0% Cash, 1.7% PIK, Due 1/25</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1/24/2020</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71,929</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71,929</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r>
      <w:tr>
        <w:trPr>
          <w:trHeight w:val="148"/>
        </w:trPr>
        <w:tc>
          <w:tcPr>
            <w:tcW w:w="2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5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Vectra Co.</w:t>
            </w:r>
          </w:p>
        </w:tc>
        <w:tc>
          <w:tcPr>
            <w:tcW w:w="1100" w:type="dxa"/>
            <w:vAlign w:val="bottom"/>
            <w:gridSpan w:val="2"/>
            <w:shd w:val="clear" w:color="auto" w:fill="CFF0FC"/>
          </w:tcPr>
          <w:p>
            <w:pPr>
              <w:ind w:left="400"/>
              <w:spacing w:after="0"/>
              <w:rPr>
                <w:sz w:val="20"/>
                <w:szCs w:val="20"/>
                <w:color w:val="auto"/>
              </w:rPr>
            </w:pPr>
            <w:r>
              <w:rPr>
                <w:rFonts w:ascii="Arial" w:cs="Arial" w:eastAsia="Arial" w:hAnsi="Arial"/>
                <w:sz w:val="11"/>
                <w:szCs w:val="11"/>
                <w:color w:val="auto"/>
              </w:rPr>
              <w:t>(8)(14)</w:t>
            </w:r>
          </w:p>
        </w:tc>
        <w:tc>
          <w:tcPr>
            <w:tcW w:w="2980" w:type="dxa"/>
            <w:vAlign w:val="bottom"/>
            <w:gridSpan w:val="3"/>
            <w:shd w:val="clear" w:color="auto" w:fill="CFF0FC"/>
          </w:tcPr>
          <w:p>
            <w:pPr>
              <w:ind w:left="20"/>
              <w:spacing w:after="0" w:line="134" w:lineRule="exact"/>
              <w:rPr>
                <w:sz w:val="20"/>
                <w:szCs w:val="20"/>
                <w:color w:val="auto"/>
              </w:rPr>
            </w:pPr>
            <w:r>
              <w:rPr>
                <w:rFonts w:ascii="Arial" w:cs="Arial" w:eastAsia="Arial" w:hAnsi="Arial"/>
                <w:sz w:val="13"/>
                <w:szCs w:val="13"/>
                <w:color w:val="auto"/>
              </w:rPr>
              <w:t>Junior Secured Loan — Initial Loan (Second Lien)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540" w:type="dxa"/>
            <w:vAlign w:val="bottom"/>
            <w:shd w:val="clear" w:color="auto" w:fill="CFF0FC"/>
          </w:tcPr>
          <w:p>
            <w:pPr>
              <w:ind w:left="160"/>
              <w:spacing w:after="0"/>
              <w:rPr>
                <w:sz w:val="20"/>
                <w:szCs w:val="20"/>
                <w:color w:val="auto"/>
              </w:rPr>
            </w:pPr>
            <w:r>
              <w:rPr>
                <w:rFonts w:ascii="Arial" w:cs="Arial" w:eastAsia="Arial" w:hAnsi="Arial"/>
                <w:sz w:val="13"/>
                <w:szCs w:val="13"/>
                <w:color w:val="auto"/>
              </w:rPr>
              <w:t>Chemicals, Plastics &amp; Rubber</w:t>
            </w:r>
          </w:p>
        </w:tc>
        <w:tc>
          <w:tcPr>
            <w:tcW w:w="4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w w:val="93"/>
              </w:rPr>
              <w:t>7.4% Cash, 1 Month Libor (0.11%) + 7.25% , Due 3/26</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12/18/2019</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400,000</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356,772</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391,334</w:t>
            </w:r>
          </w:p>
        </w:tc>
        <w:tc>
          <w:tcPr>
            <w:tcW w:w="120" w:type="dxa"/>
            <w:vAlign w:val="bottom"/>
            <w:shd w:val="clear" w:color="auto" w:fill="CFF0FC"/>
          </w:tcPr>
          <w:p>
            <w:pPr>
              <w:spacing w:after="0"/>
              <w:rPr>
                <w:sz w:val="12"/>
                <w:szCs w:val="12"/>
                <w:color w:val="auto"/>
              </w:rPr>
            </w:pPr>
          </w:p>
        </w:tc>
      </w:tr>
      <w:tr>
        <w:trPr>
          <w:trHeight w:val="148"/>
        </w:trPr>
        <w:tc>
          <w:tcPr>
            <w:tcW w:w="2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5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Wash MultiFamily Acquisition Inc.</w:t>
            </w:r>
          </w:p>
        </w:tc>
        <w:tc>
          <w:tcPr>
            <w:tcW w:w="1100" w:type="dxa"/>
            <w:vAlign w:val="bottom"/>
            <w:gridSpan w:val="2"/>
            <w:shd w:val="clear" w:color="auto" w:fill="CFF0FC"/>
          </w:tcPr>
          <w:p>
            <w:pPr>
              <w:ind w:left="400"/>
              <w:spacing w:after="0"/>
              <w:rPr>
                <w:sz w:val="20"/>
                <w:szCs w:val="20"/>
                <w:color w:val="auto"/>
              </w:rPr>
            </w:pPr>
            <w:r>
              <w:rPr>
                <w:rFonts w:ascii="Arial" w:cs="Arial" w:eastAsia="Arial" w:hAnsi="Arial"/>
                <w:sz w:val="11"/>
                <w:szCs w:val="11"/>
                <w:color w:val="auto"/>
              </w:rPr>
              <w:t>(8)(13)(14)</w:t>
            </w:r>
          </w:p>
        </w:tc>
        <w:tc>
          <w:tcPr>
            <w:tcW w:w="2980" w:type="dxa"/>
            <w:vAlign w:val="bottom"/>
            <w:gridSpan w:val="3"/>
            <w:shd w:val="clear" w:color="auto" w:fill="CFF0FC"/>
          </w:tcPr>
          <w:p>
            <w:pPr>
              <w:ind w:left="20"/>
              <w:spacing w:after="0" w:line="134" w:lineRule="exact"/>
              <w:rPr>
                <w:sz w:val="20"/>
                <w:szCs w:val="20"/>
                <w:color w:val="auto"/>
              </w:rPr>
            </w:pPr>
            <w:r>
              <w:rPr>
                <w:rFonts w:ascii="Arial" w:cs="Arial" w:eastAsia="Arial" w:hAnsi="Arial"/>
                <w:sz w:val="13"/>
                <w:szCs w:val="13"/>
                <w:color w:val="auto"/>
                <w:w w:val="94"/>
              </w:rPr>
              <w:t>Junior Secured Loan — Initial US Term Loan (Second</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5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Consumer goods: Durable</w:t>
            </w:r>
          </w:p>
        </w:tc>
        <w:tc>
          <w:tcPr>
            <w:tcW w:w="4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980" w:type="dxa"/>
            <w:vAlign w:val="bottom"/>
            <w:gridSpan w:val="3"/>
            <w:shd w:val="clear" w:color="auto" w:fill="CFF0FC"/>
          </w:tcPr>
          <w:p>
            <w:pPr>
              <w:ind w:left="20"/>
              <w:spacing w:after="0" w:line="135" w:lineRule="exact"/>
              <w:rPr>
                <w:sz w:val="20"/>
                <w:szCs w:val="20"/>
                <w:color w:val="auto"/>
              </w:rPr>
            </w:pPr>
            <w:r>
              <w:rPr>
                <w:rFonts w:ascii="Arial" w:cs="Arial" w:eastAsia="Arial" w:hAnsi="Arial"/>
                <w:sz w:val="13"/>
                <w:szCs w:val="13"/>
                <w:color w:val="auto"/>
              </w:rPr>
              <w:t>Lien), 1 Month Libor (1.00%) + 7.00%; Libor Floor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5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rPr>
              <w:t>1.00% , Due 5/23</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12/18/2019</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2,978,354</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2,698,934</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2,858,624</w:t>
            </w:r>
          </w:p>
        </w:tc>
        <w:tc>
          <w:tcPr>
            <w:tcW w:w="120" w:type="dxa"/>
            <w:vAlign w:val="bottom"/>
            <w:shd w:val="clear" w:color="auto" w:fill="CFF0FC"/>
          </w:tcPr>
          <w:p>
            <w:pPr>
              <w:spacing w:after="0"/>
              <w:rPr>
                <w:sz w:val="12"/>
                <w:szCs w:val="12"/>
                <w:color w:val="auto"/>
              </w:rPr>
            </w:pPr>
          </w:p>
        </w:tc>
      </w:tr>
      <w:tr>
        <w:trPr>
          <w:trHeight w:val="149"/>
        </w:trPr>
        <w:tc>
          <w:tcPr>
            <w:tcW w:w="2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5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WireCo WorldGroup Inc.</w:t>
            </w:r>
          </w:p>
        </w:tc>
        <w:tc>
          <w:tcPr>
            <w:tcW w:w="1100" w:type="dxa"/>
            <w:vAlign w:val="bottom"/>
            <w:gridSpan w:val="2"/>
            <w:shd w:val="clear" w:color="auto" w:fill="CFF0FC"/>
          </w:tcPr>
          <w:p>
            <w:pPr>
              <w:ind w:left="400"/>
              <w:spacing w:after="0"/>
              <w:rPr>
                <w:sz w:val="20"/>
                <w:szCs w:val="20"/>
                <w:color w:val="auto"/>
              </w:rPr>
            </w:pPr>
            <w:r>
              <w:rPr>
                <w:rFonts w:ascii="Arial" w:cs="Arial" w:eastAsia="Arial" w:hAnsi="Arial"/>
                <w:sz w:val="11"/>
                <w:szCs w:val="11"/>
                <w:color w:val="auto"/>
              </w:rPr>
              <w:t>(8)(14)</w:t>
            </w:r>
          </w:p>
        </w:tc>
        <w:tc>
          <w:tcPr>
            <w:tcW w:w="2980" w:type="dxa"/>
            <w:vAlign w:val="bottom"/>
            <w:gridSpan w:val="3"/>
            <w:shd w:val="clear" w:color="auto" w:fill="CFF0FC"/>
          </w:tcPr>
          <w:p>
            <w:pPr>
              <w:ind w:left="20"/>
              <w:spacing w:after="0" w:line="134" w:lineRule="exact"/>
              <w:rPr>
                <w:sz w:val="20"/>
                <w:szCs w:val="20"/>
                <w:color w:val="auto"/>
              </w:rPr>
            </w:pPr>
            <w:r>
              <w:rPr>
                <w:rFonts w:ascii="Arial" w:cs="Arial" w:eastAsia="Arial" w:hAnsi="Arial"/>
                <w:sz w:val="13"/>
                <w:szCs w:val="13"/>
                <w:color w:val="auto"/>
              </w:rPr>
              <w:t>Junior Secured Loan — Initial Term Loan (Second</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5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Capital Equipment</w:t>
            </w:r>
          </w:p>
        </w:tc>
        <w:tc>
          <w:tcPr>
            <w:tcW w:w="4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980" w:type="dxa"/>
            <w:vAlign w:val="bottom"/>
            <w:gridSpan w:val="3"/>
            <w:shd w:val="clear" w:color="auto" w:fill="CFF0FC"/>
          </w:tcPr>
          <w:p>
            <w:pPr>
              <w:ind w:left="20"/>
              <w:spacing w:after="0" w:line="135" w:lineRule="exact"/>
              <w:rPr>
                <w:sz w:val="20"/>
                <w:szCs w:val="20"/>
                <w:color w:val="auto"/>
              </w:rPr>
            </w:pPr>
            <w:r>
              <w:rPr>
                <w:rFonts w:ascii="Arial" w:cs="Arial" w:eastAsia="Arial" w:hAnsi="Arial"/>
                <w:sz w:val="13"/>
                <w:szCs w:val="13"/>
                <w:color w:val="auto"/>
              </w:rPr>
              <w:t>Lien)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54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980" w:type="dxa"/>
            <w:vAlign w:val="bottom"/>
            <w:gridSpan w:val="3"/>
            <w:shd w:val="clear" w:color="auto" w:fill="CFF0FC"/>
          </w:tcPr>
          <w:p>
            <w:pPr>
              <w:ind w:left="20"/>
              <w:spacing w:after="0" w:line="135" w:lineRule="exact"/>
              <w:rPr>
                <w:sz w:val="20"/>
                <w:szCs w:val="20"/>
                <w:color w:val="auto"/>
              </w:rPr>
            </w:pPr>
            <w:r>
              <w:rPr>
                <w:rFonts w:ascii="Arial" w:cs="Arial" w:eastAsia="Arial" w:hAnsi="Arial"/>
                <w:sz w:val="13"/>
                <w:szCs w:val="13"/>
                <w:color w:val="auto"/>
                <w:w w:val="99"/>
              </w:rPr>
              <w:t>10.0% Cash, 6 month Libor (1.00%) + 9.00%;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5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rPr>
              <w:t>Floor 1.00% , Due 9/24</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8/9/2016</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3,000,000</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2,980,297</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2,724,375</w:t>
            </w:r>
          </w:p>
        </w:tc>
        <w:tc>
          <w:tcPr>
            <w:tcW w:w="120" w:type="dxa"/>
            <w:vAlign w:val="bottom"/>
            <w:shd w:val="clear" w:color="auto" w:fill="CFF0FC"/>
          </w:tcPr>
          <w:p>
            <w:pPr>
              <w:spacing w:after="0"/>
              <w:rPr>
                <w:sz w:val="12"/>
                <w:szCs w:val="12"/>
                <w:color w:val="auto"/>
              </w:rPr>
            </w:pPr>
          </w:p>
        </w:tc>
      </w:tr>
      <w:tr>
        <w:trPr>
          <w:trHeight w:val="148"/>
        </w:trPr>
        <w:tc>
          <w:tcPr>
            <w:tcW w:w="2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5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Wonder Love, Inc.</w:t>
            </w:r>
          </w:p>
        </w:tc>
        <w:tc>
          <w:tcPr>
            <w:tcW w:w="1100" w:type="dxa"/>
            <w:vAlign w:val="bottom"/>
            <w:gridSpan w:val="2"/>
            <w:shd w:val="clear" w:color="auto" w:fill="CFF0FC"/>
          </w:tcPr>
          <w:p>
            <w:pPr>
              <w:ind w:left="400"/>
              <w:spacing w:after="0"/>
              <w:rPr>
                <w:sz w:val="20"/>
                <w:szCs w:val="20"/>
                <w:color w:val="auto"/>
              </w:rPr>
            </w:pPr>
            <w:r>
              <w:rPr>
                <w:rFonts w:ascii="Arial" w:cs="Arial" w:eastAsia="Arial" w:hAnsi="Arial"/>
                <w:sz w:val="11"/>
                <w:szCs w:val="11"/>
                <w:color w:val="auto"/>
                <w:w w:val="94"/>
              </w:rPr>
              <w:t>(8)(13)(14)(21)</w:t>
            </w:r>
          </w:p>
        </w:tc>
        <w:tc>
          <w:tcPr>
            <w:tcW w:w="2980" w:type="dxa"/>
            <w:vAlign w:val="bottom"/>
            <w:gridSpan w:val="3"/>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5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Media: Diversified &amp; Production</w:t>
            </w:r>
          </w:p>
        </w:tc>
        <w:tc>
          <w:tcPr>
            <w:tcW w:w="4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980" w:type="dxa"/>
            <w:vAlign w:val="bottom"/>
            <w:gridSpan w:val="3"/>
            <w:shd w:val="clear" w:color="auto" w:fill="CFF0FC"/>
          </w:tcPr>
          <w:p>
            <w:pPr>
              <w:ind w:left="20"/>
              <w:spacing w:after="0" w:line="135" w:lineRule="exact"/>
              <w:rPr>
                <w:sz w:val="20"/>
                <w:szCs w:val="20"/>
                <w:color w:val="auto"/>
              </w:rPr>
            </w:pPr>
            <w:r>
              <w:rPr>
                <w:rFonts w:ascii="Arial" w:cs="Arial" w:eastAsia="Arial" w:hAnsi="Arial"/>
                <w:sz w:val="13"/>
                <w:szCs w:val="13"/>
                <w:color w:val="auto"/>
              </w:rPr>
              <w:t>6.0% Cash, 3 Month Libor (1.00%) + 5.00%;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5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rPr>
              <w:t>Floor 1.00% , Due 11/24</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11/18/2019</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2,625,000</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2,585,016</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2,628,413</w:t>
            </w:r>
          </w:p>
        </w:tc>
        <w:tc>
          <w:tcPr>
            <w:tcW w:w="120" w:type="dxa"/>
            <w:vAlign w:val="bottom"/>
            <w:shd w:val="clear" w:color="auto" w:fill="CFF0FC"/>
          </w:tcPr>
          <w:p>
            <w:pPr>
              <w:spacing w:after="0"/>
              <w:rPr>
                <w:sz w:val="12"/>
                <w:szCs w:val="12"/>
                <w:color w:val="auto"/>
              </w:rPr>
            </w:pPr>
          </w:p>
        </w:tc>
      </w:tr>
      <w:tr>
        <w:trPr>
          <w:trHeight w:val="148"/>
        </w:trPr>
        <w:tc>
          <w:tcPr>
            <w:tcW w:w="2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5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Zest Acquisition Corp.</w:t>
            </w:r>
          </w:p>
        </w:tc>
        <w:tc>
          <w:tcPr>
            <w:tcW w:w="1100" w:type="dxa"/>
            <w:vAlign w:val="bottom"/>
            <w:gridSpan w:val="2"/>
            <w:shd w:val="clear" w:color="auto" w:fill="CFF0FC"/>
          </w:tcPr>
          <w:p>
            <w:pPr>
              <w:ind w:left="400"/>
              <w:spacing w:after="0"/>
              <w:rPr>
                <w:sz w:val="20"/>
                <w:szCs w:val="20"/>
                <w:color w:val="auto"/>
              </w:rPr>
            </w:pPr>
            <w:r>
              <w:rPr>
                <w:rFonts w:ascii="Arial" w:cs="Arial" w:eastAsia="Arial" w:hAnsi="Arial"/>
                <w:sz w:val="11"/>
                <w:szCs w:val="11"/>
                <w:color w:val="auto"/>
                <w:w w:val="94"/>
              </w:rPr>
              <w:t>(8)(13)(14)(18)</w:t>
            </w:r>
          </w:p>
        </w:tc>
        <w:tc>
          <w:tcPr>
            <w:tcW w:w="2980" w:type="dxa"/>
            <w:vAlign w:val="bottom"/>
            <w:gridSpan w:val="3"/>
            <w:shd w:val="clear" w:color="auto" w:fill="CFF0FC"/>
          </w:tcPr>
          <w:p>
            <w:pPr>
              <w:ind w:left="20"/>
              <w:spacing w:after="0" w:line="134" w:lineRule="exact"/>
              <w:rPr>
                <w:sz w:val="20"/>
                <w:szCs w:val="20"/>
                <w:color w:val="auto"/>
              </w:rPr>
            </w:pPr>
            <w:r>
              <w:rPr>
                <w:rFonts w:ascii="Arial" w:cs="Arial" w:eastAsia="Arial" w:hAnsi="Arial"/>
                <w:sz w:val="13"/>
                <w:szCs w:val="13"/>
                <w:color w:val="auto"/>
              </w:rPr>
              <w:t>Junior Secured Loan — Initial Term Loan (Second</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5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Healthcare, Education and Childcare</w:t>
            </w:r>
          </w:p>
        </w:tc>
        <w:tc>
          <w:tcPr>
            <w:tcW w:w="4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980" w:type="dxa"/>
            <w:vAlign w:val="bottom"/>
            <w:gridSpan w:val="3"/>
            <w:shd w:val="clear" w:color="auto" w:fill="CFF0FC"/>
          </w:tcPr>
          <w:p>
            <w:pPr>
              <w:ind w:left="20"/>
              <w:spacing w:after="0" w:line="135" w:lineRule="exact"/>
              <w:rPr>
                <w:sz w:val="20"/>
                <w:szCs w:val="20"/>
                <w:color w:val="auto"/>
              </w:rPr>
            </w:pPr>
            <w:r>
              <w:rPr>
                <w:rFonts w:ascii="Arial" w:cs="Arial" w:eastAsia="Arial" w:hAnsi="Arial"/>
                <w:sz w:val="13"/>
                <w:szCs w:val="13"/>
                <w:color w:val="auto"/>
              </w:rPr>
              <w:t>Lien)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54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980" w:type="dxa"/>
            <w:vAlign w:val="bottom"/>
            <w:gridSpan w:val="3"/>
            <w:shd w:val="clear" w:color="auto" w:fill="CFF0FC"/>
          </w:tcPr>
          <w:p>
            <w:pPr>
              <w:ind w:left="20"/>
              <w:spacing w:after="0" w:line="135" w:lineRule="exact"/>
              <w:rPr>
                <w:sz w:val="20"/>
                <w:szCs w:val="20"/>
                <w:color w:val="auto"/>
              </w:rPr>
            </w:pPr>
            <w:r>
              <w:rPr>
                <w:rFonts w:ascii="Arial" w:cs="Arial" w:eastAsia="Arial" w:hAnsi="Arial"/>
                <w:sz w:val="13"/>
                <w:szCs w:val="13"/>
                <w:color w:val="auto"/>
              </w:rPr>
              <w:t>8.5% Cash, 1 Month Libor (1.00%) + 7.50%;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5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rPr>
              <w:t>Floor 1.00% , Due 3/26</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3/8/2018</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3,500,000</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3,486,078</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3,419,850</w:t>
            </w:r>
          </w:p>
        </w:tc>
        <w:tc>
          <w:tcPr>
            <w:tcW w:w="120" w:type="dxa"/>
            <w:vAlign w:val="bottom"/>
            <w:shd w:val="clear" w:color="auto" w:fill="CFF0FC"/>
          </w:tcPr>
          <w:p>
            <w:pPr>
              <w:spacing w:after="0"/>
              <w:rPr>
                <w:sz w:val="12"/>
                <w:szCs w:val="12"/>
                <w:color w:val="auto"/>
              </w:rPr>
            </w:pPr>
          </w:p>
        </w:tc>
      </w:tr>
      <w:tr>
        <w:trPr>
          <w:trHeight w:val="149"/>
        </w:trPr>
        <w:tc>
          <w:tcPr>
            <w:tcW w:w="2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0"/>
        </w:trPr>
        <w:tc>
          <w:tcPr>
            <w:tcW w:w="2540" w:type="dxa"/>
            <w:vAlign w:val="bottom"/>
            <w:shd w:val="clear" w:color="auto" w:fill="CFF0FC"/>
          </w:tcPr>
          <w:p>
            <w:pPr>
              <w:spacing w:after="0" w:line="131" w:lineRule="exact"/>
              <w:rPr>
                <w:sz w:val="20"/>
                <w:szCs w:val="20"/>
                <w:color w:val="auto"/>
              </w:rPr>
            </w:pPr>
            <w:r>
              <w:rPr>
                <w:rFonts w:ascii="Arial" w:cs="Arial" w:eastAsia="Arial" w:hAnsi="Arial"/>
                <w:sz w:val="13"/>
                <w:szCs w:val="13"/>
                <w:b w:val="1"/>
                <w:bCs w:val="1"/>
                <w:color w:val="auto"/>
              </w:rPr>
              <w:t>Total Investment in Debt Securities</w:t>
            </w:r>
          </w:p>
        </w:tc>
        <w:tc>
          <w:tcPr>
            <w:tcW w:w="4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8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53"/>
        </w:trPr>
        <w:tc>
          <w:tcPr>
            <w:tcW w:w="2540" w:type="dxa"/>
            <w:vAlign w:val="bottom"/>
            <w:shd w:val="clear" w:color="auto" w:fill="CFF0FC"/>
          </w:tcPr>
          <w:p>
            <w:pPr>
              <w:ind w:left="100"/>
              <w:spacing w:after="0"/>
              <w:rPr>
                <w:sz w:val="20"/>
                <w:szCs w:val="20"/>
                <w:color w:val="auto"/>
              </w:rPr>
            </w:pPr>
            <w:r>
              <w:rPr>
                <w:rFonts w:ascii="Arial" w:cs="Arial" w:eastAsia="Arial" w:hAnsi="Arial"/>
                <w:sz w:val="13"/>
                <w:szCs w:val="13"/>
                <w:b w:val="1"/>
                <w:bCs w:val="1"/>
                <w:color w:val="auto"/>
              </w:rPr>
              <w:t>(177% of net asset value at fair value)</w:t>
            </w:r>
          </w:p>
        </w:tc>
        <w:tc>
          <w:tcPr>
            <w:tcW w:w="4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8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60" w:type="dxa"/>
            <w:vAlign w:val="bottom"/>
            <w:gridSpan w:val="3"/>
            <w:shd w:val="clear" w:color="auto" w:fill="CFF0FC"/>
          </w:tcPr>
          <w:p>
            <w:pPr>
              <w:jc w:val="right"/>
              <w:ind w:right="60"/>
              <w:spacing w:after="0"/>
              <w:rPr>
                <w:sz w:val="20"/>
                <w:szCs w:val="20"/>
                <w:color w:val="auto"/>
              </w:rPr>
            </w:pPr>
            <w:r>
              <w:rPr>
                <w:rFonts w:ascii="Arial" w:cs="Arial" w:eastAsia="Arial" w:hAnsi="Arial"/>
                <w:sz w:val="13"/>
                <w:szCs w:val="13"/>
                <w:b w:val="1"/>
                <w:bCs w:val="1"/>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w w:val="99"/>
              </w:rPr>
              <w:t>412,338,917</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68"/>
              <w:spacing w:after="0"/>
              <w:rPr>
                <w:sz w:val="20"/>
                <w:szCs w:val="20"/>
                <w:color w:val="auto"/>
              </w:rPr>
            </w:pPr>
            <w:r>
              <w:rPr>
                <w:rFonts w:ascii="Arial" w:cs="Arial" w:eastAsia="Arial" w:hAnsi="Arial"/>
                <w:sz w:val="10"/>
                <w:szCs w:val="10"/>
                <w:b w:val="1"/>
                <w:bCs w:val="1"/>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377,355,331</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3"/>
                <w:szCs w:val="13"/>
                <w:b w:val="1"/>
                <w:bCs w:val="1"/>
                <w:color w:val="auto"/>
              </w:rPr>
              <w:t>$   387,043,989</w:t>
            </w:r>
          </w:p>
        </w:tc>
        <w:tc>
          <w:tcPr>
            <w:tcW w:w="120" w:type="dxa"/>
            <w:vAlign w:val="bottom"/>
            <w:shd w:val="clear" w:color="auto" w:fill="CFF0FC"/>
          </w:tcPr>
          <w:p>
            <w:pPr>
              <w:spacing w:after="0"/>
              <w:rPr>
                <w:sz w:val="13"/>
                <w:szCs w:val="13"/>
                <w:color w:val="auto"/>
              </w:rPr>
            </w:pPr>
          </w:p>
        </w:tc>
      </w:tr>
      <w:tr>
        <w:trPr>
          <w:trHeight w:val="20"/>
        </w:trPr>
        <w:tc>
          <w:tcPr>
            <w:tcW w:w="2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Securities Portfolio</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Initial</w:t>
            </w:r>
          </w:p>
        </w:tc>
        <w:tc>
          <w:tcPr>
            <w:tcW w:w="1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35"/>
        </w:trPr>
        <w:tc>
          <w:tcPr>
            <w:tcW w:w="344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Portfolio Company /</w:t>
            </w:r>
          </w:p>
        </w:tc>
        <w:tc>
          <w:tcPr>
            <w:tcW w:w="1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6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14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0"/>
              </w:rPr>
              <w:t>Quantity/Par</w:t>
            </w:r>
          </w:p>
        </w:tc>
        <w:tc>
          <w:tcPr>
            <w:tcW w:w="1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3"/>
        </w:trPr>
        <w:tc>
          <w:tcPr>
            <w:tcW w:w="3440" w:type="dxa"/>
            <w:vAlign w:val="bottom"/>
            <w:gridSpan w:val="2"/>
          </w:tcPr>
          <w:p>
            <w:pPr>
              <w:spacing w:after="0"/>
              <w:rPr>
                <w:sz w:val="20"/>
                <w:szCs w:val="20"/>
                <w:color w:val="auto"/>
              </w:rPr>
            </w:pPr>
            <w:r>
              <w:rPr>
                <w:rFonts w:ascii="Arial" w:cs="Arial" w:eastAsia="Arial" w:hAnsi="Arial"/>
                <w:sz w:val="13"/>
                <w:szCs w:val="13"/>
                <w:b w:val="1"/>
                <w:bCs w:val="1"/>
                <w:color w:val="auto"/>
              </w:rPr>
              <w:t>Principal Business</w:t>
            </w:r>
          </w:p>
        </w:tc>
        <w:tc>
          <w:tcPr>
            <w:tcW w:w="2080" w:type="dxa"/>
            <w:vAlign w:val="bottom"/>
            <w:gridSpan w:val="2"/>
          </w:tcPr>
          <w:p>
            <w:pPr>
              <w:ind w:left="600"/>
              <w:spacing w:after="0"/>
              <w:rPr>
                <w:sz w:val="20"/>
                <w:szCs w:val="20"/>
                <w:color w:val="auto"/>
              </w:rPr>
            </w:pPr>
            <w:r>
              <w:rPr>
                <w:rFonts w:ascii="Arial" w:cs="Arial" w:eastAsia="Arial" w:hAnsi="Arial"/>
                <w:sz w:val="13"/>
                <w:szCs w:val="13"/>
                <w:b w:val="1"/>
                <w:bCs w:val="1"/>
                <w:color w:val="auto"/>
              </w:rPr>
              <w:t>Investment</w:t>
            </w:r>
            <w:r>
              <w:rPr>
                <w:rFonts w:ascii="Arial" w:cs="Arial" w:eastAsia="Arial" w:hAnsi="Arial"/>
                <w:sz w:val="10"/>
                <w:szCs w:val="10"/>
                <w:b w:val="1"/>
                <w:bCs w:val="1"/>
                <w:color w:val="auto"/>
              </w:rPr>
              <w:t>15</w:t>
            </w:r>
          </w:p>
        </w:tc>
        <w:tc>
          <w:tcPr>
            <w:tcW w:w="14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5"/>
              </w:rPr>
              <w:t>Date</w:t>
            </w:r>
          </w:p>
        </w:tc>
        <w:tc>
          <w:tcPr>
            <w:tcW w:w="14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0"/>
              </w:rPr>
              <w:t>/Shares</w:t>
            </w:r>
          </w:p>
        </w:tc>
        <w:tc>
          <w:tcPr>
            <w:tcW w:w="1460" w:type="dxa"/>
            <w:vAlign w:val="bottom"/>
            <w:gridSpan w:val="2"/>
          </w:tcPr>
          <w:p>
            <w:pPr>
              <w:ind w:left="480"/>
              <w:spacing w:after="0"/>
              <w:rPr>
                <w:sz w:val="20"/>
                <w:szCs w:val="20"/>
                <w:color w:val="auto"/>
              </w:rPr>
            </w:pPr>
            <w:r>
              <w:rPr>
                <w:rFonts w:ascii="Arial" w:cs="Arial" w:eastAsia="Arial" w:hAnsi="Arial"/>
                <w:sz w:val="13"/>
                <w:szCs w:val="13"/>
                <w:b w:val="1"/>
                <w:bCs w:val="1"/>
                <w:color w:val="auto"/>
              </w:rPr>
              <w:t>Cost</w:t>
            </w:r>
          </w:p>
        </w:tc>
        <w:tc>
          <w:tcPr>
            <w:tcW w:w="1340" w:type="dxa"/>
            <w:vAlign w:val="bottom"/>
            <w:gridSpan w:val="2"/>
          </w:tcPr>
          <w:p>
            <w:pPr>
              <w:ind w:left="300"/>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0"/>
                <w:szCs w:val="10"/>
                <w:b w:val="1"/>
                <w:bCs w:val="1"/>
                <w:color w:val="auto"/>
              </w:rPr>
              <w:t>2</w:t>
            </w:r>
          </w:p>
        </w:tc>
      </w:tr>
      <w:tr>
        <w:trPr>
          <w:trHeight w:val="128"/>
        </w:trPr>
        <w:tc>
          <w:tcPr>
            <w:tcW w:w="330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4L Technologies Inc.</w:t>
            </w:r>
            <w:r>
              <w:rPr>
                <w:rFonts w:ascii="Arial" w:cs="Arial" w:eastAsia="Arial" w:hAnsi="Arial"/>
                <w:sz w:val="10"/>
                <w:szCs w:val="10"/>
                <w:color w:val="auto"/>
              </w:rPr>
              <w:t>(8)(13)(19)</w:t>
            </w:r>
          </w:p>
        </w:tc>
        <w:tc>
          <w:tcPr>
            <w:tcW w:w="140" w:type="dxa"/>
            <w:vAlign w:val="bottom"/>
            <w:tcBorders>
              <w:top w:val="single" w:sz="8" w:color="CFF0FC"/>
            </w:tcBorders>
            <w:shd w:val="clear" w:color="auto" w:fill="CFF0FC"/>
          </w:tcPr>
          <w:p>
            <w:pPr>
              <w:spacing w:after="0"/>
              <w:rPr>
                <w:sz w:val="11"/>
                <w:szCs w:val="11"/>
                <w:color w:val="auto"/>
              </w:rPr>
            </w:pPr>
          </w:p>
        </w:tc>
        <w:tc>
          <w:tcPr>
            <w:tcW w:w="194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Class A Preferred Units</w:t>
            </w:r>
          </w:p>
        </w:tc>
        <w:tc>
          <w:tcPr>
            <w:tcW w:w="140" w:type="dxa"/>
            <w:vAlign w:val="bottom"/>
            <w:tcBorders>
              <w:top w:val="single" w:sz="8" w:color="CFF0FC"/>
            </w:tcBorders>
            <w:shd w:val="clear" w:color="auto" w:fill="CFF0FC"/>
          </w:tcPr>
          <w:p>
            <w:pPr>
              <w:spacing w:after="0"/>
              <w:rPr>
                <w:sz w:val="11"/>
                <w:szCs w:val="11"/>
                <w:color w:val="auto"/>
              </w:rPr>
            </w:pPr>
          </w:p>
        </w:tc>
        <w:tc>
          <w:tcPr>
            <w:tcW w:w="134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122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122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124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r>
      <w:tr>
        <w:trPr>
          <w:trHeight w:val="149"/>
        </w:trPr>
        <w:tc>
          <w:tcPr>
            <w:tcW w:w="344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Healthcare &amp; Pharmaceuticals</w:t>
            </w:r>
          </w:p>
        </w:tc>
        <w:tc>
          <w:tcPr>
            <w:tcW w:w="19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5/29/2020</w:t>
            </w:r>
          </w:p>
        </w:tc>
        <w:tc>
          <w:tcPr>
            <w:tcW w:w="12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321</w:t>
            </w:r>
          </w:p>
        </w:tc>
        <w:tc>
          <w:tcPr>
            <w:tcW w:w="24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29,277</w:t>
            </w:r>
          </w:p>
        </w:tc>
        <w:tc>
          <w:tcPr>
            <w:tcW w:w="24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29,275</w:t>
            </w:r>
          </w:p>
        </w:tc>
        <w:tc>
          <w:tcPr>
            <w:tcW w:w="100" w:type="dxa"/>
            <w:vAlign w:val="bottom"/>
            <w:shd w:val="clear" w:color="auto" w:fill="CFF0FC"/>
          </w:tcPr>
          <w:p>
            <w:pPr>
              <w:spacing w:after="0"/>
              <w:rPr>
                <w:sz w:val="12"/>
                <w:szCs w:val="12"/>
                <w:color w:val="auto"/>
              </w:rPr>
            </w:pPr>
          </w:p>
        </w:tc>
      </w:tr>
      <w:tr>
        <w:trPr>
          <w:trHeight w:val="149"/>
        </w:trPr>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44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AAPC Holdings LLC.</w:t>
            </w:r>
            <w:r>
              <w:rPr>
                <w:rFonts w:ascii="Arial" w:cs="Arial" w:eastAsia="Arial" w:hAnsi="Arial"/>
                <w:sz w:val="10"/>
                <w:szCs w:val="10"/>
                <w:color w:val="auto"/>
              </w:rPr>
              <w:t>(8)(13)(21)(22)</w:t>
            </w:r>
          </w:p>
        </w:tc>
        <w:tc>
          <w:tcPr>
            <w:tcW w:w="20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Class A Preferred Units; 18% PIK;</w:t>
            </w:r>
          </w:p>
        </w:tc>
        <w:tc>
          <w:tcPr>
            <w:tcW w:w="1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44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Healthcare &amp; Pharmaceuticals</w:t>
            </w:r>
          </w:p>
        </w:tc>
        <w:tc>
          <w:tcPr>
            <w:tcW w:w="208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No maturity</w:t>
            </w: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6/27/2019</w:t>
            </w:r>
          </w:p>
        </w:tc>
        <w:tc>
          <w:tcPr>
            <w:tcW w:w="12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5,500,000</w:t>
            </w:r>
          </w:p>
        </w:tc>
        <w:tc>
          <w:tcPr>
            <w:tcW w:w="24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5,500,000</w:t>
            </w:r>
          </w:p>
        </w:tc>
        <w:tc>
          <w:tcPr>
            <w:tcW w:w="24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5,500,000</w:t>
            </w:r>
          </w:p>
        </w:tc>
        <w:tc>
          <w:tcPr>
            <w:tcW w:w="100" w:type="dxa"/>
            <w:vAlign w:val="bottom"/>
            <w:shd w:val="clear" w:color="auto" w:fill="CFF0FC"/>
          </w:tcPr>
          <w:p>
            <w:pPr>
              <w:spacing w:after="0"/>
              <w:rPr>
                <w:sz w:val="12"/>
                <w:szCs w:val="12"/>
                <w:color w:val="auto"/>
              </w:rPr>
            </w:pPr>
          </w:p>
        </w:tc>
      </w:tr>
      <w:tr>
        <w:trPr>
          <w:trHeight w:val="149"/>
        </w:trPr>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44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Advantage Capital Holdings LLC</w:t>
            </w:r>
            <w:r>
              <w:rPr>
                <w:rFonts w:ascii="Arial" w:cs="Arial" w:eastAsia="Arial" w:hAnsi="Arial"/>
                <w:sz w:val="10"/>
                <w:szCs w:val="10"/>
                <w:color w:val="auto"/>
              </w:rPr>
              <w:t>(8)(13)(19)(22)</w:t>
            </w:r>
          </w:p>
        </w:tc>
        <w:tc>
          <w:tcPr>
            <w:tcW w:w="20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Class A Membership Units</w:t>
            </w:r>
          </w:p>
        </w:tc>
        <w:tc>
          <w:tcPr>
            <w:tcW w:w="1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4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Banking, Finance, Insurance &amp; Real Estate</w:t>
            </w:r>
          </w:p>
        </w:tc>
        <w:tc>
          <w:tcPr>
            <w:tcW w:w="19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2/14/2020</w:t>
            </w:r>
          </w:p>
        </w:tc>
        <w:tc>
          <w:tcPr>
            <w:tcW w:w="12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628</w:t>
            </w:r>
          </w:p>
        </w:tc>
        <w:tc>
          <w:tcPr>
            <w:tcW w:w="240" w:type="dxa"/>
            <w:vAlign w:val="bottom"/>
            <w:shd w:val="clear" w:color="auto" w:fill="CFF0FC"/>
          </w:tcPr>
          <w:p>
            <w:pPr>
              <w:spacing w:after="0"/>
              <w:rPr>
                <w:sz w:val="12"/>
                <w:szCs w:val="12"/>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48"/>
        </w:trPr>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44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 xml:space="preserve">Anthem Sports &amp; Entertainment Inc. </w:t>
            </w:r>
            <w:r>
              <w:rPr>
                <w:rFonts w:ascii="Arial" w:cs="Arial" w:eastAsia="Arial" w:hAnsi="Arial"/>
                <w:sz w:val="10"/>
                <w:szCs w:val="10"/>
                <w:color w:val="auto"/>
              </w:rPr>
              <w:t>(8)(13)(19)(21)</w:t>
            </w:r>
          </w:p>
        </w:tc>
        <w:tc>
          <w:tcPr>
            <w:tcW w:w="20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Warrant Class A, 9/29 maturity</w:t>
            </w:r>
          </w:p>
        </w:tc>
        <w:tc>
          <w:tcPr>
            <w:tcW w:w="1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4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Media: Broadcasting &amp; Subscription</w:t>
            </w:r>
          </w:p>
        </w:tc>
        <w:tc>
          <w:tcPr>
            <w:tcW w:w="19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9/9/2019</w:t>
            </w:r>
          </w:p>
        </w:tc>
        <w:tc>
          <w:tcPr>
            <w:tcW w:w="12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263</w:t>
            </w:r>
          </w:p>
        </w:tc>
        <w:tc>
          <w:tcPr>
            <w:tcW w:w="24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46,371</w:t>
            </w:r>
          </w:p>
        </w:tc>
        <w:tc>
          <w:tcPr>
            <w:tcW w:w="24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10,611</w:t>
            </w:r>
          </w:p>
        </w:tc>
        <w:tc>
          <w:tcPr>
            <w:tcW w:w="100" w:type="dxa"/>
            <w:vAlign w:val="bottom"/>
            <w:shd w:val="clear" w:color="auto" w:fill="CFF0FC"/>
          </w:tcPr>
          <w:p>
            <w:pPr>
              <w:spacing w:after="0"/>
              <w:rPr>
                <w:sz w:val="12"/>
                <w:szCs w:val="12"/>
                <w:color w:val="auto"/>
              </w:rPr>
            </w:pPr>
          </w:p>
        </w:tc>
      </w:tr>
      <w:tr>
        <w:trPr>
          <w:trHeight w:val="148"/>
        </w:trPr>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44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 xml:space="preserve">Anthem Sports &amp; Entertainment Inc. </w:t>
            </w:r>
            <w:r>
              <w:rPr>
                <w:rFonts w:ascii="Arial" w:cs="Arial" w:eastAsia="Arial" w:hAnsi="Arial"/>
                <w:sz w:val="10"/>
                <w:szCs w:val="10"/>
                <w:color w:val="auto"/>
              </w:rPr>
              <w:t>(8)(13)(19)(21)</w:t>
            </w:r>
          </w:p>
        </w:tc>
        <w:tc>
          <w:tcPr>
            <w:tcW w:w="20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Warrant Class B, 9/29 maturity</w:t>
            </w:r>
          </w:p>
        </w:tc>
        <w:tc>
          <w:tcPr>
            <w:tcW w:w="1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4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Media: Broadcasting &amp; Subscription</w:t>
            </w:r>
          </w:p>
        </w:tc>
        <w:tc>
          <w:tcPr>
            <w:tcW w:w="19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9/9/2019</w:t>
            </w:r>
          </w:p>
        </w:tc>
        <w:tc>
          <w:tcPr>
            <w:tcW w:w="12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w:t>
            </w:r>
          </w:p>
        </w:tc>
        <w:tc>
          <w:tcPr>
            <w:tcW w:w="240" w:type="dxa"/>
            <w:vAlign w:val="bottom"/>
            <w:shd w:val="clear" w:color="auto" w:fill="CFF0FC"/>
          </w:tcPr>
          <w:p>
            <w:pPr>
              <w:spacing w:after="0"/>
              <w:rPr>
                <w:sz w:val="12"/>
                <w:szCs w:val="12"/>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49"/>
        </w:trPr>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44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 xml:space="preserve">Anthem Sports &amp; Entertainment Inc. </w:t>
            </w:r>
            <w:r>
              <w:rPr>
                <w:rFonts w:ascii="Arial" w:cs="Arial" w:eastAsia="Arial" w:hAnsi="Arial"/>
                <w:sz w:val="10"/>
                <w:szCs w:val="10"/>
                <w:color w:val="auto"/>
              </w:rPr>
              <w:t>(8)(13)(19)(21)</w:t>
            </w:r>
          </w:p>
        </w:tc>
        <w:tc>
          <w:tcPr>
            <w:tcW w:w="20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Warrant Common Stock, 9/29</w:t>
            </w:r>
          </w:p>
        </w:tc>
        <w:tc>
          <w:tcPr>
            <w:tcW w:w="1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4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Media: Broadcasting &amp; Subscription</w:t>
            </w:r>
          </w:p>
        </w:tc>
        <w:tc>
          <w:tcPr>
            <w:tcW w:w="208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maturity</w:t>
            </w: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9/9/2019</w:t>
            </w:r>
          </w:p>
        </w:tc>
        <w:tc>
          <w:tcPr>
            <w:tcW w:w="12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859</w:t>
            </w:r>
          </w:p>
        </w:tc>
        <w:tc>
          <w:tcPr>
            <w:tcW w:w="240" w:type="dxa"/>
            <w:vAlign w:val="bottom"/>
            <w:shd w:val="clear" w:color="auto" w:fill="CFF0FC"/>
          </w:tcPr>
          <w:p>
            <w:pPr>
              <w:spacing w:after="0"/>
              <w:rPr>
                <w:sz w:val="12"/>
                <w:szCs w:val="12"/>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49"/>
        </w:trPr>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44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ATP Oil &amp; Gas Corporation</w:t>
            </w:r>
            <w:r>
              <w:rPr>
                <w:rFonts w:ascii="Arial" w:cs="Arial" w:eastAsia="Arial" w:hAnsi="Arial"/>
                <w:sz w:val="10"/>
                <w:szCs w:val="10"/>
                <w:color w:val="auto"/>
              </w:rPr>
              <w:t>(8)(12)(19)</w:t>
            </w:r>
          </w:p>
        </w:tc>
        <w:tc>
          <w:tcPr>
            <w:tcW w:w="20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Limited Term Royalty Interest</w:t>
            </w:r>
          </w:p>
        </w:tc>
        <w:tc>
          <w:tcPr>
            <w:tcW w:w="1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4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Energy: Oil &amp; Gas</w:t>
            </w:r>
          </w:p>
        </w:tc>
        <w:tc>
          <w:tcPr>
            <w:tcW w:w="19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12/18/2019</w:t>
            </w:r>
          </w:p>
        </w:tc>
        <w:tc>
          <w:tcPr>
            <w:tcW w:w="12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1,808,203</w:t>
            </w:r>
          </w:p>
        </w:tc>
        <w:tc>
          <w:tcPr>
            <w:tcW w:w="24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1,808,073</w:t>
            </w:r>
          </w:p>
        </w:tc>
        <w:tc>
          <w:tcPr>
            <w:tcW w:w="24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2,137,739</w:t>
            </w:r>
          </w:p>
        </w:tc>
        <w:tc>
          <w:tcPr>
            <w:tcW w:w="100" w:type="dxa"/>
            <w:vAlign w:val="bottom"/>
            <w:shd w:val="clear" w:color="auto" w:fill="CFF0FC"/>
          </w:tcPr>
          <w:p>
            <w:pPr>
              <w:spacing w:after="0"/>
              <w:rPr>
                <w:sz w:val="12"/>
                <w:szCs w:val="12"/>
                <w:color w:val="auto"/>
              </w:rPr>
            </w:pPr>
          </w:p>
        </w:tc>
      </w:tr>
      <w:tr>
        <w:trPr>
          <w:trHeight w:val="148"/>
        </w:trPr>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44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 xml:space="preserve">Centric Brands Inc. </w:t>
            </w:r>
            <w:r>
              <w:rPr>
                <w:rFonts w:ascii="Arial" w:cs="Arial" w:eastAsia="Arial" w:hAnsi="Arial"/>
                <w:sz w:val="10"/>
                <w:szCs w:val="10"/>
                <w:color w:val="auto"/>
              </w:rPr>
              <w:t>(8)(13)(19)</w:t>
            </w:r>
          </w:p>
        </w:tc>
        <w:tc>
          <w:tcPr>
            <w:tcW w:w="20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Common</w:t>
            </w:r>
          </w:p>
        </w:tc>
        <w:tc>
          <w:tcPr>
            <w:tcW w:w="1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4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Machinery (Non-Agrclt/Constr/Electr)</w:t>
            </w:r>
          </w:p>
        </w:tc>
        <w:tc>
          <w:tcPr>
            <w:tcW w:w="19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36,342</w:t>
            </w:r>
          </w:p>
        </w:tc>
        <w:tc>
          <w:tcPr>
            <w:tcW w:w="240" w:type="dxa"/>
            <w:vAlign w:val="bottom"/>
            <w:shd w:val="clear" w:color="auto" w:fill="CFF0FC"/>
          </w:tcPr>
          <w:p>
            <w:pPr>
              <w:spacing w:after="0"/>
              <w:rPr>
                <w:sz w:val="12"/>
                <w:szCs w:val="12"/>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31,799</w:t>
            </w:r>
          </w:p>
        </w:tc>
        <w:tc>
          <w:tcPr>
            <w:tcW w:w="100" w:type="dxa"/>
            <w:vAlign w:val="bottom"/>
            <w:shd w:val="clear" w:color="auto" w:fill="CFF0FC"/>
          </w:tcPr>
          <w:p>
            <w:pPr>
              <w:spacing w:after="0"/>
              <w:rPr>
                <w:sz w:val="12"/>
                <w:szCs w:val="12"/>
                <w:color w:val="auto"/>
              </w:rPr>
            </w:pPr>
          </w:p>
        </w:tc>
      </w:tr>
      <w:tr>
        <w:trPr>
          <w:trHeight w:val="148"/>
        </w:trPr>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44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eInstruction Acquisition, LLC</w:t>
            </w:r>
            <w:r>
              <w:rPr>
                <w:rFonts w:ascii="Arial" w:cs="Arial" w:eastAsia="Arial" w:hAnsi="Arial"/>
                <w:sz w:val="10"/>
                <w:szCs w:val="10"/>
                <w:color w:val="auto"/>
              </w:rPr>
              <w:t>(8)(13)(19)</w:t>
            </w:r>
          </w:p>
        </w:tc>
        <w:tc>
          <w:tcPr>
            <w:tcW w:w="20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Membership Units</w:t>
            </w:r>
          </w:p>
        </w:tc>
        <w:tc>
          <w:tcPr>
            <w:tcW w:w="1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4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Services: Business</w:t>
            </w:r>
          </w:p>
        </w:tc>
        <w:tc>
          <w:tcPr>
            <w:tcW w:w="19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7/2/2007</w:t>
            </w:r>
          </w:p>
        </w:tc>
        <w:tc>
          <w:tcPr>
            <w:tcW w:w="12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1,076</w:t>
            </w:r>
          </w:p>
        </w:tc>
        <w:tc>
          <w:tcPr>
            <w:tcW w:w="24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1,079,617</w:t>
            </w:r>
          </w:p>
        </w:tc>
        <w:tc>
          <w:tcPr>
            <w:tcW w:w="24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FF0FC"/>
          </w:tcPr>
          <w:p>
            <w:pPr>
              <w:spacing w:after="0"/>
              <w:rPr>
                <w:sz w:val="12"/>
                <w:szCs w:val="12"/>
                <w:color w:val="auto"/>
              </w:rPr>
            </w:pPr>
          </w:p>
        </w:tc>
      </w:tr>
      <w:tr>
        <w:trPr>
          <w:trHeight w:val="149"/>
        </w:trPr>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44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EJF Investments Ltd.</w:t>
            </w:r>
            <w:r>
              <w:rPr>
                <w:rFonts w:ascii="Arial" w:cs="Arial" w:eastAsia="Arial" w:hAnsi="Arial"/>
                <w:sz w:val="10"/>
                <w:szCs w:val="10"/>
                <w:color w:val="auto"/>
              </w:rPr>
              <w:t>(3)(19)</w:t>
            </w:r>
          </w:p>
        </w:tc>
        <w:tc>
          <w:tcPr>
            <w:tcW w:w="20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Preferred Equity, 0%; 6/25 maturity</w:t>
            </w:r>
          </w:p>
        </w:tc>
        <w:tc>
          <w:tcPr>
            <w:tcW w:w="1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4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Services: Business</w:t>
            </w:r>
          </w:p>
        </w:tc>
        <w:tc>
          <w:tcPr>
            <w:tcW w:w="19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6/17/2020</w:t>
            </w:r>
          </w:p>
        </w:tc>
        <w:tc>
          <w:tcPr>
            <w:tcW w:w="12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1,380,000</w:t>
            </w:r>
          </w:p>
        </w:tc>
        <w:tc>
          <w:tcPr>
            <w:tcW w:w="24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1,256,485</w:t>
            </w:r>
          </w:p>
        </w:tc>
        <w:tc>
          <w:tcPr>
            <w:tcW w:w="24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1,406,376</w:t>
            </w:r>
          </w:p>
        </w:tc>
        <w:tc>
          <w:tcPr>
            <w:tcW w:w="100" w:type="dxa"/>
            <w:vAlign w:val="bottom"/>
            <w:shd w:val="clear" w:color="auto" w:fill="CFF0FC"/>
          </w:tcPr>
          <w:p>
            <w:pPr>
              <w:spacing w:after="0"/>
              <w:rPr>
                <w:sz w:val="12"/>
                <w:szCs w:val="12"/>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49"/>
        </w:trPr>
        <w:tc>
          <w:tcPr>
            <w:tcW w:w="3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gridSpan w:val="3"/>
          </w:tcPr>
          <w:p>
            <w:pPr>
              <w:jc w:val="center"/>
              <w:ind w:right="237"/>
              <w:spacing w:after="0"/>
              <w:rPr>
                <w:sz w:val="20"/>
                <w:szCs w:val="20"/>
                <w:color w:val="auto"/>
              </w:rPr>
            </w:pPr>
            <w:r>
              <w:rPr>
                <w:rFonts w:ascii="Arial" w:cs="Arial" w:eastAsia="Arial" w:hAnsi="Arial"/>
                <w:sz w:val="13"/>
                <w:szCs w:val="13"/>
                <w:b w:val="1"/>
                <w:bCs w:val="1"/>
                <w:color w:val="auto"/>
                <w:w w:val="94"/>
              </w:rPr>
              <w:t>Initial</w:t>
            </w: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35"/>
        </w:trPr>
        <w:tc>
          <w:tcPr>
            <w:tcW w:w="344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Portfolio Company /</w:t>
            </w:r>
          </w:p>
        </w:tc>
        <w:tc>
          <w:tcPr>
            <w:tcW w:w="1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20" w:type="dxa"/>
            <w:vAlign w:val="bottom"/>
            <w:gridSpan w:val="3"/>
          </w:tcPr>
          <w:p>
            <w:pPr>
              <w:jc w:val="center"/>
              <w:ind w:right="257"/>
              <w:spacing w:after="0" w:line="135" w:lineRule="exact"/>
              <w:rPr>
                <w:sz w:val="20"/>
                <w:szCs w:val="20"/>
                <w:color w:val="auto"/>
              </w:rPr>
            </w:pPr>
            <w:r>
              <w:rPr>
                <w:rFonts w:ascii="Arial" w:cs="Arial" w:eastAsia="Arial" w:hAnsi="Arial"/>
                <w:sz w:val="13"/>
                <w:szCs w:val="13"/>
                <w:b w:val="1"/>
                <w:bCs w:val="1"/>
                <w:color w:val="auto"/>
                <w:w w:val="87"/>
              </w:rPr>
              <w:t>Acquisition</w:t>
            </w:r>
          </w:p>
        </w:tc>
        <w:tc>
          <w:tcPr>
            <w:tcW w:w="1060" w:type="dxa"/>
            <w:vAlign w:val="bottom"/>
          </w:tcPr>
          <w:p>
            <w:pPr>
              <w:jc w:val="right"/>
              <w:ind w:right="197"/>
              <w:spacing w:after="0" w:line="135" w:lineRule="exact"/>
              <w:rPr>
                <w:sz w:val="20"/>
                <w:szCs w:val="20"/>
                <w:color w:val="auto"/>
              </w:rPr>
            </w:pPr>
            <w:r>
              <w:rPr>
                <w:rFonts w:ascii="Arial" w:cs="Arial" w:eastAsia="Arial" w:hAnsi="Arial"/>
                <w:sz w:val="13"/>
                <w:szCs w:val="13"/>
                <w:b w:val="1"/>
                <w:bCs w:val="1"/>
                <w:color w:val="auto"/>
              </w:rPr>
              <w:t>Quantity/Par</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3"/>
        </w:trPr>
        <w:tc>
          <w:tcPr>
            <w:tcW w:w="3440" w:type="dxa"/>
            <w:vAlign w:val="bottom"/>
            <w:gridSpan w:val="2"/>
          </w:tcPr>
          <w:p>
            <w:pPr>
              <w:spacing w:after="0"/>
              <w:rPr>
                <w:sz w:val="20"/>
                <w:szCs w:val="20"/>
                <w:color w:val="auto"/>
              </w:rPr>
            </w:pPr>
            <w:r>
              <w:rPr>
                <w:rFonts w:ascii="Arial" w:cs="Arial" w:eastAsia="Arial" w:hAnsi="Arial"/>
                <w:sz w:val="13"/>
                <w:szCs w:val="13"/>
                <w:b w:val="1"/>
                <w:bCs w:val="1"/>
                <w:color w:val="auto"/>
              </w:rPr>
              <w:t>Principal Business</w:t>
            </w:r>
          </w:p>
        </w:tc>
        <w:tc>
          <w:tcPr>
            <w:tcW w:w="2080" w:type="dxa"/>
            <w:vAlign w:val="bottom"/>
            <w:gridSpan w:val="2"/>
          </w:tcPr>
          <w:p>
            <w:pPr>
              <w:ind w:left="600"/>
              <w:spacing w:after="0"/>
              <w:rPr>
                <w:sz w:val="20"/>
                <w:szCs w:val="20"/>
                <w:color w:val="auto"/>
              </w:rPr>
            </w:pPr>
            <w:r>
              <w:rPr>
                <w:rFonts w:ascii="Arial" w:cs="Arial" w:eastAsia="Arial" w:hAnsi="Arial"/>
                <w:sz w:val="13"/>
                <w:szCs w:val="13"/>
                <w:b w:val="1"/>
                <w:bCs w:val="1"/>
                <w:color w:val="auto"/>
              </w:rPr>
              <w:t>Investment</w:t>
            </w:r>
            <w:r>
              <w:rPr>
                <w:rFonts w:ascii="Arial" w:cs="Arial" w:eastAsia="Arial" w:hAnsi="Arial"/>
                <w:sz w:val="10"/>
                <w:szCs w:val="10"/>
                <w:b w:val="1"/>
                <w:bCs w:val="1"/>
                <w:color w:val="auto"/>
              </w:rPr>
              <w:t>15</w:t>
            </w:r>
          </w:p>
        </w:tc>
        <w:tc>
          <w:tcPr>
            <w:tcW w:w="1620" w:type="dxa"/>
            <w:vAlign w:val="bottom"/>
            <w:gridSpan w:val="3"/>
          </w:tcPr>
          <w:p>
            <w:pPr>
              <w:jc w:val="center"/>
              <w:ind w:right="237"/>
              <w:spacing w:after="0"/>
              <w:rPr>
                <w:sz w:val="20"/>
                <w:szCs w:val="20"/>
                <w:color w:val="auto"/>
              </w:rPr>
            </w:pPr>
            <w:r>
              <w:rPr>
                <w:rFonts w:ascii="Arial" w:cs="Arial" w:eastAsia="Arial" w:hAnsi="Arial"/>
                <w:sz w:val="13"/>
                <w:szCs w:val="13"/>
                <w:b w:val="1"/>
                <w:bCs w:val="1"/>
                <w:color w:val="auto"/>
                <w:w w:val="85"/>
              </w:rPr>
              <w:t>Date</w:t>
            </w:r>
          </w:p>
        </w:tc>
        <w:tc>
          <w:tcPr>
            <w:tcW w:w="1060" w:type="dxa"/>
            <w:vAlign w:val="bottom"/>
          </w:tcPr>
          <w:p>
            <w:pPr>
              <w:jc w:val="right"/>
              <w:ind w:right="357"/>
              <w:spacing w:after="0"/>
              <w:rPr>
                <w:sz w:val="20"/>
                <w:szCs w:val="20"/>
                <w:color w:val="auto"/>
              </w:rPr>
            </w:pPr>
            <w:r>
              <w:rPr>
                <w:rFonts w:ascii="Arial" w:cs="Arial" w:eastAsia="Arial" w:hAnsi="Arial"/>
                <w:sz w:val="13"/>
                <w:szCs w:val="13"/>
                <w:b w:val="1"/>
                <w:bCs w:val="1"/>
                <w:color w:val="auto"/>
              </w:rPr>
              <w:t>/Shares</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ind w:right="437"/>
              <w:spacing w:after="0"/>
              <w:rPr>
                <w:sz w:val="20"/>
                <w:szCs w:val="20"/>
                <w:color w:val="auto"/>
              </w:rPr>
            </w:pPr>
            <w:r>
              <w:rPr>
                <w:rFonts w:ascii="Arial" w:cs="Arial" w:eastAsia="Arial" w:hAnsi="Arial"/>
                <w:sz w:val="13"/>
                <w:szCs w:val="13"/>
                <w:b w:val="1"/>
                <w:bCs w:val="1"/>
                <w:color w:val="auto"/>
              </w:rPr>
              <w:t>Cost</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tcPr>
          <w:p>
            <w:pPr>
              <w:ind w:left="120"/>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0"/>
                <w:szCs w:val="10"/>
                <w:b w:val="1"/>
                <w:bCs w:val="1"/>
                <w:color w:val="auto"/>
              </w:rPr>
              <w:t>2</w:t>
            </w:r>
          </w:p>
        </w:tc>
      </w:tr>
      <w:tr>
        <w:trPr>
          <w:trHeight w:val="128"/>
        </w:trPr>
        <w:tc>
          <w:tcPr>
            <w:tcW w:w="330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Emtec, Inc.</w:t>
            </w:r>
            <w:r>
              <w:rPr>
                <w:rFonts w:ascii="Arial" w:cs="Arial" w:eastAsia="Arial" w:hAnsi="Arial"/>
                <w:sz w:val="10"/>
                <w:szCs w:val="10"/>
                <w:color w:val="auto"/>
              </w:rPr>
              <w:t>(8)(13)(19)</w:t>
            </w:r>
          </w:p>
        </w:tc>
        <w:tc>
          <w:tcPr>
            <w:tcW w:w="140" w:type="dxa"/>
            <w:vAlign w:val="bottom"/>
            <w:tcBorders>
              <w:top w:val="single" w:sz="8" w:color="CFF0FC"/>
            </w:tcBorders>
            <w:shd w:val="clear" w:color="auto" w:fill="CFF0FC"/>
          </w:tcPr>
          <w:p>
            <w:pPr>
              <w:spacing w:after="0"/>
              <w:rPr>
                <w:sz w:val="11"/>
                <w:szCs w:val="11"/>
                <w:color w:val="auto"/>
              </w:rPr>
            </w:pPr>
          </w:p>
        </w:tc>
        <w:tc>
          <w:tcPr>
            <w:tcW w:w="194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Preferred Equity</w:t>
            </w:r>
          </w:p>
        </w:tc>
        <w:tc>
          <w:tcPr>
            <w:tcW w:w="140" w:type="dxa"/>
            <w:vAlign w:val="bottom"/>
            <w:tcBorders>
              <w:top w:val="single" w:sz="8" w:color="CFF0FC"/>
            </w:tcBorders>
            <w:shd w:val="clear" w:color="auto" w:fill="CFF0FC"/>
          </w:tcPr>
          <w:p>
            <w:pPr>
              <w:spacing w:after="0"/>
              <w:rPr>
                <w:sz w:val="11"/>
                <w:szCs w:val="11"/>
                <w:color w:val="auto"/>
              </w:rPr>
            </w:pPr>
          </w:p>
        </w:tc>
        <w:tc>
          <w:tcPr>
            <w:tcW w:w="134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106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280" w:type="dxa"/>
            <w:vAlign w:val="bottom"/>
            <w:tcBorders>
              <w:top w:val="single" w:sz="8" w:color="auto"/>
            </w:tcBorders>
            <w:shd w:val="clear" w:color="auto" w:fill="CFF0FC"/>
          </w:tcPr>
          <w:p>
            <w:pPr>
              <w:spacing w:after="0"/>
              <w:rPr>
                <w:sz w:val="11"/>
                <w:szCs w:val="11"/>
                <w:color w:val="auto"/>
              </w:rPr>
            </w:pPr>
          </w:p>
        </w:tc>
        <w:tc>
          <w:tcPr>
            <w:tcW w:w="94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106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r>
      <w:tr>
        <w:trPr>
          <w:trHeight w:val="149"/>
        </w:trPr>
        <w:tc>
          <w:tcPr>
            <w:tcW w:w="34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Services: Business</w:t>
            </w:r>
          </w:p>
        </w:tc>
        <w:tc>
          <w:tcPr>
            <w:tcW w:w="19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319,357</w:t>
            </w: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49"/>
        </w:trPr>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44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Oneida Group, Inc.</w:t>
            </w:r>
            <w:r>
              <w:rPr>
                <w:rFonts w:ascii="Arial" w:cs="Arial" w:eastAsia="Arial" w:hAnsi="Arial"/>
                <w:sz w:val="10"/>
                <w:szCs w:val="10"/>
                <w:color w:val="auto"/>
              </w:rPr>
              <w:t>(8)(13)(19)</w:t>
            </w:r>
          </w:p>
        </w:tc>
        <w:tc>
          <w:tcPr>
            <w:tcW w:w="20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Common</w:t>
            </w:r>
          </w:p>
        </w:tc>
        <w:tc>
          <w:tcPr>
            <w:tcW w:w="1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4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Consumer goods: Durable</w:t>
            </w:r>
          </w:p>
        </w:tc>
        <w:tc>
          <w:tcPr>
            <w:tcW w:w="19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1,085,565</w:t>
            </w: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345,834</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1,096,436</w:t>
            </w:r>
          </w:p>
        </w:tc>
        <w:tc>
          <w:tcPr>
            <w:tcW w:w="100" w:type="dxa"/>
            <w:vAlign w:val="bottom"/>
            <w:shd w:val="clear" w:color="auto" w:fill="CFF0FC"/>
          </w:tcPr>
          <w:p>
            <w:pPr>
              <w:spacing w:after="0"/>
              <w:rPr>
                <w:sz w:val="12"/>
                <w:szCs w:val="12"/>
                <w:color w:val="auto"/>
              </w:rPr>
            </w:pPr>
          </w:p>
        </w:tc>
      </w:tr>
      <w:tr>
        <w:trPr>
          <w:trHeight w:val="148"/>
        </w:trPr>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44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Faraday Holdings LLC.</w:t>
            </w:r>
            <w:r>
              <w:rPr>
                <w:rFonts w:ascii="Arial" w:cs="Arial" w:eastAsia="Arial" w:hAnsi="Arial"/>
                <w:sz w:val="10"/>
                <w:szCs w:val="10"/>
                <w:color w:val="auto"/>
              </w:rPr>
              <w:t>(8)(13)(19)</w:t>
            </w:r>
          </w:p>
        </w:tc>
        <w:tc>
          <w:tcPr>
            <w:tcW w:w="20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Class D Shares</w:t>
            </w:r>
          </w:p>
        </w:tc>
        <w:tc>
          <w:tcPr>
            <w:tcW w:w="1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4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Consumer goods: Durable</w:t>
            </w:r>
          </w:p>
        </w:tc>
        <w:tc>
          <w:tcPr>
            <w:tcW w:w="19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2,752</w:t>
            </w: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548,377</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986,187</w:t>
            </w:r>
          </w:p>
        </w:tc>
        <w:tc>
          <w:tcPr>
            <w:tcW w:w="100" w:type="dxa"/>
            <w:vAlign w:val="bottom"/>
            <w:shd w:val="clear" w:color="auto" w:fill="CFF0FC"/>
          </w:tcPr>
          <w:p>
            <w:pPr>
              <w:spacing w:after="0"/>
              <w:rPr>
                <w:sz w:val="12"/>
                <w:szCs w:val="12"/>
                <w:color w:val="auto"/>
              </w:rPr>
            </w:pPr>
          </w:p>
        </w:tc>
      </w:tr>
      <w:tr>
        <w:trPr>
          <w:trHeight w:val="148"/>
        </w:trPr>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44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FP WRCA Coinvestment Fund VII, Ltd.</w:t>
            </w:r>
            <w:r>
              <w:rPr>
                <w:rFonts w:ascii="Arial" w:cs="Arial" w:eastAsia="Arial" w:hAnsi="Arial"/>
                <w:sz w:val="10"/>
                <w:szCs w:val="10"/>
                <w:color w:val="auto"/>
              </w:rPr>
              <w:t>(3)(13)(19)</w:t>
            </w:r>
          </w:p>
        </w:tc>
        <w:tc>
          <w:tcPr>
            <w:tcW w:w="20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Class A Shares</w:t>
            </w:r>
          </w:p>
        </w:tc>
        <w:tc>
          <w:tcPr>
            <w:tcW w:w="1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4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Capital Equipment</w:t>
            </w:r>
          </w:p>
        </w:tc>
        <w:tc>
          <w:tcPr>
            <w:tcW w:w="19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2/2/2007</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1,500,000</w:t>
            </w: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1,500,000</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502,530</w:t>
            </w:r>
          </w:p>
        </w:tc>
        <w:tc>
          <w:tcPr>
            <w:tcW w:w="100" w:type="dxa"/>
            <w:vAlign w:val="bottom"/>
            <w:shd w:val="clear" w:color="auto" w:fill="CFF0FC"/>
          </w:tcPr>
          <w:p>
            <w:pPr>
              <w:spacing w:after="0"/>
              <w:rPr>
                <w:sz w:val="12"/>
                <w:szCs w:val="12"/>
                <w:color w:val="auto"/>
              </w:rPr>
            </w:pPr>
          </w:p>
        </w:tc>
      </w:tr>
      <w:tr>
        <w:trPr>
          <w:trHeight w:val="149"/>
        </w:trPr>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44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 xml:space="preserve">Fusion Connect, Inc. </w:t>
            </w:r>
            <w:r>
              <w:rPr>
                <w:rFonts w:ascii="Arial" w:cs="Arial" w:eastAsia="Arial" w:hAnsi="Arial"/>
                <w:sz w:val="10"/>
                <w:szCs w:val="10"/>
                <w:color w:val="auto"/>
              </w:rPr>
              <w:t>(8)(13)(19)</w:t>
            </w:r>
          </w:p>
        </w:tc>
        <w:tc>
          <w:tcPr>
            <w:tcW w:w="20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Common</w:t>
            </w:r>
          </w:p>
        </w:tc>
        <w:tc>
          <w:tcPr>
            <w:tcW w:w="1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4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Telecommunications</w:t>
            </w:r>
          </w:p>
        </w:tc>
        <w:tc>
          <w:tcPr>
            <w:tcW w:w="19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121,871</w:t>
            </w: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865,854</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764,131</w:t>
            </w:r>
          </w:p>
        </w:tc>
        <w:tc>
          <w:tcPr>
            <w:tcW w:w="100" w:type="dxa"/>
            <w:vAlign w:val="bottom"/>
            <w:shd w:val="clear" w:color="auto" w:fill="CFF0FC"/>
          </w:tcPr>
          <w:p>
            <w:pPr>
              <w:spacing w:after="0"/>
              <w:rPr>
                <w:sz w:val="12"/>
                <w:szCs w:val="12"/>
                <w:color w:val="auto"/>
              </w:rPr>
            </w:pPr>
          </w:p>
        </w:tc>
      </w:tr>
      <w:tr>
        <w:trPr>
          <w:trHeight w:val="148"/>
        </w:trPr>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44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 xml:space="preserve">GIG Rooster Holdings I, LLC </w:t>
            </w:r>
            <w:r>
              <w:rPr>
                <w:rFonts w:ascii="Arial" w:cs="Arial" w:eastAsia="Arial" w:hAnsi="Arial"/>
                <w:sz w:val="10"/>
                <w:szCs w:val="10"/>
                <w:color w:val="auto"/>
              </w:rPr>
              <w:t>(8)(13)(18)(19)</w:t>
            </w:r>
          </w:p>
        </w:tc>
        <w:tc>
          <w:tcPr>
            <w:tcW w:w="20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Common</w:t>
            </w:r>
          </w:p>
        </w:tc>
        <w:tc>
          <w:tcPr>
            <w:tcW w:w="1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4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Energy: Oil &amp; Gas</w:t>
            </w:r>
          </w:p>
        </w:tc>
        <w:tc>
          <w:tcPr>
            <w:tcW w:w="19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w:t>
            </w: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24,849</w:t>
            </w:r>
          </w:p>
        </w:tc>
        <w:tc>
          <w:tcPr>
            <w:tcW w:w="100" w:type="dxa"/>
            <w:vAlign w:val="bottom"/>
            <w:shd w:val="clear" w:color="auto" w:fill="CFF0FC"/>
          </w:tcPr>
          <w:p>
            <w:pPr>
              <w:spacing w:after="0"/>
              <w:rPr>
                <w:sz w:val="12"/>
                <w:szCs w:val="12"/>
                <w:color w:val="auto"/>
              </w:rPr>
            </w:pPr>
          </w:p>
        </w:tc>
      </w:tr>
      <w:tr>
        <w:trPr>
          <w:trHeight w:val="148"/>
        </w:trPr>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0"/>
        </w:trPr>
        <w:tc>
          <w:tcPr>
            <w:tcW w:w="3440" w:type="dxa"/>
            <w:vAlign w:val="bottom"/>
            <w:gridSpan w:val="2"/>
            <w:shd w:val="clear" w:color="auto" w:fill="CFF0FC"/>
          </w:tcPr>
          <w:p>
            <w:pPr>
              <w:spacing w:after="0" w:line="140" w:lineRule="exact"/>
              <w:rPr>
                <w:sz w:val="20"/>
                <w:szCs w:val="20"/>
                <w:color w:val="auto"/>
              </w:rPr>
            </w:pPr>
            <w:r>
              <w:rPr>
                <w:rFonts w:ascii="Arial" w:cs="Arial" w:eastAsia="Arial" w:hAnsi="Arial"/>
                <w:sz w:val="13"/>
                <w:szCs w:val="13"/>
                <w:color w:val="auto"/>
              </w:rPr>
              <w:t>New Millennium Holdco, Inc. (Millennium Health, LLC)</w:t>
            </w:r>
            <w:r>
              <w:rPr>
                <w:rFonts w:ascii="Arial" w:cs="Arial" w:eastAsia="Arial" w:hAnsi="Arial"/>
                <w:sz w:val="10"/>
                <w:szCs w:val="10"/>
                <w:color w:val="auto"/>
              </w:rPr>
              <w:t>(8)(13)</w:t>
            </w:r>
          </w:p>
        </w:tc>
        <w:tc>
          <w:tcPr>
            <w:tcW w:w="2080" w:type="dxa"/>
            <w:vAlign w:val="bottom"/>
            <w:gridSpan w:val="2"/>
            <w:shd w:val="clear" w:color="auto" w:fill="CFF0FC"/>
          </w:tcPr>
          <w:p>
            <w:pPr>
              <w:spacing w:after="0" w:line="140" w:lineRule="exact"/>
              <w:rPr>
                <w:sz w:val="20"/>
                <w:szCs w:val="20"/>
                <w:color w:val="auto"/>
              </w:rPr>
            </w:pPr>
            <w:r>
              <w:rPr>
                <w:rFonts w:ascii="Arial" w:cs="Arial" w:eastAsia="Arial" w:hAnsi="Arial"/>
                <w:sz w:val="13"/>
                <w:szCs w:val="13"/>
                <w:color w:val="auto"/>
              </w:rPr>
              <w:t>Common</w:t>
            </w:r>
          </w:p>
        </w:tc>
        <w:tc>
          <w:tcPr>
            <w:tcW w:w="1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16"/>
        </w:trPr>
        <w:tc>
          <w:tcPr>
            <w:tcW w:w="3300" w:type="dxa"/>
            <w:vAlign w:val="bottom"/>
            <w:shd w:val="clear" w:color="auto" w:fill="CFF0FC"/>
          </w:tcPr>
          <w:p>
            <w:pPr>
              <w:spacing w:after="0" w:line="116" w:lineRule="exact"/>
              <w:rPr>
                <w:sz w:val="20"/>
                <w:szCs w:val="20"/>
                <w:color w:val="auto"/>
              </w:rPr>
            </w:pPr>
            <w:r>
              <w:rPr>
                <w:rFonts w:ascii="Arial" w:cs="Arial" w:eastAsia="Arial" w:hAnsi="Arial"/>
                <w:sz w:val="11"/>
                <w:szCs w:val="11"/>
                <w:color w:val="auto"/>
              </w:rPr>
              <w:t>(19)</w:t>
            </w:r>
          </w:p>
        </w:tc>
        <w:tc>
          <w:tcPr>
            <w:tcW w:w="140" w:type="dxa"/>
            <w:vAlign w:val="bottom"/>
            <w:shd w:val="clear" w:color="auto" w:fill="CFF0FC"/>
          </w:tcPr>
          <w:p>
            <w:pPr>
              <w:spacing w:after="0"/>
              <w:rPr>
                <w:sz w:val="10"/>
                <w:szCs w:val="10"/>
                <w:color w:val="auto"/>
              </w:rPr>
            </w:pPr>
          </w:p>
        </w:tc>
        <w:tc>
          <w:tcPr>
            <w:tcW w:w="19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3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49"/>
        </w:trPr>
        <w:tc>
          <w:tcPr>
            <w:tcW w:w="34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Healthcare &amp; Pharmaceuticals</w:t>
            </w:r>
          </w:p>
        </w:tc>
        <w:tc>
          <w:tcPr>
            <w:tcW w:w="19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10/7/2014</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29,699</w:t>
            </w: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1,953,300</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FF0FC"/>
          </w:tcPr>
          <w:p>
            <w:pPr>
              <w:spacing w:after="0"/>
              <w:rPr>
                <w:sz w:val="12"/>
                <w:szCs w:val="12"/>
                <w:color w:val="auto"/>
              </w:rPr>
            </w:pPr>
          </w:p>
        </w:tc>
      </w:tr>
      <w:tr>
        <w:trPr>
          <w:trHeight w:val="149"/>
        </w:trPr>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44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Ohene Holdings B.V.</w:t>
            </w:r>
            <w:r>
              <w:rPr>
                <w:rFonts w:ascii="Arial" w:cs="Arial" w:eastAsia="Arial" w:hAnsi="Arial"/>
                <w:sz w:val="10"/>
                <w:szCs w:val="10"/>
                <w:color w:val="auto"/>
              </w:rPr>
              <w:t>(3)(13)(19)</w:t>
            </w:r>
          </w:p>
        </w:tc>
        <w:tc>
          <w:tcPr>
            <w:tcW w:w="20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Warrants</w:t>
            </w:r>
          </w:p>
        </w:tc>
        <w:tc>
          <w:tcPr>
            <w:tcW w:w="1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4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Services: Business</w:t>
            </w:r>
          </w:p>
        </w:tc>
        <w:tc>
          <w:tcPr>
            <w:tcW w:w="19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3/31/2019</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w:t>
            </w: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48"/>
        </w:trPr>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44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 xml:space="preserve">Prosper Marketplace </w:t>
            </w:r>
            <w:r>
              <w:rPr>
                <w:rFonts w:ascii="Arial" w:cs="Arial" w:eastAsia="Arial" w:hAnsi="Arial"/>
                <w:sz w:val="10"/>
                <w:szCs w:val="10"/>
                <w:color w:val="auto"/>
              </w:rPr>
              <w:t>(6)(13)(19)</w:t>
            </w:r>
          </w:p>
        </w:tc>
        <w:tc>
          <w:tcPr>
            <w:tcW w:w="20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Class B Preferred Units</w:t>
            </w:r>
          </w:p>
        </w:tc>
        <w:tc>
          <w:tcPr>
            <w:tcW w:w="1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4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Consumer goods: Durable</w:t>
            </w:r>
          </w:p>
        </w:tc>
        <w:tc>
          <w:tcPr>
            <w:tcW w:w="19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912,865</w:t>
            </w: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278,865</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319,503</w:t>
            </w:r>
          </w:p>
        </w:tc>
        <w:tc>
          <w:tcPr>
            <w:tcW w:w="100" w:type="dxa"/>
            <w:vAlign w:val="bottom"/>
            <w:shd w:val="clear" w:color="auto" w:fill="CFF0FC"/>
          </w:tcPr>
          <w:p>
            <w:pPr>
              <w:spacing w:after="0"/>
              <w:rPr>
                <w:sz w:val="12"/>
                <w:szCs w:val="12"/>
                <w:color w:val="auto"/>
              </w:rPr>
            </w:pPr>
          </w:p>
        </w:tc>
      </w:tr>
      <w:tr>
        <w:trPr>
          <w:trHeight w:val="148"/>
        </w:trPr>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44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Roscoe Investors, LLC</w:t>
            </w:r>
            <w:r>
              <w:rPr>
                <w:rFonts w:ascii="Arial" w:cs="Arial" w:eastAsia="Arial" w:hAnsi="Arial"/>
                <w:sz w:val="10"/>
                <w:szCs w:val="10"/>
                <w:color w:val="auto"/>
              </w:rPr>
              <w:t>(8)(13)(19)</w:t>
            </w:r>
          </w:p>
        </w:tc>
        <w:tc>
          <w:tcPr>
            <w:tcW w:w="20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Class A Units</w:t>
            </w:r>
          </w:p>
        </w:tc>
        <w:tc>
          <w:tcPr>
            <w:tcW w:w="1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44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Healthcare &amp; Pharmaceuticals</w:t>
            </w:r>
          </w:p>
        </w:tc>
        <w:tc>
          <w:tcPr>
            <w:tcW w:w="19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3/26/2014</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10,000</w:t>
            </w: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1,000,000</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454,000</w:t>
            </w:r>
          </w:p>
        </w:tc>
        <w:tc>
          <w:tcPr>
            <w:tcW w:w="100" w:type="dxa"/>
            <w:vAlign w:val="bottom"/>
            <w:shd w:val="clear" w:color="auto" w:fill="CFF0FC"/>
          </w:tcPr>
          <w:p>
            <w:pPr>
              <w:spacing w:after="0"/>
              <w:rPr>
                <w:sz w:val="12"/>
                <w:szCs w:val="12"/>
                <w:color w:val="auto"/>
              </w:rPr>
            </w:pPr>
          </w:p>
        </w:tc>
      </w:tr>
      <w:tr>
        <w:trPr>
          <w:trHeight w:val="149"/>
        </w:trPr>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44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Tank Partners Equipment Holdings, LLC</w:t>
            </w:r>
            <w:r>
              <w:rPr>
                <w:rFonts w:ascii="Arial" w:cs="Arial" w:eastAsia="Arial" w:hAnsi="Arial"/>
                <w:sz w:val="10"/>
                <w:szCs w:val="10"/>
                <w:color w:val="auto"/>
              </w:rPr>
              <w:t>(8)(9)(13)(16)(19)</w:t>
            </w:r>
          </w:p>
        </w:tc>
        <w:tc>
          <w:tcPr>
            <w:tcW w:w="20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Class A Units</w:t>
            </w:r>
          </w:p>
        </w:tc>
        <w:tc>
          <w:tcPr>
            <w:tcW w:w="1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4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Energy: Oil &amp; Gas</w:t>
            </w:r>
          </w:p>
        </w:tc>
        <w:tc>
          <w:tcPr>
            <w:tcW w:w="19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8/28/2014</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49,000</w:t>
            </w: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6,228,000</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48"/>
        </w:trPr>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44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TRSO II, Inc.</w:t>
            </w:r>
            <w:r>
              <w:rPr>
                <w:rFonts w:ascii="Arial" w:cs="Arial" w:eastAsia="Arial" w:hAnsi="Arial"/>
                <w:sz w:val="10"/>
                <w:szCs w:val="10"/>
                <w:color w:val="auto"/>
              </w:rPr>
              <w:t>(8)(13)(19)</w:t>
            </w:r>
          </w:p>
        </w:tc>
        <w:tc>
          <w:tcPr>
            <w:tcW w:w="20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Common Stock</w:t>
            </w:r>
          </w:p>
        </w:tc>
        <w:tc>
          <w:tcPr>
            <w:tcW w:w="1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4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Energy: Oil &amp; Gas</w:t>
            </w:r>
          </w:p>
        </w:tc>
        <w:tc>
          <w:tcPr>
            <w:tcW w:w="19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12/24/2012</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1,228</w:t>
            </w: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420,289</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48"/>
        </w:trPr>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44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Valterra Products Holdings, LLC</w:t>
            </w:r>
            <w:r>
              <w:rPr>
                <w:rFonts w:ascii="Arial" w:cs="Arial" w:eastAsia="Arial" w:hAnsi="Arial"/>
                <w:sz w:val="10"/>
                <w:szCs w:val="10"/>
                <w:color w:val="auto"/>
              </w:rPr>
              <w:t>(8)(13)(19)</w:t>
            </w:r>
          </w:p>
        </w:tc>
        <w:tc>
          <w:tcPr>
            <w:tcW w:w="20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Class A Units</w:t>
            </w:r>
          </w:p>
        </w:tc>
        <w:tc>
          <w:tcPr>
            <w:tcW w:w="1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4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Consumer goods: Durable</w:t>
            </w:r>
          </w:p>
        </w:tc>
        <w:tc>
          <w:tcPr>
            <w:tcW w:w="19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185,847</w:t>
            </w: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981,365</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1,247,034</w:t>
            </w:r>
          </w:p>
        </w:tc>
        <w:tc>
          <w:tcPr>
            <w:tcW w:w="100" w:type="dxa"/>
            <w:vAlign w:val="bottom"/>
            <w:shd w:val="clear" w:color="auto" w:fill="CFF0FC"/>
          </w:tcPr>
          <w:p>
            <w:pPr>
              <w:spacing w:after="0"/>
              <w:rPr>
                <w:sz w:val="12"/>
                <w:szCs w:val="12"/>
                <w:color w:val="auto"/>
              </w:rPr>
            </w:pPr>
          </w:p>
        </w:tc>
      </w:tr>
      <w:tr>
        <w:trPr>
          <w:trHeight w:val="148"/>
        </w:trPr>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44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Valterra Products Holdings, LLC</w:t>
            </w:r>
            <w:r>
              <w:rPr>
                <w:rFonts w:ascii="Arial" w:cs="Arial" w:eastAsia="Arial" w:hAnsi="Arial"/>
                <w:sz w:val="10"/>
                <w:szCs w:val="10"/>
                <w:color w:val="auto"/>
              </w:rPr>
              <w:t>(8)(13)(19)</w:t>
            </w:r>
          </w:p>
        </w:tc>
        <w:tc>
          <w:tcPr>
            <w:tcW w:w="20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Class B Units</w:t>
            </w:r>
          </w:p>
        </w:tc>
        <w:tc>
          <w:tcPr>
            <w:tcW w:w="1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4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Consumer goods: Durable</w:t>
            </w:r>
          </w:p>
        </w:tc>
        <w:tc>
          <w:tcPr>
            <w:tcW w:w="19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20,650</w:t>
            </w:r>
          </w:p>
        </w:tc>
        <w:tc>
          <w:tcPr>
            <w:tcW w:w="240" w:type="dxa"/>
            <w:vAlign w:val="bottom"/>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109,040</w:t>
            </w:r>
          </w:p>
        </w:tc>
        <w:tc>
          <w:tcPr>
            <w:tcW w:w="240" w:type="dxa"/>
            <w:vAlign w:val="bottom"/>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138,559</w:t>
            </w:r>
          </w:p>
        </w:tc>
        <w:tc>
          <w:tcPr>
            <w:tcW w:w="100" w:type="dxa"/>
            <w:vAlign w:val="bottom"/>
            <w:shd w:val="clear" w:color="auto" w:fill="CFF0FC"/>
          </w:tcPr>
          <w:p>
            <w:pPr>
              <w:spacing w:after="0"/>
              <w:rPr>
                <w:sz w:val="12"/>
                <w:szCs w:val="12"/>
                <w:color w:val="auto"/>
              </w:rPr>
            </w:pPr>
          </w:p>
        </w:tc>
      </w:tr>
      <w:tr>
        <w:trPr>
          <w:trHeight w:val="142"/>
        </w:trPr>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0"/>
        </w:trPr>
        <w:tc>
          <w:tcPr>
            <w:tcW w:w="3440" w:type="dxa"/>
            <w:vAlign w:val="bottom"/>
            <w:gridSpan w:val="2"/>
            <w:shd w:val="clear" w:color="auto" w:fill="CFF0FC"/>
          </w:tcPr>
          <w:p>
            <w:pPr>
              <w:spacing w:after="0" w:line="131" w:lineRule="exact"/>
              <w:rPr>
                <w:sz w:val="20"/>
                <w:szCs w:val="20"/>
                <w:color w:val="auto"/>
              </w:rPr>
            </w:pPr>
            <w:r>
              <w:rPr>
                <w:rFonts w:ascii="Arial" w:cs="Arial" w:eastAsia="Arial" w:hAnsi="Arial"/>
                <w:sz w:val="13"/>
                <w:szCs w:val="13"/>
                <w:b w:val="1"/>
                <w:bCs w:val="1"/>
                <w:color w:val="auto"/>
              </w:rPr>
              <w:t>Total Investment in Equity Securities</w:t>
            </w:r>
          </w:p>
        </w:tc>
        <w:tc>
          <w:tcPr>
            <w:tcW w:w="19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53"/>
        </w:trPr>
        <w:tc>
          <w:tcPr>
            <w:tcW w:w="3440" w:type="dxa"/>
            <w:vAlign w:val="bottom"/>
            <w:gridSpan w:val="2"/>
            <w:shd w:val="clear" w:color="auto" w:fill="CFF0FC"/>
          </w:tcPr>
          <w:p>
            <w:pPr>
              <w:ind w:left="100"/>
              <w:spacing w:after="0"/>
              <w:rPr>
                <w:sz w:val="20"/>
                <w:szCs w:val="20"/>
                <w:color w:val="auto"/>
              </w:rPr>
            </w:pPr>
            <w:r>
              <w:rPr>
                <w:rFonts w:ascii="Arial" w:cs="Arial" w:eastAsia="Arial" w:hAnsi="Arial"/>
                <w:sz w:val="13"/>
                <w:szCs w:val="13"/>
                <w:b w:val="1"/>
                <w:bCs w:val="1"/>
                <w:color w:val="auto"/>
              </w:rPr>
              <w:t>(7% of net asset value at fair value)</w:t>
            </w:r>
          </w:p>
        </w:tc>
        <w:tc>
          <w:tcPr>
            <w:tcW w:w="19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60" w:type="dxa"/>
            <w:vAlign w:val="bottom"/>
            <w:gridSpan w:val="2"/>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jc w:val="right"/>
              <w:ind w:right="17"/>
              <w:spacing w:after="0"/>
              <w:rPr>
                <w:sz w:val="20"/>
                <w:szCs w:val="20"/>
                <w:color w:val="auto"/>
              </w:rPr>
            </w:pPr>
            <w:r>
              <w:rPr>
                <w:rFonts w:ascii="Arial" w:cs="Arial" w:eastAsia="Arial" w:hAnsi="Arial"/>
                <w:sz w:val="13"/>
                <w:szCs w:val="13"/>
                <w:b w:val="1"/>
                <w:bCs w:val="1"/>
                <w:color w:val="auto"/>
                <w:w w:val="82"/>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12,966,675</w:t>
            </w:r>
          </w:p>
        </w:tc>
        <w:tc>
          <w:tcPr>
            <w:tcW w:w="240" w:type="dxa"/>
            <w:vAlign w:val="bottom"/>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jc w:val="right"/>
              <w:ind w:right="168"/>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23,950,747</w:t>
            </w:r>
          </w:p>
        </w:tc>
        <w:tc>
          <w:tcPr>
            <w:tcW w:w="24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0"/>
                <w:szCs w:val="10"/>
                <w:b w:val="1"/>
                <w:bCs w:val="1"/>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14,651,029</w:t>
            </w:r>
          </w:p>
        </w:tc>
        <w:tc>
          <w:tcPr>
            <w:tcW w:w="100" w:type="dxa"/>
            <w:vAlign w:val="bottom"/>
            <w:shd w:val="clear" w:color="auto" w:fill="CFF0FC"/>
          </w:tcPr>
          <w:p>
            <w:pPr>
              <w:spacing w:after="0"/>
              <w:rPr>
                <w:sz w:val="13"/>
                <w:szCs w:val="13"/>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 Subordinated Investments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Initial</w:t>
            </w:r>
          </w:p>
        </w:tc>
        <w:tc>
          <w:tcPr>
            <w:tcW w:w="138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Percentage</w:t>
            </w:r>
          </w:p>
        </w:tc>
        <w:tc>
          <w:tcPr>
            <w:tcW w:w="11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6"/>
              </w:rPr>
              <w:t>Amortized</w:t>
            </w:r>
          </w:p>
        </w:tc>
        <w:tc>
          <w:tcPr>
            <w:tcW w:w="220" w:type="dxa"/>
            <w:vAlign w:val="bottom"/>
          </w:tcPr>
          <w:p>
            <w:pPr>
              <w:spacing w:after="0"/>
              <w:rPr>
                <w:sz w:val="14"/>
                <w:szCs w:val="14"/>
                <w:color w:val="auto"/>
              </w:rPr>
            </w:pPr>
          </w:p>
        </w:tc>
        <w:tc>
          <w:tcPr>
            <w:tcW w:w="10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3200" w:type="dxa"/>
            <w:vAlign w:val="bottom"/>
            <w:gridSpan w:val="3"/>
            <w:vMerge w:val="restart"/>
          </w:tcPr>
          <w:p>
            <w:pPr>
              <w:ind w:left="940"/>
              <w:spacing w:after="0"/>
              <w:rPr>
                <w:sz w:val="20"/>
                <w:szCs w:val="20"/>
                <w:color w:val="auto"/>
              </w:rPr>
            </w:pPr>
            <w:r>
              <w:rPr>
                <w:rFonts w:ascii="Arial" w:cs="Arial" w:eastAsia="Arial" w:hAnsi="Arial"/>
                <w:sz w:val="14"/>
                <w:szCs w:val="14"/>
                <w:b w:val="1"/>
                <w:bCs w:val="1"/>
                <w:color w:val="auto"/>
              </w:rPr>
              <w:t>Portfolio Company</w:t>
            </w:r>
          </w:p>
        </w:tc>
        <w:tc>
          <w:tcPr>
            <w:tcW w:w="2980" w:type="dxa"/>
            <w:vAlign w:val="bottom"/>
            <w:gridSpan w:val="2"/>
            <w:vMerge w:val="restart"/>
          </w:tcPr>
          <w:p>
            <w:pPr>
              <w:ind w:left="940"/>
              <w:spacing w:after="0"/>
              <w:rPr>
                <w:sz w:val="20"/>
                <w:szCs w:val="20"/>
                <w:color w:val="auto"/>
              </w:rPr>
            </w:pPr>
            <w:r>
              <w:rPr>
                <w:rFonts w:ascii="Arial" w:cs="Arial" w:eastAsia="Arial" w:hAnsi="Arial"/>
                <w:sz w:val="14"/>
                <w:szCs w:val="14"/>
                <w:b w:val="1"/>
                <w:bCs w:val="1"/>
                <w:color w:val="auto"/>
              </w:rPr>
              <w:t>Investment</w:t>
            </w:r>
            <w:r>
              <w:rPr>
                <w:rFonts w:ascii="Arial" w:cs="Arial" w:eastAsia="Arial" w:hAnsi="Arial"/>
                <w:sz w:val="12"/>
                <w:szCs w:val="12"/>
                <w:b w:val="1"/>
                <w:bCs w:val="1"/>
                <w:color w:val="auto"/>
              </w:rPr>
              <w:t>15,11</w:t>
            </w:r>
          </w:p>
        </w:tc>
        <w:tc>
          <w:tcPr>
            <w:tcW w:w="12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1380" w:type="dxa"/>
            <w:vAlign w:val="bottom"/>
            <w:gridSpan w:val="3"/>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00" w:type="dxa"/>
            <w:vAlign w:val="bottom"/>
            <w:gridSpan w:val="3"/>
            <w:vMerge w:val="continue"/>
          </w:tcPr>
          <w:p>
            <w:pPr>
              <w:spacing w:after="0"/>
              <w:rPr>
                <w:sz w:val="14"/>
                <w:szCs w:val="14"/>
                <w:color w:val="auto"/>
              </w:rPr>
            </w:pPr>
          </w:p>
        </w:tc>
        <w:tc>
          <w:tcPr>
            <w:tcW w:w="2980" w:type="dxa"/>
            <w:vAlign w:val="bottom"/>
            <w:gridSpan w:val="2"/>
            <w:vMerge w:val="continue"/>
          </w:tcPr>
          <w:p>
            <w:pPr>
              <w:spacing w:after="0"/>
              <w:rPr>
                <w:sz w:val="14"/>
                <w:szCs w:val="14"/>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Date</w:t>
            </w:r>
          </w:p>
        </w:tc>
        <w:tc>
          <w:tcPr>
            <w:tcW w:w="1380" w:type="dxa"/>
            <w:vAlign w:val="bottom"/>
            <w:gridSpan w:val="3"/>
          </w:tcPr>
          <w:p>
            <w:pPr>
              <w:ind w:left="140"/>
              <w:spacing w:after="0"/>
              <w:rPr>
                <w:sz w:val="20"/>
                <w:szCs w:val="20"/>
                <w:color w:val="auto"/>
              </w:rPr>
            </w:pPr>
            <w:r>
              <w:rPr>
                <w:rFonts w:ascii="Arial" w:cs="Arial" w:eastAsia="Arial" w:hAnsi="Arial"/>
                <w:sz w:val="14"/>
                <w:szCs w:val="14"/>
                <w:b w:val="1"/>
                <w:bCs w:val="1"/>
                <w:color w:val="auto"/>
              </w:rPr>
              <w:t>Ownership</w:t>
            </w: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4"/>
                <w:szCs w:val="14"/>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r>
              <w:rPr>
                <w:rFonts w:ascii="Arial" w:cs="Arial" w:eastAsia="Arial" w:hAnsi="Arial"/>
                <w:sz w:val="12"/>
                <w:szCs w:val="12"/>
                <w:b w:val="1"/>
                <w:bCs w:val="1"/>
                <w:color w:val="auto"/>
                <w:w w:val="90"/>
              </w:rPr>
              <w:t>2</w:t>
            </w:r>
          </w:p>
        </w:tc>
        <w:tc>
          <w:tcPr>
            <w:tcW w:w="0" w:type="dxa"/>
            <w:vAlign w:val="bottom"/>
          </w:tcPr>
          <w:p>
            <w:pPr>
              <w:spacing w:after="0"/>
              <w:rPr>
                <w:sz w:val="1"/>
                <w:szCs w:val="1"/>
                <w:color w:val="auto"/>
              </w:rPr>
            </w:pPr>
          </w:p>
        </w:tc>
      </w:tr>
      <w:tr>
        <w:trPr>
          <w:trHeight w:val="137"/>
        </w:trPr>
        <w:tc>
          <w:tcPr>
            <w:tcW w:w="3060" w:type="dxa"/>
            <w:vAlign w:val="bottom"/>
            <w:tcBorders>
              <w:top w:val="single" w:sz="8" w:color="auto"/>
            </w:tcBorders>
            <w:gridSpan w:val="2"/>
            <w:shd w:val="clear" w:color="auto" w:fill="CFF0FC"/>
          </w:tcPr>
          <w:p>
            <w:pPr>
              <w:spacing w:after="0" w:line="137" w:lineRule="exact"/>
              <w:rPr>
                <w:sz w:val="20"/>
                <w:szCs w:val="20"/>
                <w:color w:val="auto"/>
              </w:rPr>
            </w:pPr>
            <w:r>
              <w:rPr>
                <w:rFonts w:ascii="Arial" w:cs="Arial" w:eastAsia="Arial" w:hAnsi="Arial"/>
                <w:sz w:val="14"/>
                <w:szCs w:val="14"/>
                <w:color w:val="auto"/>
              </w:rPr>
              <w:t>Catamaran CLO 2013- 1 Ltd.</w:t>
            </w:r>
            <w:r>
              <w:rPr>
                <w:rFonts w:ascii="Arial" w:cs="Arial" w:eastAsia="Arial" w:hAnsi="Arial"/>
                <w:sz w:val="12"/>
                <w:szCs w:val="12"/>
                <w:color w:val="auto"/>
              </w:rPr>
              <w:t>(3)(13)</w:t>
            </w:r>
          </w:p>
        </w:tc>
        <w:tc>
          <w:tcPr>
            <w:tcW w:w="140" w:type="dxa"/>
            <w:vAlign w:val="bottom"/>
            <w:tcBorders>
              <w:top w:val="single" w:sz="8" w:color="CFF0FC"/>
            </w:tcBorders>
            <w:shd w:val="clear" w:color="auto" w:fill="CFF0FC"/>
          </w:tcPr>
          <w:p>
            <w:pPr>
              <w:spacing w:after="0"/>
              <w:rPr>
                <w:sz w:val="11"/>
                <w:szCs w:val="11"/>
                <w:color w:val="auto"/>
              </w:rPr>
            </w:pPr>
          </w:p>
        </w:tc>
        <w:tc>
          <w:tcPr>
            <w:tcW w:w="2840" w:type="dxa"/>
            <w:vAlign w:val="bottom"/>
            <w:tcBorders>
              <w:top w:val="single" w:sz="8" w:color="auto"/>
            </w:tcBorders>
            <w:shd w:val="clear" w:color="auto" w:fill="CFF0FC"/>
          </w:tcPr>
          <w:p>
            <w:pPr>
              <w:spacing w:after="0" w:line="137" w:lineRule="exact"/>
              <w:rPr>
                <w:sz w:val="20"/>
                <w:szCs w:val="20"/>
                <w:color w:val="auto"/>
              </w:rPr>
            </w:pPr>
            <w:r>
              <w:rPr>
                <w:rFonts w:ascii="Arial" w:cs="Arial" w:eastAsia="Arial" w:hAnsi="Arial"/>
                <w:sz w:val="14"/>
                <w:szCs w:val="14"/>
                <w:color w:val="auto"/>
                <w:w w:val="94"/>
              </w:rPr>
              <w:t>Subordinated Securities, effective interest 8.0%,</w:t>
            </w:r>
          </w:p>
        </w:tc>
        <w:tc>
          <w:tcPr>
            <w:tcW w:w="140" w:type="dxa"/>
            <w:vAlign w:val="bottom"/>
            <w:tcBorders>
              <w:top w:val="single" w:sz="8" w:color="CFF0FC"/>
            </w:tcBorders>
            <w:shd w:val="clear" w:color="auto" w:fill="CFF0FC"/>
          </w:tcPr>
          <w:p>
            <w:pPr>
              <w:spacing w:after="0"/>
              <w:rPr>
                <w:sz w:val="11"/>
                <w:szCs w:val="11"/>
                <w:color w:val="auto"/>
              </w:rPr>
            </w:pPr>
          </w:p>
        </w:tc>
        <w:tc>
          <w:tcPr>
            <w:tcW w:w="112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100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220" w:type="dxa"/>
            <w:vAlign w:val="bottom"/>
            <w:tcBorders>
              <w:top w:val="single" w:sz="8" w:color="auto"/>
            </w:tcBorders>
            <w:shd w:val="clear" w:color="auto" w:fill="CFF0FC"/>
          </w:tcPr>
          <w:p>
            <w:pPr>
              <w:spacing w:after="0"/>
              <w:rPr>
                <w:sz w:val="11"/>
                <w:szCs w:val="11"/>
                <w:color w:val="auto"/>
              </w:rPr>
            </w:pPr>
          </w:p>
        </w:tc>
        <w:tc>
          <w:tcPr>
            <w:tcW w:w="96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420" w:type="dxa"/>
            <w:vAlign w:val="bottom"/>
            <w:shd w:val="clear" w:color="auto" w:fill="CFF0FC"/>
          </w:tcPr>
          <w:p>
            <w:pPr>
              <w:spacing w:after="0"/>
              <w:rPr>
                <w:sz w:val="14"/>
                <w:szCs w:val="14"/>
                <w:color w:val="auto"/>
              </w:rPr>
            </w:pPr>
          </w:p>
        </w:tc>
        <w:tc>
          <w:tcPr>
            <w:tcW w:w="16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9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1/28 maturity</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6/4/2013</w:t>
            </w:r>
          </w:p>
        </w:tc>
        <w:tc>
          <w:tcPr>
            <w:tcW w:w="14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23.3%</w:t>
            </w: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5,930,441</w:t>
            </w: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2,541,098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420" w:type="dxa"/>
            <w:vAlign w:val="bottom"/>
          </w:tcPr>
          <w:p>
            <w:pPr>
              <w:spacing w:after="0" w:line="143" w:lineRule="exact"/>
              <w:rPr>
                <w:sz w:val="20"/>
                <w:szCs w:val="20"/>
                <w:color w:val="auto"/>
              </w:rPr>
            </w:pPr>
            <w:r>
              <w:rPr>
                <w:rFonts w:ascii="Arial" w:cs="Arial" w:eastAsia="Arial" w:hAnsi="Arial"/>
                <w:sz w:val="14"/>
                <w:szCs w:val="14"/>
                <w:color w:val="auto"/>
                <w:w w:val="93"/>
              </w:rPr>
              <w:t>Catamaran CLO 2014-1</w:t>
            </w:r>
          </w:p>
        </w:tc>
        <w:tc>
          <w:tcPr>
            <w:tcW w:w="1780" w:type="dxa"/>
            <w:vAlign w:val="bottom"/>
            <w:gridSpan w:val="2"/>
          </w:tcPr>
          <w:p>
            <w:pPr>
              <w:ind w:left="20"/>
              <w:spacing w:after="0" w:line="143" w:lineRule="exact"/>
              <w:rPr>
                <w:sz w:val="20"/>
                <w:szCs w:val="20"/>
                <w:color w:val="auto"/>
              </w:rPr>
            </w:pPr>
            <w:r>
              <w:rPr>
                <w:rFonts w:ascii="Arial" w:cs="Arial" w:eastAsia="Arial" w:hAnsi="Arial"/>
                <w:sz w:val="14"/>
                <w:szCs w:val="14"/>
                <w:color w:val="auto"/>
              </w:rPr>
              <w:t>Ltd.</w:t>
            </w:r>
            <w:r>
              <w:rPr>
                <w:rFonts w:ascii="Arial" w:cs="Arial" w:eastAsia="Arial" w:hAnsi="Arial"/>
                <w:sz w:val="12"/>
                <w:szCs w:val="12"/>
                <w:color w:val="auto"/>
              </w:rPr>
              <w:t>(3)(13)</w:t>
            </w:r>
          </w:p>
        </w:tc>
        <w:tc>
          <w:tcPr>
            <w:tcW w:w="2980" w:type="dxa"/>
            <w:vAlign w:val="bottom"/>
            <w:gridSpan w:val="2"/>
          </w:tcPr>
          <w:p>
            <w:pPr>
              <w:spacing w:after="0" w:line="143" w:lineRule="exact"/>
              <w:rPr>
                <w:sz w:val="20"/>
                <w:szCs w:val="20"/>
                <w:color w:val="auto"/>
              </w:rPr>
            </w:pPr>
            <w:r>
              <w:rPr>
                <w:rFonts w:ascii="Arial" w:cs="Arial" w:eastAsia="Arial" w:hAnsi="Arial"/>
                <w:sz w:val="14"/>
                <w:szCs w:val="14"/>
                <w:color w:val="auto"/>
                <w:w w:val="99"/>
              </w:rPr>
              <w:t>Subordinated Securities, effective interest 5.5%,</w:t>
            </w: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4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80" w:type="dxa"/>
            <w:vAlign w:val="bottom"/>
            <w:gridSpan w:val="2"/>
          </w:tcPr>
          <w:p>
            <w:pPr>
              <w:spacing w:after="0"/>
              <w:rPr>
                <w:sz w:val="20"/>
                <w:szCs w:val="20"/>
                <w:color w:val="auto"/>
              </w:rPr>
            </w:pPr>
            <w:r>
              <w:rPr>
                <w:rFonts w:ascii="Arial" w:cs="Arial" w:eastAsia="Arial" w:hAnsi="Arial"/>
                <w:sz w:val="14"/>
                <w:szCs w:val="14"/>
                <w:color w:val="auto"/>
              </w:rPr>
              <w:t>4/30 maturity</w:t>
            </w:r>
          </w:p>
        </w:tc>
        <w:tc>
          <w:tcPr>
            <w:tcW w:w="1120" w:type="dxa"/>
            <w:vAlign w:val="bottom"/>
          </w:tcPr>
          <w:p>
            <w:pPr>
              <w:jc w:val="right"/>
              <w:spacing w:after="0"/>
              <w:rPr>
                <w:sz w:val="20"/>
                <w:szCs w:val="20"/>
                <w:color w:val="auto"/>
              </w:rPr>
            </w:pPr>
            <w:r>
              <w:rPr>
                <w:rFonts w:ascii="Arial" w:cs="Arial" w:eastAsia="Arial" w:hAnsi="Arial"/>
                <w:sz w:val="14"/>
                <w:szCs w:val="14"/>
                <w:color w:val="auto"/>
              </w:rPr>
              <w:t>5/6/2014</w:t>
            </w:r>
          </w:p>
        </w:tc>
        <w:tc>
          <w:tcPr>
            <w:tcW w:w="140" w:type="dxa"/>
            <w:vAlign w:val="bottom"/>
          </w:tcPr>
          <w:p>
            <w:pPr>
              <w:spacing w:after="0"/>
              <w:rPr>
                <w:sz w:val="14"/>
                <w:szCs w:val="14"/>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22.2%</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9,730,733</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4,178,261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200" w:type="dxa"/>
            <w:vAlign w:val="bottom"/>
            <w:gridSpan w:val="3"/>
            <w:shd w:val="clear" w:color="auto" w:fill="CFF0FC"/>
          </w:tcPr>
          <w:p>
            <w:pPr>
              <w:spacing w:after="0" w:line="143" w:lineRule="exact"/>
              <w:rPr>
                <w:sz w:val="20"/>
                <w:szCs w:val="20"/>
                <w:color w:val="auto"/>
              </w:rPr>
            </w:pPr>
            <w:r>
              <w:rPr>
                <w:rFonts w:ascii="Arial" w:cs="Arial" w:eastAsia="Arial" w:hAnsi="Arial"/>
                <w:sz w:val="14"/>
                <w:szCs w:val="14"/>
                <w:color w:val="auto"/>
              </w:rPr>
              <w:t>Dryden 30 Senior Loan Fund</w:t>
            </w:r>
            <w:r>
              <w:rPr>
                <w:rFonts w:ascii="Arial" w:cs="Arial" w:eastAsia="Arial" w:hAnsi="Arial"/>
                <w:sz w:val="12"/>
                <w:szCs w:val="12"/>
                <w:color w:val="auto"/>
              </w:rPr>
              <w:t>(3)(13)</w:t>
            </w:r>
          </w:p>
        </w:tc>
        <w:tc>
          <w:tcPr>
            <w:tcW w:w="2980" w:type="dxa"/>
            <w:vAlign w:val="bottom"/>
            <w:gridSpan w:val="2"/>
            <w:shd w:val="clear" w:color="auto" w:fill="CFF0FC"/>
          </w:tcPr>
          <w:p>
            <w:pPr>
              <w:spacing w:after="0" w:line="143" w:lineRule="exact"/>
              <w:rPr>
                <w:sz w:val="20"/>
                <w:szCs w:val="20"/>
                <w:color w:val="auto"/>
              </w:rPr>
            </w:pPr>
            <w:r>
              <w:rPr>
                <w:rFonts w:ascii="Arial" w:cs="Arial" w:eastAsia="Arial" w:hAnsi="Arial"/>
                <w:sz w:val="14"/>
                <w:szCs w:val="14"/>
                <w:color w:val="auto"/>
              </w:rPr>
              <w:t>Subordinated Securities, effective interest</w:t>
            </w:r>
          </w:p>
        </w:tc>
        <w:tc>
          <w:tcPr>
            <w:tcW w:w="1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shd w:val="clear" w:color="auto" w:fill="CFF0FC"/>
          </w:tcPr>
          <w:p>
            <w:pPr>
              <w:spacing w:after="0"/>
              <w:rPr>
                <w:sz w:val="12"/>
                <w:szCs w:val="12"/>
                <w:color w:val="auto"/>
              </w:rPr>
            </w:pPr>
          </w:p>
        </w:tc>
        <w:tc>
          <w:tcPr>
            <w:tcW w:w="16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840" w:type="dxa"/>
            <w:vAlign w:val="bottom"/>
            <w:shd w:val="clear" w:color="auto" w:fill="CFF0FC"/>
          </w:tcPr>
          <w:p>
            <w:pPr>
              <w:spacing w:after="0" w:line="149" w:lineRule="exact"/>
              <w:rPr>
                <w:sz w:val="20"/>
                <w:szCs w:val="20"/>
                <w:color w:val="auto"/>
              </w:rPr>
            </w:pPr>
            <w:r>
              <w:rPr>
                <w:rFonts w:ascii="Arial" w:cs="Arial" w:eastAsia="Arial" w:hAnsi="Arial"/>
                <w:sz w:val="14"/>
                <w:szCs w:val="14"/>
                <w:color w:val="auto"/>
              </w:rPr>
              <w:t>20.5%,</w:t>
            </w:r>
          </w:p>
        </w:tc>
        <w:tc>
          <w:tcPr>
            <w:tcW w:w="14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420" w:type="dxa"/>
            <w:vAlign w:val="bottom"/>
            <w:shd w:val="clear" w:color="auto" w:fill="CFF0FC"/>
          </w:tcPr>
          <w:p>
            <w:pPr>
              <w:spacing w:after="0"/>
              <w:rPr>
                <w:sz w:val="14"/>
                <w:szCs w:val="14"/>
                <w:color w:val="auto"/>
              </w:rPr>
            </w:pPr>
          </w:p>
        </w:tc>
        <w:tc>
          <w:tcPr>
            <w:tcW w:w="16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9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11/28 maturity</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10/10/2013</w:t>
            </w:r>
          </w:p>
        </w:tc>
        <w:tc>
          <w:tcPr>
            <w:tcW w:w="14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6.8%</w:t>
            </w: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1,186,447</w:t>
            </w: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1,339,325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420" w:type="dxa"/>
            <w:vAlign w:val="bottom"/>
          </w:tcPr>
          <w:p>
            <w:pPr>
              <w:spacing w:after="0" w:line="143" w:lineRule="exact"/>
              <w:rPr>
                <w:sz w:val="20"/>
                <w:szCs w:val="20"/>
                <w:color w:val="auto"/>
              </w:rPr>
            </w:pPr>
            <w:r>
              <w:rPr>
                <w:rFonts w:ascii="Arial" w:cs="Arial" w:eastAsia="Arial" w:hAnsi="Arial"/>
                <w:sz w:val="14"/>
                <w:szCs w:val="14"/>
                <w:color w:val="auto"/>
                <w:w w:val="93"/>
              </w:rPr>
              <w:t>Catamaran CLO 2014-2</w:t>
            </w:r>
          </w:p>
        </w:tc>
        <w:tc>
          <w:tcPr>
            <w:tcW w:w="1780" w:type="dxa"/>
            <w:vAlign w:val="bottom"/>
            <w:gridSpan w:val="2"/>
          </w:tcPr>
          <w:p>
            <w:pPr>
              <w:ind w:left="20"/>
              <w:spacing w:after="0" w:line="143" w:lineRule="exact"/>
              <w:rPr>
                <w:sz w:val="20"/>
                <w:szCs w:val="20"/>
                <w:color w:val="auto"/>
              </w:rPr>
            </w:pPr>
            <w:r>
              <w:rPr>
                <w:rFonts w:ascii="Arial" w:cs="Arial" w:eastAsia="Arial" w:hAnsi="Arial"/>
                <w:sz w:val="14"/>
                <w:szCs w:val="14"/>
                <w:color w:val="auto"/>
              </w:rPr>
              <w:t>Ltd.</w:t>
            </w:r>
            <w:r>
              <w:rPr>
                <w:rFonts w:ascii="Arial" w:cs="Arial" w:eastAsia="Arial" w:hAnsi="Arial"/>
                <w:sz w:val="12"/>
                <w:szCs w:val="12"/>
                <w:color w:val="auto"/>
              </w:rPr>
              <w:t>(3)(7)(13)</w:t>
            </w:r>
          </w:p>
        </w:tc>
        <w:tc>
          <w:tcPr>
            <w:tcW w:w="2980" w:type="dxa"/>
            <w:vAlign w:val="bottom"/>
            <w:gridSpan w:val="2"/>
          </w:tcPr>
          <w:p>
            <w:pPr>
              <w:spacing w:after="0" w:line="143" w:lineRule="exact"/>
              <w:rPr>
                <w:sz w:val="20"/>
                <w:szCs w:val="20"/>
                <w:color w:val="auto"/>
              </w:rPr>
            </w:pPr>
            <w:r>
              <w:rPr>
                <w:rFonts w:ascii="Arial" w:cs="Arial" w:eastAsia="Arial" w:hAnsi="Arial"/>
                <w:sz w:val="14"/>
                <w:szCs w:val="14"/>
                <w:color w:val="auto"/>
                <w:w w:val="99"/>
              </w:rPr>
              <w:t>Subordinated Securities, effective interest 0.0%,</w:t>
            </w: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4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80" w:type="dxa"/>
            <w:vAlign w:val="bottom"/>
            <w:gridSpan w:val="2"/>
          </w:tcPr>
          <w:p>
            <w:pPr>
              <w:spacing w:after="0"/>
              <w:rPr>
                <w:sz w:val="20"/>
                <w:szCs w:val="20"/>
                <w:color w:val="auto"/>
              </w:rPr>
            </w:pPr>
            <w:r>
              <w:rPr>
                <w:rFonts w:ascii="Arial" w:cs="Arial" w:eastAsia="Arial" w:hAnsi="Arial"/>
                <w:sz w:val="14"/>
                <w:szCs w:val="14"/>
                <w:color w:val="auto"/>
              </w:rPr>
              <w:t>10/26 maturity</w:t>
            </w:r>
          </w:p>
        </w:tc>
        <w:tc>
          <w:tcPr>
            <w:tcW w:w="1120" w:type="dxa"/>
            <w:vAlign w:val="bottom"/>
          </w:tcPr>
          <w:p>
            <w:pPr>
              <w:jc w:val="right"/>
              <w:spacing w:after="0"/>
              <w:rPr>
                <w:sz w:val="20"/>
                <w:szCs w:val="20"/>
                <w:color w:val="auto"/>
              </w:rPr>
            </w:pPr>
            <w:r>
              <w:rPr>
                <w:rFonts w:ascii="Arial" w:cs="Arial" w:eastAsia="Arial" w:hAnsi="Arial"/>
                <w:sz w:val="14"/>
                <w:szCs w:val="14"/>
                <w:color w:val="auto"/>
              </w:rPr>
              <w:t>8/15/2014</w:t>
            </w:r>
          </w:p>
        </w:tc>
        <w:tc>
          <w:tcPr>
            <w:tcW w:w="140" w:type="dxa"/>
            <w:vAlign w:val="bottom"/>
          </w:tcPr>
          <w:p>
            <w:pPr>
              <w:spacing w:after="0"/>
              <w:rPr>
                <w:sz w:val="14"/>
                <w:szCs w:val="14"/>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24.9%</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6,065,598</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42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w w:val="93"/>
              </w:rPr>
              <w:t>Catamaran CLO 2015-1</w:t>
            </w:r>
          </w:p>
        </w:tc>
        <w:tc>
          <w:tcPr>
            <w:tcW w:w="1780" w:type="dxa"/>
            <w:vAlign w:val="bottom"/>
            <w:gridSpan w:val="2"/>
            <w:shd w:val="clear" w:color="auto" w:fill="CFF0FC"/>
          </w:tcPr>
          <w:p>
            <w:pPr>
              <w:ind w:left="20"/>
              <w:spacing w:after="0" w:line="143" w:lineRule="exact"/>
              <w:rPr>
                <w:sz w:val="20"/>
                <w:szCs w:val="20"/>
                <w:color w:val="auto"/>
              </w:rPr>
            </w:pPr>
            <w:r>
              <w:rPr>
                <w:rFonts w:ascii="Arial" w:cs="Arial" w:eastAsia="Arial" w:hAnsi="Arial"/>
                <w:sz w:val="14"/>
                <w:szCs w:val="14"/>
                <w:color w:val="auto"/>
              </w:rPr>
              <w:t>Ltd.</w:t>
            </w:r>
            <w:r>
              <w:rPr>
                <w:rFonts w:ascii="Arial" w:cs="Arial" w:eastAsia="Arial" w:hAnsi="Arial"/>
                <w:sz w:val="12"/>
                <w:szCs w:val="12"/>
                <w:color w:val="auto"/>
              </w:rPr>
              <w:t>(3)(13)</w:t>
            </w:r>
          </w:p>
        </w:tc>
        <w:tc>
          <w:tcPr>
            <w:tcW w:w="2980" w:type="dxa"/>
            <w:vAlign w:val="bottom"/>
            <w:gridSpan w:val="2"/>
            <w:shd w:val="clear" w:color="auto" w:fill="CFF0FC"/>
          </w:tcPr>
          <w:p>
            <w:pPr>
              <w:spacing w:after="0" w:line="143" w:lineRule="exact"/>
              <w:rPr>
                <w:sz w:val="20"/>
                <w:szCs w:val="20"/>
                <w:color w:val="auto"/>
              </w:rPr>
            </w:pPr>
            <w:r>
              <w:rPr>
                <w:rFonts w:ascii="Arial" w:cs="Arial" w:eastAsia="Arial" w:hAnsi="Arial"/>
                <w:sz w:val="14"/>
                <w:szCs w:val="14"/>
                <w:color w:val="auto"/>
                <w:w w:val="99"/>
              </w:rPr>
              <w:t>Subordinated Securities, effective interest 8.7%,</w:t>
            </w:r>
          </w:p>
        </w:tc>
        <w:tc>
          <w:tcPr>
            <w:tcW w:w="1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420" w:type="dxa"/>
            <w:vAlign w:val="bottom"/>
            <w:shd w:val="clear" w:color="auto" w:fill="CFF0FC"/>
          </w:tcPr>
          <w:p>
            <w:pPr>
              <w:spacing w:after="0"/>
              <w:rPr>
                <w:sz w:val="14"/>
                <w:szCs w:val="14"/>
                <w:color w:val="auto"/>
              </w:rPr>
            </w:pPr>
          </w:p>
        </w:tc>
        <w:tc>
          <w:tcPr>
            <w:tcW w:w="16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9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4/27 maturity</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5/5/2015</w:t>
            </w:r>
          </w:p>
        </w:tc>
        <w:tc>
          <w:tcPr>
            <w:tcW w:w="14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9.9%</w:t>
            </w: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3,385,599</w:t>
            </w: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1,521,750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420" w:type="dxa"/>
            <w:vAlign w:val="bottom"/>
          </w:tcPr>
          <w:p>
            <w:pPr>
              <w:spacing w:after="0" w:line="143" w:lineRule="exact"/>
              <w:rPr>
                <w:sz w:val="20"/>
                <w:szCs w:val="20"/>
                <w:color w:val="auto"/>
              </w:rPr>
            </w:pPr>
            <w:r>
              <w:rPr>
                <w:rFonts w:ascii="Arial" w:cs="Arial" w:eastAsia="Arial" w:hAnsi="Arial"/>
                <w:sz w:val="14"/>
                <w:szCs w:val="14"/>
                <w:color w:val="auto"/>
                <w:w w:val="93"/>
              </w:rPr>
              <w:t>Catamaran CLO 2018-1</w:t>
            </w:r>
          </w:p>
        </w:tc>
        <w:tc>
          <w:tcPr>
            <w:tcW w:w="1780" w:type="dxa"/>
            <w:vAlign w:val="bottom"/>
            <w:gridSpan w:val="2"/>
          </w:tcPr>
          <w:p>
            <w:pPr>
              <w:ind w:left="20"/>
              <w:spacing w:after="0" w:line="143" w:lineRule="exact"/>
              <w:rPr>
                <w:sz w:val="20"/>
                <w:szCs w:val="20"/>
                <w:color w:val="auto"/>
              </w:rPr>
            </w:pPr>
            <w:r>
              <w:rPr>
                <w:rFonts w:ascii="Arial" w:cs="Arial" w:eastAsia="Arial" w:hAnsi="Arial"/>
                <w:sz w:val="14"/>
                <w:szCs w:val="14"/>
                <w:color w:val="auto"/>
              </w:rPr>
              <w:t>Ltd</w:t>
            </w:r>
            <w:r>
              <w:rPr>
                <w:rFonts w:ascii="Arial" w:cs="Arial" w:eastAsia="Arial" w:hAnsi="Arial"/>
                <w:sz w:val="12"/>
                <w:szCs w:val="12"/>
                <w:color w:val="auto"/>
              </w:rPr>
              <w:t>(3)(13)</w:t>
            </w:r>
          </w:p>
        </w:tc>
        <w:tc>
          <w:tcPr>
            <w:tcW w:w="2980" w:type="dxa"/>
            <w:vAlign w:val="bottom"/>
            <w:gridSpan w:val="2"/>
          </w:tcPr>
          <w:p>
            <w:pPr>
              <w:spacing w:after="0" w:line="143" w:lineRule="exact"/>
              <w:rPr>
                <w:sz w:val="20"/>
                <w:szCs w:val="20"/>
                <w:color w:val="auto"/>
              </w:rPr>
            </w:pPr>
            <w:r>
              <w:rPr>
                <w:rFonts w:ascii="Arial" w:cs="Arial" w:eastAsia="Arial" w:hAnsi="Arial"/>
                <w:sz w:val="14"/>
                <w:szCs w:val="14"/>
                <w:color w:val="auto"/>
                <w:w w:val="99"/>
              </w:rPr>
              <w:t>Subordinated Securities, effective interest 8.7%,</w:t>
            </w: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420" w:type="dxa"/>
            <w:vAlign w:val="bottom"/>
            <w:tcBorders>
              <w:bottom w:val="single" w:sz="8" w:color="CFF0FC"/>
            </w:tcBorders>
          </w:tcPr>
          <w:p>
            <w:pPr>
              <w:spacing w:after="0"/>
              <w:rPr>
                <w:sz w:val="14"/>
                <w:szCs w:val="14"/>
                <w:color w:val="auto"/>
              </w:rPr>
            </w:pPr>
          </w:p>
        </w:tc>
        <w:tc>
          <w:tcPr>
            <w:tcW w:w="164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2980" w:type="dxa"/>
            <w:vAlign w:val="bottom"/>
            <w:tcBorders>
              <w:bottom w:val="single" w:sz="8" w:color="CFF0FC"/>
            </w:tcBorders>
            <w:gridSpan w:val="2"/>
          </w:tcPr>
          <w:p>
            <w:pPr>
              <w:spacing w:after="0"/>
              <w:rPr>
                <w:sz w:val="20"/>
                <w:szCs w:val="20"/>
                <w:color w:val="auto"/>
              </w:rPr>
            </w:pPr>
            <w:r>
              <w:rPr>
                <w:rFonts w:ascii="Arial" w:cs="Arial" w:eastAsia="Arial" w:hAnsi="Arial"/>
                <w:sz w:val="14"/>
                <w:szCs w:val="14"/>
                <w:color w:val="auto"/>
              </w:rPr>
              <w:t>10/31 maturity</w:t>
            </w:r>
          </w:p>
        </w:tc>
        <w:tc>
          <w:tcPr>
            <w:tcW w:w="1120" w:type="dxa"/>
            <w:vAlign w:val="bottom"/>
            <w:tcBorders>
              <w:bottom w:val="single" w:sz="8" w:color="CFF0FC"/>
            </w:tcBorders>
          </w:tcPr>
          <w:p>
            <w:pPr>
              <w:jc w:val="right"/>
              <w:spacing w:after="0"/>
              <w:rPr>
                <w:sz w:val="20"/>
                <w:szCs w:val="20"/>
                <w:color w:val="auto"/>
              </w:rPr>
            </w:pPr>
            <w:r>
              <w:rPr>
                <w:rFonts w:ascii="Arial" w:cs="Arial" w:eastAsia="Arial" w:hAnsi="Arial"/>
                <w:sz w:val="14"/>
                <w:szCs w:val="14"/>
                <w:color w:val="auto"/>
              </w:rPr>
              <w:t>9/27/2018</w:t>
            </w:r>
          </w:p>
        </w:tc>
        <w:tc>
          <w:tcPr>
            <w:tcW w:w="140" w:type="dxa"/>
            <w:vAlign w:val="bottom"/>
            <w:tcBorders>
              <w:bottom w:val="single" w:sz="8" w:color="CFF0FC"/>
            </w:tcBorders>
          </w:tcPr>
          <w:p>
            <w:pPr>
              <w:spacing w:after="0"/>
              <w:rPr>
                <w:sz w:val="14"/>
                <w:szCs w:val="14"/>
                <w:color w:val="auto"/>
              </w:rPr>
            </w:pPr>
          </w:p>
        </w:tc>
        <w:tc>
          <w:tcPr>
            <w:tcW w:w="1260" w:type="dxa"/>
            <w:vAlign w:val="bottom"/>
            <w:tcBorders>
              <w:bottom w:val="single" w:sz="8" w:color="CFF0FC"/>
            </w:tcBorders>
            <w:gridSpan w:val="2"/>
          </w:tcPr>
          <w:p>
            <w:pPr>
              <w:jc w:val="right"/>
              <w:ind w:right="140"/>
              <w:spacing w:after="0"/>
              <w:rPr>
                <w:sz w:val="20"/>
                <w:szCs w:val="20"/>
                <w:color w:val="auto"/>
              </w:rPr>
            </w:pPr>
            <w:r>
              <w:rPr>
                <w:rFonts w:ascii="Arial" w:cs="Arial" w:eastAsia="Arial" w:hAnsi="Arial"/>
                <w:sz w:val="14"/>
                <w:szCs w:val="14"/>
                <w:color w:val="auto"/>
              </w:rPr>
              <w:t>24.8%</w:t>
            </w: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8,965,723</w:t>
            </w:r>
          </w:p>
        </w:tc>
        <w:tc>
          <w:tcPr>
            <w:tcW w:w="24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6,441,000</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420" w:type="dxa"/>
            <w:vAlign w:val="bottom"/>
            <w:shd w:val="clear" w:color="auto" w:fill="CFF0FC"/>
          </w:tcPr>
          <w:p>
            <w:pPr>
              <w:spacing w:after="0"/>
              <w:rPr>
                <w:sz w:val="13"/>
                <w:szCs w:val="13"/>
                <w:color w:val="auto"/>
              </w:rPr>
            </w:pPr>
          </w:p>
        </w:tc>
        <w:tc>
          <w:tcPr>
            <w:tcW w:w="16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8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200" w:type="dxa"/>
            <w:vAlign w:val="bottom"/>
            <w:gridSpan w:val="3"/>
          </w:tcPr>
          <w:p>
            <w:pPr>
              <w:spacing w:after="0"/>
              <w:rPr>
                <w:sz w:val="20"/>
                <w:szCs w:val="20"/>
                <w:color w:val="auto"/>
              </w:rPr>
            </w:pPr>
            <w:r>
              <w:rPr>
                <w:rFonts w:ascii="Arial" w:cs="Arial" w:eastAsia="Arial" w:hAnsi="Arial"/>
                <w:sz w:val="13"/>
                <w:szCs w:val="13"/>
                <w:b w:val="1"/>
                <w:bCs w:val="1"/>
                <w:color w:val="auto"/>
              </w:rPr>
              <w:t>Total Investment in CLO Fund</w:t>
            </w:r>
          </w:p>
        </w:tc>
        <w:tc>
          <w:tcPr>
            <w:tcW w:w="2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200" w:type="dxa"/>
            <w:vAlign w:val="bottom"/>
            <w:gridSpan w:val="3"/>
          </w:tcPr>
          <w:p>
            <w:pPr>
              <w:ind w:left="100"/>
              <w:spacing w:after="0"/>
              <w:rPr>
                <w:sz w:val="20"/>
                <w:szCs w:val="20"/>
                <w:color w:val="auto"/>
              </w:rPr>
            </w:pPr>
            <w:r>
              <w:rPr>
                <w:rFonts w:ascii="Arial" w:cs="Arial" w:eastAsia="Arial" w:hAnsi="Arial"/>
                <w:sz w:val="13"/>
                <w:szCs w:val="13"/>
                <w:b w:val="1"/>
                <w:bCs w:val="1"/>
                <w:color w:val="auto"/>
              </w:rPr>
              <w:t>Securities (7% of net asset value at fair value)</w:t>
            </w:r>
          </w:p>
        </w:tc>
        <w:tc>
          <w:tcPr>
            <w:tcW w:w="2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spacing w:after="0"/>
              <w:rPr>
                <w:sz w:val="14"/>
                <w:szCs w:val="14"/>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35,264,540</w:t>
            </w:r>
          </w:p>
        </w:tc>
        <w:tc>
          <w:tcPr>
            <w:tcW w:w="240" w:type="dxa"/>
            <w:vAlign w:val="bottom"/>
          </w:tcPr>
          <w:p>
            <w:pPr>
              <w:spacing w:after="0"/>
              <w:rPr>
                <w:sz w:val="14"/>
                <w:szCs w:val="14"/>
                <w:color w:val="auto"/>
              </w:rPr>
            </w:pPr>
          </w:p>
        </w:tc>
        <w:tc>
          <w:tcPr>
            <w:tcW w:w="22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b w:val="1"/>
                <w:bCs w:val="1"/>
                <w:color w:val="auto"/>
                <w:w w:val="82"/>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16,021,434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color w:val="auto"/>
        </w:rPr>
        <w:t>Asset Manager Affiliates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9"/>
              </w:rPr>
              <w:t>Initial</w:t>
            </w: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26"/>
        </w:trPr>
        <w:tc>
          <w:tcPr>
            <w:tcW w:w="310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89"/>
              </w:rPr>
              <w:t>Portfolio Company /</w:t>
            </w:r>
          </w:p>
        </w:tc>
        <w:tc>
          <w:tcPr>
            <w:tcW w:w="14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2"/>
          </w:tcPr>
          <w:p>
            <w:pPr>
              <w:jc w:val="center"/>
              <w:ind w:right="140"/>
              <w:spacing w:after="0" w:line="126" w:lineRule="exact"/>
              <w:rPr>
                <w:sz w:val="20"/>
                <w:szCs w:val="20"/>
                <w:color w:val="auto"/>
              </w:rPr>
            </w:pPr>
            <w:r>
              <w:rPr>
                <w:rFonts w:ascii="Arial" w:cs="Arial" w:eastAsia="Arial" w:hAnsi="Arial"/>
                <w:sz w:val="13"/>
                <w:szCs w:val="13"/>
                <w:b w:val="1"/>
                <w:bCs w:val="1"/>
                <w:color w:val="auto"/>
                <w:w w:val="87"/>
              </w:rPr>
              <w:t>Acquisition</w:t>
            </w:r>
          </w:p>
        </w:tc>
        <w:tc>
          <w:tcPr>
            <w:tcW w:w="1240" w:type="dxa"/>
            <w:vAlign w:val="bottom"/>
            <w:gridSpan w:val="2"/>
          </w:tcPr>
          <w:p>
            <w:pPr>
              <w:jc w:val="right"/>
              <w:ind w:right="460"/>
              <w:spacing w:after="0" w:line="126" w:lineRule="exact"/>
              <w:rPr>
                <w:sz w:val="20"/>
                <w:szCs w:val="20"/>
                <w:color w:val="auto"/>
              </w:rPr>
            </w:pPr>
            <w:r>
              <w:rPr>
                <w:rFonts w:ascii="Arial" w:cs="Arial" w:eastAsia="Arial" w:hAnsi="Arial"/>
                <w:sz w:val="13"/>
                <w:szCs w:val="13"/>
                <w:b w:val="1"/>
                <w:bCs w:val="1"/>
                <w:color w:val="auto"/>
              </w:rPr>
              <w:t>Percentage</w:t>
            </w: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3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Principal Business</w:t>
            </w:r>
          </w:p>
        </w:tc>
        <w:tc>
          <w:tcPr>
            <w:tcW w:w="140" w:type="dxa"/>
            <w:vAlign w:val="bottom"/>
            <w:tcBorders>
              <w:bottom w:val="single" w:sz="8" w:color="CFF0FC"/>
            </w:tcBorders>
          </w:tcPr>
          <w:p>
            <w:pPr>
              <w:spacing w:after="0"/>
              <w:rPr>
                <w:sz w:val="14"/>
                <w:szCs w:val="14"/>
                <w:color w:val="auto"/>
              </w:rPr>
            </w:pPr>
          </w:p>
        </w:tc>
        <w:tc>
          <w:tcPr>
            <w:tcW w:w="3080" w:type="dxa"/>
            <w:vAlign w:val="bottom"/>
            <w:tcBorders>
              <w:bottom w:val="single" w:sz="8" w:color="auto"/>
            </w:tcBorders>
          </w:tcPr>
          <w:p>
            <w:pPr>
              <w:ind w:left="1180"/>
              <w:spacing w:after="0"/>
              <w:rPr>
                <w:sz w:val="20"/>
                <w:szCs w:val="20"/>
                <w:color w:val="auto"/>
              </w:rPr>
            </w:pPr>
            <w:r>
              <w:rPr>
                <w:rFonts w:ascii="Arial" w:cs="Arial" w:eastAsia="Arial" w:hAnsi="Arial"/>
                <w:sz w:val="13"/>
                <w:szCs w:val="13"/>
                <w:b w:val="1"/>
                <w:bCs w:val="1"/>
                <w:color w:val="auto"/>
              </w:rPr>
              <w:t>Investment</w:t>
            </w:r>
            <w:r>
              <w:rPr>
                <w:rFonts w:ascii="Arial" w:cs="Arial" w:eastAsia="Arial" w:hAnsi="Arial"/>
                <w:sz w:val="10"/>
                <w:szCs w:val="10"/>
                <w:b w:val="1"/>
                <w:bCs w:val="1"/>
                <w:color w:val="auto"/>
              </w:rPr>
              <w:t>15</w:t>
            </w:r>
          </w:p>
        </w:tc>
        <w:tc>
          <w:tcPr>
            <w:tcW w:w="120" w:type="dxa"/>
            <w:vAlign w:val="bottom"/>
            <w:tcBorders>
              <w:bottom w:val="single" w:sz="8" w:color="CFF0FC"/>
            </w:tcBorders>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Date</w:t>
            </w:r>
          </w:p>
        </w:tc>
        <w:tc>
          <w:tcPr>
            <w:tcW w:w="140" w:type="dxa"/>
            <w:vAlign w:val="bottom"/>
            <w:tcBorders>
              <w:bottom w:val="single" w:sz="8" w:color="CFF0FC"/>
            </w:tcBorders>
          </w:tcPr>
          <w:p>
            <w:pPr>
              <w:spacing w:after="0"/>
              <w:rPr>
                <w:sz w:val="14"/>
                <w:szCs w:val="14"/>
                <w:color w:val="auto"/>
              </w:rPr>
            </w:pPr>
          </w:p>
        </w:tc>
        <w:tc>
          <w:tcPr>
            <w:tcW w:w="9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Ownership</w:t>
            </w:r>
          </w:p>
        </w:tc>
        <w:tc>
          <w:tcPr>
            <w:tcW w:w="26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b w:val="1"/>
                <w:bCs w:val="1"/>
                <w:color w:val="auto"/>
              </w:rPr>
              <w:t>Cost</w:t>
            </w:r>
          </w:p>
        </w:tc>
        <w:tc>
          <w:tcPr>
            <w:tcW w:w="24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95"/>
              </w:rPr>
              <w:t>Value</w:t>
            </w:r>
            <w:r>
              <w:rPr>
                <w:rFonts w:ascii="Arial" w:cs="Arial" w:eastAsia="Arial" w:hAnsi="Arial"/>
                <w:sz w:val="12"/>
                <w:szCs w:val="12"/>
                <w:b w:val="1"/>
                <w:bCs w:val="1"/>
                <w:color w:val="auto"/>
                <w:w w:val="95"/>
              </w:rPr>
              <w:t>2</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0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Asset Manager Affiliates</w:t>
            </w:r>
            <w:r>
              <w:rPr>
                <w:rFonts w:ascii="Arial" w:cs="Arial" w:eastAsia="Arial" w:hAnsi="Arial"/>
                <w:sz w:val="10"/>
                <w:szCs w:val="10"/>
                <w:color w:val="auto"/>
              </w:rPr>
              <w:t>(8)(9)(13)(16)</w:t>
            </w:r>
          </w:p>
        </w:tc>
        <w:tc>
          <w:tcPr>
            <w:tcW w:w="140" w:type="dxa"/>
            <w:vAlign w:val="bottom"/>
            <w:shd w:val="clear" w:color="auto" w:fill="CFF0FC"/>
          </w:tcPr>
          <w:p>
            <w:pPr>
              <w:spacing w:after="0"/>
              <w:rPr>
                <w:sz w:val="12"/>
                <w:szCs w:val="12"/>
                <w:color w:val="auto"/>
              </w:rPr>
            </w:pPr>
          </w:p>
        </w:tc>
        <w:tc>
          <w:tcPr>
            <w:tcW w:w="308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Asset Management Company</w:t>
            </w: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12/11/2006</w:t>
            </w:r>
          </w:p>
        </w:tc>
        <w:tc>
          <w:tcPr>
            <w:tcW w:w="14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160"/>
              <w:spacing w:after="0" w:line="142" w:lineRule="exact"/>
              <w:rPr>
                <w:sz w:val="20"/>
                <w:szCs w:val="20"/>
                <w:color w:val="auto"/>
              </w:rPr>
            </w:pPr>
            <w:r>
              <w:rPr>
                <w:rFonts w:ascii="Arial" w:cs="Arial" w:eastAsia="Arial" w:hAnsi="Arial"/>
                <w:sz w:val="13"/>
                <w:szCs w:val="13"/>
                <w:color w:val="auto"/>
              </w:rPr>
              <w:t>100%</w:t>
            </w:r>
          </w:p>
        </w:tc>
        <w:tc>
          <w:tcPr>
            <w:tcW w:w="18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17,791,230</w:t>
            </w:r>
          </w:p>
        </w:tc>
        <w:tc>
          <w:tcPr>
            <w:tcW w:w="2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jc w:val="right"/>
              <w:ind w:right="94"/>
              <w:spacing w:after="0"/>
              <w:rPr>
                <w:sz w:val="20"/>
                <w:szCs w:val="20"/>
                <w:color w:val="auto"/>
              </w:rPr>
            </w:pPr>
            <w:r>
              <w:rPr>
                <w:rFonts w:ascii="Arial" w:cs="Arial" w:eastAsia="Arial" w:hAnsi="Arial"/>
                <w:sz w:val="5"/>
                <w:szCs w:val="5"/>
                <w:color w:val="auto"/>
                <w:w w:val="70"/>
              </w:rPr>
              <w:t>$</w:t>
            </w:r>
          </w:p>
        </w:tc>
        <w:tc>
          <w:tcPr>
            <w:tcW w:w="8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100" w:type="dxa"/>
            <w:vAlign w:val="bottom"/>
            <w:shd w:val="clear" w:color="auto" w:fill="CFF0FC"/>
          </w:tcPr>
          <w:p>
            <w:pPr>
              <w:spacing w:after="0" w:line="131" w:lineRule="exact"/>
              <w:rPr>
                <w:sz w:val="20"/>
                <w:szCs w:val="20"/>
                <w:color w:val="auto"/>
              </w:rPr>
            </w:pPr>
            <w:r>
              <w:rPr>
                <w:rFonts w:ascii="Arial" w:cs="Arial" w:eastAsia="Arial" w:hAnsi="Arial"/>
                <w:sz w:val="13"/>
                <w:szCs w:val="13"/>
                <w:b w:val="1"/>
                <w:bCs w:val="1"/>
                <w:color w:val="auto"/>
              </w:rPr>
              <w:t>Total Investment in Asset Manager</w:t>
            </w:r>
          </w:p>
        </w:tc>
        <w:tc>
          <w:tcPr>
            <w:tcW w:w="140" w:type="dxa"/>
            <w:vAlign w:val="bottom"/>
            <w:shd w:val="clear" w:color="auto" w:fill="CFF0FC"/>
          </w:tcPr>
          <w:p>
            <w:pPr>
              <w:spacing w:after="0"/>
              <w:rPr>
                <w:sz w:val="11"/>
                <w:szCs w:val="11"/>
                <w:color w:val="auto"/>
              </w:rPr>
            </w:pPr>
          </w:p>
        </w:tc>
        <w:tc>
          <w:tcPr>
            <w:tcW w:w="30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100" w:type="dxa"/>
            <w:vAlign w:val="bottom"/>
            <w:shd w:val="clear" w:color="auto" w:fill="CFF0FC"/>
          </w:tcPr>
          <w:p>
            <w:pPr>
              <w:ind w:left="100"/>
              <w:spacing w:after="0"/>
              <w:rPr>
                <w:sz w:val="20"/>
                <w:szCs w:val="20"/>
                <w:color w:val="auto"/>
              </w:rPr>
            </w:pPr>
            <w:r>
              <w:rPr>
                <w:rFonts w:ascii="Arial" w:cs="Arial" w:eastAsia="Arial" w:hAnsi="Arial"/>
                <w:sz w:val="13"/>
                <w:szCs w:val="13"/>
                <w:b w:val="1"/>
                <w:bCs w:val="1"/>
                <w:color w:val="auto"/>
              </w:rPr>
              <w:t>Affiliates (0% of net asset value at fair value)</w:t>
            </w:r>
          </w:p>
        </w:tc>
        <w:tc>
          <w:tcPr>
            <w:tcW w:w="140" w:type="dxa"/>
            <w:vAlign w:val="bottom"/>
            <w:shd w:val="clear" w:color="auto" w:fill="CFF0FC"/>
          </w:tcPr>
          <w:p>
            <w:pPr>
              <w:spacing w:after="0"/>
              <w:rPr>
                <w:sz w:val="13"/>
                <w:szCs w:val="13"/>
                <w:color w:val="auto"/>
              </w:rPr>
            </w:pPr>
          </w:p>
        </w:tc>
        <w:tc>
          <w:tcPr>
            <w:tcW w:w="30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68"/>
              <w:spacing w:after="0"/>
              <w:rPr>
                <w:sz w:val="20"/>
                <w:szCs w:val="20"/>
                <w:color w:val="auto"/>
              </w:rPr>
            </w:pPr>
            <w:r>
              <w:rPr>
                <w:rFonts w:ascii="Arial" w:cs="Arial" w:eastAsia="Arial" w:hAnsi="Arial"/>
                <w:sz w:val="10"/>
                <w:szCs w:val="10"/>
                <w:b w:val="1"/>
                <w:bCs w:val="1"/>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17,791,230</w:t>
            </w:r>
          </w:p>
        </w:tc>
        <w:tc>
          <w:tcPr>
            <w:tcW w:w="240" w:type="dxa"/>
            <w:vAlign w:val="bottom"/>
            <w:shd w:val="clear" w:color="auto" w:fill="CFF0FC"/>
          </w:tcPr>
          <w:p>
            <w:pPr>
              <w:spacing w:after="0"/>
              <w:rPr>
                <w:sz w:val="13"/>
                <w:szCs w:val="13"/>
                <w:color w:val="auto"/>
              </w:rPr>
            </w:pPr>
          </w:p>
        </w:tc>
        <w:tc>
          <w:tcPr>
            <w:tcW w:w="180" w:type="dxa"/>
            <w:vAlign w:val="bottom"/>
            <w:gridSpan w:val="2"/>
            <w:shd w:val="clear" w:color="auto" w:fill="CFF0FC"/>
          </w:tcPr>
          <w:p>
            <w:pPr>
              <w:jc w:val="right"/>
              <w:ind w:right="94"/>
              <w:spacing w:after="0"/>
              <w:rPr>
                <w:sz w:val="20"/>
                <w:szCs w:val="20"/>
                <w:color w:val="auto"/>
              </w:rPr>
            </w:pPr>
            <w:r>
              <w:rPr>
                <w:rFonts w:ascii="Arial" w:cs="Arial" w:eastAsia="Arial" w:hAnsi="Arial"/>
                <w:sz w:val="10"/>
                <w:szCs w:val="10"/>
                <w:b w:val="1"/>
                <w:bCs w:val="1"/>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100" w:type="dxa"/>
            <w:vAlign w:val="bottom"/>
          </w:tcPr>
          <w:p>
            <w:pPr>
              <w:spacing w:after="0"/>
              <w:rPr>
                <w:sz w:val="20"/>
                <w:szCs w:val="20"/>
                <w:color w:val="auto"/>
              </w:rPr>
            </w:pPr>
            <w:r>
              <w:rPr>
                <w:rFonts w:ascii="Arial" w:cs="Arial" w:eastAsia="Arial" w:hAnsi="Arial"/>
                <w:sz w:val="14"/>
                <w:szCs w:val="14"/>
                <w:b w:val="1"/>
                <w:bCs w:val="1"/>
                <w:color w:val="auto"/>
              </w:rPr>
              <w:t>Derivatives</w:t>
            </w:r>
          </w:p>
        </w:tc>
        <w:tc>
          <w:tcPr>
            <w:tcW w:w="1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99"/>
              </w:rPr>
              <w:t>Initial</w:t>
            </w: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vMerge w:val="restart"/>
          </w:tcPr>
          <w:p>
            <w:pPr>
              <w:jc w:val="center"/>
              <w:ind w:right="133"/>
              <w:spacing w:after="0"/>
              <w:rPr>
                <w:sz w:val="20"/>
                <w:szCs w:val="20"/>
                <w:color w:val="auto"/>
              </w:rPr>
            </w:pPr>
            <w:r>
              <w:rPr>
                <w:rFonts w:ascii="Arial" w:cs="Arial" w:eastAsia="Arial" w:hAnsi="Arial"/>
                <w:sz w:val="14"/>
                <w:szCs w:val="14"/>
                <w:b w:val="1"/>
                <w:bCs w:val="1"/>
                <w:color w:val="auto"/>
              </w:rPr>
              <w:t>Fair</w:t>
            </w:r>
          </w:p>
        </w:tc>
        <w:tc>
          <w:tcPr>
            <w:tcW w:w="1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3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9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310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89"/>
              </w:rPr>
              <w:t>Portfolio Company /</w:t>
            </w:r>
          </w:p>
        </w:tc>
        <w:tc>
          <w:tcPr>
            <w:tcW w:w="14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2"/>
          </w:tcPr>
          <w:p>
            <w:pPr>
              <w:jc w:val="center"/>
              <w:ind w:right="140"/>
              <w:spacing w:after="0" w:line="126" w:lineRule="exact"/>
              <w:rPr>
                <w:sz w:val="20"/>
                <w:szCs w:val="20"/>
                <w:color w:val="auto"/>
              </w:rPr>
            </w:pPr>
            <w:r>
              <w:rPr>
                <w:rFonts w:ascii="Arial" w:cs="Arial" w:eastAsia="Arial" w:hAnsi="Arial"/>
                <w:sz w:val="13"/>
                <w:szCs w:val="13"/>
                <w:b w:val="1"/>
                <w:bCs w:val="1"/>
                <w:color w:val="auto"/>
                <w:w w:val="87"/>
              </w:rPr>
              <w:t>Acquisition</w:t>
            </w:r>
          </w:p>
        </w:tc>
        <w:tc>
          <w:tcPr>
            <w:tcW w:w="9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3100" w:type="dxa"/>
            <w:vAlign w:val="bottom"/>
          </w:tcPr>
          <w:p>
            <w:pPr>
              <w:jc w:val="center"/>
              <w:spacing w:after="0"/>
              <w:rPr>
                <w:sz w:val="20"/>
                <w:szCs w:val="20"/>
                <w:color w:val="auto"/>
              </w:rPr>
            </w:pPr>
            <w:r>
              <w:rPr>
                <w:rFonts w:ascii="Arial" w:cs="Arial" w:eastAsia="Arial" w:hAnsi="Arial"/>
                <w:sz w:val="13"/>
                <w:szCs w:val="13"/>
                <w:b w:val="1"/>
                <w:bCs w:val="1"/>
                <w:color w:val="auto"/>
                <w:w w:val="84"/>
              </w:rPr>
              <w:t>Principal Business</w:t>
            </w:r>
          </w:p>
        </w:tc>
        <w:tc>
          <w:tcPr>
            <w:tcW w:w="140" w:type="dxa"/>
            <w:vAlign w:val="bottom"/>
          </w:tcPr>
          <w:p>
            <w:pPr>
              <w:spacing w:after="0"/>
              <w:rPr>
                <w:sz w:val="14"/>
                <w:szCs w:val="14"/>
                <w:color w:val="auto"/>
              </w:rPr>
            </w:pPr>
          </w:p>
        </w:tc>
        <w:tc>
          <w:tcPr>
            <w:tcW w:w="3200" w:type="dxa"/>
            <w:vAlign w:val="bottom"/>
            <w:gridSpan w:val="2"/>
          </w:tcPr>
          <w:p>
            <w:pPr>
              <w:ind w:left="1180"/>
              <w:spacing w:after="0"/>
              <w:rPr>
                <w:sz w:val="20"/>
                <w:szCs w:val="20"/>
                <w:color w:val="auto"/>
              </w:rPr>
            </w:pPr>
            <w:r>
              <w:rPr>
                <w:rFonts w:ascii="Arial" w:cs="Arial" w:eastAsia="Arial" w:hAnsi="Arial"/>
                <w:sz w:val="13"/>
                <w:szCs w:val="13"/>
                <w:b w:val="1"/>
                <w:bCs w:val="1"/>
                <w:color w:val="auto"/>
              </w:rPr>
              <w:t>Investment</w:t>
            </w:r>
            <w:r>
              <w:rPr>
                <w:rFonts w:ascii="Arial" w:cs="Arial" w:eastAsia="Arial" w:hAnsi="Arial"/>
                <w:sz w:val="10"/>
                <w:szCs w:val="10"/>
                <w:b w:val="1"/>
                <w:bCs w:val="1"/>
                <w:color w:val="auto"/>
              </w:rPr>
              <w:t>15</w:t>
            </w:r>
          </w:p>
        </w:tc>
        <w:tc>
          <w:tcPr>
            <w:tcW w:w="12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Date</w:t>
            </w: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right"/>
              <w:ind w:right="620"/>
              <w:spacing w:after="0"/>
              <w:rPr>
                <w:sz w:val="20"/>
                <w:szCs w:val="20"/>
                <w:color w:val="auto"/>
              </w:rPr>
            </w:pPr>
            <w:r>
              <w:rPr>
                <w:rFonts w:ascii="Arial" w:cs="Arial" w:eastAsia="Arial" w:hAnsi="Arial"/>
                <w:sz w:val="13"/>
                <w:szCs w:val="13"/>
                <w:b w:val="1"/>
                <w:bCs w:val="1"/>
                <w:color w:val="auto"/>
              </w:rPr>
              <w:t>Cost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Value</w:t>
            </w:r>
            <w:r>
              <w:rPr>
                <w:rFonts w:ascii="Arial" w:cs="Arial" w:eastAsia="Arial" w:hAnsi="Arial"/>
                <w:sz w:val="12"/>
                <w:szCs w:val="12"/>
                <w:b w:val="1"/>
                <w:bCs w:val="1"/>
                <w:color w:val="auto"/>
                <w:w w:val="95"/>
              </w:rPr>
              <w:t>2</w:t>
            </w:r>
          </w:p>
        </w:tc>
        <w:tc>
          <w:tcPr>
            <w:tcW w:w="0" w:type="dxa"/>
            <w:vAlign w:val="bottom"/>
          </w:tcPr>
          <w:p>
            <w:pPr>
              <w:spacing w:after="0"/>
              <w:rPr>
                <w:sz w:val="1"/>
                <w:szCs w:val="1"/>
                <w:color w:val="auto"/>
              </w:rPr>
            </w:pPr>
          </w:p>
        </w:tc>
      </w:tr>
      <w:tr>
        <w:trPr>
          <w:trHeight w:val="128"/>
        </w:trPr>
        <w:tc>
          <w:tcPr>
            <w:tcW w:w="310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AAPC Holdings LLC.</w:t>
            </w:r>
            <w:r>
              <w:rPr>
                <w:rFonts w:ascii="Arial" w:cs="Arial" w:eastAsia="Arial" w:hAnsi="Arial"/>
                <w:sz w:val="10"/>
                <w:szCs w:val="10"/>
                <w:color w:val="auto"/>
              </w:rPr>
              <w:t>(13)(21)(22)</w:t>
            </w:r>
          </w:p>
        </w:tc>
        <w:tc>
          <w:tcPr>
            <w:tcW w:w="140" w:type="dxa"/>
            <w:vAlign w:val="bottom"/>
            <w:tcBorders>
              <w:top w:val="single" w:sz="8" w:color="CFF0FC"/>
            </w:tcBorders>
            <w:shd w:val="clear" w:color="auto" w:fill="CFF0FC"/>
          </w:tcPr>
          <w:p>
            <w:pPr>
              <w:spacing w:after="0"/>
              <w:rPr>
                <w:sz w:val="11"/>
                <w:szCs w:val="11"/>
                <w:color w:val="auto"/>
              </w:rPr>
            </w:pPr>
          </w:p>
        </w:tc>
        <w:tc>
          <w:tcPr>
            <w:tcW w:w="308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110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98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80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20" w:type="dxa"/>
            <w:vAlign w:val="bottom"/>
            <w:tcBorders>
              <w:top w:val="single" w:sz="8" w:color="CFF0FC"/>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82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100" w:type="dxa"/>
            <w:vAlign w:val="bottom"/>
            <w:shd w:val="clear" w:color="auto" w:fill="CFF0FC"/>
          </w:tcPr>
          <w:p>
            <w:pPr>
              <w:spacing w:after="0"/>
              <w:rPr>
                <w:sz w:val="20"/>
                <w:szCs w:val="20"/>
                <w:color w:val="auto"/>
              </w:rPr>
            </w:pPr>
            <w:r>
              <w:rPr>
                <w:rFonts w:ascii="Arial" w:cs="Arial" w:eastAsia="Arial" w:hAnsi="Arial"/>
                <w:sz w:val="13"/>
                <w:szCs w:val="13"/>
                <w:color w:val="auto"/>
              </w:rPr>
              <w:t>Banking, Finance, Insurance &amp; Real Estate</w:t>
            </w:r>
          </w:p>
        </w:tc>
        <w:tc>
          <w:tcPr>
            <w:tcW w:w="3340" w:type="dxa"/>
            <w:vAlign w:val="bottom"/>
            <w:gridSpan w:val="3"/>
            <w:shd w:val="clear" w:color="auto" w:fill="CFF0FC"/>
          </w:tcPr>
          <w:p>
            <w:pPr>
              <w:ind w:left="140"/>
              <w:spacing w:after="0"/>
              <w:rPr>
                <w:sz w:val="20"/>
                <w:szCs w:val="20"/>
                <w:color w:val="auto"/>
              </w:rPr>
            </w:pPr>
            <w:r>
              <w:rPr>
                <w:rFonts w:ascii="Arial" w:cs="Arial" w:eastAsia="Arial" w:hAnsi="Arial"/>
                <w:sz w:val="13"/>
                <w:szCs w:val="13"/>
                <w:color w:val="auto"/>
              </w:rPr>
              <w:t>Securities Swap and Option Agreement</w:t>
            </w: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9/30/2019</w:t>
            </w:r>
          </w:p>
        </w:tc>
        <w:tc>
          <w:tcPr>
            <w:tcW w:w="1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jc w:val="right"/>
              <w:ind w:right="68"/>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180" w:type="dxa"/>
            <w:vAlign w:val="bottom"/>
            <w:gridSpan w:val="2"/>
            <w:shd w:val="clear" w:color="auto" w:fill="CFF0FC"/>
          </w:tcPr>
          <w:p>
            <w:pPr>
              <w:jc w:val="right"/>
              <w:ind w:right="94"/>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(1,588,195)</w:t>
            </w: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1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 xml:space="preserve">HDNet Holdco LLC </w:t>
            </w:r>
            <w:r>
              <w:rPr>
                <w:rFonts w:ascii="Arial" w:cs="Arial" w:eastAsia="Arial" w:hAnsi="Arial"/>
                <w:sz w:val="10"/>
                <w:szCs w:val="10"/>
                <w:color w:val="auto"/>
              </w:rPr>
              <w:t>(13)(21)(22)</w:t>
            </w:r>
          </w:p>
        </w:tc>
        <w:tc>
          <w:tcPr>
            <w:tcW w:w="140" w:type="dxa"/>
            <w:vAlign w:val="bottom"/>
            <w:shd w:val="clear" w:color="auto" w:fill="CFF0FC"/>
          </w:tcPr>
          <w:p>
            <w:pPr>
              <w:spacing w:after="0"/>
              <w:rPr>
                <w:sz w:val="11"/>
                <w:szCs w:val="11"/>
                <w:color w:val="auto"/>
              </w:rPr>
            </w:pPr>
          </w:p>
        </w:tc>
        <w:tc>
          <w:tcPr>
            <w:tcW w:w="30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100" w:type="dxa"/>
            <w:vAlign w:val="bottom"/>
            <w:shd w:val="clear" w:color="auto" w:fill="CFF0FC"/>
          </w:tcPr>
          <w:p>
            <w:pPr>
              <w:spacing w:after="0"/>
              <w:rPr>
                <w:sz w:val="20"/>
                <w:szCs w:val="20"/>
                <w:color w:val="auto"/>
              </w:rPr>
            </w:pPr>
            <w:r>
              <w:rPr>
                <w:rFonts w:ascii="Arial" w:cs="Arial" w:eastAsia="Arial" w:hAnsi="Arial"/>
                <w:sz w:val="13"/>
                <w:szCs w:val="13"/>
                <w:color w:val="auto"/>
              </w:rPr>
              <w:t>Media: Broadcasting &amp; Subscription</w:t>
            </w:r>
          </w:p>
        </w:tc>
        <w:tc>
          <w:tcPr>
            <w:tcW w:w="3340" w:type="dxa"/>
            <w:vAlign w:val="bottom"/>
            <w:gridSpan w:val="3"/>
            <w:shd w:val="clear" w:color="auto" w:fill="CFF0FC"/>
          </w:tcPr>
          <w:p>
            <w:pPr>
              <w:ind w:left="140"/>
              <w:spacing w:after="0"/>
              <w:rPr>
                <w:sz w:val="20"/>
                <w:szCs w:val="20"/>
                <w:color w:val="auto"/>
              </w:rPr>
            </w:pPr>
            <w:r>
              <w:rPr>
                <w:rFonts w:ascii="Arial" w:cs="Arial" w:eastAsia="Arial" w:hAnsi="Arial"/>
                <w:sz w:val="13"/>
                <w:szCs w:val="13"/>
                <w:color w:val="auto"/>
              </w:rPr>
              <w:t>Call Option</w:t>
            </w: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9/9/2019</w:t>
            </w:r>
          </w:p>
        </w:tc>
        <w:tc>
          <w:tcPr>
            <w:tcW w:w="1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30,609</w:t>
            </w:r>
          </w:p>
        </w:tc>
        <w:tc>
          <w:tcPr>
            <w:tcW w:w="2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5,232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shd w:val="clear" w:color="auto" w:fill="CFF0FC"/>
          </w:tcPr>
          <w:p>
            <w:pPr>
              <w:spacing w:after="0"/>
              <w:rPr>
                <w:sz w:val="20"/>
                <w:szCs w:val="20"/>
                <w:color w:val="auto"/>
              </w:rPr>
            </w:pPr>
            <w:r>
              <w:rPr>
                <w:rFonts w:ascii="Arial" w:cs="Arial" w:eastAsia="Arial" w:hAnsi="Arial"/>
                <w:sz w:val="13"/>
                <w:szCs w:val="13"/>
                <w:b w:val="1"/>
                <w:bCs w:val="1"/>
                <w:color w:val="auto"/>
                <w:w w:val="95"/>
              </w:rPr>
              <w:t>Total Derivatives (0% of net asset value at fair value)</w:t>
            </w:r>
          </w:p>
        </w:tc>
        <w:tc>
          <w:tcPr>
            <w:tcW w:w="140" w:type="dxa"/>
            <w:vAlign w:val="bottom"/>
            <w:shd w:val="clear" w:color="auto" w:fill="CFF0FC"/>
          </w:tcPr>
          <w:p>
            <w:pPr>
              <w:spacing w:after="0"/>
              <w:rPr>
                <w:sz w:val="12"/>
                <w:szCs w:val="12"/>
                <w:color w:val="auto"/>
              </w:rPr>
            </w:pPr>
          </w:p>
        </w:tc>
        <w:tc>
          <w:tcPr>
            <w:tcW w:w="3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jc w:val="right"/>
              <w:ind w:right="68"/>
              <w:spacing w:after="0"/>
              <w:rPr>
                <w:sz w:val="20"/>
                <w:szCs w:val="20"/>
                <w:color w:val="auto"/>
              </w:rPr>
            </w:pPr>
            <w:r>
              <w:rPr>
                <w:rFonts w:ascii="Arial" w:cs="Arial" w:eastAsia="Arial" w:hAnsi="Arial"/>
                <w:sz w:val="10"/>
                <w:szCs w:val="10"/>
                <w:b w:val="1"/>
                <w:bCs w:val="1"/>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30,609</w:t>
            </w:r>
          </w:p>
        </w:tc>
        <w:tc>
          <w:tcPr>
            <w:tcW w:w="240" w:type="dxa"/>
            <w:vAlign w:val="bottom"/>
            <w:shd w:val="clear" w:color="auto" w:fill="CFF0FC"/>
          </w:tcPr>
          <w:p>
            <w:pPr>
              <w:spacing w:after="0"/>
              <w:rPr>
                <w:sz w:val="12"/>
                <w:szCs w:val="12"/>
                <w:color w:val="auto"/>
              </w:rPr>
            </w:pPr>
          </w:p>
        </w:tc>
        <w:tc>
          <w:tcPr>
            <w:tcW w:w="180" w:type="dxa"/>
            <w:vAlign w:val="bottom"/>
            <w:gridSpan w:val="2"/>
            <w:shd w:val="clear" w:color="auto" w:fill="CFF0FC"/>
          </w:tcPr>
          <w:p>
            <w:pPr>
              <w:jc w:val="right"/>
              <w:ind w:right="94"/>
              <w:spacing w:after="0"/>
              <w:rPr>
                <w:sz w:val="20"/>
                <w:szCs w:val="20"/>
                <w:color w:val="auto"/>
              </w:rPr>
            </w:pPr>
            <w:r>
              <w:rPr>
                <w:rFonts w:ascii="Arial" w:cs="Arial" w:eastAsia="Arial" w:hAnsi="Arial"/>
                <w:sz w:val="10"/>
                <w:szCs w:val="10"/>
                <w:b w:val="1"/>
                <w:bCs w:val="1"/>
                <w:color w:val="auto"/>
                <w:w w:val="71"/>
              </w:rPr>
              <w:t>$</w:t>
            </w: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b w:val="1"/>
                <w:bCs w:val="1"/>
                <w:color w:val="auto"/>
              </w:rPr>
              <w:t>(1,582,963)</w:t>
            </w:r>
          </w:p>
        </w:tc>
        <w:tc>
          <w:tcPr>
            <w:tcW w:w="0" w:type="dxa"/>
            <w:vAlign w:val="bottom"/>
          </w:tcPr>
          <w:p>
            <w:pPr>
              <w:spacing w:after="0"/>
              <w:rPr>
                <w:sz w:val="1"/>
                <w:szCs w:val="1"/>
                <w:color w:val="auto"/>
              </w:rPr>
            </w:pPr>
          </w:p>
        </w:tc>
      </w:tr>
      <w:tr>
        <w:trPr>
          <w:trHeight w:val="170"/>
        </w:trPr>
        <w:tc>
          <w:tcPr>
            <w:tcW w:w="3100" w:type="dxa"/>
            <w:vAlign w:val="bottom"/>
          </w:tcPr>
          <w:p>
            <w:pPr>
              <w:spacing w:after="0"/>
              <w:rPr>
                <w:sz w:val="20"/>
                <w:szCs w:val="20"/>
                <w:color w:val="auto"/>
              </w:rPr>
            </w:pPr>
            <w:r>
              <w:rPr>
                <w:rFonts w:ascii="Arial" w:cs="Arial" w:eastAsia="Arial" w:hAnsi="Arial"/>
                <w:sz w:val="14"/>
                <w:szCs w:val="14"/>
                <w:b w:val="1"/>
                <w:bCs w:val="1"/>
                <w:color w:val="auto"/>
              </w:rPr>
              <w:t>Joint Ventures</w:t>
            </w:r>
          </w:p>
        </w:tc>
        <w:tc>
          <w:tcPr>
            <w:tcW w:w="1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99"/>
              </w:rPr>
              <w:t>Initial</w:t>
            </w: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vMerge w:val="restart"/>
          </w:tcPr>
          <w:p>
            <w:pPr>
              <w:jc w:val="center"/>
              <w:ind w:right="133"/>
              <w:spacing w:after="0"/>
              <w:rPr>
                <w:sz w:val="20"/>
                <w:szCs w:val="20"/>
                <w:color w:val="auto"/>
              </w:rPr>
            </w:pPr>
            <w:r>
              <w:rPr>
                <w:rFonts w:ascii="Arial" w:cs="Arial" w:eastAsia="Arial" w:hAnsi="Arial"/>
                <w:sz w:val="14"/>
                <w:szCs w:val="14"/>
                <w:b w:val="1"/>
                <w:bCs w:val="1"/>
                <w:color w:val="auto"/>
              </w:rPr>
              <w:t>Fair</w:t>
            </w:r>
          </w:p>
        </w:tc>
        <w:tc>
          <w:tcPr>
            <w:tcW w:w="1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3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9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310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89"/>
              </w:rPr>
              <w:t>Portfolio Company /</w:t>
            </w:r>
          </w:p>
        </w:tc>
        <w:tc>
          <w:tcPr>
            <w:tcW w:w="14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2"/>
          </w:tcPr>
          <w:p>
            <w:pPr>
              <w:jc w:val="center"/>
              <w:ind w:right="140"/>
              <w:spacing w:after="0" w:line="126" w:lineRule="exact"/>
              <w:rPr>
                <w:sz w:val="20"/>
                <w:szCs w:val="20"/>
                <w:color w:val="auto"/>
              </w:rPr>
            </w:pPr>
            <w:r>
              <w:rPr>
                <w:rFonts w:ascii="Arial" w:cs="Arial" w:eastAsia="Arial" w:hAnsi="Arial"/>
                <w:sz w:val="13"/>
                <w:szCs w:val="13"/>
                <w:b w:val="1"/>
                <w:bCs w:val="1"/>
                <w:color w:val="auto"/>
                <w:w w:val="87"/>
              </w:rPr>
              <w:t>Acquisition</w:t>
            </w:r>
          </w:p>
        </w:tc>
        <w:tc>
          <w:tcPr>
            <w:tcW w:w="1240" w:type="dxa"/>
            <w:vAlign w:val="bottom"/>
            <w:gridSpan w:val="2"/>
          </w:tcPr>
          <w:p>
            <w:pPr>
              <w:jc w:val="right"/>
              <w:ind w:right="460"/>
              <w:spacing w:after="0" w:line="126" w:lineRule="exact"/>
              <w:rPr>
                <w:sz w:val="20"/>
                <w:szCs w:val="20"/>
                <w:color w:val="auto"/>
              </w:rPr>
            </w:pPr>
            <w:r>
              <w:rPr>
                <w:rFonts w:ascii="Arial" w:cs="Arial" w:eastAsia="Arial" w:hAnsi="Arial"/>
                <w:sz w:val="13"/>
                <w:szCs w:val="13"/>
                <w:b w:val="1"/>
                <w:bCs w:val="1"/>
                <w:color w:val="auto"/>
              </w:rPr>
              <w:t>Percentage</w:t>
            </w: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3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Principal Business</w:t>
            </w:r>
          </w:p>
        </w:tc>
        <w:tc>
          <w:tcPr>
            <w:tcW w:w="140" w:type="dxa"/>
            <w:vAlign w:val="bottom"/>
            <w:tcBorders>
              <w:bottom w:val="single" w:sz="8" w:color="CFF0FC"/>
            </w:tcBorders>
          </w:tcPr>
          <w:p>
            <w:pPr>
              <w:spacing w:after="0"/>
              <w:rPr>
                <w:sz w:val="14"/>
                <w:szCs w:val="14"/>
                <w:color w:val="auto"/>
              </w:rPr>
            </w:pPr>
          </w:p>
        </w:tc>
        <w:tc>
          <w:tcPr>
            <w:tcW w:w="3080" w:type="dxa"/>
            <w:vAlign w:val="bottom"/>
            <w:tcBorders>
              <w:bottom w:val="single" w:sz="8" w:color="auto"/>
            </w:tcBorders>
          </w:tcPr>
          <w:p>
            <w:pPr>
              <w:ind w:left="1180"/>
              <w:spacing w:after="0"/>
              <w:rPr>
                <w:sz w:val="20"/>
                <w:szCs w:val="20"/>
                <w:color w:val="auto"/>
              </w:rPr>
            </w:pPr>
            <w:r>
              <w:rPr>
                <w:rFonts w:ascii="Arial" w:cs="Arial" w:eastAsia="Arial" w:hAnsi="Arial"/>
                <w:sz w:val="13"/>
                <w:szCs w:val="13"/>
                <w:b w:val="1"/>
                <w:bCs w:val="1"/>
                <w:color w:val="auto"/>
              </w:rPr>
              <w:t>Investment</w:t>
            </w:r>
            <w:r>
              <w:rPr>
                <w:rFonts w:ascii="Arial" w:cs="Arial" w:eastAsia="Arial" w:hAnsi="Arial"/>
                <w:sz w:val="10"/>
                <w:szCs w:val="10"/>
                <w:b w:val="1"/>
                <w:bCs w:val="1"/>
                <w:color w:val="auto"/>
              </w:rPr>
              <w:t>15</w:t>
            </w:r>
          </w:p>
        </w:tc>
        <w:tc>
          <w:tcPr>
            <w:tcW w:w="120" w:type="dxa"/>
            <w:vAlign w:val="bottom"/>
            <w:tcBorders>
              <w:bottom w:val="single" w:sz="8" w:color="CFF0FC"/>
            </w:tcBorders>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Date</w:t>
            </w:r>
          </w:p>
        </w:tc>
        <w:tc>
          <w:tcPr>
            <w:tcW w:w="140" w:type="dxa"/>
            <w:vAlign w:val="bottom"/>
            <w:tcBorders>
              <w:bottom w:val="single" w:sz="8" w:color="CFF0FC"/>
            </w:tcBorders>
          </w:tcPr>
          <w:p>
            <w:pPr>
              <w:spacing w:after="0"/>
              <w:rPr>
                <w:sz w:val="14"/>
                <w:szCs w:val="14"/>
                <w:color w:val="auto"/>
              </w:rPr>
            </w:pPr>
          </w:p>
        </w:tc>
        <w:tc>
          <w:tcPr>
            <w:tcW w:w="9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Ownership</w:t>
            </w:r>
          </w:p>
        </w:tc>
        <w:tc>
          <w:tcPr>
            <w:tcW w:w="26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b w:val="1"/>
                <w:bCs w:val="1"/>
                <w:color w:val="auto"/>
              </w:rPr>
              <w:t>Cost</w:t>
            </w:r>
          </w:p>
        </w:tc>
        <w:tc>
          <w:tcPr>
            <w:tcW w:w="24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95"/>
              </w:rPr>
              <w:t>Value</w:t>
            </w:r>
            <w:r>
              <w:rPr>
                <w:rFonts w:ascii="Arial" w:cs="Arial" w:eastAsia="Arial" w:hAnsi="Arial"/>
                <w:sz w:val="12"/>
                <w:szCs w:val="12"/>
                <w:b w:val="1"/>
                <w:bCs w:val="1"/>
                <w:color w:val="auto"/>
                <w:w w:val="95"/>
              </w:rPr>
              <w:t>2</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0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KCAP Freedom 3 LLC</w:t>
            </w:r>
            <w:r>
              <w:rPr>
                <w:rFonts w:ascii="Arial" w:cs="Arial" w:eastAsia="Arial" w:hAnsi="Arial"/>
                <w:sz w:val="10"/>
                <w:szCs w:val="10"/>
                <w:color w:val="auto"/>
              </w:rPr>
              <w:t>(9)(13)(16)</w:t>
            </w:r>
          </w:p>
        </w:tc>
        <w:tc>
          <w:tcPr>
            <w:tcW w:w="140" w:type="dxa"/>
            <w:vAlign w:val="bottom"/>
            <w:shd w:val="clear" w:color="auto" w:fill="CFF0FC"/>
          </w:tcPr>
          <w:p>
            <w:pPr>
              <w:spacing w:after="0"/>
              <w:rPr>
                <w:sz w:val="12"/>
                <w:szCs w:val="12"/>
                <w:color w:val="auto"/>
              </w:rPr>
            </w:pPr>
          </w:p>
        </w:tc>
        <w:tc>
          <w:tcPr>
            <w:tcW w:w="308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Joint Venture</w:t>
            </w: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7/19/2017</w:t>
            </w:r>
          </w:p>
        </w:tc>
        <w:tc>
          <w:tcPr>
            <w:tcW w:w="14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160"/>
              <w:spacing w:after="0" w:line="142" w:lineRule="exact"/>
              <w:rPr>
                <w:sz w:val="20"/>
                <w:szCs w:val="20"/>
                <w:color w:val="auto"/>
              </w:rPr>
            </w:pPr>
            <w:r>
              <w:rPr>
                <w:rFonts w:ascii="Arial" w:cs="Arial" w:eastAsia="Arial" w:hAnsi="Arial"/>
                <w:sz w:val="13"/>
                <w:szCs w:val="13"/>
                <w:color w:val="auto"/>
              </w:rPr>
              <w:t>60%</w:t>
            </w:r>
          </w:p>
        </w:tc>
        <w:tc>
          <w:tcPr>
            <w:tcW w:w="180" w:type="dxa"/>
            <w:vAlign w:val="bottom"/>
            <w:shd w:val="clear" w:color="auto" w:fill="CFF0FC"/>
          </w:tcPr>
          <w:p>
            <w:pPr>
              <w:jc w:val="right"/>
              <w:ind w:right="68"/>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24,914,858</w:t>
            </w:r>
          </w:p>
        </w:tc>
        <w:tc>
          <w:tcPr>
            <w:tcW w:w="2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94"/>
              <w:spacing w:after="0"/>
              <w:rPr>
                <w:sz w:val="20"/>
                <w:szCs w:val="20"/>
                <w:color w:val="auto"/>
              </w:rPr>
            </w:pPr>
            <w:r>
              <w:rPr>
                <w:rFonts w:ascii="Arial" w:cs="Arial" w:eastAsia="Arial" w:hAnsi="Arial"/>
                <w:sz w:val="5"/>
                <w:szCs w:val="5"/>
                <w:color w:val="auto"/>
                <w:w w:val="70"/>
              </w:rPr>
              <w:t>$</w:t>
            </w:r>
          </w:p>
        </w:tc>
        <w:tc>
          <w:tcPr>
            <w:tcW w:w="8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20,539,848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100" w:type="dxa"/>
            <w:vAlign w:val="bottom"/>
          </w:tcPr>
          <w:p>
            <w:pPr>
              <w:spacing w:after="0" w:line="134" w:lineRule="exact"/>
              <w:rPr>
                <w:sz w:val="20"/>
                <w:szCs w:val="20"/>
                <w:color w:val="auto"/>
              </w:rPr>
            </w:pPr>
            <w:r>
              <w:rPr>
                <w:rFonts w:ascii="Arial" w:cs="Arial" w:eastAsia="Arial" w:hAnsi="Arial"/>
                <w:sz w:val="13"/>
                <w:szCs w:val="13"/>
                <w:color w:val="auto"/>
              </w:rPr>
              <w:t>BCP Great Lakes Holdings LP</w:t>
            </w:r>
            <w:r>
              <w:rPr>
                <w:rFonts w:ascii="Arial" w:cs="Arial" w:eastAsia="Arial" w:hAnsi="Arial"/>
                <w:sz w:val="10"/>
                <w:szCs w:val="10"/>
                <w:color w:val="auto"/>
              </w:rPr>
              <w:t>(10)(17)(18)</w:t>
            </w:r>
          </w:p>
        </w:tc>
        <w:tc>
          <w:tcPr>
            <w:tcW w:w="14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100" w:type="dxa"/>
            <w:vAlign w:val="bottom"/>
            <w:tcBorders>
              <w:bottom w:val="single" w:sz="8" w:color="CFF0FC"/>
            </w:tcBorders>
          </w:tcPr>
          <w:p>
            <w:pPr>
              <w:ind w:left="100"/>
              <w:spacing w:after="0"/>
              <w:rPr>
                <w:sz w:val="20"/>
                <w:szCs w:val="20"/>
                <w:color w:val="auto"/>
              </w:rPr>
            </w:pPr>
            <w:r>
              <w:rPr>
                <w:rFonts w:ascii="Arial" w:cs="Arial" w:eastAsia="Arial" w:hAnsi="Arial"/>
                <w:sz w:val="13"/>
                <w:szCs w:val="13"/>
                <w:color w:val="auto"/>
              </w:rPr>
              <w:t>Limited Partnership</w:t>
            </w:r>
          </w:p>
        </w:tc>
        <w:tc>
          <w:tcPr>
            <w:tcW w:w="3340" w:type="dxa"/>
            <w:vAlign w:val="bottom"/>
            <w:tcBorders>
              <w:bottom w:val="single" w:sz="8" w:color="CFF0FC"/>
            </w:tcBorders>
            <w:gridSpan w:val="3"/>
          </w:tcPr>
          <w:p>
            <w:pPr>
              <w:ind w:left="140"/>
              <w:spacing w:after="0"/>
              <w:rPr>
                <w:sz w:val="20"/>
                <w:szCs w:val="20"/>
                <w:color w:val="auto"/>
              </w:rPr>
            </w:pPr>
            <w:r>
              <w:rPr>
                <w:rFonts w:ascii="Arial" w:cs="Arial" w:eastAsia="Arial" w:hAnsi="Arial"/>
                <w:sz w:val="13"/>
                <w:szCs w:val="13"/>
                <w:color w:val="auto"/>
              </w:rPr>
              <w:t>Joint Venture</w:t>
            </w:r>
          </w:p>
        </w:tc>
        <w:tc>
          <w:tcPr>
            <w:tcW w:w="1100" w:type="dxa"/>
            <w:vAlign w:val="bottom"/>
            <w:tcBorders>
              <w:bottom w:val="single" w:sz="8" w:color="CFF0FC"/>
            </w:tcBorders>
          </w:tcPr>
          <w:p>
            <w:pPr>
              <w:jc w:val="right"/>
              <w:spacing w:after="0"/>
              <w:rPr>
                <w:sz w:val="20"/>
                <w:szCs w:val="20"/>
                <w:color w:val="auto"/>
              </w:rPr>
            </w:pPr>
            <w:r>
              <w:rPr>
                <w:rFonts w:ascii="Arial" w:cs="Arial" w:eastAsia="Arial" w:hAnsi="Arial"/>
                <w:sz w:val="13"/>
                <w:szCs w:val="13"/>
                <w:color w:val="auto"/>
              </w:rPr>
              <w:t>12/11/2018</w:t>
            </w:r>
          </w:p>
        </w:tc>
        <w:tc>
          <w:tcPr>
            <w:tcW w:w="140" w:type="dxa"/>
            <w:vAlign w:val="bottom"/>
            <w:tcBorders>
              <w:bottom w:val="single" w:sz="8" w:color="CFF0FC"/>
            </w:tcBorders>
          </w:tcPr>
          <w:p>
            <w:pPr>
              <w:spacing w:after="0"/>
              <w:rPr>
                <w:sz w:val="12"/>
                <w:szCs w:val="12"/>
                <w:color w:val="auto"/>
              </w:rPr>
            </w:pPr>
          </w:p>
        </w:tc>
        <w:tc>
          <w:tcPr>
            <w:tcW w:w="1240" w:type="dxa"/>
            <w:vAlign w:val="bottom"/>
            <w:tcBorders>
              <w:bottom w:val="single" w:sz="8" w:color="CFF0FC"/>
            </w:tcBorders>
            <w:gridSpan w:val="2"/>
          </w:tcPr>
          <w:p>
            <w:pPr>
              <w:jc w:val="right"/>
              <w:ind w:right="160"/>
              <w:spacing w:after="0"/>
              <w:rPr>
                <w:sz w:val="20"/>
                <w:szCs w:val="20"/>
                <w:color w:val="auto"/>
              </w:rPr>
            </w:pPr>
            <w:r>
              <w:rPr>
                <w:rFonts w:ascii="Arial" w:cs="Arial" w:eastAsia="Arial" w:hAnsi="Arial"/>
                <w:sz w:val="13"/>
                <w:szCs w:val="13"/>
                <w:color w:val="auto"/>
              </w:rPr>
              <w:t>24%</w:t>
            </w: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36,191,108</w:t>
            </w:r>
          </w:p>
        </w:tc>
        <w:tc>
          <w:tcPr>
            <w:tcW w:w="240" w:type="dxa"/>
            <w:vAlign w:val="bottom"/>
            <w:tcBorders>
              <w:bottom w:val="single" w:sz="8" w:color="CFF0FC"/>
            </w:tcBorders>
          </w:tcPr>
          <w:p>
            <w:pPr>
              <w:spacing w:after="0"/>
              <w:rPr>
                <w:sz w:val="12"/>
                <w:szCs w:val="12"/>
                <w:color w:val="auto"/>
              </w:rPr>
            </w:pPr>
          </w:p>
        </w:tc>
        <w:tc>
          <w:tcPr>
            <w:tcW w:w="2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36,191,108</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100" w:type="dxa"/>
            <w:vAlign w:val="bottom"/>
          </w:tcPr>
          <w:p>
            <w:pPr>
              <w:spacing w:after="0" w:line="131" w:lineRule="exact"/>
              <w:rPr>
                <w:sz w:val="20"/>
                <w:szCs w:val="20"/>
                <w:color w:val="auto"/>
              </w:rPr>
            </w:pPr>
            <w:r>
              <w:rPr>
                <w:rFonts w:ascii="Arial" w:cs="Arial" w:eastAsia="Arial" w:hAnsi="Arial"/>
                <w:sz w:val="13"/>
                <w:szCs w:val="13"/>
                <w:b w:val="1"/>
                <w:bCs w:val="1"/>
                <w:color w:val="auto"/>
              </w:rPr>
              <w:t>Total Investment in Joint Ventures</w:t>
            </w:r>
          </w:p>
        </w:tc>
        <w:tc>
          <w:tcPr>
            <w:tcW w:w="14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100" w:type="dxa"/>
            <w:vAlign w:val="bottom"/>
          </w:tcPr>
          <w:p>
            <w:pPr>
              <w:ind w:left="100"/>
              <w:spacing w:after="0"/>
              <w:rPr>
                <w:sz w:val="20"/>
                <w:szCs w:val="20"/>
                <w:color w:val="auto"/>
              </w:rPr>
            </w:pPr>
            <w:r>
              <w:rPr>
                <w:rFonts w:ascii="Arial" w:cs="Arial" w:eastAsia="Arial" w:hAnsi="Arial"/>
                <w:sz w:val="13"/>
                <w:szCs w:val="13"/>
                <w:b w:val="1"/>
                <w:bCs w:val="1"/>
                <w:color w:val="auto"/>
              </w:rPr>
              <w:t>(26% of net asset value at fair value)</w:t>
            </w:r>
          </w:p>
        </w:tc>
        <w:tc>
          <w:tcPr>
            <w:tcW w:w="14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61,105,966</w:t>
            </w:r>
          </w:p>
        </w:tc>
        <w:tc>
          <w:tcPr>
            <w:tcW w:w="240" w:type="dxa"/>
            <w:vAlign w:val="bottom"/>
          </w:tcPr>
          <w:p>
            <w:pPr>
              <w:spacing w:after="0"/>
              <w:rPr>
                <w:sz w:val="13"/>
                <w:szCs w:val="13"/>
                <w:color w:val="auto"/>
              </w:rPr>
            </w:pPr>
          </w:p>
        </w:tc>
        <w:tc>
          <w:tcPr>
            <w:tcW w:w="180" w:type="dxa"/>
            <w:vAlign w:val="bottom"/>
            <w:tcBorders>
              <w:bottom w:val="single" w:sz="8" w:color="auto"/>
            </w:tcBorders>
            <w:gridSpan w:val="2"/>
          </w:tcPr>
          <w:p>
            <w:pPr>
              <w:jc w:val="right"/>
              <w:ind w:right="94"/>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56,730,956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6"/>
        </w:trPr>
        <w:tc>
          <w:tcPr>
            <w:tcW w:w="3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gridSpan w:val="2"/>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30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3100" w:type="dxa"/>
            <w:vAlign w:val="bottom"/>
          </w:tcPr>
          <w:p>
            <w:pPr>
              <w:spacing w:after="0"/>
              <w:rPr>
                <w:sz w:val="20"/>
                <w:szCs w:val="20"/>
                <w:color w:val="auto"/>
              </w:rPr>
            </w:pPr>
            <w:r>
              <w:rPr>
                <w:rFonts w:ascii="Arial" w:cs="Arial" w:eastAsia="Arial" w:hAnsi="Arial"/>
                <w:sz w:val="13"/>
                <w:szCs w:val="13"/>
                <w:b w:val="1"/>
                <w:bCs w:val="1"/>
                <w:color w:val="auto"/>
              </w:rPr>
              <w:t>Total Investments</w:t>
            </w:r>
            <w:r>
              <w:rPr>
                <w:rFonts w:ascii="Arial" w:cs="Arial" w:eastAsia="Arial" w:hAnsi="Arial"/>
                <w:sz w:val="10"/>
                <w:szCs w:val="10"/>
                <w:b w:val="1"/>
                <w:bCs w:val="1"/>
                <w:color w:val="auto"/>
              </w:rPr>
              <w:t>4</w:t>
            </w:r>
          </w:p>
        </w:tc>
        <w:tc>
          <w:tcPr>
            <w:tcW w:w="1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515,498,423</w:t>
            </w:r>
          </w:p>
        </w:tc>
        <w:tc>
          <w:tcPr>
            <w:tcW w:w="240" w:type="dxa"/>
            <w:vAlign w:val="bottom"/>
          </w:tcPr>
          <w:p>
            <w:pPr>
              <w:spacing w:after="0"/>
              <w:rPr>
                <w:sz w:val="14"/>
                <w:szCs w:val="14"/>
                <w:color w:val="auto"/>
              </w:rPr>
            </w:pPr>
          </w:p>
        </w:tc>
        <w:tc>
          <w:tcPr>
            <w:tcW w:w="180" w:type="dxa"/>
            <w:vAlign w:val="bottom"/>
            <w:tcBorders>
              <w:bottom w:val="single" w:sz="8" w:color="auto"/>
            </w:tcBorders>
            <w:gridSpan w:val="2"/>
          </w:tcPr>
          <w:p>
            <w:pPr>
              <w:jc w:val="right"/>
              <w:ind w:right="74"/>
              <w:spacing w:after="0"/>
              <w:rPr>
                <w:sz w:val="20"/>
                <w:szCs w:val="20"/>
                <w:color w:val="auto"/>
              </w:rPr>
            </w:pPr>
            <w:r>
              <w:rPr>
                <w:rFonts w:ascii="Arial" w:cs="Arial" w:eastAsia="Arial" w:hAnsi="Arial"/>
                <w:sz w:val="13"/>
                <w:szCs w:val="13"/>
                <w:b w:val="1"/>
                <w:bCs w:val="1"/>
                <w:color w:val="auto"/>
                <w:w w:val="82"/>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472,864,445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ind w:left="380" w:hanging="372"/>
        <w:spacing w:after="0"/>
        <w:tabs>
          <w:tab w:leader="none" w:pos="380" w:val="left"/>
        </w:tabs>
        <w:numPr>
          <w:ilvl w:val="0"/>
          <w:numId w:val="6"/>
        </w:numPr>
        <w:rPr>
          <w:rFonts w:ascii="Arial" w:cs="Arial" w:eastAsia="Arial" w:hAnsi="Arial"/>
          <w:sz w:val="13"/>
          <w:szCs w:val="13"/>
          <w:color w:val="auto"/>
        </w:rPr>
      </w:pPr>
      <w:r>
        <w:rPr>
          <w:rFonts w:ascii="Arial" w:cs="Arial" w:eastAsia="Arial" w:hAnsi="Arial"/>
          <w:sz w:val="14"/>
          <w:szCs w:val="14"/>
          <w:color w:val="auto"/>
        </w:rPr>
        <w:t>A majority of the variable rate loans in the Company’s investment portfolio bear interest at a rate that may be determined by reference to either LIBOR or an alternate</w:t>
      </w:r>
    </w:p>
    <w:p>
      <w:pPr>
        <w:spacing w:after="0" w:line="45" w:lineRule="exact"/>
        <w:rPr>
          <w:sz w:val="20"/>
          <w:szCs w:val="20"/>
          <w:color w:val="auto"/>
        </w:rPr>
      </w:pPr>
    </w:p>
    <w:p>
      <w:pPr>
        <w:ind w:left="380" w:right="180"/>
        <w:spacing w:after="0" w:line="264" w:lineRule="auto"/>
        <w:rPr>
          <w:sz w:val="20"/>
          <w:szCs w:val="20"/>
          <w:color w:val="auto"/>
        </w:rPr>
      </w:pPr>
      <w:r>
        <w:rPr>
          <w:rFonts w:ascii="Arial" w:cs="Arial" w:eastAsia="Arial" w:hAnsi="Arial"/>
          <w:sz w:val="16"/>
          <w:szCs w:val="16"/>
          <w:color w:val="auto"/>
        </w:rPr>
        <w:t>Base Rate (commonly based on the Federal Funds Rate or the Prime Rate), which typically resets semi-annually, quarterly, or monthly at the borrower’s option. The Borrower may also elect to have multiple interest reset periods for each March 31, 2021 loan. For each such loan, the Company has provided the weighted average annual stated interest rate in effect at March 31, 2021. As noted in the table above 71.4% (based on par) of debt securities contain floors which range between 1.00% and 1.50%.</w:t>
      </w:r>
    </w:p>
    <w:p>
      <w:pPr>
        <w:ind w:left="380" w:hanging="372"/>
        <w:spacing w:after="0"/>
        <w:tabs>
          <w:tab w:leader="none" w:pos="380" w:val="left"/>
        </w:tabs>
        <w:numPr>
          <w:ilvl w:val="0"/>
          <w:numId w:val="7"/>
        </w:numPr>
        <w:rPr>
          <w:rFonts w:ascii="Arial" w:cs="Arial" w:eastAsia="Arial" w:hAnsi="Arial"/>
          <w:sz w:val="17"/>
          <w:szCs w:val="17"/>
          <w:color w:val="auto"/>
        </w:rPr>
      </w:pPr>
      <w:r>
        <w:rPr>
          <w:rFonts w:ascii="Arial" w:cs="Arial" w:eastAsia="Arial" w:hAnsi="Arial"/>
          <w:sz w:val="16"/>
          <w:szCs w:val="16"/>
          <w:color w:val="auto"/>
        </w:rPr>
        <w:t>Reflects the fair market value of all investments as of March 31, 2021 as determined by the Company’s Board of Directors.</w:t>
      </w:r>
    </w:p>
    <w:p>
      <w:pPr>
        <w:spacing w:after="0" w:line="9"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5"/>
          <w:szCs w:val="15"/>
          <w:color w:val="auto"/>
        </w:rPr>
        <w:t>3</w:t>
      </w:r>
      <w:r>
        <w:rPr>
          <w:rFonts w:ascii="Arial" w:cs="Arial" w:eastAsia="Arial" w:hAnsi="Arial"/>
          <w:sz w:val="14"/>
          <w:szCs w:val="14"/>
          <w:color w:val="auto"/>
        </w:rPr>
        <w:t>Non-U.S. company or principal place of business outside the U.S.</w:t>
      </w:r>
    </w:p>
    <w:p>
      <w:pPr>
        <w:spacing w:after="0" w:line="28" w:lineRule="exact"/>
        <w:rPr>
          <w:rFonts w:ascii="Arial" w:cs="Arial" w:eastAsia="Arial" w:hAnsi="Arial"/>
          <w:sz w:val="17"/>
          <w:szCs w:val="17"/>
          <w:color w:val="auto"/>
        </w:rPr>
      </w:pPr>
    </w:p>
    <w:p>
      <w:pPr>
        <w:ind w:left="380" w:right="220" w:hanging="364"/>
        <w:spacing w:after="0" w:line="281" w:lineRule="auto"/>
        <w:rPr>
          <w:rFonts w:ascii="Arial" w:cs="Arial" w:eastAsia="Arial" w:hAnsi="Arial"/>
          <w:sz w:val="17"/>
          <w:szCs w:val="17"/>
          <w:color w:val="auto"/>
        </w:rPr>
      </w:pPr>
      <w:r>
        <w:rPr>
          <w:rFonts w:ascii="Arial" w:cs="Arial" w:eastAsia="Arial" w:hAnsi="Arial"/>
          <w:sz w:val="15"/>
          <w:szCs w:val="15"/>
          <w:color w:val="auto"/>
        </w:rPr>
        <w:t>4The aggregate cost of investments for federal income tax purposes is approximately $545 million. The aggregate gross unrealized appreciation is approximately $52 million, the aggregate gross unrealized depreciation is approximately $124 million, and the net unrealized depreciation is approximately $72 million.</w:t>
      </w:r>
    </w:p>
    <w:p>
      <w:pPr>
        <w:spacing w:after="0" w:line="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5"/>
          <w:szCs w:val="15"/>
          <w:color w:val="auto"/>
        </w:rPr>
        <w:t>5</w:t>
      </w:r>
      <w:r>
        <w:rPr>
          <w:rFonts w:ascii="Arial" w:cs="Arial" w:eastAsia="Arial" w:hAnsi="Arial"/>
          <w:sz w:val="14"/>
          <w:szCs w:val="14"/>
          <w:color w:val="auto"/>
        </w:rPr>
        <w:t>Loan or debt security is on non-accrual status and therefore is considered non-income producing.</w:t>
      </w:r>
    </w:p>
    <w:p>
      <w:pPr>
        <w:spacing w:after="0" w:line="30" w:lineRule="exact"/>
        <w:rPr>
          <w:rFonts w:ascii="Arial" w:cs="Arial" w:eastAsia="Arial" w:hAnsi="Arial"/>
          <w:sz w:val="17"/>
          <w:szCs w:val="17"/>
          <w:color w:val="auto"/>
        </w:rPr>
      </w:pPr>
    </w:p>
    <w:p>
      <w:pPr>
        <w:ind w:left="380" w:right="20" w:hanging="364"/>
        <w:spacing w:after="0" w:line="264" w:lineRule="auto"/>
        <w:rPr>
          <w:rFonts w:ascii="Arial" w:cs="Arial" w:eastAsia="Arial" w:hAnsi="Arial"/>
          <w:sz w:val="17"/>
          <w:szCs w:val="17"/>
          <w:color w:val="auto"/>
        </w:rPr>
      </w:pPr>
      <w:r>
        <w:rPr>
          <w:rFonts w:ascii="Arial" w:cs="Arial" w:eastAsia="Arial" w:hAnsi="Arial"/>
          <w:sz w:val="15"/>
          <w:szCs w:val="15"/>
          <w:color w:val="auto"/>
        </w:rPr>
        <w:t>6</w:t>
      </w:r>
      <w:r>
        <w:rPr>
          <w:rFonts w:ascii="Arial" w:cs="Arial" w:eastAsia="Arial" w:hAnsi="Arial"/>
          <w:sz w:val="16"/>
          <w:szCs w:val="16"/>
          <w:color w:val="auto"/>
        </w:rPr>
        <w:t>Held through Garrison Capital Equity Holdings II LLC and net of non-controlling member’s interest of 17.5% pursuant to the Amended and Restated Limited Liability Company Agreement of Garrison Capital Equity Holdings II LLC.</w:t>
      </w:r>
    </w:p>
    <w:p>
      <w:pPr>
        <w:spacing w:after="0"/>
        <w:rPr>
          <w:rFonts w:ascii="Arial" w:cs="Arial" w:eastAsia="Arial" w:hAnsi="Arial"/>
          <w:sz w:val="17"/>
          <w:szCs w:val="17"/>
          <w:color w:val="auto"/>
        </w:rPr>
      </w:pPr>
      <w:r>
        <w:rPr>
          <w:rFonts w:ascii="Arial" w:cs="Arial" w:eastAsia="Arial" w:hAnsi="Arial"/>
          <w:sz w:val="17"/>
          <w:szCs w:val="17"/>
          <w:color w:val="auto"/>
        </w:rPr>
        <w:t xml:space="preserve">7    </w:t>
      </w:r>
      <w:r>
        <w:rPr>
          <w:rFonts w:ascii="Arial" w:cs="Arial" w:eastAsia="Arial" w:hAnsi="Arial"/>
          <w:sz w:val="16"/>
          <w:szCs w:val="16"/>
          <w:color w:val="auto"/>
        </w:rPr>
        <w:t>During the second quarter of 2020, the Company was notified that this CLO Fund security will cease making distributions to the Company.</w:t>
      </w:r>
    </w:p>
    <w:p>
      <w:pPr>
        <w:spacing w:after="0" w:line="9" w:lineRule="exact"/>
        <w:rPr>
          <w:rFonts w:ascii="Arial" w:cs="Arial" w:eastAsia="Arial" w:hAnsi="Arial"/>
          <w:sz w:val="17"/>
          <w:szCs w:val="17"/>
          <w:color w:val="auto"/>
        </w:rPr>
      </w:pPr>
    </w:p>
    <w:p>
      <w:pPr>
        <w:ind w:left="380" w:right="100" w:hanging="364"/>
        <w:spacing w:after="0" w:line="262" w:lineRule="auto"/>
        <w:rPr>
          <w:rFonts w:ascii="Arial" w:cs="Arial" w:eastAsia="Arial" w:hAnsi="Arial"/>
          <w:sz w:val="17"/>
          <w:szCs w:val="17"/>
          <w:color w:val="auto"/>
        </w:rPr>
      </w:pPr>
      <w:r>
        <w:rPr>
          <w:rFonts w:ascii="Arial" w:cs="Arial" w:eastAsia="Arial" w:hAnsi="Arial"/>
          <w:sz w:val="15"/>
          <w:szCs w:val="15"/>
          <w:color w:val="auto"/>
        </w:rPr>
        <w:t>8</w:t>
      </w:r>
      <w:r>
        <w:rPr>
          <w:rFonts w:ascii="Arial" w:cs="Arial" w:eastAsia="Arial" w:hAnsi="Arial"/>
          <w:sz w:val="16"/>
          <w:szCs w:val="16"/>
          <w:color w:val="auto"/>
        </w:rPr>
        <w:t>Qualified asset for purposes of section 55(a) of the Investment Company Act of 1940, as amended (the “1940 Act”). Qualifying assets represent approximately 85.4% of the total assets at March 31, 2021.</w:t>
      </w:r>
    </w:p>
    <w:p>
      <w:pPr>
        <w:spacing w:after="0" w:line="1" w:lineRule="exact"/>
        <w:rPr>
          <w:rFonts w:ascii="Arial" w:cs="Arial" w:eastAsia="Arial" w:hAnsi="Arial"/>
          <w:sz w:val="17"/>
          <w:szCs w:val="17"/>
          <w:color w:val="auto"/>
        </w:rPr>
      </w:pPr>
    </w:p>
    <w:p>
      <w:pPr>
        <w:ind w:left="380" w:right="180" w:hanging="364"/>
        <w:spacing w:after="0" w:line="301" w:lineRule="auto"/>
        <w:rPr>
          <w:rFonts w:ascii="Arial" w:cs="Arial" w:eastAsia="Arial" w:hAnsi="Arial"/>
          <w:sz w:val="17"/>
          <w:szCs w:val="17"/>
          <w:color w:val="auto"/>
        </w:rPr>
      </w:pPr>
      <w:r>
        <w:rPr>
          <w:rFonts w:ascii="Arial" w:cs="Arial" w:eastAsia="Arial" w:hAnsi="Arial"/>
          <w:sz w:val="15"/>
          <w:szCs w:val="15"/>
          <w:color w:val="auto"/>
        </w:rPr>
        <w:t>9</w:t>
      </w:r>
      <w:r>
        <w:rPr>
          <w:rFonts w:ascii="Arial" w:cs="Arial" w:eastAsia="Arial" w:hAnsi="Arial"/>
          <w:sz w:val="14"/>
          <w:szCs w:val="14"/>
          <w:color w:val="auto"/>
        </w:rPr>
        <w:t>As defined in the 1940 Act, the Company is deemed to be both an “Affiliated Person” and has “Control” of this portfolio company as the Company owns more than 25% of the portfolio company’s outstanding voting securities or has the power to exercise control over management or policies of such portfolio company (including through a management agreement). Other than for purposes of the 1940 Act, the Company does not believe that it has control over this portfolio company.</w:t>
      </w:r>
    </w:p>
    <w:p>
      <w:pPr>
        <w:spacing w:after="0" w:line="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5"/>
          <w:szCs w:val="15"/>
          <w:color w:val="auto"/>
        </w:rPr>
        <w:t xml:space="preserve">10   </w:t>
      </w:r>
      <w:r>
        <w:rPr>
          <w:rFonts w:ascii="Arial" w:cs="Arial" w:eastAsia="Arial" w:hAnsi="Arial"/>
          <w:sz w:val="16"/>
          <w:szCs w:val="16"/>
          <w:color w:val="auto"/>
        </w:rPr>
        <w:t>Non-voting.</w:t>
      </w:r>
    </w:p>
    <w:p>
      <w:pPr>
        <w:spacing w:after="0" w:line="18" w:lineRule="exact"/>
        <w:rPr>
          <w:rFonts w:ascii="Arial" w:cs="Arial" w:eastAsia="Arial" w:hAnsi="Arial"/>
          <w:sz w:val="17"/>
          <w:szCs w:val="17"/>
          <w:color w:val="auto"/>
        </w:rPr>
      </w:pPr>
    </w:p>
    <w:p>
      <w:pPr>
        <w:ind w:left="380" w:right="140" w:hanging="364"/>
        <w:spacing w:after="0" w:line="301" w:lineRule="auto"/>
        <w:rPr>
          <w:rFonts w:ascii="Arial" w:cs="Arial" w:eastAsia="Arial" w:hAnsi="Arial"/>
          <w:sz w:val="17"/>
          <w:szCs w:val="17"/>
          <w:color w:val="auto"/>
        </w:rPr>
      </w:pPr>
      <w:r>
        <w:rPr>
          <w:rFonts w:ascii="Arial" w:cs="Arial" w:eastAsia="Arial" w:hAnsi="Arial"/>
          <w:sz w:val="13"/>
          <w:szCs w:val="13"/>
          <w:color w:val="auto"/>
        </w:rPr>
        <w:t xml:space="preserve">11 </w:t>
      </w:r>
      <w:r>
        <w:rPr>
          <w:rFonts w:ascii="Arial" w:cs="Arial" w:eastAsia="Arial" w:hAnsi="Arial"/>
          <w:sz w:val="14"/>
          <w:szCs w:val="14"/>
          <w:color w:val="auto"/>
        </w:rPr>
        <w:t>CLO Subordinated Investments are entitled to periodic distributions which are generally equal to the remaining cash flow of the payments made by the underlying</w:t>
      </w:r>
      <w:r>
        <w:rPr>
          <w:rFonts w:ascii="Arial" w:cs="Arial" w:eastAsia="Arial" w:hAnsi="Arial"/>
          <w:sz w:val="13"/>
          <w:szCs w:val="13"/>
          <w:color w:val="auto"/>
        </w:rPr>
        <w:t xml:space="preserve"> </w:t>
      </w:r>
      <w:r>
        <w:rPr>
          <w:rFonts w:ascii="Arial" w:cs="Arial" w:eastAsia="Arial" w:hAnsi="Arial"/>
          <w:sz w:val="14"/>
          <w:szCs w:val="14"/>
          <w:color w:val="auto"/>
        </w:rPr>
        <w:t>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spacing w:after="0" w:line="1" w:lineRule="exact"/>
        <w:rPr>
          <w:rFonts w:ascii="Arial" w:cs="Arial" w:eastAsia="Arial" w:hAnsi="Arial"/>
          <w:sz w:val="17"/>
          <w:szCs w:val="17"/>
          <w:color w:val="auto"/>
        </w:rPr>
      </w:pPr>
    </w:p>
    <w:p>
      <w:pPr>
        <w:ind w:left="380" w:right="60" w:hanging="364"/>
        <w:spacing w:after="0" w:line="264" w:lineRule="auto"/>
        <w:rPr>
          <w:rFonts w:ascii="Arial" w:cs="Arial" w:eastAsia="Arial" w:hAnsi="Arial"/>
          <w:sz w:val="17"/>
          <w:szCs w:val="17"/>
          <w:color w:val="auto"/>
        </w:rPr>
      </w:pPr>
      <w:r>
        <w:rPr>
          <w:rFonts w:ascii="Arial" w:cs="Arial" w:eastAsia="Arial" w:hAnsi="Arial"/>
          <w:sz w:val="15"/>
          <w:szCs w:val="15"/>
          <w:color w:val="auto"/>
        </w:rPr>
        <w:t xml:space="preserve">12 </w:t>
      </w:r>
      <w:r>
        <w:rPr>
          <w:rFonts w:ascii="Arial" w:cs="Arial" w:eastAsia="Arial" w:hAnsi="Arial"/>
          <w:sz w:val="16"/>
          <w:szCs w:val="16"/>
          <w:color w:val="auto"/>
        </w:rPr>
        <w:t>This investment is on non-accrual status and receives a 5% royalty interest on oil being produced on certain fields. All production payments received are being applied</w:t>
      </w:r>
      <w:r>
        <w:rPr>
          <w:rFonts w:ascii="Arial" w:cs="Arial" w:eastAsia="Arial" w:hAnsi="Arial"/>
          <w:sz w:val="15"/>
          <w:szCs w:val="15"/>
          <w:color w:val="auto"/>
        </w:rPr>
        <w:t xml:space="preserve"> </w:t>
      </w:r>
      <w:r>
        <w:rPr>
          <w:rFonts w:ascii="Arial" w:cs="Arial" w:eastAsia="Arial" w:hAnsi="Arial"/>
          <w:sz w:val="16"/>
          <w:szCs w:val="16"/>
          <w:color w:val="auto"/>
        </w:rPr>
        <w:t>to the cost basis and are considered return of capital.</w:t>
      </w:r>
    </w:p>
    <w:p>
      <w:pPr>
        <w:spacing w:after="0"/>
        <w:rPr>
          <w:rFonts w:ascii="Arial" w:cs="Arial" w:eastAsia="Arial" w:hAnsi="Arial"/>
          <w:sz w:val="17"/>
          <w:szCs w:val="17"/>
          <w:color w:val="auto"/>
        </w:rPr>
      </w:pPr>
      <w:r>
        <w:rPr>
          <w:rFonts w:ascii="Arial" w:cs="Arial" w:eastAsia="Arial" w:hAnsi="Arial"/>
          <w:sz w:val="15"/>
          <w:szCs w:val="15"/>
          <w:color w:val="auto"/>
        </w:rPr>
        <w:t xml:space="preserve">13   </w:t>
      </w:r>
      <w:r>
        <w:rPr>
          <w:rFonts w:ascii="Arial" w:cs="Arial" w:eastAsia="Arial" w:hAnsi="Arial"/>
          <w:sz w:val="16"/>
          <w:szCs w:val="16"/>
          <w:color w:val="auto"/>
        </w:rPr>
        <w:t>Fair value of this investment was determined using significant unobservable inputs.</w:t>
      </w:r>
    </w:p>
    <w:p>
      <w:pPr>
        <w:spacing w:after="0" w:line="1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5"/>
          <w:szCs w:val="15"/>
          <w:color w:val="auto"/>
        </w:rPr>
        <w:t xml:space="preserve">14   </w:t>
      </w:r>
      <w:r>
        <w:rPr>
          <w:rFonts w:ascii="Arial" w:cs="Arial" w:eastAsia="Arial" w:hAnsi="Arial"/>
          <w:sz w:val="16"/>
          <w:szCs w:val="16"/>
          <w:color w:val="auto"/>
        </w:rPr>
        <w:t>As of March 31, 2021, is investment is pledged to secure the Company’s debt obligations.</w:t>
      </w:r>
    </w:p>
    <w:p>
      <w:pPr>
        <w:spacing w:after="0" w:line="18" w:lineRule="exact"/>
        <w:rPr>
          <w:rFonts w:ascii="Arial" w:cs="Arial" w:eastAsia="Arial" w:hAnsi="Arial"/>
          <w:sz w:val="17"/>
          <w:szCs w:val="17"/>
          <w:color w:val="auto"/>
        </w:rPr>
      </w:pPr>
    </w:p>
    <w:p>
      <w:pPr>
        <w:ind w:left="380" w:hanging="364"/>
        <w:spacing w:after="0" w:line="281" w:lineRule="auto"/>
        <w:rPr>
          <w:rFonts w:ascii="Arial" w:cs="Arial" w:eastAsia="Arial" w:hAnsi="Arial"/>
          <w:sz w:val="17"/>
          <w:szCs w:val="17"/>
          <w:color w:val="auto"/>
        </w:rPr>
      </w:pPr>
      <w:r>
        <w:rPr>
          <w:rFonts w:ascii="Arial" w:cs="Arial" w:eastAsia="Arial" w:hAnsi="Arial"/>
          <w:sz w:val="14"/>
          <w:szCs w:val="14"/>
          <w:color w:val="auto"/>
        </w:rPr>
        <w:t xml:space="preserve">15 </w:t>
      </w:r>
      <w:r>
        <w:rPr>
          <w:rFonts w:ascii="Arial" w:cs="Arial" w:eastAsia="Arial" w:hAnsi="Arial"/>
          <w:sz w:val="15"/>
          <w:szCs w:val="15"/>
          <w:color w:val="auto"/>
        </w:rPr>
        <w:t>The Company's investments are generally acquired in private transactions exempt from registration under the Securities Act of 1933, as amended (the “Securities Act”)</w:t>
      </w:r>
      <w:r>
        <w:rPr>
          <w:rFonts w:ascii="Arial" w:cs="Arial" w:eastAsia="Arial" w:hAnsi="Arial"/>
          <w:sz w:val="14"/>
          <w:szCs w:val="14"/>
          <w:color w:val="auto"/>
        </w:rPr>
        <w:t xml:space="preserve"> </w:t>
      </w:r>
      <w:r>
        <w:rPr>
          <w:rFonts w:ascii="Arial" w:cs="Arial" w:eastAsia="Arial" w:hAnsi="Arial"/>
          <w:sz w:val="15"/>
          <w:szCs w:val="15"/>
          <w:color w:val="auto"/>
        </w:rPr>
        <w:t>and, therefore, are generally subject to limitations on resale, and may be deemed to be “restricted securities'' under the Securities Act of 1933.</w:t>
      </w:r>
    </w:p>
    <w:p>
      <w:pPr>
        <w:spacing w:after="0" w:line="1" w:lineRule="exact"/>
        <w:rPr>
          <w:rFonts w:ascii="Arial" w:cs="Arial" w:eastAsia="Arial" w:hAnsi="Arial"/>
          <w:sz w:val="17"/>
          <w:szCs w:val="17"/>
          <w:color w:val="auto"/>
        </w:rPr>
      </w:pPr>
    </w:p>
    <w:p>
      <w:pPr>
        <w:ind w:left="380" w:right="240" w:hanging="364"/>
        <w:spacing w:after="0" w:line="248" w:lineRule="auto"/>
        <w:rPr>
          <w:rFonts w:ascii="Arial" w:cs="Arial" w:eastAsia="Arial" w:hAnsi="Arial"/>
          <w:sz w:val="17"/>
          <w:szCs w:val="17"/>
          <w:color w:val="auto"/>
        </w:rPr>
      </w:pPr>
      <w:r>
        <w:rPr>
          <w:rFonts w:ascii="Arial" w:cs="Arial" w:eastAsia="Arial" w:hAnsi="Arial"/>
          <w:sz w:val="17"/>
          <w:szCs w:val="17"/>
          <w:color w:val="auto"/>
        </w:rPr>
        <w:t xml:space="preserve">16 </w:t>
      </w:r>
      <w:r>
        <w:rPr>
          <w:rFonts w:ascii="Arial" w:cs="Arial" w:eastAsia="Arial" w:hAnsi="Arial"/>
          <w:sz w:val="15"/>
          <w:szCs w:val="15"/>
          <w:color w:val="auto"/>
        </w:rPr>
        <w:t>As defined in the 1940 Act, the Company is deemed to be both an “Affiliated Person” and has “Control” of this portfolio company as the Company owns more than</w:t>
      </w:r>
      <w:r>
        <w:rPr>
          <w:rFonts w:ascii="Arial" w:cs="Arial" w:eastAsia="Arial" w:hAnsi="Arial"/>
          <w:sz w:val="17"/>
          <w:szCs w:val="17"/>
          <w:color w:val="auto"/>
        </w:rPr>
        <w:t xml:space="preserve"> </w:t>
      </w:r>
      <w:r>
        <w:rPr>
          <w:rFonts w:ascii="Arial" w:cs="Arial" w:eastAsia="Arial" w:hAnsi="Arial"/>
          <w:sz w:val="15"/>
          <w:szCs w:val="15"/>
          <w:color w:val="auto"/>
        </w:rPr>
        <w:t>25% of the portfolio company’s outstanding voting securities or has the power to exercise control over management or policies of such portfolio company.</w:t>
      </w:r>
    </w:p>
    <w:p>
      <w:pPr>
        <w:spacing w:after="0" w:line="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4"/>
          <w:szCs w:val="14"/>
          <w:color w:val="auto"/>
        </w:rPr>
        <w:t xml:space="preserve">17   </w:t>
      </w:r>
      <w:r>
        <w:rPr>
          <w:rFonts w:ascii="Arial" w:cs="Arial" w:eastAsia="Arial" w:hAnsi="Arial"/>
          <w:sz w:val="15"/>
          <w:szCs w:val="15"/>
          <w:color w:val="auto"/>
        </w:rPr>
        <w:t>Ownership of LP interest held through the holding company BCP Great Lakes Fund, L.P, a non-U.S. company or principal place of business outside the U.S.</w:t>
      </w:r>
    </w:p>
    <w:p>
      <w:pPr>
        <w:spacing w:after="0" w:line="30" w:lineRule="exact"/>
        <w:rPr>
          <w:sz w:val="20"/>
          <w:szCs w:val="20"/>
          <w:color w:val="auto"/>
        </w:rPr>
      </w:pPr>
    </w:p>
    <w:p>
      <w:pPr>
        <w:ind w:left="380" w:right="120" w:hanging="372"/>
        <w:spacing w:after="0" w:line="222" w:lineRule="auto"/>
        <w:tabs>
          <w:tab w:leader="none" w:pos="380" w:val="left"/>
        </w:tabs>
        <w:numPr>
          <w:ilvl w:val="0"/>
          <w:numId w:val="8"/>
        </w:numPr>
        <w:rPr>
          <w:rFonts w:ascii="Arial" w:cs="Arial" w:eastAsia="Arial" w:hAnsi="Arial"/>
          <w:sz w:val="25"/>
          <w:szCs w:val="25"/>
          <w:color w:val="auto"/>
          <w:vertAlign w:val="superscript"/>
        </w:rPr>
      </w:pPr>
      <w:r>
        <w:rPr>
          <w:rFonts w:ascii="Arial" w:cs="Arial" w:eastAsia="Arial" w:hAnsi="Arial"/>
          <w:sz w:val="16"/>
          <w:szCs w:val="16"/>
          <w:color w:val="auto"/>
        </w:rPr>
        <w:t>Under the 1940 Act, the Company is deemed to be an “Affiliated Person” of, as defined in the 1940 Act, this portfolio company as the Company owns at least 5% but no more than 25% of the portfolio company’s outstanding voting securities or is under common control with such portfolio company. Other than for purpose of the 1940 Act, the Company does not believe it has control over this portfolio company.</w:t>
      </w:r>
    </w:p>
    <w:p>
      <w:pPr>
        <w:spacing w:after="0" w:line="1" w:lineRule="exact"/>
        <w:rPr>
          <w:rFonts w:ascii="Arial" w:cs="Arial" w:eastAsia="Arial" w:hAnsi="Arial"/>
          <w:sz w:val="25"/>
          <w:szCs w:val="25"/>
          <w:color w:val="auto"/>
          <w:vertAlign w:val="superscript"/>
        </w:rPr>
      </w:pPr>
    </w:p>
    <w:p>
      <w:pPr>
        <w:ind w:left="380" w:hanging="372"/>
        <w:spacing w:after="0" w:line="183" w:lineRule="auto"/>
        <w:tabs>
          <w:tab w:leader="none" w:pos="380" w:val="left"/>
        </w:tabs>
        <w:numPr>
          <w:ilvl w:val="0"/>
          <w:numId w:val="8"/>
        </w:numPr>
        <w:rPr>
          <w:rFonts w:ascii="Arial" w:cs="Arial" w:eastAsia="Arial" w:hAnsi="Arial"/>
          <w:sz w:val="23"/>
          <w:szCs w:val="23"/>
          <w:color w:val="auto"/>
          <w:vertAlign w:val="superscript"/>
        </w:rPr>
      </w:pPr>
      <w:r>
        <w:rPr>
          <w:rFonts w:ascii="Arial" w:cs="Arial" w:eastAsia="Arial" w:hAnsi="Arial"/>
          <w:sz w:val="15"/>
          <w:szCs w:val="15"/>
          <w:color w:val="auto"/>
        </w:rPr>
        <w:t>Non-income producing.</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2" w:name="page23"/>
    <w:bookmarkEnd w:id="22"/>
    <w:p>
      <w:pPr>
        <w:ind w:left="380" w:right="40" w:hanging="372"/>
        <w:spacing w:after="0" w:line="232" w:lineRule="auto"/>
        <w:tabs>
          <w:tab w:leader="none" w:pos="380" w:val="left"/>
        </w:tabs>
        <w:numPr>
          <w:ilvl w:val="0"/>
          <w:numId w:val="9"/>
        </w:numPr>
        <w:rPr>
          <w:rFonts w:ascii="Arial" w:cs="Arial" w:eastAsia="Arial" w:hAnsi="Arial"/>
          <w:sz w:val="25"/>
          <w:szCs w:val="25"/>
          <w:color w:val="auto"/>
          <w:vertAlign w:val="superscript"/>
        </w:rPr>
      </w:pPr>
      <w:r>
        <w:rPr>
          <w:rFonts w:ascii="Arial" w:cs="Arial" w:eastAsia="Arial" w:hAnsi="Arial"/>
          <w:sz w:val="16"/>
          <w:szCs w:val="16"/>
          <w:color w:val="auto"/>
        </w:rPr>
        <w:t>In addition to the stated interest rate of this security, which is the amount disclosed in this schedule, the Company is entitled to receive additional interest as a result of an arrangement with other lenders in the syndication, whereby the “first out” tranche will have priority over the Company’s “last out” tranche with respect to payments of principal, interest and any other amounts due thereunder from the borrower. The additional interest received during the quarter has been annualized and included in the spread disclosed for this investment.</w:t>
      </w:r>
    </w:p>
    <w:p>
      <w:pPr>
        <w:spacing w:after="0" w:line="119" w:lineRule="exact"/>
        <w:rPr>
          <w:rFonts w:ascii="Arial" w:cs="Arial" w:eastAsia="Arial" w:hAnsi="Arial"/>
          <w:sz w:val="25"/>
          <w:szCs w:val="25"/>
          <w:color w:val="auto"/>
          <w:vertAlign w:val="superscript"/>
        </w:rPr>
      </w:pPr>
    </w:p>
    <w:p>
      <w:pPr>
        <w:ind w:left="380" w:hanging="372"/>
        <w:spacing w:after="0"/>
        <w:tabs>
          <w:tab w:leader="none" w:pos="380" w:val="left"/>
        </w:tabs>
        <w:numPr>
          <w:ilvl w:val="0"/>
          <w:numId w:val="9"/>
        </w:numPr>
        <w:rPr>
          <w:rFonts w:ascii="Arial" w:cs="Arial" w:eastAsia="Arial" w:hAnsi="Arial"/>
          <w:sz w:val="25"/>
          <w:szCs w:val="25"/>
          <w:color w:val="auto"/>
          <w:vertAlign w:val="superscript"/>
        </w:rPr>
      </w:pPr>
      <w:r>
        <w:rPr>
          <w:rFonts w:ascii="Arial" w:cs="Arial" w:eastAsia="Arial" w:hAnsi="Arial"/>
          <w:sz w:val="16"/>
          <w:szCs w:val="16"/>
          <w:color w:val="auto"/>
        </w:rPr>
        <w:t>Represents co-investment made with the Company's affiliates in accordance with the terms of the exemptive relief that the Company received.</w:t>
      </w:r>
    </w:p>
    <w:p>
      <w:pPr>
        <w:spacing w:after="0" w:line="117" w:lineRule="exact"/>
        <w:rPr>
          <w:rFonts w:ascii="Arial" w:cs="Arial" w:eastAsia="Arial" w:hAnsi="Arial"/>
          <w:sz w:val="25"/>
          <w:szCs w:val="25"/>
          <w:color w:val="auto"/>
          <w:vertAlign w:val="superscript"/>
        </w:rPr>
      </w:pPr>
    </w:p>
    <w:p>
      <w:pPr>
        <w:ind w:left="380" w:hanging="372"/>
        <w:spacing w:after="0"/>
        <w:tabs>
          <w:tab w:leader="none" w:pos="380" w:val="left"/>
        </w:tabs>
        <w:numPr>
          <w:ilvl w:val="0"/>
          <w:numId w:val="9"/>
        </w:numPr>
        <w:rPr>
          <w:rFonts w:ascii="Arial" w:cs="Arial" w:eastAsia="Arial" w:hAnsi="Arial"/>
          <w:sz w:val="25"/>
          <w:szCs w:val="25"/>
          <w:color w:val="auto"/>
          <w:vertAlign w:val="superscript"/>
        </w:rPr>
      </w:pPr>
      <w:r>
        <w:rPr>
          <w:rFonts w:ascii="Arial" w:cs="Arial" w:eastAsia="Arial" w:hAnsi="Arial"/>
          <w:sz w:val="16"/>
          <w:szCs w:val="16"/>
          <w:color w:val="auto"/>
        </w:rPr>
        <w:t>Information related to the Company’s derivatives is presented below as of March 31, 2021:</w:t>
      </w:r>
    </w:p>
    <w:tbl>
      <w:tblPr>
        <w:tblLayout w:type="fixed"/>
        <w:tblInd w:w="0" w:type="dxa"/>
        <w:tblCellMar>
          <w:top w:w="0" w:type="dxa"/>
          <w:left w:w="0" w:type="dxa"/>
          <w:bottom w:w="0" w:type="dxa"/>
          <w:right w:w="0" w:type="dxa"/>
        </w:tblCellMar>
      </w:tblPr>
      <w:tr>
        <w:trPr>
          <w:trHeight w:val="136"/>
        </w:trPr>
        <w:tc>
          <w:tcPr>
            <w:tcW w:w="2080" w:type="dxa"/>
            <w:vAlign w:val="bottom"/>
          </w:tcPr>
          <w:p>
            <w:pPr>
              <w:spacing w:after="0"/>
              <w:rPr>
                <w:sz w:val="11"/>
                <w:szCs w:val="11"/>
                <w:color w:val="auto"/>
              </w:rPr>
            </w:pPr>
          </w:p>
        </w:tc>
        <w:tc>
          <w:tcPr>
            <w:tcW w:w="78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84"/>
              </w:rPr>
              <w:t>Payments</w:t>
            </w:r>
          </w:p>
        </w:tc>
        <w:tc>
          <w:tcPr>
            <w:tcW w:w="1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gridSpan w:val="3"/>
          </w:tcPr>
          <w:p>
            <w:pPr>
              <w:jc w:val="center"/>
              <w:spacing w:after="0" w:line="136" w:lineRule="exact"/>
              <w:rPr>
                <w:sz w:val="20"/>
                <w:szCs w:val="20"/>
                <w:color w:val="auto"/>
              </w:rPr>
            </w:pPr>
            <w:r>
              <w:rPr>
                <w:rFonts w:ascii="Arial" w:cs="Arial" w:eastAsia="Arial" w:hAnsi="Arial"/>
                <w:sz w:val="13"/>
                <w:szCs w:val="13"/>
                <w:b w:val="1"/>
                <w:bCs w:val="1"/>
                <w:color w:val="auto"/>
                <w:w w:val="88"/>
              </w:rPr>
              <w:t>Notional</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jc w:val="center"/>
              <w:ind w:left="137"/>
              <w:spacing w:after="0" w:line="136" w:lineRule="exact"/>
              <w:rPr>
                <w:sz w:val="20"/>
                <w:szCs w:val="20"/>
                <w:color w:val="auto"/>
              </w:rPr>
            </w:pPr>
            <w:r>
              <w:rPr>
                <w:rFonts w:ascii="Arial" w:cs="Arial" w:eastAsia="Arial" w:hAnsi="Arial"/>
                <w:sz w:val="13"/>
                <w:szCs w:val="13"/>
                <w:b w:val="1"/>
                <w:bCs w:val="1"/>
                <w:color w:val="auto"/>
                <w:w w:val="89"/>
              </w:rPr>
              <w:t>Upfront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spacing w:after="0" w:line="136" w:lineRule="exact"/>
              <w:rPr>
                <w:sz w:val="20"/>
                <w:szCs w:val="20"/>
                <w:color w:val="auto"/>
              </w:rPr>
            </w:pPr>
            <w:r>
              <w:rPr>
                <w:rFonts w:ascii="Arial" w:cs="Arial" w:eastAsia="Arial" w:hAnsi="Arial"/>
                <w:sz w:val="13"/>
                <w:szCs w:val="13"/>
                <w:b w:val="1"/>
                <w:bCs w:val="1"/>
                <w:color w:val="auto"/>
                <w:w w:val="88"/>
              </w:rPr>
              <w:t>Unrealized</w:t>
            </w:r>
          </w:p>
        </w:tc>
      </w:tr>
      <w:tr>
        <w:trPr>
          <w:trHeight w:val="153"/>
        </w:trPr>
        <w:tc>
          <w:tcPr>
            <w:tcW w:w="2080" w:type="dxa"/>
            <w:vAlign w:val="bottom"/>
          </w:tcPr>
          <w:p>
            <w:pPr>
              <w:ind w:left="720"/>
              <w:spacing w:after="0"/>
              <w:rPr>
                <w:sz w:val="20"/>
                <w:szCs w:val="20"/>
                <w:color w:val="auto"/>
              </w:rPr>
            </w:pPr>
            <w:r>
              <w:rPr>
                <w:rFonts w:ascii="Arial" w:cs="Arial" w:eastAsia="Arial" w:hAnsi="Arial"/>
                <w:sz w:val="13"/>
                <w:szCs w:val="13"/>
                <w:b w:val="1"/>
                <w:bCs w:val="1"/>
                <w:color w:val="auto"/>
              </w:rPr>
              <w:t>Description</w:t>
            </w:r>
          </w:p>
        </w:tc>
        <w:tc>
          <w:tcPr>
            <w:tcW w:w="780" w:type="dxa"/>
            <w:vAlign w:val="bottom"/>
          </w:tcPr>
          <w:p>
            <w:pPr>
              <w:jc w:val="center"/>
              <w:ind w:left="17"/>
              <w:spacing w:after="0"/>
              <w:rPr>
                <w:sz w:val="20"/>
                <w:szCs w:val="20"/>
                <w:color w:val="auto"/>
              </w:rPr>
            </w:pPr>
            <w:r>
              <w:rPr>
                <w:rFonts w:ascii="Arial" w:cs="Arial" w:eastAsia="Arial" w:hAnsi="Arial"/>
                <w:sz w:val="13"/>
                <w:szCs w:val="13"/>
                <w:b w:val="1"/>
                <w:bCs w:val="1"/>
                <w:color w:val="auto"/>
                <w:w w:val="88"/>
              </w:rPr>
              <w:t>made</w:t>
            </w:r>
          </w:p>
        </w:tc>
        <w:tc>
          <w:tcPr>
            <w:tcW w:w="1160" w:type="dxa"/>
            <w:vAlign w:val="bottom"/>
          </w:tcPr>
          <w:p>
            <w:pPr>
              <w:ind w:left="100"/>
              <w:spacing w:after="0"/>
              <w:rPr>
                <w:sz w:val="20"/>
                <w:szCs w:val="20"/>
                <w:color w:val="auto"/>
              </w:rPr>
            </w:pPr>
            <w:r>
              <w:rPr>
                <w:rFonts w:ascii="Arial" w:cs="Arial" w:eastAsia="Arial" w:hAnsi="Arial"/>
                <w:sz w:val="13"/>
                <w:szCs w:val="13"/>
                <w:b w:val="1"/>
                <w:bCs w:val="1"/>
                <w:color w:val="auto"/>
                <w:w w:val="88"/>
              </w:rPr>
              <w:t>Payments received</w:t>
            </w:r>
          </w:p>
        </w:tc>
        <w:tc>
          <w:tcPr>
            <w:tcW w:w="400" w:type="dxa"/>
            <w:vAlign w:val="bottom"/>
          </w:tcPr>
          <w:p>
            <w:pPr>
              <w:spacing w:after="0"/>
              <w:rPr>
                <w:sz w:val="13"/>
                <w:szCs w:val="13"/>
                <w:color w:val="auto"/>
              </w:rPr>
            </w:pPr>
          </w:p>
        </w:tc>
        <w:tc>
          <w:tcPr>
            <w:tcW w:w="1520" w:type="dxa"/>
            <w:vAlign w:val="bottom"/>
          </w:tcPr>
          <w:p>
            <w:pPr>
              <w:jc w:val="center"/>
              <w:ind w:right="397"/>
              <w:spacing w:after="0"/>
              <w:rPr>
                <w:sz w:val="20"/>
                <w:szCs w:val="20"/>
                <w:color w:val="auto"/>
              </w:rPr>
            </w:pPr>
            <w:r>
              <w:rPr>
                <w:rFonts w:ascii="Arial" w:cs="Arial" w:eastAsia="Arial" w:hAnsi="Arial"/>
                <w:sz w:val="13"/>
                <w:szCs w:val="13"/>
                <w:b w:val="1"/>
                <w:bCs w:val="1"/>
                <w:color w:val="auto"/>
                <w:w w:val="90"/>
              </w:rPr>
              <w:t>Counterparty</w:t>
            </w:r>
          </w:p>
        </w:tc>
        <w:tc>
          <w:tcPr>
            <w:tcW w:w="860" w:type="dxa"/>
            <w:vAlign w:val="bottom"/>
            <w:gridSpan w:val="2"/>
          </w:tcPr>
          <w:p>
            <w:pPr>
              <w:jc w:val="center"/>
              <w:ind w:right="17"/>
              <w:spacing w:after="0"/>
              <w:rPr>
                <w:sz w:val="20"/>
                <w:szCs w:val="20"/>
                <w:color w:val="auto"/>
              </w:rPr>
            </w:pPr>
            <w:r>
              <w:rPr>
                <w:rFonts w:ascii="Arial" w:cs="Arial" w:eastAsia="Arial" w:hAnsi="Arial"/>
                <w:sz w:val="13"/>
                <w:szCs w:val="13"/>
                <w:b w:val="1"/>
                <w:bCs w:val="1"/>
                <w:color w:val="auto"/>
                <w:w w:val="91"/>
              </w:rPr>
              <w:t>Maturity date</w:t>
            </w:r>
          </w:p>
        </w:tc>
        <w:tc>
          <w:tcPr>
            <w:tcW w:w="720" w:type="dxa"/>
            <w:vAlign w:val="bottom"/>
            <w:gridSpan w:val="3"/>
          </w:tcPr>
          <w:p>
            <w:pPr>
              <w:jc w:val="center"/>
              <w:spacing w:after="0"/>
              <w:rPr>
                <w:sz w:val="20"/>
                <w:szCs w:val="20"/>
                <w:color w:val="auto"/>
              </w:rPr>
            </w:pPr>
            <w:r>
              <w:rPr>
                <w:rFonts w:ascii="Arial" w:cs="Arial" w:eastAsia="Arial" w:hAnsi="Arial"/>
                <w:sz w:val="13"/>
                <w:szCs w:val="13"/>
                <w:b w:val="1"/>
                <w:bCs w:val="1"/>
                <w:color w:val="auto"/>
                <w:w w:val="89"/>
              </w:rPr>
              <w:t>amount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tcPr>
          <w:p>
            <w:pPr>
              <w:ind w:left="240"/>
              <w:spacing w:after="0"/>
              <w:rPr>
                <w:sz w:val="20"/>
                <w:szCs w:val="20"/>
                <w:color w:val="auto"/>
              </w:rPr>
            </w:pPr>
            <w:r>
              <w:rPr>
                <w:rFonts w:ascii="Arial" w:cs="Arial" w:eastAsia="Arial" w:hAnsi="Arial"/>
                <w:sz w:val="13"/>
                <w:szCs w:val="13"/>
                <w:b w:val="1"/>
                <w:bCs w:val="1"/>
                <w:color w:val="auto"/>
              </w:rPr>
              <w:t>Value</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jc w:val="center"/>
              <w:ind w:left="137"/>
              <w:spacing w:after="0"/>
              <w:rPr>
                <w:sz w:val="20"/>
                <w:szCs w:val="20"/>
                <w:color w:val="auto"/>
              </w:rPr>
            </w:pPr>
            <w:r>
              <w:rPr>
                <w:rFonts w:ascii="Arial" w:cs="Arial" w:eastAsia="Arial" w:hAnsi="Arial"/>
                <w:sz w:val="13"/>
                <w:szCs w:val="13"/>
                <w:b w:val="1"/>
                <w:bCs w:val="1"/>
                <w:color w:val="auto"/>
                <w:w w:val="85"/>
              </w:rPr>
              <w:t>payments/receipts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spacing w:after="0"/>
              <w:rPr>
                <w:sz w:val="20"/>
                <w:szCs w:val="20"/>
                <w:color w:val="auto"/>
              </w:rPr>
            </w:pPr>
            <w:r>
              <w:rPr>
                <w:rFonts w:ascii="Arial" w:cs="Arial" w:eastAsia="Arial" w:hAnsi="Arial"/>
                <w:sz w:val="13"/>
                <w:szCs w:val="13"/>
                <w:b w:val="1"/>
                <w:bCs w:val="1"/>
                <w:color w:val="auto"/>
                <w:w w:val="82"/>
              </w:rPr>
              <w:t>gain (loss)</w:t>
            </w:r>
          </w:p>
        </w:tc>
      </w:tr>
      <w:tr>
        <w:trPr>
          <w:trHeight w:val="142"/>
        </w:trPr>
        <w:tc>
          <w:tcPr>
            <w:tcW w:w="2080" w:type="dxa"/>
            <w:vAlign w:val="bottom"/>
            <w:tcBorders>
              <w:top w:val="single" w:sz="8" w:color="auto"/>
            </w:tcBorders>
            <w:shd w:val="clear" w:color="auto" w:fill="CFF0FC"/>
          </w:tcPr>
          <w:p>
            <w:pPr>
              <w:spacing w:after="0" w:line="142" w:lineRule="exact"/>
              <w:rPr>
                <w:sz w:val="20"/>
                <w:szCs w:val="20"/>
                <w:color w:val="auto"/>
              </w:rPr>
            </w:pPr>
            <w:r>
              <w:rPr>
                <w:rFonts w:ascii="Arial" w:cs="Arial" w:eastAsia="Arial" w:hAnsi="Arial"/>
                <w:sz w:val="13"/>
                <w:szCs w:val="13"/>
                <w:color w:val="auto"/>
                <w:w w:val="90"/>
              </w:rPr>
              <w:t>Securities Swap and Option Agreement</w:t>
            </w:r>
          </w:p>
        </w:tc>
        <w:tc>
          <w:tcPr>
            <w:tcW w:w="780" w:type="dxa"/>
            <w:vAlign w:val="bottom"/>
            <w:tcBorders>
              <w:top w:val="single" w:sz="8" w:color="auto"/>
            </w:tcBorders>
            <w:shd w:val="clear" w:color="auto" w:fill="CFF0FC"/>
          </w:tcPr>
          <w:p>
            <w:pPr>
              <w:ind w:left="80"/>
              <w:spacing w:after="0" w:line="142" w:lineRule="exact"/>
              <w:rPr>
                <w:sz w:val="20"/>
                <w:szCs w:val="20"/>
                <w:color w:val="auto"/>
              </w:rPr>
            </w:pPr>
            <w:r>
              <w:rPr>
                <w:rFonts w:ascii="Arial" w:cs="Arial" w:eastAsia="Arial" w:hAnsi="Arial"/>
                <w:sz w:val="13"/>
                <w:szCs w:val="13"/>
                <w:color w:val="auto"/>
              </w:rPr>
              <w:t>18% PIK</w:t>
            </w:r>
          </w:p>
        </w:tc>
        <w:tc>
          <w:tcPr>
            <w:tcW w:w="1160" w:type="dxa"/>
            <w:vAlign w:val="bottom"/>
            <w:tcBorders>
              <w:top w:val="single" w:sz="8" w:color="auto"/>
            </w:tcBorders>
            <w:shd w:val="clear" w:color="auto" w:fill="CFF0FC"/>
          </w:tcPr>
          <w:p>
            <w:pPr>
              <w:ind w:left="100"/>
              <w:spacing w:after="0" w:line="142" w:lineRule="exact"/>
              <w:rPr>
                <w:sz w:val="20"/>
                <w:szCs w:val="20"/>
                <w:color w:val="auto"/>
              </w:rPr>
            </w:pPr>
            <w:r>
              <w:rPr>
                <w:rFonts w:ascii="Arial" w:cs="Arial" w:eastAsia="Arial" w:hAnsi="Arial"/>
                <w:sz w:val="13"/>
                <w:szCs w:val="13"/>
                <w:color w:val="auto"/>
              </w:rPr>
              <w:t>16% Cash</w:t>
            </w:r>
          </w:p>
        </w:tc>
        <w:tc>
          <w:tcPr>
            <w:tcW w:w="1920" w:type="dxa"/>
            <w:vAlign w:val="bottom"/>
            <w:tcBorders>
              <w:top w:val="single" w:sz="8" w:color="auto"/>
            </w:tcBorders>
            <w:gridSpan w:val="2"/>
            <w:shd w:val="clear" w:color="auto" w:fill="CFF0FC"/>
          </w:tcPr>
          <w:p>
            <w:pPr>
              <w:jc w:val="center"/>
              <w:ind w:right="17"/>
              <w:spacing w:after="0" w:line="142" w:lineRule="exact"/>
              <w:rPr>
                <w:sz w:val="20"/>
                <w:szCs w:val="20"/>
                <w:color w:val="auto"/>
              </w:rPr>
            </w:pPr>
            <w:r>
              <w:rPr>
                <w:rFonts w:ascii="Arial" w:cs="Arial" w:eastAsia="Arial" w:hAnsi="Arial"/>
                <w:sz w:val="13"/>
                <w:szCs w:val="13"/>
                <w:color w:val="auto"/>
                <w:w w:val="89"/>
              </w:rPr>
              <w:t>Advantage Capital Holdings LLC.</w:t>
            </w:r>
          </w:p>
        </w:tc>
        <w:tc>
          <w:tcPr>
            <w:tcW w:w="860" w:type="dxa"/>
            <w:vAlign w:val="bottom"/>
            <w:tcBorders>
              <w:top w:val="single" w:sz="8" w:color="auto"/>
            </w:tcBorders>
            <w:gridSpan w:val="2"/>
            <w:shd w:val="clear" w:color="auto" w:fill="CFF0FC"/>
          </w:tcPr>
          <w:p>
            <w:pPr>
              <w:jc w:val="right"/>
              <w:spacing w:after="0" w:line="142" w:lineRule="exact"/>
              <w:rPr>
                <w:sz w:val="20"/>
                <w:szCs w:val="20"/>
                <w:color w:val="auto"/>
              </w:rPr>
            </w:pPr>
            <w:r>
              <w:rPr>
                <w:rFonts w:ascii="Arial" w:cs="Arial" w:eastAsia="Arial" w:hAnsi="Arial"/>
                <w:sz w:val="13"/>
                <w:szCs w:val="13"/>
                <w:color w:val="auto"/>
              </w:rPr>
              <w:t>9/15/24</w:t>
            </w:r>
          </w:p>
        </w:tc>
        <w:tc>
          <w:tcPr>
            <w:tcW w:w="720" w:type="dxa"/>
            <w:vAlign w:val="bottom"/>
            <w:tcBorders>
              <w:top w:val="single" w:sz="8" w:color="auto"/>
            </w:tcBorders>
            <w:gridSpan w:val="3"/>
            <w:shd w:val="clear" w:color="auto" w:fill="CFF0FC"/>
          </w:tcPr>
          <w:p>
            <w:pPr>
              <w:jc w:val="center"/>
              <w:spacing w:after="0" w:line="142" w:lineRule="exact"/>
              <w:rPr>
                <w:sz w:val="20"/>
                <w:szCs w:val="20"/>
                <w:color w:val="auto"/>
              </w:rPr>
            </w:pPr>
            <w:r>
              <w:rPr>
                <w:rFonts w:ascii="Arial" w:cs="Arial" w:eastAsia="Arial" w:hAnsi="Arial"/>
                <w:sz w:val="13"/>
                <w:szCs w:val="13"/>
                <w:color w:val="auto"/>
                <w:w w:val="91"/>
              </w:rPr>
              <w:t>$  5,500,000</w:t>
            </w:r>
          </w:p>
        </w:tc>
        <w:tc>
          <w:tcPr>
            <w:tcW w:w="12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840" w:type="dxa"/>
            <w:vAlign w:val="bottom"/>
            <w:tcBorders>
              <w:top w:val="single" w:sz="8" w:color="auto"/>
            </w:tcBorders>
            <w:gridSpan w:val="3"/>
            <w:shd w:val="clear" w:color="auto" w:fill="CFF0FC"/>
          </w:tcPr>
          <w:p>
            <w:pPr>
              <w:ind w:left="280"/>
              <w:spacing w:after="0" w:line="142" w:lineRule="exact"/>
              <w:rPr>
                <w:sz w:val="20"/>
                <w:szCs w:val="20"/>
                <w:color w:val="auto"/>
              </w:rPr>
            </w:pPr>
            <w:r>
              <w:rPr>
                <w:rFonts w:ascii="Arial" w:cs="Arial" w:eastAsia="Arial" w:hAnsi="Arial"/>
                <w:sz w:val="13"/>
                <w:szCs w:val="13"/>
                <w:color w:val="auto"/>
                <w:w w:val="81"/>
              </w:rPr>
              <w:t>(1,588,195)</w:t>
            </w:r>
          </w:p>
        </w:tc>
        <w:tc>
          <w:tcPr>
            <w:tcW w:w="120" w:type="dxa"/>
            <w:vAlign w:val="bottom"/>
            <w:tcBorders>
              <w:top w:val="single" w:sz="8" w:color="CFF0FC"/>
            </w:tcBorders>
            <w:shd w:val="clear" w:color="auto" w:fill="CFF0FC"/>
          </w:tcPr>
          <w:p>
            <w:pPr>
              <w:spacing w:after="0"/>
              <w:rPr>
                <w:sz w:val="12"/>
                <w:szCs w:val="12"/>
                <w:color w:val="auto"/>
              </w:rPr>
            </w:pPr>
          </w:p>
        </w:tc>
        <w:tc>
          <w:tcPr>
            <w:tcW w:w="1260" w:type="dxa"/>
            <w:vAlign w:val="bottom"/>
            <w:tcBorders>
              <w:top w:val="single" w:sz="8" w:color="auto"/>
            </w:tcBorders>
            <w:shd w:val="clear" w:color="auto" w:fill="CFF0FC"/>
          </w:tcPr>
          <w:p>
            <w:pPr>
              <w:jc w:val="right"/>
              <w:ind w:right="1037"/>
              <w:spacing w:after="0" w:line="142"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CFF0FC"/>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  (1,588,195)</w:t>
            </w:r>
          </w:p>
        </w:tc>
        <w:tc>
          <w:tcPr>
            <w:tcW w:w="100" w:type="dxa"/>
            <w:vAlign w:val="bottom"/>
            <w:tcBorders>
              <w:top w:val="single" w:sz="8" w:color="CFF0FC"/>
            </w:tcBorders>
            <w:shd w:val="clear" w:color="auto" w:fill="CFF0FC"/>
          </w:tcPr>
          <w:p>
            <w:pPr>
              <w:spacing w:after="0"/>
              <w:rPr>
                <w:sz w:val="12"/>
                <w:szCs w:val="12"/>
                <w:color w:val="auto"/>
              </w:rPr>
            </w:pPr>
          </w:p>
        </w:tc>
      </w:tr>
      <w:tr>
        <w:trPr>
          <w:trHeight w:val="346"/>
        </w:trPr>
        <w:tc>
          <w:tcPr>
            <w:tcW w:w="20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92"/>
              </w:rPr>
              <w:t>Notional</w:t>
            </w:r>
          </w:p>
        </w:tc>
        <w:tc>
          <w:tcPr>
            <w:tcW w:w="120" w:type="dxa"/>
            <w:vAlign w:val="bottom"/>
          </w:tcPr>
          <w:p>
            <w:pPr>
              <w:spacing w:after="0"/>
              <w:rPr>
                <w:sz w:val="24"/>
                <w:szCs w:val="24"/>
                <w:color w:val="auto"/>
              </w:rPr>
            </w:pPr>
          </w:p>
        </w:tc>
        <w:tc>
          <w:tcPr>
            <w:tcW w:w="76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85"/>
              </w:rPr>
              <w:t>Exercise</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53"/>
        </w:trPr>
        <w:tc>
          <w:tcPr>
            <w:tcW w:w="2080" w:type="dxa"/>
            <w:vAlign w:val="bottom"/>
          </w:tcPr>
          <w:p>
            <w:pPr>
              <w:ind w:left="820"/>
              <w:spacing w:after="0"/>
              <w:rPr>
                <w:sz w:val="20"/>
                <w:szCs w:val="20"/>
                <w:color w:val="auto"/>
              </w:rPr>
            </w:pPr>
            <w:r>
              <w:rPr>
                <w:rFonts w:ascii="Arial" w:cs="Arial" w:eastAsia="Arial" w:hAnsi="Arial"/>
                <w:sz w:val="13"/>
                <w:szCs w:val="13"/>
                <w:b w:val="1"/>
                <w:bCs w:val="1"/>
                <w:color w:val="auto"/>
              </w:rPr>
              <w:t>Description</w:t>
            </w:r>
          </w:p>
        </w:tc>
        <w:tc>
          <w:tcPr>
            <w:tcW w:w="780" w:type="dxa"/>
            <w:vAlign w:val="bottom"/>
          </w:tcPr>
          <w:p>
            <w:pPr>
              <w:spacing w:after="0"/>
              <w:rPr>
                <w:sz w:val="13"/>
                <w:szCs w:val="13"/>
                <w:color w:val="auto"/>
              </w:rPr>
            </w:pPr>
          </w:p>
        </w:tc>
        <w:tc>
          <w:tcPr>
            <w:tcW w:w="1560" w:type="dxa"/>
            <w:vAlign w:val="bottom"/>
            <w:gridSpan w:val="2"/>
          </w:tcPr>
          <w:p>
            <w:pPr>
              <w:ind w:left="580"/>
              <w:spacing w:after="0"/>
              <w:rPr>
                <w:sz w:val="20"/>
                <w:szCs w:val="20"/>
                <w:color w:val="auto"/>
              </w:rPr>
            </w:pPr>
            <w:r>
              <w:rPr>
                <w:rFonts w:ascii="Arial" w:cs="Arial" w:eastAsia="Arial" w:hAnsi="Arial"/>
                <w:sz w:val="13"/>
                <w:szCs w:val="13"/>
                <w:b w:val="1"/>
                <w:bCs w:val="1"/>
                <w:color w:val="auto"/>
              </w:rPr>
              <w:t>Counterparty</w:t>
            </w:r>
          </w:p>
        </w:tc>
        <w:tc>
          <w:tcPr>
            <w:tcW w:w="1520" w:type="dxa"/>
            <w:vAlign w:val="bottom"/>
          </w:tcPr>
          <w:p>
            <w:pPr>
              <w:ind w:left="540"/>
              <w:spacing w:after="0"/>
              <w:rPr>
                <w:sz w:val="20"/>
                <w:szCs w:val="20"/>
                <w:color w:val="auto"/>
              </w:rPr>
            </w:pPr>
            <w:r>
              <w:rPr>
                <w:rFonts w:ascii="Arial" w:cs="Arial" w:eastAsia="Arial" w:hAnsi="Arial"/>
                <w:sz w:val="13"/>
                <w:szCs w:val="13"/>
                <w:b w:val="1"/>
                <w:bCs w:val="1"/>
                <w:color w:val="auto"/>
                <w:w w:val="86"/>
              </w:rPr>
              <w:t>Number of shares</w:t>
            </w:r>
          </w:p>
        </w:tc>
        <w:tc>
          <w:tcPr>
            <w:tcW w:w="500" w:type="dxa"/>
            <w:vAlign w:val="bottom"/>
          </w:tcPr>
          <w:p>
            <w:pPr>
              <w:spacing w:after="0"/>
              <w:rPr>
                <w:sz w:val="13"/>
                <w:szCs w:val="13"/>
                <w:color w:val="auto"/>
              </w:rPr>
            </w:pPr>
          </w:p>
        </w:tc>
        <w:tc>
          <w:tcPr>
            <w:tcW w:w="108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85"/>
              </w:rPr>
              <w:t>amount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9"/>
              </w:rPr>
              <w:t>price</w:t>
            </w:r>
          </w:p>
        </w:tc>
        <w:tc>
          <w:tcPr>
            <w:tcW w:w="1580" w:type="dxa"/>
            <w:vAlign w:val="bottom"/>
            <w:gridSpan w:val="3"/>
          </w:tcPr>
          <w:p>
            <w:pPr>
              <w:jc w:val="right"/>
              <w:ind w:right="477"/>
              <w:spacing w:after="0"/>
              <w:rPr>
                <w:sz w:val="20"/>
                <w:szCs w:val="20"/>
                <w:color w:val="auto"/>
              </w:rPr>
            </w:pPr>
            <w:r>
              <w:rPr>
                <w:rFonts w:ascii="Arial" w:cs="Arial" w:eastAsia="Arial" w:hAnsi="Arial"/>
                <w:sz w:val="13"/>
                <w:szCs w:val="13"/>
                <w:b w:val="1"/>
                <w:bCs w:val="1"/>
                <w:color w:val="auto"/>
              </w:rPr>
              <w:t>Expiration date</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ind w:left="80"/>
              <w:spacing w:after="0"/>
              <w:rPr>
                <w:sz w:val="20"/>
                <w:szCs w:val="20"/>
                <w:color w:val="auto"/>
              </w:rPr>
            </w:pPr>
            <w:r>
              <w:rPr>
                <w:rFonts w:ascii="Arial" w:cs="Arial" w:eastAsia="Arial" w:hAnsi="Arial"/>
                <w:sz w:val="13"/>
                <w:szCs w:val="13"/>
                <w:b w:val="1"/>
                <w:bCs w:val="1"/>
                <w:color w:val="auto"/>
              </w:rPr>
              <w:t>Value</w:t>
            </w:r>
          </w:p>
        </w:tc>
      </w:tr>
      <w:tr>
        <w:trPr>
          <w:trHeight w:val="142"/>
        </w:trPr>
        <w:tc>
          <w:tcPr>
            <w:tcW w:w="2080" w:type="dxa"/>
            <w:vAlign w:val="bottom"/>
            <w:tcBorders>
              <w:top w:val="single" w:sz="8" w:color="auto"/>
            </w:tcBorders>
            <w:shd w:val="clear" w:color="auto" w:fill="CFF0FC"/>
          </w:tcPr>
          <w:p>
            <w:pPr>
              <w:spacing w:after="0" w:line="142" w:lineRule="exact"/>
              <w:rPr>
                <w:sz w:val="20"/>
                <w:szCs w:val="20"/>
                <w:color w:val="auto"/>
              </w:rPr>
            </w:pPr>
            <w:r>
              <w:rPr>
                <w:rFonts w:ascii="Arial" w:cs="Arial" w:eastAsia="Arial" w:hAnsi="Arial"/>
                <w:sz w:val="13"/>
                <w:szCs w:val="13"/>
                <w:color w:val="auto"/>
              </w:rPr>
              <w:t>Call option</w:t>
            </w:r>
          </w:p>
        </w:tc>
        <w:tc>
          <w:tcPr>
            <w:tcW w:w="780" w:type="dxa"/>
            <w:vAlign w:val="bottom"/>
            <w:tcBorders>
              <w:top w:val="single" w:sz="8" w:color="auto"/>
            </w:tcBorders>
            <w:shd w:val="clear" w:color="auto" w:fill="CFF0FC"/>
          </w:tcPr>
          <w:p>
            <w:pPr>
              <w:spacing w:after="0"/>
              <w:rPr>
                <w:sz w:val="12"/>
                <w:szCs w:val="12"/>
                <w:color w:val="auto"/>
              </w:rPr>
            </w:pPr>
          </w:p>
        </w:tc>
        <w:tc>
          <w:tcPr>
            <w:tcW w:w="1560" w:type="dxa"/>
            <w:vAlign w:val="bottom"/>
            <w:tcBorders>
              <w:top w:val="single" w:sz="8" w:color="auto"/>
            </w:tcBorders>
            <w:gridSpan w:val="2"/>
            <w:shd w:val="clear" w:color="auto" w:fill="CFF0FC"/>
          </w:tcPr>
          <w:p>
            <w:pPr>
              <w:ind w:left="380"/>
              <w:spacing w:after="0" w:line="142" w:lineRule="exact"/>
              <w:rPr>
                <w:sz w:val="20"/>
                <w:szCs w:val="20"/>
                <w:color w:val="auto"/>
              </w:rPr>
            </w:pPr>
            <w:r>
              <w:rPr>
                <w:rFonts w:ascii="Arial" w:cs="Arial" w:eastAsia="Arial" w:hAnsi="Arial"/>
                <w:sz w:val="13"/>
                <w:szCs w:val="13"/>
                <w:color w:val="auto"/>
              </w:rPr>
              <w:t>HDNet Holdco LLC</w:t>
            </w:r>
          </w:p>
        </w:tc>
        <w:tc>
          <w:tcPr>
            <w:tcW w:w="1520" w:type="dxa"/>
            <w:vAlign w:val="bottom"/>
            <w:tcBorders>
              <w:top w:val="single" w:sz="8" w:color="auto"/>
            </w:tcBorders>
            <w:shd w:val="clear" w:color="auto" w:fill="CFF0FC"/>
          </w:tcPr>
          <w:p>
            <w:pPr>
              <w:spacing w:after="0"/>
              <w:rPr>
                <w:sz w:val="12"/>
                <w:szCs w:val="12"/>
                <w:color w:val="auto"/>
              </w:rPr>
            </w:pPr>
          </w:p>
        </w:tc>
        <w:tc>
          <w:tcPr>
            <w:tcW w:w="50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0.2</w:t>
            </w:r>
          </w:p>
        </w:tc>
        <w:tc>
          <w:tcPr>
            <w:tcW w:w="360" w:type="dxa"/>
            <w:vAlign w:val="bottom"/>
            <w:tcBorders>
              <w:top w:val="single" w:sz="8" w:color="auto"/>
            </w:tcBorders>
            <w:shd w:val="clear" w:color="auto" w:fill="CFF0FC"/>
          </w:tcPr>
          <w:p>
            <w:pPr>
              <w:jc w:val="right"/>
              <w:ind w:right="177"/>
              <w:spacing w:after="0" w:line="142" w:lineRule="exact"/>
              <w:rPr>
                <w:sz w:val="20"/>
                <w:szCs w:val="20"/>
                <w:color w:val="auto"/>
              </w:rPr>
            </w:pPr>
            <w:r>
              <w:rPr>
                <w:rFonts w:ascii="Arial" w:cs="Arial" w:eastAsia="Arial" w:hAnsi="Arial"/>
                <w:sz w:val="13"/>
                <w:szCs w:val="13"/>
                <w:color w:val="auto"/>
              </w:rPr>
              <w:t>$</w:t>
            </w:r>
          </w:p>
        </w:tc>
        <w:tc>
          <w:tcPr>
            <w:tcW w:w="5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7,656</w:t>
            </w:r>
          </w:p>
        </w:tc>
        <w:tc>
          <w:tcPr>
            <w:tcW w:w="1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120" w:type="dxa"/>
            <w:vAlign w:val="bottom"/>
            <w:tcBorders>
              <w:top w:val="single" w:sz="8" w:color="auto"/>
            </w:tcBorders>
            <w:shd w:val="clear" w:color="auto" w:fill="CFF0FC"/>
          </w:tcPr>
          <w:p>
            <w:pPr>
              <w:spacing w:after="0"/>
              <w:rPr>
                <w:sz w:val="12"/>
                <w:szCs w:val="12"/>
                <w:color w:val="auto"/>
              </w:rPr>
            </w:pPr>
          </w:p>
        </w:tc>
        <w:tc>
          <w:tcPr>
            <w:tcW w:w="520" w:type="dxa"/>
            <w:vAlign w:val="bottom"/>
            <w:tcBorders>
              <w:top w:val="single" w:sz="8" w:color="auto"/>
            </w:tcBorders>
            <w:shd w:val="clear" w:color="auto" w:fill="CFF0FC"/>
          </w:tcPr>
          <w:p>
            <w:pPr>
              <w:ind w:left="280"/>
              <w:spacing w:after="0" w:line="142" w:lineRule="exact"/>
              <w:rPr>
                <w:sz w:val="20"/>
                <w:szCs w:val="20"/>
                <w:color w:val="auto"/>
              </w:rPr>
            </w:pPr>
            <w:r>
              <w:rPr>
                <w:rFonts w:ascii="Arial" w:cs="Arial" w:eastAsia="Arial" w:hAnsi="Arial"/>
                <w:sz w:val="13"/>
                <w:szCs w:val="13"/>
                <w:color w:val="auto"/>
                <w:w w:val="86"/>
              </w:rPr>
              <w:t>0.01</w:t>
            </w:r>
          </w:p>
        </w:tc>
        <w:tc>
          <w:tcPr>
            <w:tcW w:w="120" w:type="dxa"/>
            <w:vAlign w:val="bottom"/>
            <w:tcBorders>
              <w:top w:val="single" w:sz="8" w:color="CFF0FC"/>
            </w:tcBorders>
            <w:shd w:val="clear" w:color="auto" w:fill="CFF0FC"/>
          </w:tcPr>
          <w:p>
            <w:pPr>
              <w:spacing w:after="0"/>
              <w:rPr>
                <w:sz w:val="12"/>
                <w:szCs w:val="12"/>
                <w:color w:val="auto"/>
              </w:rPr>
            </w:pPr>
          </w:p>
        </w:tc>
        <w:tc>
          <w:tcPr>
            <w:tcW w:w="320" w:type="dxa"/>
            <w:vAlign w:val="bottom"/>
            <w:tcBorders>
              <w:top w:val="single" w:sz="8" w:color="auto"/>
            </w:tcBorders>
            <w:gridSpan w:val="2"/>
            <w:shd w:val="clear" w:color="auto" w:fill="CFF0FC"/>
          </w:tcPr>
          <w:p>
            <w:pPr>
              <w:ind w:left="60"/>
              <w:spacing w:after="0" w:line="142" w:lineRule="exact"/>
              <w:rPr>
                <w:sz w:val="20"/>
                <w:szCs w:val="20"/>
                <w:color w:val="auto"/>
              </w:rPr>
            </w:pPr>
            <w:r>
              <w:rPr>
                <w:rFonts w:ascii="Arial" w:cs="Arial" w:eastAsia="Arial" w:hAnsi="Arial"/>
                <w:sz w:val="13"/>
                <w:szCs w:val="13"/>
                <w:color w:val="auto"/>
              </w:rPr>
              <w:t>N/A</w:t>
            </w:r>
          </w:p>
        </w:tc>
        <w:tc>
          <w:tcPr>
            <w:tcW w:w="1260" w:type="dxa"/>
            <w:vAlign w:val="bottom"/>
            <w:tcBorders>
              <w:top w:val="single" w:sz="8" w:color="auto"/>
            </w:tcBorders>
            <w:shd w:val="clear" w:color="auto" w:fill="CFF0FC"/>
          </w:tcPr>
          <w:p>
            <w:pPr>
              <w:jc w:val="right"/>
              <w:ind w:right="117"/>
              <w:spacing w:after="0" w:line="142"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5,232</w:t>
            </w:r>
          </w:p>
        </w:tc>
        <w:tc>
          <w:tcPr>
            <w:tcW w:w="100" w:type="dxa"/>
            <w:vAlign w:val="bottom"/>
            <w:tcBorders>
              <w:top w:val="single" w:sz="8" w:color="CFF0FC"/>
            </w:tcBorders>
            <w:shd w:val="clear" w:color="auto" w:fill="CFF0FC"/>
          </w:tcPr>
          <w:p>
            <w:pPr>
              <w:spacing w:after="0"/>
              <w:rPr>
                <w:sz w:val="12"/>
                <w:szCs w:val="12"/>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PORTMAN RIDGE FINANCE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Securities Portfolio</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w w:val="94"/>
              </w:rPr>
              <w:t>Initial</w:t>
            </w: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35"/>
        </w:trPr>
        <w:tc>
          <w:tcPr>
            <w:tcW w:w="2720" w:type="dxa"/>
            <w:vAlign w:val="bottom"/>
          </w:tcPr>
          <w:p>
            <w:pPr>
              <w:spacing w:after="0" w:line="135" w:lineRule="exact"/>
              <w:rPr>
                <w:sz w:val="20"/>
                <w:szCs w:val="20"/>
                <w:color w:val="auto"/>
              </w:rPr>
            </w:pPr>
            <w:r>
              <w:rPr>
                <w:rFonts w:ascii="Arial" w:cs="Arial" w:eastAsia="Arial" w:hAnsi="Arial"/>
                <w:sz w:val="13"/>
                <w:szCs w:val="13"/>
                <w:b w:val="1"/>
                <w:bCs w:val="1"/>
                <w:color w:val="auto"/>
              </w:rPr>
              <w:t>Portfolio Company /</w:t>
            </w: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80" w:type="dxa"/>
            <w:vAlign w:val="bottom"/>
            <w:gridSpan w:val="2"/>
          </w:tcPr>
          <w:p>
            <w:pPr>
              <w:ind w:left="840"/>
              <w:spacing w:after="0" w:line="135" w:lineRule="exact"/>
              <w:rPr>
                <w:sz w:val="20"/>
                <w:szCs w:val="20"/>
                <w:color w:val="auto"/>
              </w:rPr>
            </w:pPr>
            <w:r>
              <w:rPr>
                <w:rFonts w:ascii="Arial" w:cs="Arial" w:eastAsia="Arial" w:hAnsi="Arial"/>
                <w:sz w:val="13"/>
                <w:szCs w:val="13"/>
                <w:b w:val="1"/>
                <w:bCs w:val="1"/>
                <w:color w:val="auto"/>
              </w:rPr>
              <w:t>Investment</w:t>
            </w:r>
          </w:p>
        </w:tc>
        <w:tc>
          <w:tcPr>
            <w:tcW w:w="1260" w:type="dxa"/>
            <w:vAlign w:val="bottom"/>
            <w:gridSpan w:val="3"/>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tcPr>
          <w:p>
            <w:pPr>
              <w:jc w:val="right"/>
              <w:ind w:right="420"/>
              <w:spacing w:after="0" w:line="135" w:lineRule="exact"/>
              <w:rPr>
                <w:sz w:val="20"/>
                <w:szCs w:val="20"/>
                <w:color w:val="auto"/>
              </w:rPr>
            </w:pPr>
            <w:r>
              <w:rPr>
                <w:rFonts w:ascii="Arial" w:cs="Arial" w:eastAsia="Arial" w:hAnsi="Arial"/>
                <w:sz w:val="13"/>
                <w:szCs w:val="13"/>
                <w:b w:val="1"/>
                <w:bCs w:val="1"/>
                <w:color w:val="auto"/>
              </w:rPr>
              <w:t>Amortized</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3"/>
        </w:trPr>
        <w:tc>
          <w:tcPr>
            <w:tcW w:w="27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Principal Business</w:t>
            </w: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560" w:type="dxa"/>
            <w:vAlign w:val="bottom"/>
            <w:tcBorders>
              <w:bottom w:val="single" w:sz="8" w:color="auto"/>
            </w:tcBorders>
          </w:tcPr>
          <w:p>
            <w:pPr>
              <w:ind w:left="420"/>
              <w:spacing w:after="0"/>
              <w:rPr>
                <w:sz w:val="20"/>
                <w:szCs w:val="20"/>
                <w:color w:val="auto"/>
              </w:rPr>
            </w:pPr>
            <w:r>
              <w:rPr>
                <w:rFonts w:ascii="Arial" w:cs="Arial" w:eastAsia="Arial" w:hAnsi="Arial"/>
                <w:sz w:val="13"/>
                <w:szCs w:val="13"/>
                <w:b w:val="1"/>
                <w:bCs w:val="1"/>
                <w:color w:val="auto"/>
              </w:rPr>
              <w:t>Interest Rate¹ / Maturity</w:t>
            </w:r>
            <w:r>
              <w:rPr>
                <w:rFonts w:ascii="Arial" w:cs="Arial" w:eastAsia="Arial" w:hAnsi="Arial"/>
                <w:sz w:val="10"/>
                <w:szCs w:val="10"/>
                <w:b w:val="1"/>
                <w:bCs w:val="1"/>
                <w:color w:val="auto"/>
              </w:rPr>
              <w:t>15</w:t>
            </w:r>
          </w:p>
        </w:tc>
        <w:tc>
          <w:tcPr>
            <w:tcW w:w="12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Date</w:t>
            </w:r>
          </w:p>
        </w:tc>
        <w:tc>
          <w:tcPr>
            <w:tcW w:w="1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w w:val="98"/>
              </w:rPr>
              <w:t>Principal</w:t>
            </w:r>
          </w:p>
        </w:tc>
        <w:tc>
          <w:tcPr>
            <w:tcW w:w="2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7"/>
              <w:spacing w:after="0"/>
              <w:rPr>
                <w:sz w:val="20"/>
                <w:szCs w:val="20"/>
                <w:color w:val="auto"/>
              </w:rPr>
            </w:pPr>
            <w:r>
              <w:rPr>
                <w:rFonts w:ascii="Arial" w:cs="Arial" w:eastAsia="Arial" w:hAnsi="Arial"/>
                <w:sz w:val="13"/>
                <w:szCs w:val="13"/>
                <w:b w:val="1"/>
                <w:bCs w:val="1"/>
                <w:color w:val="auto"/>
              </w:rPr>
              <w:t>Cost</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94"/>
              </w:rPr>
              <w:t>Fair Value</w:t>
            </w:r>
            <w:r>
              <w:rPr>
                <w:rFonts w:ascii="Arial" w:cs="Arial" w:eastAsia="Arial" w:hAnsi="Arial"/>
                <w:sz w:val="10"/>
                <w:szCs w:val="10"/>
                <w:b w:val="1"/>
                <w:bCs w:val="1"/>
                <w:color w:val="auto"/>
                <w:w w:val="94"/>
              </w:rPr>
              <w:t>2</w:t>
            </w:r>
          </w:p>
        </w:tc>
        <w:tc>
          <w:tcPr>
            <w:tcW w:w="120" w:type="dxa"/>
            <w:vAlign w:val="bottom"/>
            <w:tcBorders>
              <w:bottom w:val="single" w:sz="8" w:color="CFF0FC"/>
            </w:tcBorders>
          </w:tcPr>
          <w:p>
            <w:pPr>
              <w:spacing w:after="0"/>
              <w:rPr>
                <w:sz w:val="13"/>
                <w:szCs w:val="13"/>
                <w:color w:val="auto"/>
              </w:rPr>
            </w:pPr>
          </w:p>
        </w:tc>
      </w:tr>
      <w:tr>
        <w:trPr>
          <w:trHeight w:val="128"/>
        </w:trPr>
        <w:tc>
          <w:tcPr>
            <w:tcW w:w="2720" w:type="dxa"/>
            <w:vAlign w:val="bottom"/>
            <w:shd w:val="clear" w:color="auto" w:fill="CFF0FC"/>
          </w:tcPr>
          <w:p>
            <w:pPr>
              <w:spacing w:after="0" w:line="128" w:lineRule="exact"/>
              <w:rPr>
                <w:sz w:val="20"/>
                <w:szCs w:val="20"/>
                <w:color w:val="auto"/>
              </w:rPr>
            </w:pPr>
            <w:r>
              <w:rPr>
                <w:rFonts w:ascii="Arial" w:cs="Arial" w:eastAsia="Arial" w:hAnsi="Arial"/>
                <w:sz w:val="13"/>
                <w:szCs w:val="13"/>
                <w:color w:val="auto"/>
              </w:rPr>
              <w:t>1A Smart Start LLC</w:t>
            </w:r>
          </w:p>
        </w:tc>
        <w:tc>
          <w:tcPr>
            <w:tcW w:w="920" w:type="dxa"/>
            <w:vAlign w:val="bottom"/>
            <w:gridSpan w:val="2"/>
            <w:shd w:val="clear" w:color="auto" w:fill="CFF0FC"/>
          </w:tcPr>
          <w:p>
            <w:pPr>
              <w:ind w:left="220"/>
              <w:spacing w:after="0"/>
              <w:rPr>
                <w:sz w:val="20"/>
                <w:szCs w:val="20"/>
                <w:color w:val="auto"/>
              </w:rPr>
            </w:pPr>
            <w:r>
              <w:rPr>
                <w:rFonts w:ascii="Arial" w:cs="Arial" w:eastAsia="Arial" w:hAnsi="Arial"/>
                <w:sz w:val="11"/>
                <w:szCs w:val="11"/>
                <w:color w:val="auto"/>
              </w:rPr>
              <w:t>(8)(14)(21)</w:t>
            </w:r>
          </w:p>
        </w:tc>
        <w:tc>
          <w:tcPr>
            <w:tcW w:w="20" w:type="dxa"/>
            <w:vAlign w:val="bottom"/>
            <w:shd w:val="clear" w:color="auto" w:fill="CFF0FC"/>
          </w:tcPr>
          <w:p>
            <w:pPr>
              <w:spacing w:after="0"/>
              <w:rPr>
                <w:sz w:val="11"/>
                <w:szCs w:val="11"/>
                <w:color w:val="auto"/>
              </w:rPr>
            </w:pPr>
          </w:p>
        </w:tc>
        <w:tc>
          <w:tcPr>
            <w:tcW w:w="2840" w:type="dxa"/>
            <w:vAlign w:val="bottom"/>
            <w:gridSpan w:val="2"/>
            <w:shd w:val="clear" w:color="auto" w:fill="CFF0FC"/>
          </w:tcPr>
          <w:p>
            <w:pPr>
              <w:spacing w:after="0" w:line="128" w:lineRule="exact"/>
              <w:rPr>
                <w:sz w:val="20"/>
                <w:szCs w:val="20"/>
                <w:color w:val="auto"/>
              </w:rPr>
            </w:pPr>
            <w:r>
              <w:rPr>
                <w:rFonts w:ascii="Arial" w:cs="Arial" w:eastAsia="Arial" w:hAnsi="Arial"/>
                <w:sz w:val="13"/>
                <w:szCs w:val="13"/>
                <w:color w:val="auto"/>
              </w:rPr>
              <w:t>Senior Secured Loan — First Lien Term Loan</w:t>
            </w: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720" w:type="dxa"/>
            <w:vAlign w:val="bottom"/>
            <w:shd w:val="clear" w:color="auto" w:fill="CFF0FC"/>
          </w:tcPr>
          <w:p>
            <w:pPr>
              <w:ind w:left="640"/>
              <w:spacing w:after="0" w:line="135" w:lineRule="exact"/>
              <w:rPr>
                <w:sz w:val="20"/>
                <w:szCs w:val="20"/>
                <w:color w:val="auto"/>
              </w:rPr>
            </w:pPr>
            <w:r>
              <w:rPr>
                <w:rFonts w:ascii="Arial" w:cs="Arial" w:eastAsia="Arial" w:hAnsi="Arial"/>
                <w:sz w:val="13"/>
                <w:szCs w:val="13"/>
                <w:color w:val="auto"/>
              </w:rPr>
              <w:t>Consumer goods: Non-durable</w:t>
            </w: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7"/>
              </w:rPr>
              <w:t>5.8%</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3 Month Libor (1.00%) + 4.75%;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Floor 1.00% , Due 8/27</w:t>
            </w:r>
          </w:p>
        </w:tc>
        <w:tc>
          <w:tcPr>
            <w:tcW w:w="1260" w:type="dxa"/>
            <w:vAlign w:val="bottom"/>
            <w:gridSpan w:val="3"/>
            <w:shd w:val="clear" w:color="auto" w:fill="CFF0FC"/>
          </w:tcPr>
          <w:p>
            <w:pPr>
              <w:jc w:val="right"/>
              <w:ind w:right="60"/>
              <w:spacing w:after="0"/>
              <w:rPr>
                <w:sz w:val="20"/>
                <w:szCs w:val="20"/>
                <w:color w:val="auto"/>
              </w:rPr>
            </w:pPr>
            <w:r>
              <w:rPr>
                <w:rFonts w:ascii="Arial" w:cs="Arial" w:eastAsia="Arial" w:hAnsi="Arial"/>
                <w:sz w:val="13"/>
                <w:szCs w:val="13"/>
                <w:color w:val="auto"/>
              </w:rPr>
              <w:t>10/28/2020  $</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2,094,750</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jc w:val="right"/>
              <w:ind w:right="68"/>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1,837,151</w:t>
            </w:r>
          </w:p>
        </w:tc>
        <w:tc>
          <w:tcPr>
            <w:tcW w:w="140" w:type="dxa"/>
            <w:vAlign w:val="bottom"/>
            <w:shd w:val="clear" w:color="auto" w:fill="CFF0FC"/>
          </w:tcPr>
          <w:p>
            <w:pPr>
              <w:spacing w:after="0"/>
              <w:rPr>
                <w:sz w:val="12"/>
                <w:szCs w:val="12"/>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2,102,176</w:t>
            </w:r>
          </w:p>
        </w:tc>
        <w:tc>
          <w:tcPr>
            <w:tcW w:w="120" w:type="dxa"/>
            <w:vAlign w:val="bottom"/>
            <w:shd w:val="clear" w:color="auto" w:fill="CFF0FC"/>
          </w:tcPr>
          <w:p>
            <w:pPr>
              <w:spacing w:after="0"/>
              <w:rPr>
                <w:sz w:val="12"/>
                <w:szCs w:val="12"/>
                <w:color w:val="auto"/>
              </w:rPr>
            </w:pPr>
          </w:p>
        </w:tc>
      </w:tr>
      <w:tr>
        <w:trPr>
          <w:trHeight w:val="149"/>
        </w:trPr>
        <w:tc>
          <w:tcPr>
            <w:tcW w:w="2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7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Advanced Lighting Technologies, Inc.</w:t>
            </w:r>
          </w:p>
        </w:tc>
        <w:tc>
          <w:tcPr>
            <w:tcW w:w="920" w:type="dxa"/>
            <w:vAlign w:val="bottom"/>
            <w:gridSpan w:val="2"/>
            <w:shd w:val="clear" w:color="auto" w:fill="CFF0FC"/>
          </w:tcPr>
          <w:p>
            <w:pPr>
              <w:ind w:left="220"/>
              <w:spacing w:after="0"/>
              <w:rPr>
                <w:sz w:val="20"/>
                <w:szCs w:val="20"/>
                <w:color w:val="auto"/>
              </w:rPr>
            </w:pPr>
            <w:r>
              <w:rPr>
                <w:rFonts w:ascii="Arial" w:cs="Arial" w:eastAsia="Arial" w:hAnsi="Arial"/>
                <w:sz w:val="11"/>
                <w:szCs w:val="11"/>
                <w:color w:val="auto"/>
              </w:rPr>
              <w:t>(5)(8)(13)</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w w:val="99"/>
              </w:rPr>
              <w:t>Junior Secured Loan — Second Lien Notes, 10.0%</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72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Consumer goods: Durable</w:t>
            </w: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980" w:type="dxa"/>
            <w:vAlign w:val="bottom"/>
            <w:gridSpan w:val="4"/>
            <w:shd w:val="clear" w:color="auto" w:fill="CFF0FC"/>
          </w:tcPr>
          <w:p>
            <w:pPr>
              <w:ind w:left="20"/>
              <w:spacing w:after="0" w:line="135" w:lineRule="exact"/>
              <w:rPr>
                <w:sz w:val="20"/>
                <w:szCs w:val="20"/>
                <w:color w:val="auto"/>
              </w:rPr>
            </w:pPr>
            <w:r>
              <w:rPr>
                <w:rFonts w:ascii="Arial" w:cs="Arial" w:eastAsia="Arial" w:hAnsi="Arial"/>
                <w:sz w:val="13"/>
                <w:szCs w:val="13"/>
                <w:color w:val="auto"/>
              </w:rPr>
              <w:t>PIK, 3 Month Libor (1.00%) + 7.00%; Libor Floor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1.00% , Due 10/23</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6/13/2012</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1,464,432</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951,271</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3,075</w:t>
            </w:r>
          </w:p>
        </w:tc>
        <w:tc>
          <w:tcPr>
            <w:tcW w:w="120" w:type="dxa"/>
            <w:vAlign w:val="bottom"/>
            <w:shd w:val="clear" w:color="auto" w:fill="CFF0FC"/>
          </w:tcPr>
          <w:p>
            <w:pPr>
              <w:spacing w:after="0"/>
              <w:rPr>
                <w:sz w:val="12"/>
                <w:szCs w:val="12"/>
                <w:color w:val="auto"/>
              </w:rPr>
            </w:pPr>
          </w:p>
        </w:tc>
      </w:tr>
      <w:tr>
        <w:trPr>
          <w:trHeight w:val="148"/>
        </w:trPr>
        <w:tc>
          <w:tcPr>
            <w:tcW w:w="2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7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Advantage Capital Holdings LLC</w:t>
            </w:r>
          </w:p>
        </w:tc>
        <w:tc>
          <w:tcPr>
            <w:tcW w:w="920" w:type="dxa"/>
            <w:vAlign w:val="bottom"/>
            <w:gridSpan w:val="2"/>
            <w:shd w:val="clear" w:color="auto" w:fill="CFF0FC"/>
          </w:tcPr>
          <w:p>
            <w:pPr>
              <w:ind w:left="220"/>
              <w:spacing w:after="0"/>
              <w:rPr>
                <w:sz w:val="20"/>
                <w:szCs w:val="20"/>
                <w:color w:val="auto"/>
              </w:rPr>
            </w:pPr>
            <w:r>
              <w:rPr>
                <w:rFonts w:ascii="Arial" w:cs="Arial" w:eastAsia="Arial" w:hAnsi="Arial"/>
                <w:sz w:val="11"/>
                <w:szCs w:val="11"/>
                <w:color w:val="auto"/>
                <w:w w:val="94"/>
              </w:rPr>
              <w:t>(8)(13)(14)(21)</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720" w:type="dxa"/>
            <w:vAlign w:val="bottom"/>
            <w:shd w:val="clear" w:color="auto" w:fill="CFF0FC"/>
          </w:tcPr>
          <w:p>
            <w:pPr>
              <w:ind w:left="320"/>
              <w:spacing w:after="0"/>
              <w:rPr>
                <w:sz w:val="20"/>
                <w:szCs w:val="20"/>
                <w:color w:val="auto"/>
              </w:rPr>
            </w:pPr>
            <w:r>
              <w:rPr>
                <w:rFonts w:ascii="Arial" w:cs="Arial" w:eastAsia="Arial" w:hAnsi="Arial"/>
                <w:sz w:val="13"/>
                <w:szCs w:val="13"/>
                <w:color w:val="auto"/>
                <w:w w:val="96"/>
              </w:rPr>
              <w:t>Banking, Finance, Insurance &amp; Real Estate</w:t>
            </w: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0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w w:val="87"/>
              </w:rPr>
              <w:t>5.0%</w:t>
            </w:r>
          </w:p>
        </w:tc>
        <w:tc>
          <w:tcPr>
            <w:tcW w:w="268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Cash, 8.0% PIK, Due 1/25</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2/14/2020</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2,422,152</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2,422,152</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2,425,301</w:t>
            </w:r>
          </w:p>
        </w:tc>
        <w:tc>
          <w:tcPr>
            <w:tcW w:w="120" w:type="dxa"/>
            <w:vAlign w:val="bottom"/>
            <w:shd w:val="clear" w:color="auto" w:fill="CFF0FC"/>
          </w:tcPr>
          <w:p>
            <w:pPr>
              <w:spacing w:after="0"/>
              <w:rPr>
                <w:sz w:val="12"/>
                <w:szCs w:val="12"/>
                <w:color w:val="auto"/>
              </w:rPr>
            </w:pPr>
          </w:p>
        </w:tc>
      </w:tr>
      <w:tr>
        <w:trPr>
          <w:trHeight w:val="148"/>
        </w:trPr>
        <w:tc>
          <w:tcPr>
            <w:tcW w:w="2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7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Advantage Capital Holdings LLC</w:t>
            </w:r>
          </w:p>
        </w:tc>
        <w:tc>
          <w:tcPr>
            <w:tcW w:w="920" w:type="dxa"/>
            <w:vAlign w:val="bottom"/>
            <w:gridSpan w:val="2"/>
            <w:shd w:val="clear" w:color="auto" w:fill="CFF0FC"/>
          </w:tcPr>
          <w:p>
            <w:pPr>
              <w:ind w:left="220"/>
              <w:spacing w:after="0"/>
              <w:rPr>
                <w:sz w:val="20"/>
                <w:szCs w:val="20"/>
                <w:color w:val="auto"/>
              </w:rPr>
            </w:pPr>
            <w:r>
              <w:rPr>
                <w:rFonts w:ascii="Arial" w:cs="Arial" w:eastAsia="Arial" w:hAnsi="Arial"/>
                <w:sz w:val="11"/>
                <w:szCs w:val="11"/>
                <w:color w:val="auto"/>
              </w:rPr>
              <w:t>(8)(13)(21)</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Delayed Draw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7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Banking, Finance, Insurance &amp; Real Estate</w:t>
            </w: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0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w w:val="87"/>
              </w:rPr>
              <w:t>5.0%</w:t>
            </w:r>
          </w:p>
        </w:tc>
        <w:tc>
          <w:tcPr>
            <w:tcW w:w="268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Cash, 8.0% PIK, Due 1/25</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2/14/2020</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1,735,880</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1,735,880</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1,738,137</w:t>
            </w:r>
          </w:p>
        </w:tc>
        <w:tc>
          <w:tcPr>
            <w:tcW w:w="120" w:type="dxa"/>
            <w:vAlign w:val="bottom"/>
            <w:shd w:val="clear" w:color="auto" w:fill="CFF0FC"/>
          </w:tcPr>
          <w:p>
            <w:pPr>
              <w:spacing w:after="0"/>
              <w:rPr>
                <w:sz w:val="12"/>
                <w:szCs w:val="12"/>
                <w:color w:val="auto"/>
              </w:rPr>
            </w:pPr>
          </w:p>
        </w:tc>
      </w:tr>
      <w:tr>
        <w:trPr>
          <w:trHeight w:val="149"/>
        </w:trPr>
        <w:tc>
          <w:tcPr>
            <w:tcW w:w="2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7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Advantage Capital Holdings LLC</w:t>
            </w:r>
          </w:p>
        </w:tc>
        <w:tc>
          <w:tcPr>
            <w:tcW w:w="920" w:type="dxa"/>
            <w:vAlign w:val="bottom"/>
            <w:gridSpan w:val="2"/>
            <w:shd w:val="clear" w:color="auto" w:fill="CFF0FC"/>
          </w:tcPr>
          <w:p>
            <w:pPr>
              <w:ind w:left="220"/>
              <w:spacing w:after="0"/>
              <w:rPr>
                <w:sz w:val="20"/>
                <w:szCs w:val="20"/>
                <w:color w:val="auto"/>
              </w:rPr>
            </w:pPr>
            <w:r>
              <w:rPr>
                <w:rFonts w:ascii="Arial" w:cs="Arial" w:eastAsia="Arial" w:hAnsi="Arial"/>
                <w:sz w:val="11"/>
                <w:szCs w:val="11"/>
                <w:color w:val="auto"/>
              </w:rPr>
              <w:t>(8)(13)(21)</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Delayed Draw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7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Banking, Finance, Insurance &amp; Real Estate</w:t>
            </w: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0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w w:val="87"/>
              </w:rPr>
              <w:t>5.0%</w:t>
            </w:r>
          </w:p>
        </w:tc>
        <w:tc>
          <w:tcPr>
            <w:tcW w:w="268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Cash, 8.0% PIK, Due 1/25</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2/14/2020</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1,353</w:t>
            </w:r>
          </w:p>
        </w:tc>
        <w:tc>
          <w:tcPr>
            <w:tcW w:w="120" w:type="dxa"/>
            <w:vAlign w:val="bottom"/>
            <w:shd w:val="clear" w:color="auto" w:fill="CFF0FC"/>
          </w:tcPr>
          <w:p>
            <w:pPr>
              <w:spacing w:after="0"/>
              <w:rPr>
                <w:sz w:val="12"/>
                <w:szCs w:val="12"/>
                <w:color w:val="auto"/>
              </w:rPr>
            </w:pPr>
          </w:p>
        </w:tc>
      </w:tr>
      <w:tr>
        <w:trPr>
          <w:trHeight w:val="148"/>
        </w:trPr>
        <w:tc>
          <w:tcPr>
            <w:tcW w:w="2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7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AIS Holdco, LLC</w:t>
            </w:r>
          </w:p>
        </w:tc>
        <w:tc>
          <w:tcPr>
            <w:tcW w:w="920" w:type="dxa"/>
            <w:vAlign w:val="bottom"/>
            <w:gridSpan w:val="2"/>
            <w:shd w:val="clear" w:color="auto" w:fill="CFF0FC"/>
          </w:tcPr>
          <w:p>
            <w:pPr>
              <w:ind w:left="220"/>
              <w:spacing w:after="0"/>
              <w:rPr>
                <w:sz w:val="20"/>
                <w:szCs w:val="20"/>
                <w:color w:val="auto"/>
              </w:rPr>
            </w:pPr>
            <w:r>
              <w:rPr>
                <w:rFonts w:ascii="Arial" w:cs="Arial" w:eastAsia="Arial" w:hAnsi="Arial"/>
                <w:sz w:val="11"/>
                <w:szCs w:val="11"/>
                <w:color w:val="auto"/>
              </w:rPr>
              <w:t>(8)(13)(14)</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First Lien Term Loan A</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7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Banking, Finance, Insurance &amp; Real Estate</w:t>
            </w: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0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w w:val="87"/>
              </w:rPr>
              <w:t>5.2%</w:t>
            </w:r>
          </w:p>
        </w:tc>
        <w:tc>
          <w:tcPr>
            <w:tcW w:w="268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w w:val="93"/>
              </w:rPr>
              <w:t>Cash, 3 Month Libor (0.21%) + 5.00% , Due 8/25</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2,562,205</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2,054,605</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2,341,855</w:t>
            </w:r>
          </w:p>
        </w:tc>
        <w:tc>
          <w:tcPr>
            <w:tcW w:w="120" w:type="dxa"/>
            <w:vAlign w:val="bottom"/>
            <w:shd w:val="clear" w:color="auto" w:fill="CFF0FC"/>
          </w:tcPr>
          <w:p>
            <w:pPr>
              <w:spacing w:after="0"/>
              <w:rPr>
                <w:sz w:val="12"/>
                <w:szCs w:val="12"/>
                <w:color w:val="auto"/>
              </w:rPr>
            </w:pPr>
          </w:p>
        </w:tc>
      </w:tr>
      <w:tr>
        <w:trPr>
          <w:trHeight w:val="148"/>
        </w:trPr>
        <w:tc>
          <w:tcPr>
            <w:tcW w:w="2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7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Allied Universal Holdco LLC</w:t>
            </w:r>
          </w:p>
        </w:tc>
        <w:tc>
          <w:tcPr>
            <w:tcW w:w="920" w:type="dxa"/>
            <w:vAlign w:val="bottom"/>
            <w:gridSpan w:val="2"/>
            <w:shd w:val="clear" w:color="auto" w:fill="CFF0FC"/>
          </w:tcPr>
          <w:p>
            <w:pPr>
              <w:ind w:left="220"/>
              <w:spacing w:after="0"/>
              <w:rPr>
                <w:sz w:val="20"/>
                <w:szCs w:val="20"/>
                <w:color w:val="auto"/>
              </w:rPr>
            </w:pPr>
            <w:r>
              <w:rPr>
                <w:rFonts w:ascii="Arial" w:cs="Arial" w:eastAsia="Arial" w:hAnsi="Arial"/>
                <w:sz w:val="11"/>
                <w:szCs w:val="11"/>
                <w:color w:val="auto"/>
              </w:rPr>
              <w:t>(8)(14)(21)</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Initial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7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Services: Business</w:t>
            </w: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0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w w:val="87"/>
              </w:rPr>
              <w:t>4.4%</w:t>
            </w:r>
          </w:p>
        </w:tc>
        <w:tc>
          <w:tcPr>
            <w:tcW w:w="268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w w:val="93"/>
              </w:rPr>
              <w:t>Cash, 1 Month Libor (0.15%) + 4.25% , Due 7/26</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3/23/2020</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5,156,518</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4,229,619</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5,142,312</w:t>
            </w:r>
          </w:p>
        </w:tc>
        <w:tc>
          <w:tcPr>
            <w:tcW w:w="120" w:type="dxa"/>
            <w:vAlign w:val="bottom"/>
            <w:shd w:val="clear" w:color="auto" w:fill="CFF0FC"/>
          </w:tcPr>
          <w:p>
            <w:pPr>
              <w:spacing w:after="0"/>
              <w:rPr>
                <w:sz w:val="12"/>
                <w:szCs w:val="12"/>
                <w:color w:val="auto"/>
              </w:rPr>
            </w:pPr>
          </w:p>
        </w:tc>
      </w:tr>
      <w:tr>
        <w:trPr>
          <w:trHeight w:val="148"/>
        </w:trPr>
        <w:tc>
          <w:tcPr>
            <w:tcW w:w="2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7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AMCP Pet Holdings, Inc.</w:t>
            </w:r>
          </w:p>
        </w:tc>
        <w:tc>
          <w:tcPr>
            <w:tcW w:w="920" w:type="dxa"/>
            <w:vAlign w:val="bottom"/>
            <w:gridSpan w:val="2"/>
            <w:shd w:val="clear" w:color="auto" w:fill="CFF0FC"/>
          </w:tcPr>
          <w:p>
            <w:pPr>
              <w:ind w:left="220"/>
              <w:spacing w:after="0"/>
              <w:rPr>
                <w:sz w:val="20"/>
                <w:szCs w:val="20"/>
                <w:color w:val="auto"/>
              </w:rPr>
            </w:pPr>
            <w:r>
              <w:rPr>
                <w:rFonts w:ascii="Arial" w:cs="Arial" w:eastAsia="Arial" w:hAnsi="Arial"/>
                <w:sz w:val="11"/>
                <w:szCs w:val="11"/>
                <w:color w:val="auto"/>
                <w:w w:val="94"/>
              </w:rPr>
              <w:t>(8)(13)(14)(21)</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Delayed Draw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7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Beverage, Food and Tobacco</w:t>
            </w: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0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w w:val="87"/>
              </w:rPr>
              <w:t>1.0%</w:t>
            </w:r>
          </w:p>
        </w:tc>
        <w:tc>
          <w:tcPr>
            <w:tcW w:w="268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Cash, Due 10/26</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12/9/2020</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(19,849)</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(20,000)</w:t>
            </w:r>
          </w:p>
        </w:tc>
      </w:tr>
      <w:tr>
        <w:trPr>
          <w:trHeight w:val="148"/>
        </w:trPr>
        <w:tc>
          <w:tcPr>
            <w:tcW w:w="2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7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AMCP Pet Holdings, Inc.</w:t>
            </w:r>
          </w:p>
        </w:tc>
        <w:tc>
          <w:tcPr>
            <w:tcW w:w="920" w:type="dxa"/>
            <w:vAlign w:val="bottom"/>
            <w:gridSpan w:val="2"/>
            <w:shd w:val="clear" w:color="auto" w:fill="CFF0FC"/>
          </w:tcPr>
          <w:p>
            <w:pPr>
              <w:ind w:left="220"/>
              <w:spacing w:after="0"/>
              <w:rPr>
                <w:sz w:val="20"/>
                <w:szCs w:val="20"/>
                <w:color w:val="auto"/>
              </w:rPr>
            </w:pPr>
            <w:r>
              <w:rPr>
                <w:rFonts w:ascii="Arial" w:cs="Arial" w:eastAsia="Arial" w:hAnsi="Arial"/>
                <w:sz w:val="11"/>
                <w:szCs w:val="11"/>
                <w:color w:val="auto"/>
                <w:w w:val="94"/>
              </w:rPr>
              <w:t>(8)(13)(14)(21)</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First Lien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7"/>
              </w:rPr>
              <w:t>7.3%</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3 Month Libor (1.00%) + 6.25%;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7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Beverage, Food and Tobacco</w:t>
            </w: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Floor 1.00% , Due 10/26</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12/9/2020</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5,000,000</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4,900,755</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4,900,000</w:t>
            </w:r>
          </w:p>
        </w:tc>
        <w:tc>
          <w:tcPr>
            <w:tcW w:w="120" w:type="dxa"/>
            <w:vAlign w:val="bottom"/>
            <w:shd w:val="clear" w:color="auto" w:fill="CFF0FC"/>
          </w:tcPr>
          <w:p>
            <w:pPr>
              <w:spacing w:after="0"/>
              <w:rPr>
                <w:sz w:val="12"/>
                <w:szCs w:val="12"/>
                <w:color w:val="auto"/>
              </w:rPr>
            </w:pPr>
          </w:p>
        </w:tc>
      </w:tr>
      <w:tr>
        <w:trPr>
          <w:trHeight w:val="148"/>
        </w:trPr>
        <w:tc>
          <w:tcPr>
            <w:tcW w:w="2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72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AMCP Pet Holdings, Inc.</w:t>
            </w:r>
          </w:p>
        </w:tc>
        <w:tc>
          <w:tcPr>
            <w:tcW w:w="920" w:type="dxa"/>
            <w:vAlign w:val="bottom"/>
            <w:gridSpan w:val="2"/>
            <w:shd w:val="clear" w:color="auto" w:fill="CFF0FC"/>
          </w:tcPr>
          <w:p>
            <w:pPr>
              <w:ind w:left="220"/>
              <w:spacing w:after="0"/>
              <w:rPr>
                <w:sz w:val="20"/>
                <w:szCs w:val="20"/>
                <w:color w:val="auto"/>
              </w:rPr>
            </w:pPr>
            <w:r>
              <w:rPr>
                <w:rFonts w:ascii="Arial" w:cs="Arial" w:eastAsia="Arial" w:hAnsi="Arial"/>
                <w:sz w:val="11"/>
                <w:szCs w:val="11"/>
                <w:color w:val="auto"/>
              </w:rPr>
              <w:t>(8)(13)(21)</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Revolving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7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Beverage, Food and Tobacco</w:t>
            </w: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0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w w:val="87"/>
              </w:rPr>
              <w:t>0.5%</w:t>
            </w:r>
          </w:p>
        </w:tc>
        <w:tc>
          <w:tcPr>
            <w:tcW w:w="268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Cash, Due 10/26</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12/9/2020</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(19,972)</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(20,000)</w:t>
            </w: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49"/>
        </w:trPr>
        <w:tc>
          <w:tcPr>
            <w:tcW w:w="2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Initial</w:t>
            </w: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640" w:type="dxa"/>
            <w:vAlign w:val="bottom"/>
          </w:tcPr>
          <w:p>
            <w:pPr>
              <w:spacing w:after="0" w:line="135" w:lineRule="exact"/>
              <w:rPr>
                <w:sz w:val="20"/>
                <w:szCs w:val="20"/>
                <w:color w:val="auto"/>
              </w:rPr>
            </w:pPr>
            <w:r>
              <w:rPr>
                <w:rFonts w:ascii="Arial" w:cs="Arial" w:eastAsia="Arial" w:hAnsi="Arial"/>
                <w:sz w:val="13"/>
                <w:szCs w:val="13"/>
                <w:b w:val="1"/>
                <w:bCs w:val="1"/>
                <w:color w:val="auto"/>
              </w:rPr>
              <w:t>Portfolio Company /</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80" w:type="dxa"/>
            <w:vAlign w:val="bottom"/>
            <w:gridSpan w:val="2"/>
          </w:tcPr>
          <w:p>
            <w:pPr>
              <w:ind w:left="840"/>
              <w:spacing w:after="0" w:line="135" w:lineRule="exact"/>
              <w:rPr>
                <w:sz w:val="20"/>
                <w:szCs w:val="20"/>
                <w:color w:val="auto"/>
              </w:rPr>
            </w:pPr>
            <w:r>
              <w:rPr>
                <w:rFonts w:ascii="Arial" w:cs="Arial" w:eastAsia="Arial" w:hAnsi="Arial"/>
                <w:sz w:val="13"/>
                <w:szCs w:val="13"/>
                <w:b w:val="1"/>
                <w:bCs w:val="1"/>
                <w:color w:val="auto"/>
              </w:rPr>
              <w:t>Investment</w:t>
            </w:r>
          </w:p>
        </w:tc>
        <w:tc>
          <w:tcPr>
            <w:tcW w:w="11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gridSpan w:val="2"/>
          </w:tcPr>
          <w:p>
            <w:pPr>
              <w:jc w:val="right"/>
              <w:ind w:right="500"/>
              <w:spacing w:after="0" w:line="135" w:lineRule="exact"/>
              <w:rPr>
                <w:sz w:val="20"/>
                <w:szCs w:val="20"/>
                <w:color w:val="auto"/>
              </w:rPr>
            </w:pPr>
            <w:r>
              <w:rPr>
                <w:rFonts w:ascii="Arial" w:cs="Arial" w:eastAsia="Arial" w:hAnsi="Arial"/>
                <w:sz w:val="13"/>
                <w:szCs w:val="13"/>
                <w:b w:val="1"/>
                <w:bCs w:val="1"/>
                <w:color w:val="auto"/>
              </w:rPr>
              <w:t>Amortized</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6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Principal Business</w:t>
            </w:r>
          </w:p>
        </w:tc>
        <w:tc>
          <w:tcPr>
            <w:tcW w:w="300" w:type="dxa"/>
            <w:vAlign w:val="bottom"/>
            <w:tcBorders>
              <w:bottom w:val="single" w:sz="8" w:color="auto"/>
            </w:tcBorders>
          </w:tcPr>
          <w:p>
            <w:pPr>
              <w:spacing w:after="0"/>
              <w:rPr>
                <w:sz w:val="13"/>
                <w:szCs w:val="13"/>
                <w:color w:val="auto"/>
              </w:rPr>
            </w:pPr>
          </w:p>
        </w:tc>
        <w:tc>
          <w:tcPr>
            <w:tcW w:w="7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560" w:type="dxa"/>
            <w:vAlign w:val="bottom"/>
            <w:tcBorders>
              <w:bottom w:val="single" w:sz="8" w:color="auto"/>
            </w:tcBorders>
          </w:tcPr>
          <w:p>
            <w:pPr>
              <w:ind w:left="420"/>
              <w:spacing w:after="0"/>
              <w:rPr>
                <w:sz w:val="20"/>
                <w:szCs w:val="20"/>
                <w:color w:val="auto"/>
              </w:rPr>
            </w:pPr>
            <w:r>
              <w:rPr>
                <w:rFonts w:ascii="Arial" w:cs="Arial" w:eastAsia="Arial" w:hAnsi="Arial"/>
                <w:sz w:val="13"/>
                <w:szCs w:val="13"/>
                <w:b w:val="1"/>
                <w:bCs w:val="1"/>
                <w:color w:val="auto"/>
              </w:rPr>
              <w:t>Interest Rate¹ / Maturity</w:t>
            </w:r>
            <w:r>
              <w:rPr>
                <w:rFonts w:ascii="Arial" w:cs="Arial" w:eastAsia="Arial" w:hAnsi="Arial"/>
                <w:sz w:val="10"/>
                <w:szCs w:val="10"/>
                <w:b w:val="1"/>
                <w:bCs w:val="1"/>
                <w:color w:val="auto"/>
              </w:rPr>
              <w:t>15</w:t>
            </w:r>
          </w:p>
        </w:tc>
        <w:tc>
          <w:tcPr>
            <w:tcW w:w="12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Date</w:t>
            </w:r>
          </w:p>
        </w:tc>
        <w:tc>
          <w:tcPr>
            <w:tcW w:w="120" w:type="dxa"/>
            <w:vAlign w:val="bottom"/>
            <w:tcBorders>
              <w:bottom w:val="single" w:sz="8" w:color="CFF0FC"/>
            </w:tcBorders>
          </w:tcPr>
          <w:p>
            <w:pPr>
              <w:spacing w:after="0"/>
              <w:rPr>
                <w:sz w:val="13"/>
                <w:szCs w:val="13"/>
                <w:color w:val="auto"/>
              </w:rPr>
            </w:pPr>
          </w:p>
        </w:tc>
        <w:tc>
          <w:tcPr>
            <w:tcW w:w="8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Principal</w:t>
            </w:r>
          </w:p>
        </w:tc>
        <w:tc>
          <w:tcPr>
            <w:tcW w:w="220" w:type="dxa"/>
            <w:vAlign w:val="bottom"/>
            <w:tcBorders>
              <w:bottom w:val="single" w:sz="8" w:color="CFF0FC"/>
            </w:tcBorders>
          </w:tcPr>
          <w:p>
            <w:pPr>
              <w:spacing w:after="0"/>
              <w:rPr>
                <w:sz w:val="13"/>
                <w:szCs w:val="13"/>
                <w:color w:val="auto"/>
              </w:rPr>
            </w:pPr>
          </w:p>
        </w:tc>
        <w:tc>
          <w:tcPr>
            <w:tcW w:w="1140" w:type="dxa"/>
            <w:vAlign w:val="bottom"/>
            <w:tcBorders>
              <w:bottom w:val="single" w:sz="8" w:color="auto"/>
            </w:tcBorders>
          </w:tcPr>
          <w:p>
            <w:pPr>
              <w:jc w:val="right"/>
              <w:ind w:right="397"/>
              <w:spacing w:after="0"/>
              <w:rPr>
                <w:sz w:val="20"/>
                <w:szCs w:val="20"/>
                <w:color w:val="auto"/>
              </w:rPr>
            </w:pPr>
            <w:r>
              <w:rPr>
                <w:rFonts w:ascii="Arial" w:cs="Arial" w:eastAsia="Arial" w:hAnsi="Arial"/>
                <w:sz w:val="13"/>
                <w:szCs w:val="13"/>
                <w:b w:val="1"/>
                <w:bCs w:val="1"/>
                <w:color w:val="auto"/>
              </w:rPr>
              <w:t>Cost</w:t>
            </w:r>
          </w:p>
        </w:tc>
        <w:tc>
          <w:tcPr>
            <w:tcW w:w="22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0"/>
                <w:szCs w:val="10"/>
                <w:b w:val="1"/>
                <w:bCs w:val="1"/>
                <w:color w:val="auto"/>
              </w:rPr>
              <w:t>2</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640" w:type="dxa"/>
            <w:vAlign w:val="bottom"/>
            <w:shd w:val="clear" w:color="auto" w:fill="CFF0FC"/>
          </w:tcPr>
          <w:p>
            <w:pPr>
              <w:spacing w:after="0"/>
              <w:rPr>
                <w:sz w:val="20"/>
                <w:szCs w:val="20"/>
                <w:color w:val="auto"/>
              </w:rPr>
            </w:pPr>
            <w:r>
              <w:rPr>
                <w:rFonts w:ascii="Arial" w:cs="Arial" w:eastAsia="Arial" w:hAnsi="Arial"/>
                <w:sz w:val="13"/>
                <w:szCs w:val="13"/>
                <w:color w:val="auto"/>
              </w:rPr>
              <w:t>Analogic Corporation</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rPr>
              <w:t>(8)(13)(14)</w:t>
            </w:r>
          </w:p>
        </w:tc>
        <w:tc>
          <w:tcPr>
            <w:tcW w:w="2980" w:type="dxa"/>
            <w:vAlign w:val="bottom"/>
            <w:gridSpan w:val="4"/>
            <w:vMerge w:val="restart"/>
            <w:shd w:val="clear" w:color="auto" w:fill="CFF0FC"/>
          </w:tcPr>
          <w:p>
            <w:pPr>
              <w:ind w:left="20"/>
              <w:spacing w:after="0"/>
              <w:rPr>
                <w:sz w:val="20"/>
                <w:szCs w:val="20"/>
                <w:color w:val="auto"/>
              </w:rPr>
            </w:pPr>
            <w:r>
              <w:rPr>
                <w:rFonts w:ascii="Arial" w:cs="Arial" w:eastAsia="Arial" w:hAnsi="Arial"/>
                <w:sz w:val="13"/>
                <w:szCs w:val="13"/>
                <w:color w:val="auto"/>
              </w:rPr>
              <w:t>Senior Secured Loan — Revolver</w:t>
            </w:r>
          </w:p>
        </w:tc>
        <w:tc>
          <w:tcPr>
            <w:tcW w:w="10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640" w:type="dxa"/>
            <w:vAlign w:val="bottom"/>
            <w:shd w:val="clear" w:color="auto" w:fill="CFF0FC"/>
          </w:tcPr>
          <w:p>
            <w:pPr>
              <w:spacing w:after="0"/>
              <w:rPr>
                <w:sz w:val="3"/>
                <w:szCs w:val="3"/>
                <w:color w:val="auto"/>
              </w:rPr>
            </w:pPr>
          </w:p>
        </w:tc>
        <w:tc>
          <w:tcPr>
            <w:tcW w:w="300" w:type="dxa"/>
            <w:vAlign w:val="bottom"/>
            <w:shd w:val="clear" w:color="auto" w:fill="CFF0FC"/>
          </w:tcPr>
          <w:p>
            <w:pPr>
              <w:spacing w:after="0"/>
              <w:rPr>
                <w:sz w:val="3"/>
                <w:szCs w:val="3"/>
                <w:color w:val="auto"/>
              </w:rPr>
            </w:pPr>
          </w:p>
        </w:tc>
        <w:tc>
          <w:tcPr>
            <w:tcW w:w="700" w:type="dxa"/>
            <w:vAlign w:val="bottom"/>
            <w:shd w:val="clear" w:color="auto" w:fill="CFF0FC"/>
          </w:tcPr>
          <w:p>
            <w:pPr>
              <w:spacing w:after="0"/>
              <w:rPr>
                <w:sz w:val="3"/>
                <w:szCs w:val="3"/>
                <w:color w:val="auto"/>
              </w:rPr>
            </w:pPr>
          </w:p>
        </w:tc>
        <w:tc>
          <w:tcPr>
            <w:tcW w:w="2980" w:type="dxa"/>
            <w:vAlign w:val="bottom"/>
            <w:gridSpan w:val="4"/>
            <w:vMerge w:val="continue"/>
            <w:shd w:val="clear" w:color="auto" w:fill="CFF0FC"/>
          </w:tcPr>
          <w:p>
            <w:pPr>
              <w:spacing w:after="0"/>
              <w:rPr>
                <w:sz w:val="3"/>
                <w:szCs w:val="3"/>
                <w:color w:val="auto"/>
              </w:rPr>
            </w:pPr>
          </w:p>
        </w:tc>
        <w:tc>
          <w:tcPr>
            <w:tcW w:w="1020" w:type="dxa"/>
            <w:vAlign w:val="bottom"/>
            <w:shd w:val="clear" w:color="auto" w:fill="CFF0FC"/>
          </w:tcPr>
          <w:p>
            <w:pPr>
              <w:spacing w:after="0"/>
              <w:rPr>
                <w:sz w:val="3"/>
                <w:szCs w:val="3"/>
                <w:color w:val="auto"/>
              </w:rPr>
            </w:pPr>
          </w:p>
        </w:tc>
        <w:tc>
          <w:tcPr>
            <w:tcW w:w="120" w:type="dxa"/>
            <w:vAlign w:val="bottom"/>
            <w:shd w:val="clear" w:color="auto" w:fill="CFF0FC"/>
          </w:tcPr>
          <w:p>
            <w:pPr>
              <w:spacing w:after="0"/>
              <w:rPr>
                <w:sz w:val="3"/>
                <w:szCs w:val="3"/>
                <w:color w:val="auto"/>
              </w:rPr>
            </w:pPr>
          </w:p>
        </w:tc>
        <w:tc>
          <w:tcPr>
            <w:tcW w:w="880" w:type="dxa"/>
            <w:vAlign w:val="bottom"/>
            <w:shd w:val="clear" w:color="auto" w:fill="CFF0FC"/>
          </w:tcPr>
          <w:p>
            <w:pPr>
              <w:spacing w:after="0"/>
              <w:rPr>
                <w:sz w:val="3"/>
                <w:szCs w:val="3"/>
                <w:color w:val="auto"/>
              </w:rPr>
            </w:pPr>
          </w:p>
        </w:tc>
        <w:tc>
          <w:tcPr>
            <w:tcW w:w="220" w:type="dxa"/>
            <w:vAlign w:val="bottom"/>
            <w:shd w:val="clear" w:color="auto" w:fill="CFF0FC"/>
          </w:tcPr>
          <w:p>
            <w:pPr>
              <w:spacing w:after="0"/>
              <w:rPr>
                <w:sz w:val="3"/>
                <w:szCs w:val="3"/>
                <w:color w:val="auto"/>
              </w:rPr>
            </w:pPr>
          </w:p>
        </w:tc>
        <w:tc>
          <w:tcPr>
            <w:tcW w:w="1140" w:type="dxa"/>
            <w:vAlign w:val="bottom"/>
            <w:shd w:val="clear" w:color="auto" w:fill="CFF0FC"/>
          </w:tcPr>
          <w:p>
            <w:pPr>
              <w:spacing w:after="0"/>
              <w:rPr>
                <w:sz w:val="3"/>
                <w:szCs w:val="3"/>
                <w:color w:val="auto"/>
              </w:rPr>
            </w:pPr>
          </w:p>
        </w:tc>
        <w:tc>
          <w:tcPr>
            <w:tcW w:w="220" w:type="dxa"/>
            <w:vAlign w:val="bottom"/>
            <w:shd w:val="clear" w:color="auto" w:fill="CFF0FC"/>
          </w:tcPr>
          <w:p>
            <w:pPr>
              <w:spacing w:after="0"/>
              <w:rPr>
                <w:sz w:val="3"/>
                <w:szCs w:val="3"/>
                <w:color w:val="auto"/>
              </w:rPr>
            </w:pPr>
          </w:p>
        </w:tc>
        <w:tc>
          <w:tcPr>
            <w:tcW w:w="900" w:type="dxa"/>
            <w:vAlign w:val="bottom"/>
            <w:shd w:val="clear" w:color="auto" w:fill="CFF0FC"/>
          </w:tcPr>
          <w:p>
            <w:pPr>
              <w:spacing w:after="0"/>
              <w:rPr>
                <w:sz w:val="3"/>
                <w:szCs w:val="3"/>
                <w:color w:val="auto"/>
              </w:rPr>
            </w:pPr>
          </w:p>
        </w:tc>
        <w:tc>
          <w:tcPr>
            <w:tcW w:w="120" w:type="dxa"/>
            <w:vAlign w:val="bottom"/>
            <w:shd w:val="clear" w:color="auto" w:fill="CFF0FC"/>
          </w:tcPr>
          <w:p>
            <w:pPr>
              <w:spacing w:after="0"/>
              <w:rPr>
                <w:sz w:val="3"/>
                <w:szCs w:val="3"/>
                <w:color w:val="auto"/>
              </w:rPr>
            </w:pPr>
          </w:p>
        </w:tc>
        <w:tc>
          <w:tcPr>
            <w:tcW w:w="0" w:type="dxa"/>
            <w:vAlign w:val="bottom"/>
          </w:tcPr>
          <w:p>
            <w:pPr>
              <w:spacing w:after="0"/>
              <w:rPr>
                <w:sz w:val="1"/>
                <w:szCs w:val="1"/>
                <w:color w:val="auto"/>
              </w:rPr>
            </w:pPr>
          </w:p>
        </w:tc>
      </w:tr>
      <w:tr>
        <w:trPr>
          <w:trHeight w:val="197"/>
        </w:trPr>
        <w:tc>
          <w:tcPr>
            <w:tcW w:w="26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3"/>
                <w:szCs w:val="13"/>
                <w:color w:val="auto"/>
              </w:rPr>
              <w:t>Electronics</w:t>
            </w:r>
          </w:p>
        </w:tc>
        <w:tc>
          <w:tcPr>
            <w:tcW w:w="300" w:type="dxa"/>
            <w:vAlign w:val="bottom"/>
            <w:tcBorders>
              <w:bottom w:val="single" w:sz="8" w:color="CFF0FC"/>
            </w:tcBorders>
            <w:shd w:val="clear" w:color="auto" w:fill="CFF0FC"/>
          </w:tcPr>
          <w:p>
            <w:pPr>
              <w:spacing w:after="0"/>
              <w:rPr>
                <w:sz w:val="17"/>
                <w:szCs w:val="17"/>
                <w:color w:val="auto"/>
              </w:rPr>
            </w:pPr>
          </w:p>
        </w:tc>
        <w:tc>
          <w:tcPr>
            <w:tcW w:w="7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3"/>
                <w:szCs w:val="13"/>
                <w:color w:val="auto"/>
                <w:w w:val="87"/>
              </w:rPr>
              <w:t>0.5%</w:t>
            </w:r>
          </w:p>
        </w:tc>
        <w:tc>
          <w:tcPr>
            <w:tcW w:w="268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3"/>
                <w:szCs w:val="13"/>
                <w:color w:val="auto"/>
              </w:rPr>
              <w:t>Cash, Due 6/23</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22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(3,033)</w:t>
            </w:r>
          </w:p>
        </w:tc>
        <w:tc>
          <w:tcPr>
            <w:tcW w:w="0" w:type="dxa"/>
            <w:vAlign w:val="bottom"/>
          </w:tcPr>
          <w:p>
            <w:pPr>
              <w:spacing w:after="0"/>
              <w:rPr>
                <w:sz w:val="1"/>
                <w:szCs w:val="1"/>
                <w:color w:val="auto"/>
              </w:rPr>
            </w:pPr>
          </w:p>
        </w:tc>
      </w:tr>
      <w:tr>
        <w:trPr>
          <w:trHeight w:val="148"/>
        </w:trPr>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Analogic Corporation</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rPr>
              <w:t>(8)(13)(14)</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First Lien Term Loan A</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Electronics</w:t>
            </w: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7"/>
              </w:rPr>
              <w:t>6.3%</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1 Month Libor (1.00%) + 5.25%;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Floor 1.00% , Due 6/24</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3,555,811</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3,103,457</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3,502,474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Anthem Sports &amp; Entertainment Inc.</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w w:val="94"/>
              </w:rPr>
              <w:t>(8)(13)(14)(21)</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Media: Broadcasting &amp; Subscription</w:t>
            </w: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7"/>
              </w:rPr>
              <w:t>7.8%</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2.8% PIK, 3 Month Libor (1.00%) +</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6.75%; Libor Floor 1.00% , Due 9/24</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9/9/2019</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3,592,120</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3,495,363</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3,486,871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Anthem Sports &amp; Entertainment Inc.</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rPr>
              <w:t>(8)(13)(21)</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Revolving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980" w:type="dxa"/>
            <w:vAlign w:val="bottom"/>
            <w:gridSpan w:val="4"/>
            <w:shd w:val="clear" w:color="auto" w:fill="CFF0FC"/>
          </w:tcPr>
          <w:p>
            <w:pPr>
              <w:ind w:left="20"/>
              <w:spacing w:after="0" w:line="135" w:lineRule="exact"/>
              <w:rPr>
                <w:sz w:val="20"/>
                <w:szCs w:val="20"/>
                <w:color w:val="auto"/>
              </w:rPr>
            </w:pPr>
            <w:r>
              <w:rPr>
                <w:rFonts w:ascii="Arial" w:cs="Arial" w:eastAsia="Arial" w:hAnsi="Arial"/>
                <w:sz w:val="13"/>
                <w:szCs w:val="13"/>
                <w:color w:val="auto"/>
                <w:w w:val="99"/>
              </w:rPr>
              <w:t>10.5% Cash, 3 Month Libor (1.00%) + 9.50%;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Media: Broadcasting &amp; Subscription</w:t>
            </w: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Floor 1.00% , Due 9/24</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9/9/2019</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416,667</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385,912</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384,925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Ascensus Specialties LLC</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rPr>
              <w:t>(8)(13)(14)</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First Lien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40" w:type="dxa"/>
            <w:vAlign w:val="bottom"/>
            <w:shd w:val="clear" w:color="auto" w:fill="CFF0FC"/>
          </w:tcPr>
          <w:p>
            <w:pPr>
              <w:ind w:left="160"/>
              <w:spacing w:after="0"/>
              <w:rPr>
                <w:sz w:val="20"/>
                <w:szCs w:val="20"/>
                <w:color w:val="auto"/>
              </w:rPr>
            </w:pPr>
            <w:r>
              <w:rPr>
                <w:rFonts w:ascii="Arial" w:cs="Arial" w:eastAsia="Arial" w:hAnsi="Arial"/>
                <w:sz w:val="13"/>
                <w:szCs w:val="13"/>
                <w:color w:val="auto"/>
              </w:rPr>
              <w:t>Chemicals, Plastics &amp; Rubber</w:t>
            </w: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0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w w:val="87"/>
              </w:rPr>
              <w:t>4.9%</w:t>
            </w:r>
          </w:p>
        </w:tc>
        <w:tc>
          <w:tcPr>
            <w:tcW w:w="268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w w:val="93"/>
              </w:rPr>
              <w:t>Cash, 1 Month Libor (0.15%) + 4.75% , Due 9/26</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1,703,780</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1,435,922</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1,697,135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Athos Merger Sub LLC</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rPr>
              <w:t>(8)(14)</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First Lien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40" w:type="dxa"/>
            <w:vAlign w:val="bottom"/>
            <w:shd w:val="clear" w:color="auto" w:fill="CFF0FC"/>
          </w:tcPr>
          <w:p>
            <w:pPr>
              <w:ind w:left="160"/>
              <w:spacing w:after="0"/>
              <w:rPr>
                <w:sz w:val="20"/>
                <w:szCs w:val="20"/>
                <w:color w:val="auto"/>
              </w:rPr>
            </w:pPr>
            <w:r>
              <w:rPr>
                <w:rFonts w:ascii="Arial" w:cs="Arial" w:eastAsia="Arial" w:hAnsi="Arial"/>
                <w:sz w:val="13"/>
                <w:szCs w:val="13"/>
                <w:color w:val="auto"/>
              </w:rPr>
              <w:t>Services: Business</w:t>
            </w: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0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w w:val="87"/>
              </w:rPr>
              <w:t>5.1%</w:t>
            </w:r>
          </w:p>
        </w:tc>
        <w:tc>
          <w:tcPr>
            <w:tcW w:w="268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w w:val="93"/>
              </w:rPr>
              <w:t>Cash, 1 Month Libor (0.15%) + 5.00% , Due 7/26</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1,329,088</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1,142,784</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1,312,474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BJ Services, LLC</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rPr>
              <w:t>(8)(13)(14)</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First Out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Energy: Oil &amp; Gas</w:t>
            </w: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7"/>
              </w:rPr>
              <w:t>8.5%</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3 Month Libor (1.50%) + 7.00%;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Floor 1.50% , Due 1/23</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3,573,631</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3,094,158</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3,540,397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BMC Acquisition, Inc.</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rPr>
              <w:t>(8)(13)(14)</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Initial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w w:val="99"/>
              </w:rPr>
              <w:t>Banking, Finance, Insurance &amp; Real Estate</w:t>
            </w: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7"/>
              </w:rPr>
              <w:t>6.3%</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6 month Libor (1.00%) + 5.25%;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Floor 1.00% , Due 12/24</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1/2/2018</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2,910,000</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2,909,020</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2,878,863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Bristol Hospice</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w w:val="94"/>
              </w:rPr>
              <w:t>(8)(13)(14)(21)</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Delayed Draw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40" w:type="dxa"/>
            <w:vAlign w:val="bottom"/>
            <w:shd w:val="clear" w:color="auto" w:fill="CFF0FC"/>
          </w:tcPr>
          <w:p>
            <w:pPr>
              <w:ind w:left="160"/>
              <w:spacing w:after="0"/>
              <w:rPr>
                <w:sz w:val="20"/>
                <w:szCs w:val="20"/>
                <w:color w:val="auto"/>
              </w:rPr>
            </w:pPr>
            <w:r>
              <w:rPr>
                <w:rFonts w:ascii="Arial" w:cs="Arial" w:eastAsia="Arial" w:hAnsi="Arial"/>
                <w:sz w:val="13"/>
                <w:szCs w:val="13"/>
                <w:color w:val="auto"/>
              </w:rPr>
              <w:t>Healthcare &amp; Pharmaceuticals</w:t>
            </w: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0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w w:val="87"/>
              </w:rPr>
              <w:t>1.0%</w:t>
            </w:r>
          </w:p>
        </w:tc>
        <w:tc>
          <w:tcPr>
            <w:tcW w:w="268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Cash, Due 12/26</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12/22/2020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(8,182)</w:t>
            </w: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(8,219)</w:t>
            </w:r>
          </w:p>
        </w:tc>
        <w:tc>
          <w:tcPr>
            <w:tcW w:w="0" w:type="dxa"/>
            <w:vAlign w:val="bottom"/>
          </w:tcPr>
          <w:p>
            <w:pPr>
              <w:spacing w:after="0"/>
              <w:rPr>
                <w:sz w:val="1"/>
                <w:szCs w:val="1"/>
                <w:color w:val="auto"/>
              </w:rPr>
            </w:pPr>
          </w:p>
        </w:tc>
      </w:tr>
      <w:tr>
        <w:trPr>
          <w:trHeight w:val="148"/>
        </w:trPr>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Bristol Hospice</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w w:val="94"/>
              </w:rPr>
              <w:t>(8)(13)(14)(21)</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Unitranche</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Healthcare &amp; Pharmaceuticals</w:t>
            </w: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7"/>
              </w:rPr>
              <w:t>6.5%</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3 Month Libor (1.00%) + 5.50%;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Floor 1.00% , Due 12/26</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12/22/2020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2,178,082</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2,134,719</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2,134,521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C.P. Converters, Inc.</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rPr>
              <w:t>(8)(13)(14)</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Seventh Amendment</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Chemicals, Plastics &amp; Rubber</w:t>
            </w: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980" w:type="dxa"/>
            <w:vAlign w:val="bottom"/>
            <w:gridSpan w:val="4"/>
            <w:shd w:val="clear" w:color="auto" w:fill="CFF0FC"/>
          </w:tcPr>
          <w:p>
            <w:pPr>
              <w:ind w:left="20"/>
              <w:spacing w:after="0" w:line="135" w:lineRule="exact"/>
              <w:rPr>
                <w:sz w:val="20"/>
                <w:szCs w:val="20"/>
                <w:color w:val="auto"/>
              </w:rPr>
            </w:pPr>
            <w:r>
              <w:rPr>
                <w:rFonts w:ascii="Arial" w:cs="Arial" w:eastAsia="Arial" w:hAnsi="Arial"/>
                <w:sz w:val="13"/>
                <w:szCs w:val="13"/>
                <w:color w:val="auto"/>
              </w:rPr>
              <w:t>Acquisition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7"/>
              </w:rPr>
              <w:t>7.5%</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1 Month Libor (1.00%) + 6.50%;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Floor 1.00% , Due 6/23</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6/26/2020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2,962,500</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2,901,315</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2,918,063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Carestream Health, Inc.</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rPr>
              <w:t>(8)(13)(14)</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w w:val="99"/>
              </w:rPr>
              <w:t>Junior Secured Loan — 2023 Extended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Healthcare &amp; Pharmaceuticals</w:t>
            </w: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980" w:type="dxa"/>
            <w:vAlign w:val="bottom"/>
            <w:gridSpan w:val="4"/>
            <w:shd w:val="clear" w:color="auto" w:fill="CFF0FC"/>
          </w:tcPr>
          <w:p>
            <w:pPr>
              <w:ind w:left="20"/>
              <w:spacing w:after="0" w:line="135" w:lineRule="exact"/>
              <w:rPr>
                <w:sz w:val="20"/>
                <w:szCs w:val="20"/>
                <w:color w:val="auto"/>
              </w:rPr>
            </w:pPr>
            <w:r>
              <w:rPr>
                <w:rFonts w:ascii="Arial" w:cs="Arial" w:eastAsia="Arial" w:hAnsi="Arial"/>
                <w:sz w:val="13"/>
                <w:szCs w:val="13"/>
                <w:color w:val="auto"/>
              </w:rPr>
              <w:t>(Second Lien)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7"/>
              </w:rPr>
              <w:t>5.5%</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8.0% PIK, 6 month Libor (1.00%) +</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4.50%; Libor Floor 1.00% , Due 8/23</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1,629,516</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1,454,610</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1,394,866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20"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49"/>
        </w:trPr>
        <w:tc>
          <w:tcPr>
            <w:tcW w:w="2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Initial</w:t>
            </w: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line="135" w:lineRule="exact"/>
              <w:rPr>
                <w:sz w:val="20"/>
                <w:szCs w:val="20"/>
                <w:color w:val="auto"/>
              </w:rPr>
            </w:pPr>
            <w:r>
              <w:rPr>
                <w:rFonts w:ascii="Arial" w:cs="Arial" w:eastAsia="Arial" w:hAnsi="Arial"/>
                <w:sz w:val="13"/>
                <w:szCs w:val="13"/>
                <w:b w:val="1"/>
                <w:bCs w:val="1"/>
                <w:color w:val="auto"/>
              </w:rPr>
              <w:t>Portfolio Company /</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9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Investment</w:t>
            </w:r>
          </w:p>
        </w:tc>
        <w:tc>
          <w:tcPr>
            <w:tcW w:w="11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gridSpan w:val="2"/>
          </w:tcPr>
          <w:p>
            <w:pPr>
              <w:ind w:left="280"/>
              <w:spacing w:after="0" w:line="135" w:lineRule="exact"/>
              <w:rPr>
                <w:sz w:val="20"/>
                <w:szCs w:val="20"/>
                <w:color w:val="auto"/>
              </w:rPr>
            </w:pPr>
            <w:r>
              <w:rPr>
                <w:rFonts w:ascii="Arial" w:cs="Arial" w:eastAsia="Arial" w:hAnsi="Arial"/>
                <w:sz w:val="13"/>
                <w:szCs w:val="13"/>
                <w:b w:val="1"/>
                <w:bCs w:val="1"/>
                <w:color w:val="auto"/>
              </w:rPr>
              <w:t>Amortized</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7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Principal Business</w:t>
            </w: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Interest Rate¹ / Maturity</w:t>
            </w:r>
            <w:r>
              <w:rPr>
                <w:rFonts w:ascii="Arial" w:cs="Arial" w:eastAsia="Arial" w:hAnsi="Arial"/>
                <w:sz w:val="10"/>
                <w:szCs w:val="10"/>
                <w:b w:val="1"/>
                <w:bCs w:val="1"/>
                <w:color w:val="auto"/>
                <w:w w:val="92"/>
              </w:rPr>
              <w:t>15</w:t>
            </w:r>
          </w:p>
        </w:tc>
        <w:tc>
          <w:tcPr>
            <w:tcW w:w="12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Date</w:t>
            </w:r>
          </w:p>
        </w:tc>
        <w:tc>
          <w:tcPr>
            <w:tcW w:w="120" w:type="dxa"/>
            <w:vAlign w:val="bottom"/>
            <w:tcBorders>
              <w:bottom w:val="single" w:sz="8" w:color="CFF0FC"/>
            </w:tcBorders>
          </w:tcPr>
          <w:p>
            <w:pPr>
              <w:spacing w:after="0"/>
              <w:rPr>
                <w:sz w:val="13"/>
                <w:szCs w:val="13"/>
                <w:color w:val="auto"/>
              </w:rPr>
            </w:pPr>
          </w:p>
        </w:tc>
        <w:tc>
          <w:tcPr>
            <w:tcW w:w="8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Principal</w:t>
            </w:r>
          </w:p>
        </w:tc>
        <w:tc>
          <w:tcPr>
            <w:tcW w:w="220" w:type="dxa"/>
            <w:vAlign w:val="bottom"/>
            <w:tcBorders>
              <w:bottom w:val="single" w:sz="8" w:color="CFF0FC"/>
            </w:tcBorders>
          </w:tcPr>
          <w:p>
            <w:pPr>
              <w:spacing w:after="0"/>
              <w:rPr>
                <w:sz w:val="13"/>
                <w:szCs w:val="13"/>
                <w:color w:val="auto"/>
              </w:rPr>
            </w:pPr>
          </w:p>
        </w:tc>
        <w:tc>
          <w:tcPr>
            <w:tcW w:w="1140" w:type="dxa"/>
            <w:vAlign w:val="bottom"/>
            <w:tcBorders>
              <w:bottom w:val="single" w:sz="8" w:color="auto"/>
            </w:tcBorders>
          </w:tcPr>
          <w:p>
            <w:pPr>
              <w:jc w:val="right"/>
              <w:ind w:right="397"/>
              <w:spacing w:after="0"/>
              <w:rPr>
                <w:sz w:val="20"/>
                <w:szCs w:val="20"/>
                <w:color w:val="auto"/>
              </w:rPr>
            </w:pPr>
            <w:r>
              <w:rPr>
                <w:rFonts w:ascii="Arial" w:cs="Arial" w:eastAsia="Arial" w:hAnsi="Arial"/>
                <w:sz w:val="13"/>
                <w:szCs w:val="13"/>
                <w:b w:val="1"/>
                <w:bCs w:val="1"/>
                <w:color w:val="auto"/>
              </w:rPr>
              <w:t>Cost</w:t>
            </w:r>
          </w:p>
        </w:tc>
        <w:tc>
          <w:tcPr>
            <w:tcW w:w="22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0"/>
                <w:szCs w:val="10"/>
                <w:b w:val="1"/>
                <w:bCs w:val="1"/>
                <w:color w:val="auto"/>
              </w:rPr>
              <w:t>2</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740" w:type="dxa"/>
            <w:vAlign w:val="bottom"/>
            <w:shd w:val="clear" w:color="auto" w:fill="CFF0FC"/>
          </w:tcPr>
          <w:p>
            <w:pPr>
              <w:spacing w:after="0" w:line="128" w:lineRule="exact"/>
              <w:rPr>
                <w:sz w:val="20"/>
                <w:szCs w:val="20"/>
                <w:color w:val="auto"/>
              </w:rPr>
            </w:pPr>
            <w:r>
              <w:rPr>
                <w:rFonts w:ascii="Arial" w:cs="Arial" w:eastAsia="Arial" w:hAnsi="Arial"/>
                <w:sz w:val="13"/>
                <w:szCs w:val="13"/>
                <w:color w:val="auto"/>
              </w:rPr>
              <w:t>Centric Brands Inc.</w:t>
            </w:r>
          </w:p>
        </w:tc>
        <w:tc>
          <w:tcPr>
            <w:tcW w:w="900" w:type="dxa"/>
            <w:vAlign w:val="bottom"/>
            <w:gridSpan w:val="2"/>
            <w:shd w:val="clear" w:color="auto" w:fill="CFF0FC"/>
          </w:tcPr>
          <w:p>
            <w:pPr>
              <w:ind w:left="200"/>
              <w:spacing w:after="0"/>
              <w:rPr>
                <w:sz w:val="20"/>
                <w:szCs w:val="20"/>
                <w:color w:val="auto"/>
              </w:rPr>
            </w:pPr>
            <w:r>
              <w:rPr>
                <w:rFonts w:ascii="Arial" w:cs="Arial" w:eastAsia="Arial" w:hAnsi="Arial"/>
                <w:sz w:val="11"/>
                <w:szCs w:val="11"/>
                <w:color w:val="auto"/>
              </w:rPr>
              <w:t>(8)(13)(14)</w:t>
            </w:r>
          </w:p>
        </w:tc>
        <w:tc>
          <w:tcPr>
            <w:tcW w:w="20" w:type="dxa"/>
            <w:vAlign w:val="bottom"/>
            <w:shd w:val="clear" w:color="auto" w:fill="CFF0FC"/>
          </w:tcPr>
          <w:p>
            <w:pPr>
              <w:spacing w:after="0"/>
              <w:rPr>
                <w:sz w:val="11"/>
                <w:szCs w:val="11"/>
                <w:color w:val="auto"/>
              </w:rPr>
            </w:pPr>
          </w:p>
        </w:tc>
        <w:tc>
          <w:tcPr>
            <w:tcW w:w="2840" w:type="dxa"/>
            <w:vAlign w:val="bottom"/>
            <w:shd w:val="clear" w:color="auto" w:fill="CFF0FC"/>
          </w:tcPr>
          <w:p>
            <w:pPr>
              <w:spacing w:after="0" w:line="128" w:lineRule="exact"/>
              <w:rPr>
                <w:sz w:val="20"/>
                <w:szCs w:val="20"/>
                <w:color w:val="auto"/>
              </w:rPr>
            </w:pPr>
            <w:r>
              <w:rPr>
                <w:rFonts w:ascii="Arial" w:cs="Arial" w:eastAsia="Arial" w:hAnsi="Arial"/>
                <w:sz w:val="13"/>
                <w:szCs w:val="13"/>
                <w:color w:val="auto"/>
              </w:rPr>
              <w:t>Senior Secured Loan — Revolver</w:t>
            </w: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Machinery (Non-Agrclt/Constr/Electr)</w:t>
            </w:r>
          </w:p>
        </w:tc>
        <w:tc>
          <w:tcPr>
            <w:tcW w:w="2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980" w:type="dxa"/>
            <w:vAlign w:val="bottom"/>
            <w:gridSpan w:val="3"/>
            <w:shd w:val="clear" w:color="auto" w:fill="CFF0FC"/>
          </w:tcPr>
          <w:p>
            <w:pPr>
              <w:ind w:left="20"/>
              <w:spacing w:after="0" w:line="135" w:lineRule="exact"/>
              <w:rPr>
                <w:sz w:val="20"/>
                <w:szCs w:val="20"/>
                <w:color w:val="auto"/>
              </w:rPr>
            </w:pPr>
            <w:r>
              <w:rPr>
                <w:rFonts w:ascii="Arial" w:cs="Arial" w:eastAsia="Arial" w:hAnsi="Arial"/>
                <w:sz w:val="13"/>
                <w:szCs w:val="13"/>
                <w:color w:val="auto"/>
              </w:rPr>
              <w:t>6.5% Cash, 3 Month Libor (1.00%) + 5.50%;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7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rPr>
              <w:t>Floor 1.00% , Due 10/24</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403,134</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333,931</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367,420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7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Centric Brands Inc.</w:t>
            </w:r>
          </w:p>
        </w:tc>
        <w:tc>
          <w:tcPr>
            <w:tcW w:w="900" w:type="dxa"/>
            <w:vAlign w:val="bottom"/>
            <w:gridSpan w:val="2"/>
            <w:shd w:val="clear" w:color="auto" w:fill="CFF0FC"/>
          </w:tcPr>
          <w:p>
            <w:pPr>
              <w:ind w:left="200"/>
              <w:spacing w:after="0"/>
              <w:rPr>
                <w:sz w:val="20"/>
                <w:szCs w:val="20"/>
                <w:color w:val="auto"/>
              </w:rPr>
            </w:pPr>
            <w:r>
              <w:rPr>
                <w:rFonts w:ascii="Arial" w:cs="Arial" w:eastAsia="Arial" w:hAnsi="Arial"/>
                <w:sz w:val="11"/>
                <w:szCs w:val="11"/>
                <w:color w:val="auto"/>
                <w:w w:val="94"/>
              </w:rPr>
              <w:t>(8)(13)(14)(20)</w:t>
            </w:r>
          </w:p>
        </w:tc>
        <w:tc>
          <w:tcPr>
            <w:tcW w:w="2980" w:type="dxa"/>
            <w:vAlign w:val="bottom"/>
            <w:gridSpan w:val="3"/>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First Lien Last Out Term</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740" w:type="dxa"/>
            <w:vAlign w:val="bottom"/>
            <w:shd w:val="clear" w:color="auto" w:fill="CFF0FC"/>
          </w:tcPr>
          <w:p>
            <w:pPr>
              <w:ind w:left="160"/>
              <w:spacing w:after="0"/>
              <w:rPr>
                <w:sz w:val="20"/>
                <w:szCs w:val="20"/>
                <w:color w:val="auto"/>
              </w:rPr>
            </w:pPr>
            <w:r>
              <w:rPr>
                <w:rFonts w:ascii="Arial" w:cs="Arial" w:eastAsia="Arial" w:hAnsi="Arial"/>
                <w:sz w:val="13"/>
                <w:szCs w:val="13"/>
                <w:color w:val="auto"/>
              </w:rPr>
              <w:t>Machinery (Non-Agrclt/Constr/Electr)</w:t>
            </w: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rPr>
              <w:t>Loan, 10.0% PIK, Due 10/25</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7,989,577</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6,378,529</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6,825,496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7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Child Development Schools, Inc.</w:t>
            </w:r>
          </w:p>
        </w:tc>
        <w:tc>
          <w:tcPr>
            <w:tcW w:w="900" w:type="dxa"/>
            <w:vAlign w:val="bottom"/>
            <w:gridSpan w:val="2"/>
            <w:shd w:val="clear" w:color="auto" w:fill="CFF0FC"/>
          </w:tcPr>
          <w:p>
            <w:pPr>
              <w:ind w:left="200"/>
              <w:spacing w:after="0"/>
              <w:rPr>
                <w:sz w:val="20"/>
                <w:szCs w:val="20"/>
                <w:color w:val="auto"/>
              </w:rPr>
            </w:pPr>
            <w:r>
              <w:rPr>
                <w:rFonts w:ascii="Arial" w:cs="Arial" w:eastAsia="Arial" w:hAnsi="Arial"/>
                <w:sz w:val="11"/>
                <w:szCs w:val="11"/>
                <w:color w:val="auto"/>
              </w:rPr>
              <w:t>(8)(13)(14)</w:t>
            </w:r>
          </w:p>
        </w:tc>
        <w:tc>
          <w:tcPr>
            <w:tcW w:w="2980" w:type="dxa"/>
            <w:vAlign w:val="bottom"/>
            <w:gridSpan w:val="3"/>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Services: Consumer</w:t>
            </w:r>
          </w:p>
        </w:tc>
        <w:tc>
          <w:tcPr>
            <w:tcW w:w="2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980" w:type="dxa"/>
            <w:vAlign w:val="bottom"/>
            <w:gridSpan w:val="3"/>
            <w:shd w:val="clear" w:color="auto" w:fill="CFF0FC"/>
          </w:tcPr>
          <w:p>
            <w:pPr>
              <w:ind w:left="20"/>
              <w:spacing w:after="0" w:line="135" w:lineRule="exact"/>
              <w:rPr>
                <w:sz w:val="20"/>
                <w:szCs w:val="20"/>
                <w:color w:val="auto"/>
              </w:rPr>
            </w:pPr>
            <w:r>
              <w:rPr>
                <w:rFonts w:ascii="Arial" w:cs="Arial" w:eastAsia="Arial" w:hAnsi="Arial"/>
                <w:sz w:val="13"/>
                <w:szCs w:val="13"/>
                <w:color w:val="auto"/>
              </w:rPr>
              <w:t>5.3% Cash, 3 Month Libor (1.00%) + 4.25%;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7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rPr>
              <w:t>Floor 1.00% , Due 5/23</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6/6/2018</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4,246,226</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4,241,127</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4,198,243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7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Chloe Ox Parent, LLC</w:t>
            </w:r>
          </w:p>
        </w:tc>
        <w:tc>
          <w:tcPr>
            <w:tcW w:w="900" w:type="dxa"/>
            <w:vAlign w:val="bottom"/>
            <w:gridSpan w:val="2"/>
            <w:shd w:val="clear" w:color="auto" w:fill="CFF0FC"/>
          </w:tcPr>
          <w:p>
            <w:pPr>
              <w:ind w:left="200"/>
              <w:spacing w:after="0"/>
              <w:rPr>
                <w:sz w:val="20"/>
                <w:szCs w:val="20"/>
                <w:color w:val="auto"/>
              </w:rPr>
            </w:pPr>
            <w:r>
              <w:rPr>
                <w:rFonts w:ascii="Arial" w:cs="Arial" w:eastAsia="Arial" w:hAnsi="Arial"/>
                <w:sz w:val="11"/>
                <w:szCs w:val="11"/>
                <w:color w:val="auto"/>
              </w:rPr>
              <w:t>(8)(13)(14)</w:t>
            </w:r>
          </w:p>
        </w:tc>
        <w:tc>
          <w:tcPr>
            <w:tcW w:w="2980" w:type="dxa"/>
            <w:vAlign w:val="bottom"/>
            <w:gridSpan w:val="3"/>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First Lien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Services: Business</w:t>
            </w:r>
          </w:p>
        </w:tc>
        <w:tc>
          <w:tcPr>
            <w:tcW w:w="2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980" w:type="dxa"/>
            <w:vAlign w:val="bottom"/>
            <w:gridSpan w:val="3"/>
            <w:shd w:val="clear" w:color="auto" w:fill="CFF0FC"/>
          </w:tcPr>
          <w:p>
            <w:pPr>
              <w:ind w:left="20"/>
              <w:spacing w:after="0" w:line="135" w:lineRule="exact"/>
              <w:rPr>
                <w:sz w:val="20"/>
                <w:szCs w:val="20"/>
                <w:color w:val="auto"/>
              </w:rPr>
            </w:pPr>
            <w:r>
              <w:rPr>
                <w:rFonts w:ascii="Arial" w:cs="Arial" w:eastAsia="Arial" w:hAnsi="Arial"/>
                <w:sz w:val="13"/>
                <w:szCs w:val="13"/>
                <w:color w:val="auto"/>
              </w:rPr>
              <w:t>5.5% Cash, 3 Month Libor (1.00%) + 4.50%;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7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rPr>
              <w:t>Floor 1.00% , Due 12/24</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1,837,439</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1,552,347</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1,752,917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740" w:type="dxa"/>
            <w:vAlign w:val="bottom"/>
            <w:shd w:val="clear" w:color="auto" w:fill="CFF0FC"/>
          </w:tcPr>
          <w:p>
            <w:pPr>
              <w:spacing w:after="0"/>
              <w:rPr>
                <w:sz w:val="20"/>
                <w:szCs w:val="20"/>
                <w:color w:val="auto"/>
              </w:rPr>
            </w:pPr>
            <w:r>
              <w:rPr>
                <w:rFonts w:ascii="Arial" w:cs="Arial" w:eastAsia="Arial" w:hAnsi="Arial"/>
                <w:sz w:val="13"/>
                <w:szCs w:val="13"/>
                <w:color w:val="auto"/>
              </w:rPr>
              <w:t>Circustrix Holdings, LLC</w:t>
            </w:r>
          </w:p>
        </w:tc>
        <w:tc>
          <w:tcPr>
            <w:tcW w:w="900" w:type="dxa"/>
            <w:vAlign w:val="bottom"/>
            <w:gridSpan w:val="2"/>
            <w:shd w:val="clear" w:color="auto" w:fill="CFF0FC"/>
          </w:tcPr>
          <w:p>
            <w:pPr>
              <w:ind w:left="200"/>
              <w:spacing w:after="0"/>
              <w:rPr>
                <w:sz w:val="20"/>
                <w:szCs w:val="20"/>
                <w:color w:val="auto"/>
              </w:rPr>
            </w:pPr>
            <w:r>
              <w:rPr>
                <w:rFonts w:ascii="Arial" w:cs="Arial" w:eastAsia="Arial" w:hAnsi="Arial"/>
                <w:sz w:val="11"/>
                <w:szCs w:val="11"/>
                <w:color w:val="auto"/>
              </w:rPr>
              <w:t>(8)(13)(14)</w:t>
            </w:r>
          </w:p>
        </w:tc>
        <w:tc>
          <w:tcPr>
            <w:tcW w:w="2980" w:type="dxa"/>
            <w:vAlign w:val="bottom"/>
            <w:gridSpan w:val="3"/>
            <w:vMerge w:val="restart"/>
            <w:shd w:val="clear" w:color="auto" w:fill="CFF0FC"/>
          </w:tcPr>
          <w:p>
            <w:pPr>
              <w:ind w:left="20"/>
              <w:spacing w:after="0"/>
              <w:rPr>
                <w:sz w:val="20"/>
                <w:szCs w:val="20"/>
                <w:color w:val="auto"/>
              </w:rPr>
            </w:pPr>
            <w:r>
              <w:rPr>
                <w:rFonts w:ascii="Arial" w:cs="Arial" w:eastAsia="Arial" w:hAnsi="Arial"/>
                <w:sz w:val="13"/>
                <w:szCs w:val="13"/>
                <w:color w:val="auto"/>
                <w:w w:val="94"/>
              </w:rPr>
              <w:t>Senior Secured Loan — First Lien Term Loan B, 7.8%</w:t>
            </w:r>
          </w:p>
        </w:tc>
        <w:tc>
          <w:tcPr>
            <w:tcW w:w="10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740" w:type="dxa"/>
            <w:vAlign w:val="bottom"/>
            <w:shd w:val="clear" w:color="auto" w:fill="CFF0FC"/>
          </w:tcPr>
          <w:p>
            <w:pPr>
              <w:spacing w:after="0"/>
              <w:rPr>
                <w:sz w:val="3"/>
                <w:szCs w:val="3"/>
                <w:color w:val="auto"/>
              </w:rPr>
            </w:pPr>
          </w:p>
        </w:tc>
        <w:tc>
          <w:tcPr>
            <w:tcW w:w="200" w:type="dxa"/>
            <w:vAlign w:val="bottom"/>
            <w:shd w:val="clear" w:color="auto" w:fill="CFF0FC"/>
          </w:tcPr>
          <w:p>
            <w:pPr>
              <w:spacing w:after="0"/>
              <w:rPr>
                <w:sz w:val="3"/>
                <w:szCs w:val="3"/>
                <w:color w:val="auto"/>
              </w:rPr>
            </w:pPr>
          </w:p>
        </w:tc>
        <w:tc>
          <w:tcPr>
            <w:tcW w:w="700" w:type="dxa"/>
            <w:vAlign w:val="bottom"/>
            <w:shd w:val="clear" w:color="auto" w:fill="CFF0FC"/>
          </w:tcPr>
          <w:p>
            <w:pPr>
              <w:spacing w:after="0"/>
              <w:rPr>
                <w:sz w:val="3"/>
                <w:szCs w:val="3"/>
                <w:color w:val="auto"/>
              </w:rPr>
            </w:pPr>
          </w:p>
        </w:tc>
        <w:tc>
          <w:tcPr>
            <w:tcW w:w="2980" w:type="dxa"/>
            <w:vAlign w:val="bottom"/>
            <w:gridSpan w:val="3"/>
            <w:vMerge w:val="continue"/>
            <w:shd w:val="clear" w:color="auto" w:fill="CFF0FC"/>
          </w:tcPr>
          <w:p>
            <w:pPr>
              <w:spacing w:after="0"/>
              <w:rPr>
                <w:sz w:val="3"/>
                <w:szCs w:val="3"/>
                <w:color w:val="auto"/>
              </w:rPr>
            </w:pPr>
          </w:p>
        </w:tc>
        <w:tc>
          <w:tcPr>
            <w:tcW w:w="1020" w:type="dxa"/>
            <w:vAlign w:val="bottom"/>
            <w:shd w:val="clear" w:color="auto" w:fill="CFF0FC"/>
          </w:tcPr>
          <w:p>
            <w:pPr>
              <w:spacing w:after="0"/>
              <w:rPr>
                <w:sz w:val="3"/>
                <w:szCs w:val="3"/>
                <w:color w:val="auto"/>
              </w:rPr>
            </w:pPr>
          </w:p>
        </w:tc>
        <w:tc>
          <w:tcPr>
            <w:tcW w:w="120" w:type="dxa"/>
            <w:vAlign w:val="bottom"/>
            <w:shd w:val="clear" w:color="auto" w:fill="CFF0FC"/>
          </w:tcPr>
          <w:p>
            <w:pPr>
              <w:spacing w:after="0"/>
              <w:rPr>
                <w:sz w:val="3"/>
                <w:szCs w:val="3"/>
                <w:color w:val="auto"/>
              </w:rPr>
            </w:pPr>
          </w:p>
        </w:tc>
        <w:tc>
          <w:tcPr>
            <w:tcW w:w="880" w:type="dxa"/>
            <w:vAlign w:val="bottom"/>
            <w:shd w:val="clear" w:color="auto" w:fill="CFF0FC"/>
          </w:tcPr>
          <w:p>
            <w:pPr>
              <w:spacing w:after="0"/>
              <w:rPr>
                <w:sz w:val="3"/>
                <w:szCs w:val="3"/>
                <w:color w:val="auto"/>
              </w:rPr>
            </w:pPr>
          </w:p>
        </w:tc>
        <w:tc>
          <w:tcPr>
            <w:tcW w:w="220" w:type="dxa"/>
            <w:vAlign w:val="bottom"/>
            <w:shd w:val="clear" w:color="auto" w:fill="CFF0FC"/>
          </w:tcPr>
          <w:p>
            <w:pPr>
              <w:spacing w:after="0"/>
              <w:rPr>
                <w:sz w:val="3"/>
                <w:szCs w:val="3"/>
                <w:color w:val="auto"/>
              </w:rPr>
            </w:pPr>
          </w:p>
        </w:tc>
        <w:tc>
          <w:tcPr>
            <w:tcW w:w="1140" w:type="dxa"/>
            <w:vAlign w:val="bottom"/>
            <w:shd w:val="clear" w:color="auto" w:fill="CFF0FC"/>
          </w:tcPr>
          <w:p>
            <w:pPr>
              <w:spacing w:after="0"/>
              <w:rPr>
                <w:sz w:val="3"/>
                <w:szCs w:val="3"/>
                <w:color w:val="auto"/>
              </w:rPr>
            </w:pPr>
          </w:p>
        </w:tc>
        <w:tc>
          <w:tcPr>
            <w:tcW w:w="220" w:type="dxa"/>
            <w:vAlign w:val="bottom"/>
            <w:shd w:val="clear" w:color="auto" w:fill="CFF0FC"/>
          </w:tcPr>
          <w:p>
            <w:pPr>
              <w:spacing w:after="0"/>
              <w:rPr>
                <w:sz w:val="3"/>
                <w:szCs w:val="3"/>
                <w:color w:val="auto"/>
              </w:rPr>
            </w:pPr>
          </w:p>
        </w:tc>
        <w:tc>
          <w:tcPr>
            <w:tcW w:w="900" w:type="dxa"/>
            <w:vAlign w:val="bottom"/>
            <w:shd w:val="clear" w:color="auto" w:fill="CFF0FC"/>
          </w:tcPr>
          <w:p>
            <w:pPr>
              <w:spacing w:after="0"/>
              <w:rPr>
                <w:sz w:val="3"/>
                <w:szCs w:val="3"/>
                <w:color w:val="auto"/>
              </w:rPr>
            </w:pPr>
          </w:p>
        </w:tc>
        <w:tc>
          <w:tcPr>
            <w:tcW w:w="120" w:type="dxa"/>
            <w:vAlign w:val="bottom"/>
            <w:shd w:val="clear" w:color="auto" w:fill="CFF0FC"/>
          </w:tcPr>
          <w:p>
            <w:pPr>
              <w:spacing w:after="0"/>
              <w:rPr>
                <w:sz w:val="3"/>
                <w:szCs w:val="3"/>
                <w:color w:val="auto"/>
              </w:rPr>
            </w:pPr>
          </w:p>
        </w:tc>
        <w:tc>
          <w:tcPr>
            <w:tcW w:w="0" w:type="dxa"/>
            <w:vAlign w:val="bottom"/>
          </w:tcPr>
          <w:p>
            <w:pPr>
              <w:spacing w:after="0"/>
              <w:rPr>
                <w:sz w:val="1"/>
                <w:szCs w:val="1"/>
                <w:color w:val="auto"/>
              </w:rPr>
            </w:pPr>
          </w:p>
        </w:tc>
      </w:tr>
      <w:tr>
        <w:trPr>
          <w:trHeight w:val="197"/>
        </w:trPr>
        <w:tc>
          <w:tcPr>
            <w:tcW w:w="27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3"/>
                <w:szCs w:val="13"/>
                <w:color w:val="auto"/>
              </w:rPr>
              <w:t>Banking, Finance, Insurance &amp; Real Estate</w:t>
            </w:r>
          </w:p>
        </w:tc>
        <w:tc>
          <w:tcPr>
            <w:tcW w:w="200" w:type="dxa"/>
            <w:vAlign w:val="bottom"/>
            <w:tcBorders>
              <w:bottom w:val="single" w:sz="8" w:color="CFF0FC"/>
            </w:tcBorders>
            <w:shd w:val="clear" w:color="auto" w:fill="CFF0FC"/>
          </w:tcPr>
          <w:p>
            <w:pPr>
              <w:spacing w:after="0"/>
              <w:rPr>
                <w:sz w:val="17"/>
                <w:szCs w:val="17"/>
                <w:color w:val="auto"/>
              </w:rPr>
            </w:pPr>
          </w:p>
        </w:tc>
        <w:tc>
          <w:tcPr>
            <w:tcW w:w="700" w:type="dxa"/>
            <w:vAlign w:val="bottom"/>
            <w:tcBorders>
              <w:bottom w:val="single" w:sz="8" w:color="CFF0FC"/>
            </w:tcBorders>
            <w:shd w:val="clear" w:color="auto" w:fill="CFF0FC"/>
          </w:tcPr>
          <w:p>
            <w:pPr>
              <w:spacing w:after="0"/>
              <w:rPr>
                <w:sz w:val="17"/>
                <w:szCs w:val="17"/>
                <w:color w:val="auto"/>
              </w:rPr>
            </w:pPr>
          </w:p>
        </w:tc>
        <w:tc>
          <w:tcPr>
            <w:tcW w:w="298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3"/>
                <w:szCs w:val="13"/>
                <w:color w:val="auto"/>
              </w:rPr>
              <w:t>PIK, Due 1/22</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6,319,500</w:t>
            </w:r>
          </w:p>
        </w:tc>
        <w:tc>
          <w:tcPr>
            <w:tcW w:w="220" w:type="dxa"/>
            <w:vAlign w:val="bottom"/>
            <w:tcBorders>
              <w:bottom w:val="single" w:sz="8" w:color="CFF0FC"/>
            </w:tcBorders>
            <w:shd w:val="clear" w:color="auto" w:fill="CFF0FC"/>
          </w:tcPr>
          <w:p>
            <w:pPr>
              <w:spacing w:after="0"/>
              <w:rPr>
                <w:sz w:val="17"/>
                <w:szCs w:val="17"/>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4,455,164</w:t>
            </w:r>
          </w:p>
        </w:tc>
        <w:tc>
          <w:tcPr>
            <w:tcW w:w="22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4,194,884</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7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Coinamatic Canada Inc.</w:t>
            </w:r>
          </w:p>
        </w:tc>
        <w:tc>
          <w:tcPr>
            <w:tcW w:w="900" w:type="dxa"/>
            <w:vAlign w:val="bottom"/>
            <w:gridSpan w:val="2"/>
            <w:shd w:val="clear" w:color="auto" w:fill="CFF0FC"/>
          </w:tcPr>
          <w:p>
            <w:pPr>
              <w:ind w:left="200"/>
              <w:spacing w:after="0"/>
              <w:rPr>
                <w:sz w:val="20"/>
                <w:szCs w:val="20"/>
                <w:color w:val="auto"/>
              </w:rPr>
            </w:pPr>
            <w:r>
              <w:rPr>
                <w:rFonts w:ascii="Arial" w:cs="Arial" w:eastAsia="Arial" w:hAnsi="Arial"/>
                <w:sz w:val="11"/>
                <w:szCs w:val="11"/>
                <w:color w:val="auto"/>
              </w:rPr>
              <w:t>(3)(13)(14)</w:t>
            </w:r>
          </w:p>
        </w:tc>
        <w:tc>
          <w:tcPr>
            <w:tcW w:w="2980" w:type="dxa"/>
            <w:vAlign w:val="bottom"/>
            <w:gridSpan w:val="3"/>
            <w:shd w:val="clear" w:color="auto" w:fill="CFF0FC"/>
          </w:tcPr>
          <w:p>
            <w:pPr>
              <w:ind w:left="20"/>
              <w:spacing w:after="0" w:line="134" w:lineRule="exact"/>
              <w:rPr>
                <w:sz w:val="20"/>
                <w:szCs w:val="20"/>
                <w:color w:val="auto"/>
              </w:rPr>
            </w:pPr>
            <w:r>
              <w:rPr>
                <w:rFonts w:ascii="Arial" w:cs="Arial" w:eastAsia="Arial" w:hAnsi="Arial"/>
                <w:sz w:val="13"/>
                <w:szCs w:val="13"/>
                <w:color w:val="auto"/>
                <w:w w:val="99"/>
              </w:rPr>
              <w:t>Junior Secured Loan — Initial Canadian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980" w:type="dxa"/>
            <w:vAlign w:val="bottom"/>
            <w:gridSpan w:val="3"/>
            <w:shd w:val="clear" w:color="auto" w:fill="CFF0FC"/>
          </w:tcPr>
          <w:p>
            <w:pPr>
              <w:ind w:left="20"/>
              <w:spacing w:after="0" w:line="135" w:lineRule="exact"/>
              <w:rPr>
                <w:sz w:val="20"/>
                <w:szCs w:val="20"/>
                <w:color w:val="auto"/>
              </w:rPr>
            </w:pPr>
            <w:r>
              <w:rPr>
                <w:rFonts w:ascii="Arial" w:cs="Arial" w:eastAsia="Arial" w:hAnsi="Arial"/>
                <w:sz w:val="13"/>
                <w:szCs w:val="13"/>
                <w:color w:val="auto"/>
              </w:rPr>
              <w:t>(Second Lien)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shd w:val="clear" w:color="auto" w:fill="CFF0FC"/>
          </w:tcPr>
          <w:p>
            <w:pPr>
              <w:ind w:left="200"/>
              <w:spacing w:after="0" w:line="135" w:lineRule="exact"/>
              <w:rPr>
                <w:sz w:val="20"/>
                <w:szCs w:val="20"/>
                <w:color w:val="auto"/>
              </w:rPr>
            </w:pPr>
            <w:r>
              <w:rPr>
                <w:rFonts w:ascii="Arial" w:cs="Arial" w:eastAsia="Arial" w:hAnsi="Arial"/>
                <w:sz w:val="13"/>
                <w:szCs w:val="13"/>
                <w:color w:val="auto"/>
              </w:rPr>
              <w:t>Consumer goods: Durable</w:t>
            </w:r>
          </w:p>
        </w:tc>
        <w:tc>
          <w:tcPr>
            <w:tcW w:w="2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980" w:type="dxa"/>
            <w:vAlign w:val="bottom"/>
            <w:gridSpan w:val="3"/>
            <w:shd w:val="clear" w:color="auto" w:fill="CFF0FC"/>
          </w:tcPr>
          <w:p>
            <w:pPr>
              <w:ind w:left="20"/>
              <w:spacing w:after="0" w:line="135" w:lineRule="exact"/>
              <w:rPr>
                <w:sz w:val="20"/>
                <w:szCs w:val="20"/>
                <w:color w:val="auto"/>
              </w:rPr>
            </w:pPr>
            <w:r>
              <w:rPr>
                <w:rFonts w:ascii="Arial" w:cs="Arial" w:eastAsia="Arial" w:hAnsi="Arial"/>
                <w:sz w:val="13"/>
                <w:szCs w:val="13"/>
                <w:color w:val="auto"/>
              </w:rPr>
              <w:t>8.0% Cash, 1 Month Libor (1.00%) + 7.00%;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7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rPr>
              <w:t>Floor 1.00% , Due 5/23</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12/18/2019</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521,646</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467,075</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487,217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740" w:type="dxa"/>
            <w:vAlign w:val="bottom"/>
            <w:shd w:val="clear" w:color="auto" w:fill="CFF0FC"/>
          </w:tcPr>
          <w:p>
            <w:pPr>
              <w:spacing w:after="0" w:line="126" w:lineRule="exact"/>
              <w:rPr>
                <w:sz w:val="20"/>
                <w:szCs w:val="20"/>
                <w:color w:val="auto"/>
              </w:rPr>
            </w:pPr>
            <w:r>
              <w:rPr>
                <w:rFonts w:ascii="Arial" w:cs="Arial" w:eastAsia="Arial" w:hAnsi="Arial"/>
                <w:sz w:val="13"/>
                <w:szCs w:val="13"/>
                <w:color w:val="auto"/>
              </w:rPr>
              <w:t>Colibri Group, LLC</w:t>
            </w:r>
          </w:p>
        </w:tc>
        <w:tc>
          <w:tcPr>
            <w:tcW w:w="900" w:type="dxa"/>
            <w:vAlign w:val="bottom"/>
            <w:gridSpan w:val="2"/>
            <w:shd w:val="clear" w:color="auto" w:fill="CFF0FC"/>
          </w:tcPr>
          <w:p>
            <w:pPr>
              <w:ind w:left="200"/>
              <w:spacing w:after="0"/>
              <w:rPr>
                <w:sz w:val="20"/>
                <w:szCs w:val="20"/>
                <w:color w:val="auto"/>
              </w:rPr>
            </w:pPr>
            <w:r>
              <w:rPr>
                <w:rFonts w:ascii="Arial" w:cs="Arial" w:eastAsia="Arial" w:hAnsi="Arial"/>
                <w:sz w:val="11"/>
                <w:szCs w:val="11"/>
                <w:color w:val="auto"/>
                <w:w w:val="94"/>
              </w:rPr>
              <w:t>(8)(13)(14)(20)</w:t>
            </w:r>
          </w:p>
        </w:tc>
        <w:tc>
          <w:tcPr>
            <w:tcW w:w="2980" w:type="dxa"/>
            <w:vAlign w:val="bottom"/>
            <w:gridSpan w:val="3"/>
            <w:shd w:val="clear" w:color="auto" w:fill="CFF0FC"/>
          </w:tcPr>
          <w:p>
            <w:pPr>
              <w:ind w:left="20"/>
              <w:spacing w:after="0" w:line="126" w:lineRule="exact"/>
              <w:rPr>
                <w:sz w:val="20"/>
                <w:szCs w:val="20"/>
                <w:color w:val="auto"/>
              </w:rPr>
            </w:pPr>
            <w:r>
              <w:rPr>
                <w:rFonts w:ascii="Arial" w:cs="Arial" w:eastAsia="Arial" w:hAnsi="Arial"/>
                <w:sz w:val="13"/>
                <w:szCs w:val="13"/>
                <w:color w:val="auto"/>
              </w:rPr>
              <w:t>Senior Secured Loan — Last out DDTL</w:t>
            </w:r>
          </w:p>
        </w:tc>
        <w:tc>
          <w:tcPr>
            <w:tcW w:w="10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1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740" w:type="dxa"/>
            <w:vAlign w:val="bottom"/>
            <w:shd w:val="clear" w:color="auto" w:fill="CFF0FC"/>
          </w:tcPr>
          <w:p>
            <w:pPr>
              <w:spacing w:after="0"/>
              <w:rPr>
                <w:sz w:val="12"/>
                <w:szCs w:val="12"/>
                <w:color w:val="auto"/>
              </w:rPr>
            </w:pPr>
          </w:p>
        </w:tc>
        <w:tc>
          <w:tcPr>
            <w:tcW w:w="900" w:type="dxa"/>
            <w:vAlign w:val="bottom"/>
            <w:gridSpan w:val="2"/>
            <w:shd w:val="clear" w:color="auto" w:fill="CFF0FC"/>
          </w:tcPr>
          <w:p>
            <w:pPr>
              <w:ind w:left="200"/>
              <w:spacing w:after="0"/>
              <w:rPr>
                <w:sz w:val="20"/>
                <w:szCs w:val="20"/>
                <w:color w:val="auto"/>
              </w:rPr>
            </w:pPr>
            <w:r>
              <w:rPr>
                <w:rFonts w:ascii="Arial" w:cs="Arial" w:eastAsia="Arial" w:hAnsi="Arial"/>
                <w:sz w:val="11"/>
                <w:szCs w:val="11"/>
                <w:color w:val="auto"/>
              </w:rPr>
              <w:t>(21)</w:t>
            </w:r>
          </w:p>
        </w:tc>
        <w:tc>
          <w:tcPr>
            <w:tcW w:w="2980" w:type="dxa"/>
            <w:vAlign w:val="bottom"/>
            <w:gridSpan w:val="3"/>
            <w:shd w:val="clear" w:color="auto" w:fill="CFF0FC"/>
          </w:tcPr>
          <w:p>
            <w:pPr>
              <w:ind w:left="20"/>
              <w:spacing w:after="0" w:line="143" w:lineRule="exact"/>
              <w:rPr>
                <w:sz w:val="20"/>
                <w:szCs w:val="20"/>
                <w:color w:val="auto"/>
              </w:rPr>
            </w:pPr>
            <w:r>
              <w:rPr>
                <w:rFonts w:ascii="Arial" w:cs="Arial" w:eastAsia="Arial" w:hAnsi="Arial"/>
                <w:sz w:val="13"/>
                <w:szCs w:val="13"/>
                <w:color w:val="auto"/>
              </w:rPr>
              <w:t>9.1% Cash, 3 Month Libor (1.00%) + 8.05%; Libor</w:t>
            </w:r>
          </w:p>
        </w:tc>
        <w:tc>
          <w:tcPr>
            <w:tcW w:w="1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Services: Business</w:t>
            </w: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rPr>
              <w:t>Floor 1.00% , Due 5/25</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3/31/2020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932,983</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927,022</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932,983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740" w:type="dxa"/>
            <w:vAlign w:val="bottom"/>
            <w:shd w:val="clear" w:color="auto" w:fill="CFF0FC"/>
          </w:tcPr>
          <w:p>
            <w:pPr>
              <w:spacing w:after="0" w:line="126" w:lineRule="exact"/>
              <w:rPr>
                <w:sz w:val="20"/>
                <w:szCs w:val="20"/>
                <w:color w:val="auto"/>
              </w:rPr>
            </w:pPr>
            <w:r>
              <w:rPr>
                <w:rFonts w:ascii="Arial" w:cs="Arial" w:eastAsia="Arial" w:hAnsi="Arial"/>
                <w:sz w:val="13"/>
                <w:szCs w:val="13"/>
                <w:color w:val="auto"/>
              </w:rPr>
              <w:t>Colibri Group, LLC</w:t>
            </w:r>
          </w:p>
        </w:tc>
        <w:tc>
          <w:tcPr>
            <w:tcW w:w="900" w:type="dxa"/>
            <w:vAlign w:val="bottom"/>
            <w:gridSpan w:val="2"/>
            <w:shd w:val="clear" w:color="auto" w:fill="CFF0FC"/>
          </w:tcPr>
          <w:p>
            <w:pPr>
              <w:ind w:left="200"/>
              <w:spacing w:after="0"/>
              <w:rPr>
                <w:sz w:val="20"/>
                <w:szCs w:val="20"/>
                <w:color w:val="auto"/>
              </w:rPr>
            </w:pPr>
            <w:r>
              <w:rPr>
                <w:rFonts w:ascii="Arial" w:cs="Arial" w:eastAsia="Arial" w:hAnsi="Arial"/>
                <w:sz w:val="11"/>
                <w:szCs w:val="11"/>
                <w:color w:val="auto"/>
                <w:w w:val="94"/>
              </w:rPr>
              <w:t>(8)(13)(14)(20)</w:t>
            </w:r>
          </w:p>
        </w:tc>
        <w:tc>
          <w:tcPr>
            <w:tcW w:w="2980" w:type="dxa"/>
            <w:vAlign w:val="bottom"/>
            <w:gridSpan w:val="3"/>
            <w:shd w:val="clear" w:color="auto" w:fill="CFF0FC"/>
          </w:tcPr>
          <w:p>
            <w:pPr>
              <w:ind w:left="20"/>
              <w:spacing w:after="0" w:line="126" w:lineRule="exact"/>
              <w:rPr>
                <w:sz w:val="20"/>
                <w:szCs w:val="20"/>
                <w:color w:val="auto"/>
              </w:rPr>
            </w:pPr>
            <w:r>
              <w:rPr>
                <w:rFonts w:ascii="Arial" w:cs="Arial" w:eastAsia="Arial" w:hAnsi="Arial"/>
                <w:sz w:val="13"/>
                <w:szCs w:val="13"/>
                <w:color w:val="auto"/>
              </w:rPr>
              <w:t>Senior Secured Loan — Last Out Term Loan</w:t>
            </w:r>
          </w:p>
        </w:tc>
        <w:tc>
          <w:tcPr>
            <w:tcW w:w="10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1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740" w:type="dxa"/>
            <w:vAlign w:val="bottom"/>
            <w:shd w:val="clear" w:color="auto" w:fill="CFF0FC"/>
          </w:tcPr>
          <w:p>
            <w:pPr>
              <w:ind w:left="160"/>
              <w:spacing w:after="0" w:line="143" w:lineRule="exact"/>
              <w:rPr>
                <w:sz w:val="20"/>
                <w:szCs w:val="20"/>
                <w:color w:val="auto"/>
              </w:rPr>
            </w:pPr>
            <w:r>
              <w:rPr>
                <w:rFonts w:ascii="Arial" w:cs="Arial" w:eastAsia="Arial" w:hAnsi="Arial"/>
                <w:sz w:val="13"/>
                <w:szCs w:val="13"/>
                <w:color w:val="auto"/>
              </w:rPr>
              <w:t>Services: Business</w:t>
            </w:r>
          </w:p>
        </w:tc>
        <w:tc>
          <w:tcPr>
            <w:tcW w:w="900" w:type="dxa"/>
            <w:vAlign w:val="bottom"/>
            <w:gridSpan w:val="2"/>
            <w:shd w:val="clear" w:color="auto" w:fill="CFF0FC"/>
          </w:tcPr>
          <w:p>
            <w:pPr>
              <w:ind w:left="200"/>
              <w:spacing w:after="0"/>
              <w:rPr>
                <w:sz w:val="20"/>
                <w:szCs w:val="20"/>
                <w:color w:val="auto"/>
              </w:rPr>
            </w:pPr>
            <w:r>
              <w:rPr>
                <w:rFonts w:ascii="Arial" w:cs="Arial" w:eastAsia="Arial" w:hAnsi="Arial"/>
                <w:sz w:val="11"/>
                <w:szCs w:val="11"/>
                <w:color w:val="auto"/>
              </w:rPr>
              <w:t>(21)</w:t>
            </w:r>
          </w:p>
        </w:tc>
        <w:tc>
          <w:tcPr>
            <w:tcW w:w="2980" w:type="dxa"/>
            <w:vAlign w:val="bottom"/>
            <w:gridSpan w:val="3"/>
            <w:shd w:val="clear" w:color="auto" w:fill="CFF0FC"/>
          </w:tcPr>
          <w:p>
            <w:pPr>
              <w:ind w:left="20"/>
              <w:spacing w:after="0" w:line="143" w:lineRule="exact"/>
              <w:rPr>
                <w:sz w:val="20"/>
                <w:szCs w:val="20"/>
                <w:color w:val="auto"/>
              </w:rPr>
            </w:pPr>
            <w:r>
              <w:rPr>
                <w:rFonts w:ascii="Arial" w:cs="Arial" w:eastAsia="Arial" w:hAnsi="Arial"/>
                <w:sz w:val="13"/>
                <w:szCs w:val="13"/>
                <w:color w:val="auto"/>
              </w:rPr>
              <w:t>9.1% Cash, 3 Month Libor (1.00%) + 8.05%; Libor</w:t>
            </w:r>
          </w:p>
        </w:tc>
        <w:tc>
          <w:tcPr>
            <w:tcW w:w="1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rPr>
              <w:t>Floor 1.00% , Due 5/25</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3/31/2020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6,033,990</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5,995,440</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6,033,990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740" w:type="dxa"/>
            <w:vAlign w:val="bottom"/>
            <w:shd w:val="clear" w:color="auto" w:fill="CFF0FC"/>
          </w:tcPr>
          <w:p>
            <w:pPr>
              <w:spacing w:after="0" w:line="126" w:lineRule="exact"/>
              <w:rPr>
                <w:sz w:val="20"/>
                <w:szCs w:val="20"/>
                <w:color w:val="auto"/>
              </w:rPr>
            </w:pPr>
            <w:r>
              <w:rPr>
                <w:rFonts w:ascii="Arial" w:cs="Arial" w:eastAsia="Arial" w:hAnsi="Arial"/>
                <w:sz w:val="13"/>
                <w:szCs w:val="13"/>
                <w:color w:val="auto"/>
              </w:rPr>
              <w:t>Colibri Group, LLC</w:t>
            </w:r>
          </w:p>
        </w:tc>
        <w:tc>
          <w:tcPr>
            <w:tcW w:w="900" w:type="dxa"/>
            <w:vAlign w:val="bottom"/>
            <w:gridSpan w:val="2"/>
            <w:shd w:val="clear" w:color="auto" w:fill="CFF0FC"/>
          </w:tcPr>
          <w:p>
            <w:pPr>
              <w:ind w:left="200"/>
              <w:spacing w:after="0"/>
              <w:rPr>
                <w:sz w:val="20"/>
                <w:szCs w:val="20"/>
                <w:color w:val="auto"/>
              </w:rPr>
            </w:pPr>
            <w:r>
              <w:rPr>
                <w:rFonts w:ascii="Arial" w:cs="Arial" w:eastAsia="Arial" w:hAnsi="Arial"/>
                <w:sz w:val="11"/>
                <w:szCs w:val="11"/>
                <w:color w:val="auto"/>
                <w:w w:val="94"/>
              </w:rPr>
              <w:t>(8)(13)(14)(20)</w:t>
            </w:r>
          </w:p>
        </w:tc>
        <w:tc>
          <w:tcPr>
            <w:tcW w:w="2980" w:type="dxa"/>
            <w:vAlign w:val="bottom"/>
            <w:gridSpan w:val="3"/>
            <w:shd w:val="clear" w:color="auto" w:fill="CFF0FC"/>
          </w:tcPr>
          <w:p>
            <w:pPr>
              <w:ind w:left="20"/>
              <w:spacing w:after="0" w:line="126" w:lineRule="exact"/>
              <w:rPr>
                <w:sz w:val="20"/>
                <w:szCs w:val="20"/>
                <w:color w:val="auto"/>
              </w:rPr>
            </w:pPr>
            <w:r>
              <w:rPr>
                <w:rFonts w:ascii="Arial" w:cs="Arial" w:eastAsia="Arial" w:hAnsi="Arial"/>
                <w:sz w:val="13"/>
                <w:szCs w:val="13"/>
                <w:color w:val="auto"/>
                <w:w w:val="93"/>
              </w:rPr>
              <w:t>Senior Secured Loan — Last Out Second Amendment</w:t>
            </w:r>
          </w:p>
        </w:tc>
        <w:tc>
          <w:tcPr>
            <w:tcW w:w="10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1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740" w:type="dxa"/>
            <w:vAlign w:val="bottom"/>
            <w:shd w:val="clear" w:color="auto" w:fill="CFF0FC"/>
          </w:tcPr>
          <w:p>
            <w:pPr>
              <w:ind w:left="160"/>
              <w:spacing w:after="0" w:line="143" w:lineRule="exact"/>
              <w:rPr>
                <w:sz w:val="20"/>
                <w:szCs w:val="20"/>
                <w:color w:val="auto"/>
              </w:rPr>
            </w:pPr>
            <w:r>
              <w:rPr>
                <w:rFonts w:ascii="Arial" w:cs="Arial" w:eastAsia="Arial" w:hAnsi="Arial"/>
                <w:sz w:val="13"/>
                <w:szCs w:val="13"/>
                <w:color w:val="auto"/>
              </w:rPr>
              <w:t>Services: Business</w:t>
            </w:r>
          </w:p>
        </w:tc>
        <w:tc>
          <w:tcPr>
            <w:tcW w:w="900" w:type="dxa"/>
            <w:vAlign w:val="bottom"/>
            <w:gridSpan w:val="2"/>
            <w:shd w:val="clear" w:color="auto" w:fill="CFF0FC"/>
          </w:tcPr>
          <w:p>
            <w:pPr>
              <w:ind w:left="200"/>
              <w:spacing w:after="0"/>
              <w:rPr>
                <w:sz w:val="20"/>
                <w:szCs w:val="20"/>
                <w:color w:val="auto"/>
              </w:rPr>
            </w:pPr>
            <w:r>
              <w:rPr>
                <w:rFonts w:ascii="Arial" w:cs="Arial" w:eastAsia="Arial" w:hAnsi="Arial"/>
                <w:sz w:val="11"/>
                <w:szCs w:val="11"/>
                <w:color w:val="auto"/>
              </w:rPr>
              <w:t>(21)</w:t>
            </w:r>
          </w:p>
        </w:tc>
        <w:tc>
          <w:tcPr>
            <w:tcW w:w="2980" w:type="dxa"/>
            <w:vAlign w:val="bottom"/>
            <w:gridSpan w:val="3"/>
            <w:shd w:val="clear" w:color="auto" w:fill="CFF0FC"/>
          </w:tcPr>
          <w:p>
            <w:pPr>
              <w:ind w:left="20"/>
              <w:spacing w:after="0" w:line="143" w:lineRule="exact"/>
              <w:rPr>
                <w:sz w:val="20"/>
                <w:szCs w:val="20"/>
                <w:color w:val="auto"/>
              </w:rPr>
            </w:pPr>
            <w:r>
              <w:rPr>
                <w:rFonts w:ascii="Arial" w:cs="Arial" w:eastAsia="Arial" w:hAnsi="Arial"/>
                <w:sz w:val="13"/>
                <w:szCs w:val="13"/>
                <w:color w:val="auto"/>
              </w:rPr>
              <w:t>TL</w:t>
            </w:r>
          </w:p>
        </w:tc>
        <w:tc>
          <w:tcPr>
            <w:tcW w:w="1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7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980" w:type="dxa"/>
            <w:vAlign w:val="bottom"/>
            <w:gridSpan w:val="3"/>
            <w:shd w:val="clear" w:color="auto" w:fill="CFF0FC"/>
          </w:tcPr>
          <w:p>
            <w:pPr>
              <w:ind w:left="20"/>
              <w:spacing w:after="0" w:line="135" w:lineRule="exact"/>
              <w:rPr>
                <w:sz w:val="20"/>
                <w:szCs w:val="20"/>
                <w:color w:val="auto"/>
              </w:rPr>
            </w:pPr>
            <w:r>
              <w:rPr>
                <w:rFonts w:ascii="Arial" w:cs="Arial" w:eastAsia="Arial" w:hAnsi="Arial"/>
                <w:sz w:val="13"/>
                <w:szCs w:val="13"/>
                <w:color w:val="auto"/>
              </w:rPr>
              <w:t>9.1% Cash, 3 Month Libor (1.00%) + 8.05%;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7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rPr>
              <w:t>Floor 1.00% , Due 5/25</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3/31/2020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690,407</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685,996</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690,407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7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Convergeone Holdings Corp.</w:t>
            </w:r>
          </w:p>
        </w:tc>
        <w:tc>
          <w:tcPr>
            <w:tcW w:w="900" w:type="dxa"/>
            <w:vAlign w:val="bottom"/>
            <w:gridSpan w:val="2"/>
            <w:shd w:val="clear" w:color="auto" w:fill="CFF0FC"/>
          </w:tcPr>
          <w:p>
            <w:pPr>
              <w:ind w:left="200"/>
              <w:spacing w:after="0"/>
              <w:rPr>
                <w:sz w:val="20"/>
                <w:szCs w:val="20"/>
                <w:color w:val="auto"/>
              </w:rPr>
            </w:pPr>
            <w:r>
              <w:rPr>
                <w:rFonts w:ascii="Arial" w:cs="Arial" w:eastAsia="Arial" w:hAnsi="Arial"/>
                <w:sz w:val="11"/>
                <w:szCs w:val="11"/>
                <w:color w:val="auto"/>
              </w:rPr>
              <w:t>(8)(14)</w:t>
            </w:r>
          </w:p>
        </w:tc>
        <w:tc>
          <w:tcPr>
            <w:tcW w:w="2980" w:type="dxa"/>
            <w:vAlign w:val="bottom"/>
            <w:gridSpan w:val="3"/>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First Lien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740" w:type="dxa"/>
            <w:vAlign w:val="bottom"/>
            <w:shd w:val="clear" w:color="auto" w:fill="CFF0FC"/>
          </w:tcPr>
          <w:p>
            <w:pPr>
              <w:ind w:left="160"/>
              <w:spacing w:after="0"/>
              <w:rPr>
                <w:sz w:val="20"/>
                <w:szCs w:val="20"/>
                <w:color w:val="auto"/>
              </w:rPr>
            </w:pPr>
            <w:r>
              <w:rPr>
                <w:rFonts w:ascii="Arial" w:cs="Arial" w:eastAsia="Arial" w:hAnsi="Arial"/>
                <w:sz w:val="13"/>
                <w:szCs w:val="13"/>
                <w:color w:val="auto"/>
              </w:rPr>
              <w:t>Electronics</w:t>
            </w: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w w:val="93"/>
              </w:rPr>
              <w:t>5.1% Cash, 1 Month Libor (0.15%) + 5.00% , Due 1/26</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2,168,026</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1,740,712</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2,054,204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7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w w:val="98"/>
              </w:rPr>
              <w:t>CSM Bakery Solutions Limited (fka CSM Bakery</w:t>
            </w:r>
          </w:p>
        </w:tc>
        <w:tc>
          <w:tcPr>
            <w:tcW w:w="900" w:type="dxa"/>
            <w:vAlign w:val="bottom"/>
            <w:gridSpan w:val="2"/>
            <w:shd w:val="clear" w:color="auto" w:fill="CFF0FC"/>
          </w:tcPr>
          <w:p>
            <w:pPr>
              <w:ind w:left="200"/>
              <w:spacing w:after="0"/>
              <w:rPr>
                <w:sz w:val="20"/>
                <w:szCs w:val="20"/>
                <w:color w:val="auto"/>
              </w:rPr>
            </w:pPr>
            <w:r>
              <w:rPr>
                <w:rFonts w:ascii="Arial" w:cs="Arial" w:eastAsia="Arial" w:hAnsi="Arial"/>
                <w:sz w:val="11"/>
                <w:szCs w:val="11"/>
                <w:color w:val="auto"/>
              </w:rPr>
              <w:t>(8)(14)</w:t>
            </w:r>
          </w:p>
        </w:tc>
        <w:tc>
          <w:tcPr>
            <w:tcW w:w="2980" w:type="dxa"/>
            <w:vAlign w:val="bottom"/>
            <w:gridSpan w:val="3"/>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Term Loan (First Lien)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Supplies Limited)</w:t>
            </w:r>
          </w:p>
        </w:tc>
        <w:tc>
          <w:tcPr>
            <w:tcW w:w="2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980" w:type="dxa"/>
            <w:vAlign w:val="bottom"/>
            <w:gridSpan w:val="3"/>
            <w:shd w:val="clear" w:color="auto" w:fill="CFF0FC"/>
          </w:tcPr>
          <w:p>
            <w:pPr>
              <w:ind w:left="20"/>
              <w:spacing w:after="0" w:line="135" w:lineRule="exact"/>
              <w:rPr>
                <w:sz w:val="20"/>
                <w:szCs w:val="20"/>
                <w:color w:val="auto"/>
              </w:rPr>
            </w:pPr>
            <w:r>
              <w:rPr>
                <w:rFonts w:ascii="Arial" w:cs="Arial" w:eastAsia="Arial" w:hAnsi="Arial"/>
                <w:sz w:val="13"/>
                <w:szCs w:val="13"/>
                <w:color w:val="auto"/>
              </w:rPr>
              <w:t>7.3% Cash, 3 Month Libor (1.00%) + 6.25%;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740" w:type="dxa"/>
            <w:vAlign w:val="bottom"/>
            <w:shd w:val="clear" w:color="auto" w:fill="CFF0FC"/>
          </w:tcPr>
          <w:p>
            <w:pPr>
              <w:ind w:left="160"/>
              <w:spacing w:after="0"/>
              <w:rPr>
                <w:sz w:val="20"/>
                <w:szCs w:val="20"/>
                <w:color w:val="auto"/>
              </w:rPr>
            </w:pPr>
            <w:r>
              <w:rPr>
                <w:rFonts w:ascii="Arial" w:cs="Arial" w:eastAsia="Arial" w:hAnsi="Arial"/>
                <w:sz w:val="13"/>
                <w:szCs w:val="13"/>
                <w:color w:val="auto"/>
              </w:rPr>
              <w:t>Beverage, Food and Tobacco</w:t>
            </w: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rPr>
              <w:t>Floor 1.00% , Due 1/22</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6/11/2020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1,265,625</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1,248,537</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1,251,577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7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w w:val="98"/>
              </w:rPr>
              <w:t>CSM Bakery Solutions Limited (fka CSM Bakery</w:t>
            </w:r>
          </w:p>
        </w:tc>
        <w:tc>
          <w:tcPr>
            <w:tcW w:w="900" w:type="dxa"/>
            <w:vAlign w:val="bottom"/>
            <w:gridSpan w:val="2"/>
            <w:shd w:val="clear" w:color="auto" w:fill="CFF0FC"/>
          </w:tcPr>
          <w:p>
            <w:pPr>
              <w:ind w:left="200"/>
              <w:spacing w:after="0"/>
              <w:rPr>
                <w:sz w:val="20"/>
                <w:szCs w:val="20"/>
                <w:color w:val="auto"/>
              </w:rPr>
            </w:pPr>
            <w:r>
              <w:rPr>
                <w:rFonts w:ascii="Arial" w:cs="Arial" w:eastAsia="Arial" w:hAnsi="Arial"/>
                <w:sz w:val="11"/>
                <w:szCs w:val="11"/>
                <w:color w:val="auto"/>
              </w:rPr>
              <w:t>(8)(13)(14)</w:t>
            </w:r>
          </w:p>
        </w:tc>
        <w:tc>
          <w:tcPr>
            <w:tcW w:w="2980" w:type="dxa"/>
            <w:vAlign w:val="bottom"/>
            <w:gridSpan w:val="3"/>
            <w:vMerge w:val="restart"/>
            <w:shd w:val="clear" w:color="auto" w:fill="CFF0FC"/>
          </w:tcPr>
          <w:p>
            <w:pPr>
              <w:ind w:left="20"/>
              <w:spacing w:after="0"/>
              <w:rPr>
                <w:sz w:val="20"/>
                <w:szCs w:val="20"/>
                <w:color w:val="auto"/>
              </w:rPr>
            </w:pPr>
            <w:r>
              <w:rPr>
                <w:rFonts w:ascii="Arial" w:cs="Arial" w:eastAsia="Arial" w:hAnsi="Arial"/>
                <w:sz w:val="13"/>
                <w:szCs w:val="13"/>
                <w:color w:val="auto"/>
              </w:rPr>
              <w:t>Junior Secured Loan — Term Loan (Second Lien)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740" w:type="dxa"/>
            <w:vAlign w:val="bottom"/>
            <w:vMerge w:val="restart"/>
            <w:shd w:val="clear" w:color="auto" w:fill="CFF0FC"/>
          </w:tcPr>
          <w:p>
            <w:pPr>
              <w:spacing w:after="0"/>
              <w:rPr>
                <w:sz w:val="20"/>
                <w:szCs w:val="20"/>
                <w:color w:val="auto"/>
              </w:rPr>
            </w:pPr>
            <w:r>
              <w:rPr>
                <w:rFonts w:ascii="Arial" w:cs="Arial" w:eastAsia="Arial" w:hAnsi="Arial"/>
                <w:sz w:val="13"/>
                <w:szCs w:val="13"/>
                <w:color w:val="auto"/>
              </w:rPr>
              <w:t>Supplies Limited)</w:t>
            </w:r>
          </w:p>
        </w:tc>
        <w:tc>
          <w:tcPr>
            <w:tcW w:w="200" w:type="dxa"/>
            <w:vAlign w:val="bottom"/>
            <w:shd w:val="clear" w:color="auto" w:fill="CFF0FC"/>
          </w:tcPr>
          <w:p>
            <w:pPr>
              <w:spacing w:after="0"/>
              <w:rPr>
                <w:sz w:val="5"/>
                <w:szCs w:val="5"/>
                <w:color w:val="auto"/>
              </w:rPr>
            </w:pPr>
          </w:p>
        </w:tc>
        <w:tc>
          <w:tcPr>
            <w:tcW w:w="700" w:type="dxa"/>
            <w:vAlign w:val="bottom"/>
            <w:shd w:val="clear" w:color="auto" w:fill="CFF0FC"/>
          </w:tcPr>
          <w:p>
            <w:pPr>
              <w:spacing w:after="0"/>
              <w:rPr>
                <w:sz w:val="5"/>
                <w:szCs w:val="5"/>
                <w:color w:val="auto"/>
              </w:rPr>
            </w:pPr>
          </w:p>
        </w:tc>
        <w:tc>
          <w:tcPr>
            <w:tcW w:w="2980" w:type="dxa"/>
            <w:vAlign w:val="bottom"/>
            <w:gridSpan w:val="3"/>
            <w:vMerge w:val="continue"/>
            <w:shd w:val="clear" w:color="auto" w:fill="CFF0FC"/>
          </w:tcPr>
          <w:p>
            <w:pPr>
              <w:spacing w:after="0"/>
              <w:rPr>
                <w:sz w:val="5"/>
                <w:szCs w:val="5"/>
                <w:color w:val="auto"/>
              </w:rPr>
            </w:pPr>
          </w:p>
        </w:tc>
        <w:tc>
          <w:tcPr>
            <w:tcW w:w="10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880" w:type="dxa"/>
            <w:vAlign w:val="bottom"/>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1140" w:type="dxa"/>
            <w:vAlign w:val="bottom"/>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90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2740" w:type="dxa"/>
            <w:vAlign w:val="bottom"/>
            <w:vMerge w:val="continue"/>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700" w:type="dxa"/>
            <w:vAlign w:val="bottom"/>
            <w:shd w:val="clear" w:color="auto" w:fill="CFF0FC"/>
          </w:tcPr>
          <w:p>
            <w:pPr>
              <w:spacing w:after="0"/>
              <w:rPr>
                <w:sz w:val="8"/>
                <w:szCs w:val="8"/>
                <w:color w:val="auto"/>
              </w:rPr>
            </w:pPr>
          </w:p>
        </w:tc>
        <w:tc>
          <w:tcPr>
            <w:tcW w:w="2980" w:type="dxa"/>
            <w:vAlign w:val="bottom"/>
            <w:gridSpan w:val="3"/>
            <w:vMerge w:val="restart"/>
            <w:shd w:val="clear" w:color="auto" w:fill="CFF0FC"/>
          </w:tcPr>
          <w:p>
            <w:pPr>
              <w:ind w:left="20"/>
              <w:spacing w:after="0" w:line="135" w:lineRule="exact"/>
              <w:rPr>
                <w:sz w:val="20"/>
                <w:szCs w:val="20"/>
                <w:color w:val="auto"/>
              </w:rPr>
            </w:pPr>
            <w:r>
              <w:rPr>
                <w:rFonts w:ascii="Arial" w:cs="Arial" w:eastAsia="Arial" w:hAnsi="Arial"/>
                <w:sz w:val="13"/>
                <w:szCs w:val="13"/>
                <w:color w:val="auto"/>
              </w:rPr>
              <w:t>8.8% Cash, 3 Month Libor (1.00%) + 7.75%; Libor</w:t>
            </w:r>
          </w:p>
        </w:tc>
        <w:tc>
          <w:tcPr>
            <w:tcW w:w="10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8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1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2740" w:type="dxa"/>
            <w:vAlign w:val="bottom"/>
            <w:shd w:val="clear" w:color="auto" w:fill="CFF0FC"/>
          </w:tcPr>
          <w:p>
            <w:pPr>
              <w:spacing w:after="0"/>
              <w:rPr>
                <w:sz w:val="3"/>
                <w:szCs w:val="3"/>
                <w:color w:val="auto"/>
              </w:rPr>
            </w:pPr>
          </w:p>
        </w:tc>
        <w:tc>
          <w:tcPr>
            <w:tcW w:w="200" w:type="dxa"/>
            <w:vAlign w:val="bottom"/>
            <w:shd w:val="clear" w:color="auto" w:fill="CFF0FC"/>
          </w:tcPr>
          <w:p>
            <w:pPr>
              <w:spacing w:after="0"/>
              <w:rPr>
                <w:sz w:val="3"/>
                <w:szCs w:val="3"/>
                <w:color w:val="auto"/>
              </w:rPr>
            </w:pPr>
          </w:p>
        </w:tc>
        <w:tc>
          <w:tcPr>
            <w:tcW w:w="700" w:type="dxa"/>
            <w:vAlign w:val="bottom"/>
            <w:shd w:val="clear" w:color="auto" w:fill="CFF0FC"/>
          </w:tcPr>
          <w:p>
            <w:pPr>
              <w:spacing w:after="0"/>
              <w:rPr>
                <w:sz w:val="3"/>
                <w:szCs w:val="3"/>
                <w:color w:val="auto"/>
              </w:rPr>
            </w:pPr>
          </w:p>
        </w:tc>
        <w:tc>
          <w:tcPr>
            <w:tcW w:w="2980" w:type="dxa"/>
            <w:vAlign w:val="bottom"/>
            <w:gridSpan w:val="3"/>
            <w:vMerge w:val="continue"/>
            <w:shd w:val="clear" w:color="auto" w:fill="CFF0FC"/>
          </w:tcPr>
          <w:p>
            <w:pPr>
              <w:spacing w:after="0"/>
              <w:rPr>
                <w:sz w:val="3"/>
                <w:szCs w:val="3"/>
                <w:color w:val="auto"/>
              </w:rPr>
            </w:pPr>
          </w:p>
        </w:tc>
        <w:tc>
          <w:tcPr>
            <w:tcW w:w="1020" w:type="dxa"/>
            <w:vAlign w:val="bottom"/>
            <w:shd w:val="clear" w:color="auto" w:fill="CFF0FC"/>
          </w:tcPr>
          <w:p>
            <w:pPr>
              <w:spacing w:after="0"/>
              <w:rPr>
                <w:sz w:val="3"/>
                <w:szCs w:val="3"/>
                <w:color w:val="auto"/>
              </w:rPr>
            </w:pPr>
          </w:p>
        </w:tc>
        <w:tc>
          <w:tcPr>
            <w:tcW w:w="120" w:type="dxa"/>
            <w:vAlign w:val="bottom"/>
            <w:shd w:val="clear" w:color="auto" w:fill="CFF0FC"/>
          </w:tcPr>
          <w:p>
            <w:pPr>
              <w:spacing w:after="0"/>
              <w:rPr>
                <w:sz w:val="3"/>
                <w:szCs w:val="3"/>
                <w:color w:val="auto"/>
              </w:rPr>
            </w:pPr>
          </w:p>
        </w:tc>
        <w:tc>
          <w:tcPr>
            <w:tcW w:w="880" w:type="dxa"/>
            <w:vAlign w:val="bottom"/>
            <w:shd w:val="clear" w:color="auto" w:fill="CFF0FC"/>
          </w:tcPr>
          <w:p>
            <w:pPr>
              <w:spacing w:after="0"/>
              <w:rPr>
                <w:sz w:val="3"/>
                <w:szCs w:val="3"/>
                <w:color w:val="auto"/>
              </w:rPr>
            </w:pPr>
          </w:p>
        </w:tc>
        <w:tc>
          <w:tcPr>
            <w:tcW w:w="220" w:type="dxa"/>
            <w:vAlign w:val="bottom"/>
            <w:shd w:val="clear" w:color="auto" w:fill="CFF0FC"/>
          </w:tcPr>
          <w:p>
            <w:pPr>
              <w:spacing w:after="0"/>
              <w:rPr>
                <w:sz w:val="3"/>
                <w:szCs w:val="3"/>
                <w:color w:val="auto"/>
              </w:rPr>
            </w:pPr>
          </w:p>
        </w:tc>
        <w:tc>
          <w:tcPr>
            <w:tcW w:w="1140" w:type="dxa"/>
            <w:vAlign w:val="bottom"/>
            <w:shd w:val="clear" w:color="auto" w:fill="CFF0FC"/>
          </w:tcPr>
          <w:p>
            <w:pPr>
              <w:spacing w:after="0"/>
              <w:rPr>
                <w:sz w:val="3"/>
                <w:szCs w:val="3"/>
                <w:color w:val="auto"/>
              </w:rPr>
            </w:pPr>
          </w:p>
        </w:tc>
        <w:tc>
          <w:tcPr>
            <w:tcW w:w="220" w:type="dxa"/>
            <w:vAlign w:val="bottom"/>
            <w:shd w:val="clear" w:color="auto" w:fill="CFF0FC"/>
          </w:tcPr>
          <w:p>
            <w:pPr>
              <w:spacing w:after="0"/>
              <w:rPr>
                <w:sz w:val="3"/>
                <w:szCs w:val="3"/>
                <w:color w:val="auto"/>
              </w:rPr>
            </w:pPr>
          </w:p>
        </w:tc>
        <w:tc>
          <w:tcPr>
            <w:tcW w:w="900" w:type="dxa"/>
            <w:vAlign w:val="bottom"/>
            <w:shd w:val="clear" w:color="auto" w:fill="CFF0FC"/>
          </w:tcPr>
          <w:p>
            <w:pPr>
              <w:spacing w:after="0"/>
              <w:rPr>
                <w:sz w:val="3"/>
                <w:szCs w:val="3"/>
                <w:color w:val="auto"/>
              </w:rPr>
            </w:pPr>
          </w:p>
        </w:tc>
        <w:tc>
          <w:tcPr>
            <w:tcW w:w="120" w:type="dxa"/>
            <w:vAlign w:val="bottom"/>
            <w:shd w:val="clear" w:color="auto" w:fill="CFF0FC"/>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740" w:type="dxa"/>
            <w:vAlign w:val="bottom"/>
            <w:vMerge w:val="restart"/>
            <w:shd w:val="clear" w:color="auto" w:fill="CFF0FC"/>
          </w:tcPr>
          <w:p>
            <w:pPr>
              <w:ind w:left="200"/>
              <w:spacing w:after="0"/>
              <w:rPr>
                <w:sz w:val="20"/>
                <w:szCs w:val="20"/>
                <w:color w:val="auto"/>
              </w:rPr>
            </w:pPr>
            <w:r>
              <w:rPr>
                <w:rFonts w:ascii="Arial" w:cs="Arial" w:eastAsia="Arial" w:hAnsi="Arial"/>
                <w:sz w:val="13"/>
                <w:szCs w:val="13"/>
                <w:color w:val="auto"/>
              </w:rPr>
              <w:t>Beverage, Food and Tobacco</w:t>
            </w: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98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rPr>
              <w:t>Floor 1.00% , Due 2/22</w:t>
            </w: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6/11/2020</w:t>
            </w:r>
          </w:p>
        </w:tc>
        <w:tc>
          <w:tcPr>
            <w:tcW w:w="120" w:type="dxa"/>
            <w:vAlign w:val="bottom"/>
            <w:shd w:val="clear" w:color="auto" w:fill="CFF0FC"/>
          </w:tcPr>
          <w:p>
            <w:pPr>
              <w:spacing w:after="0"/>
              <w:rPr>
                <w:sz w:val="13"/>
                <w:szCs w:val="13"/>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3,083,490</w:t>
            </w:r>
          </w:p>
        </w:tc>
        <w:tc>
          <w:tcPr>
            <w:tcW w:w="220" w:type="dxa"/>
            <w:vAlign w:val="bottom"/>
            <w:shd w:val="clear" w:color="auto" w:fill="CFF0FC"/>
          </w:tcPr>
          <w:p>
            <w:pPr>
              <w:spacing w:after="0"/>
              <w:rPr>
                <w:sz w:val="13"/>
                <w:szCs w:val="13"/>
                <w:color w:val="auto"/>
              </w:rPr>
            </w:pPr>
          </w:p>
        </w:tc>
        <w:tc>
          <w:tcPr>
            <w:tcW w:w="11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3,086,814</w:t>
            </w:r>
          </w:p>
        </w:tc>
        <w:tc>
          <w:tcPr>
            <w:tcW w:w="220" w:type="dxa"/>
            <w:vAlign w:val="bottom"/>
            <w:shd w:val="clear" w:color="auto" w:fill="CFF0FC"/>
          </w:tcPr>
          <w:p>
            <w:pPr>
              <w:spacing w:after="0"/>
              <w:rPr>
                <w:sz w:val="13"/>
                <w:szCs w:val="13"/>
                <w:color w:val="auto"/>
              </w:rPr>
            </w:pP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2,988,519</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57"/>
        </w:trPr>
        <w:tc>
          <w:tcPr>
            <w:tcW w:w="2740" w:type="dxa"/>
            <w:vAlign w:val="bottom"/>
            <w:vMerge w:val="continue"/>
            <w:shd w:val="clear" w:color="auto" w:fill="CFF0FC"/>
          </w:tcPr>
          <w:p>
            <w:pPr>
              <w:spacing w:after="0"/>
              <w:rPr>
                <w:sz w:val="4"/>
                <w:szCs w:val="4"/>
                <w:color w:val="auto"/>
              </w:rPr>
            </w:pPr>
          </w:p>
        </w:tc>
        <w:tc>
          <w:tcPr>
            <w:tcW w:w="200" w:type="dxa"/>
            <w:vAlign w:val="bottom"/>
            <w:shd w:val="clear" w:color="auto" w:fill="CFF0FC"/>
          </w:tcPr>
          <w:p>
            <w:pPr>
              <w:spacing w:after="0"/>
              <w:rPr>
                <w:sz w:val="4"/>
                <w:szCs w:val="4"/>
                <w:color w:val="auto"/>
              </w:rPr>
            </w:pPr>
          </w:p>
        </w:tc>
        <w:tc>
          <w:tcPr>
            <w:tcW w:w="700" w:type="dxa"/>
            <w:vAlign w:val="bottom"/>
            <w:shd w:val="clear" w:color="auto" w:fill="CFF0FC"/>
          </w:tcPr>
          <w:p>
            <w:pPr>
              <w:spacing w:after="0"/>
              <w:rPr>
                <w:sz w:val="4"/>
                <w:szCs w:val="4"/>
                <w:color w:val="auto"/>
              </w:rPr>
            </w:pPr>
          </w:p>
        </w:tc>
        <w:tc>
          <w:tcPr>
            <w:tcW w:w="20" w:type="dxa"/>
            <w:vAlign w:val="bottom"/>
            <w:shd w:val="clear" w:color="auto" w:fill="CFF0FC"/>
          </w:tcPr>
          <w:p>
            <w:pPr>
              <w:spacing w:after="0"/>
              <w:rPr>
                <w:sz w:val="4"/>
                <w:szCs w:val="4"/>
                <w:color w:val="auto"/>
              </w:rPr>
            </w:pPr>
          </w:p>
        </w:tc>
        <w:tc>
          <w:tcPr>
            <w:tcW w:w="2840" w:type="dxa"/>
            <w:vAlign w:val="bottom"/>
            <w:shd w:val="clear" w:color="auto" w:fill="CFF0FC"/>
          </w:tcPr>
          <w:p>
            <w:pPr>
              <w:spacing w:after="0"/>
              <w:rPr>
                <w:sz w:val="4"/>
                <w:szCs w:val="4"/>
                <w:color w:val="auto"/>
              </w:rPr>
            </w:pPr>
          </w:p>
        </w:tc>
        <w:tc>
          <w:tcPr>
            <w:tcW w:w="120" w:type="dxa"/>
            <w:vAlign w:val="bottom"/>
            <w:shd w:val="clear" w:color="auto" w:fill="CFF0FC"/>
          </w:tcPr>
          <w:p>
            <w:pPr>
              <w:spacing w:after="0"/>
              <w:rPr>
                <w:sz w:val="4"/>
                <w:szCs w:val="4"/>
                <w:color w:val="auto"/>
              </w:rPr>
            </w:pPr>
          </w:p>
        </w:tc>
        <w:tc>
          <w:tcPr>
            <w:tcW w:w="1020" w:type="dxa"/>
            <w:vAlign w:val="bottom"/>
            <w:vMerge w:val="continue"/>
            <w:shd w:val="clear" w:color="auto" w:fill="CFF0FC"/>
          </w:tcPr>
          <w:p>
            <w:pPr>
              <w:spacing w:after="0"/>
              <w:rPr>
                <w:sz w:val="4"/>
                <w:szCs w:val="4"/>
                <w:color w:val="auto"/>
              </w:rPr>
            </w:pPr>
          </w:p>
        </w:tc>
        <w:tc>
          <w:tcPr>
            <w:tcW w:w="120" w:type="dxa"/>
            <w:vAlign w:val="bottom"/>
            <w:shd w:val="clear" w:color="auto" w:fill="CFF0FC"/>
          </w:tcPr>
          <w:p>
            <w:pPr>
              <w:spacing w:after="0"/>
              <w:rPr>
                <w:sz w:val="4"/>
                <w:szCs w:val="4"/>
                <w:color w:val="auto"/>
              </w:rPr>
            </w:pPr>
          </w:p>
        </w:tc>
        <w:tc>
          <w:tcPr>
            <w:tcW w:w="880" w:type="dxa"/>
            <w:vAlign w:val="bottom"/>
            <w:vMerge w:val="continue"/>
            <w:shd w:val="clear" w:color="auto" w:fill="CFF0FC"/>
          </w:tcPr>
          <w:p>
            <w:pPr>
              <w:spacing w:after="0"/>
              <w:rPr>
                <w:sz w:val="4"/>
                <w:szCs w:val="4"/>
                <w:color w:val="auto"/>
              </w:rPr>
            </w:pPr>
          </w:p>
        </w:tc>
        <w:tc>
          <w:tcPr>
            <w:tcW w:w="220" w:type="dxa"/>
            <w:vAlign w:val="bottom"/>
            <w:shd w:val="clear" w:color="auto" w:fill="CFF0FC"/>
          </w:tcPr>
          <w:p>
            <w:pPr>
              <w:spacing w:after="0"/>
              <w:rPr>
                <w:sz w:val="4"/>
                <w:szCs w:val="4"/>
                <w:color w:val="auto"/>
              </w:rPr>
            </w:pPr>
          </w:p>
        </w:tc>
        <w:tc>
          <w:tcPr>
            <w:tcW w:w="1140" w:type="dxa"/>
            <w:vAlign w:val="bottom"/>
            <w:vMerge w:val="continue"/>
            <w:shd w:val="clear" w:color="auto" w:fill="CFF0FC"/>
          </w:tcPr>
          <w:p>
            <w:pPr>
              <w:spacing w:after="0"/>
              <w:rPr>
                <w:sz w:val="4"/>
                <w:szCs w:val="4"/>
                <w:color w:val="auto"/>
              </w:rPr>
            </w:pPr>
          </w:p>
        </w:tc>
        <w:tc>
          <w:tcPr>
            <w:tcW w:w="220" w:type="dxa"/>
            <w:vAlign w:val="bottom"/>
            <w:shd w:val="clear" w:color="auto" w:fill="CFF0FC"/>
          </w:tcPr>
          <w:p>
            <w:pPr>
              <w:spacing w:after="0"/>
              <w:rPr>
                <w:sz w:val="4"/>
                <w:szCs w:val="4"/>
                <w:color w:val="auto"/>
              </w:rPr>
            </w:pPr>
          </w:p>
        </w:tc>
        <w:tc>
          <w:tcPr>
            <w:tcW w:w="900" w:type="dxa"/>
            <w:vAlign w:val="bottom"/>
            <w:vMerge w:val="continue"/>
            <w:shd w:val="clear" w:color="auto" w:fill="CFF0FC"/>
          </w:tcPr>
          <w:p>
            <w:pPr>
              <w:spacing w:after="0"/>
              <w:rPr>
                <w:sz w:val="4"/>
                <w:szCs w:val="4"/>
                <w:color w:val="auto"/>
              </w:rPr>
            </w:pPr>
          </w:p>
        </w:tc>
        <w:tc>
          <w:tcPr>
            <w:tcW w:w="120" w:type="dxa"/>
            <w:vAlign w:val="bottom"/>
            <w:shd w:val="clear" w:color="auto" w:fill="CFF0FC"/>
          </w:tcPr>
          <w:p>
            <w:pPr>
              <w:spacing w:after="0"/>
              <w:rPr>
                <w:sz w:val="4"/>
                <w:szCs w:val="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20" w:right="339" w:bottom="1440" w:gutter="0" w:footer="0" w:header="0"/>
        </w:sectPr>
      </w:pPr>
    </w:p>
    <w:bookmarkStart w:id="26" w:name="page27"/>
    <w:bookmarkEnd w:id="26"/>
    <w:p>
      <w:pPr>
        <w:spacing w:after="0" w:line="14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Portfolio Company /</w:t>
      </w:r>
    </w:p>
    <w:p>
      <w:pPr>
        <w:spacing w:after="0" w:line="223" w:lineRule="auto"/>
        <w:rPr>
          <w:sz w:val="20"/>
          <w:szCs w:val="20"/>
          <w:color w:val="auto"/>
        </w:rPr>
      </w:pPr>
      <w:r>
        <w:rPr>
          <w:rFonts w:ascii="Arial" w:cs="Arial" w:eastAsia="Arial" w:hAnsi="Arial"/>
          <w:sz w:val="13"/>
          <w:szCs w:val="13"/>
          <w:b w:val="1"/>
          <w:bCs w:val="1"/>
          <w:color w:val="auto"/>
        </w:rPr>
        <w:t>Principal Business</w:t>
      </w:r>
    </w:p>
    <w:tbl>
      <w:tblPr>
        <w:tblLayout w:type="fixed"/>
        <w:tblInd w:w="0" w:type="dxa"/>
        <w:tblCellMar>
          <w:top w:w="0" w:type="dxa"/>
          <w:left w:w="0" w:type="dxa"/>
          <w:bottom w:w="0" w:type="dxa"/>
          <w:right w:w="0" w:type="dxa"/>
        </w:tblCellMar>
      </w:tblPr>
      <w:tr>
        <w:trPr>
          <w:trHeight w:val="160"/>
        </w:trPr>
        <w:tc>
          <w:tcPr>
            <w:tcW w:w="294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Datalink, LLC</w:t>
            </w:r>
          </w:p>
        </w:tc>
        <w:tc>
          <w:tcPr>
            <w:tcW w:w="480" w:type="dxa"/>
            <w:vAlign w:val="bottom"/>
          </w:tcPr>
          <w:p>
            <w:pPr>
              <w:spacing w:after="0"/>
              <w:rPr>
                <w:sz w:val="20"/>
                <w:szCs w:val="20"/>
                <w:color w:val="auto"/>
              </w:rPr>
            </w:pPr>
            <w:r>
              <w:rPr>
                <w:rFonts w:ascii="Arial" w:cs="Arial" w:eastAsia="Arial" w:hAnsi="Arial"/>
                <w:sz w:val="11"/>
                <w:szCs w:val="11"/>
                <w:color w:val="auto"/>
                <w:w w:val="87"/>
              </w:rPr>
              <w:t>(8)(13)(14)</w:t>
            </w:r>
          </w:p>
        </w:tc>
      </w:tr>
      <w:tr>
        <w:trPr>
          <w:trHeight w:val="263"/>
        </w:trPr>
        <w:tc>
          <w:tcPr>
            <w:tcW w:w="2940" w:type="dxa"/>
            <w:vAlign w:val="bottom"/>
          </w:tcPr>
          <w:p>
            <w:pPr>
              <w:ind w:left="200"/>
              <w:spacing w:after="0"/>
              <w:rPr>
                <w:sz w:val="20"/>
                <w:szCs w:val="20"/>
                <w:color w:val="auto"/>
              </w:rPr>
            </w:pPr>
            <w:r>
              <w:rPr>
                <w:rFonts w:ascii="Arial" w:cs="Arial" w:eastAsia="Arial" w:hAnsi="Arial"/>
                <w:sz w:val="13"/>
                <w:szCs w:val="13"/>
                <w:color w:val="auto"/>
              </w:rPr>
              <w:t>Healthcare &amp; Pharmaceuticals</w:t>
            </w:r>
          </w:p>
        </w:tc>
        <w:tc>
          <w:tcPr>
            <w:tcW w:w="480" w:type="dxa"/>
            <w:vAlign w:val="bottom"/>
          </w:tcPr>
          <w:p>
            <w:pPr>
              <w:spacing w:after="0"/>
              <w:rPr>
                <w:sz w:val="22"/>
                <w:szCs w:val="22"/>
                <w:color w:val="auto"/>
              </w:rPr>
            </w:pPr>
          </w:p>
        </w:tc>
      </w:tr>
      <w:tr>
        <w:trPr>
          <w:trHeight w:val="272"/>
        </w:trPr>
        <w:tc>
          <w:tcPr>
            <w:tcW w:w="2940" w:type="dxa"/>
            <w:vAlign w:val="bottom"/>
          </w:tcPr>
          <w:p>
            <w:pPr>
              <w:spacing w:after="0"/>
              <w:rPr>
                <w:sz w:val="20"/>
                <w:szCs w:val="20"/>
                <w:color w:val="auto"/>
              </w:rPr>
            </w:pPr>
            <w:r>
              <w:rPr>
                <w:rFonts w:ascii="Arial" w:cs="Arial" w:eastAsia="Arial" w:hAnsi="Arial"/>
                <w:sz w:val="13"/>
                <w:szCs w:val="13"/>
                <w:color w:val="auto"/>
              </w:rPr>
              <w:t>Datalink, LLC</w:t>
            </w:r>
          </w:p>
        </w:tc>
        <w:tc>
          <w:tcPr>
            <w:tcW w:w="480" w:type="dxa"/>
            <w:vAlign w:val="bottom"/>
          </w:tcPr>
          <w:p>
            <w:pPr>
              <w:spacing w:after="0"/>
              <w:rPr>
                <w:sz w:val="20"/>
                <w:szCs w:val="20"/>
                <w:color w:val="auto"/>
              </w:rPr>
            </w:pPr>
            <w:r>
              <w:rPr>
                <w:rFonts w:ascii="Arial" w:cs="Arial" w:eastAsia="Arial" w:hAnsi="Arial"/>
                <w:sz w:val="11"/>
                <w:szCs w:val="11"/>
                <w:color w:val="auto"/>
              </w:rPr>
              <w:t>(8)(13)</w:t>
            </w:r>
          </w:p>
        </w:tc>
      </w:tr>
      <w:tr>
        <w:trPr>
          <w:trHeight w:val="160"/>
        </w:trPr>
        <w:tc>
          <w:tcPr>
            <w:tcW w:w="2940" w:type="dxa"/>
            <w:vAlign w:val="bottom"/>
          </w:tcPr>
          <w:p>
            <w:pPr>
              <w:ind w:left="160"/>
              <w:spacing w:after="0"/>
              <w:rPr>
                <w:sz w:val="20"/>
                <w:szCs w:val="20"/>
                <w:color w:val="auto"/>
              </w:rPr>
            </w:pPr>
            <w:r>
              <w:rPr>
                <w:rFonts w:ascii="Arial" w:cs="Arial" w:eastAsia="Arial" w:hAnsi="Arial"/>
                <w:sz w:val="13"/>
                <w:szCs w:val="13"/>
                <w:color w:val="auto"/>
              </w:rPr>
              <w:t>Healthcare &amp; Pharmaceuticals</w:t>
            </w:r>
          </w:p>
        </w:tc>
        <w:tc>
          <w:tcPr>
            <w:tcW w:w="480" w:type="dxa"/>
            <w:vAlign w:val="bottom"/>
          </w:tcPr>
          <w:p>
            <w:pPr>
              <w:spacing w:after="0"/>
              <w:rPr>
                <w:sz w:val="13"/>
                <w:szCs w:val="13"/>
                <w:color w:val="auto"/>
              </w:rPr>
            </w:pPr>
          </w:p>
        </w:tc>
      </w:tr>
      <w:tr>
        <w:trPr>
          <w:trHeight w:val="407"/>
        </w:trPr>
        <w:tc>
          <w:tcPr>
            <w:tcW w:w="2940" w:type="dxa"/>
            <w:vAlign w:val="bottom"/>
          </w:tcPr>
          <w:p>
            <w:pPr>
              <w:spacing w:after="0"/>
              <w:rPr>
                <w:sz w:val="20"/>
                <w:szCs w:val="20"/>
                <w:color w:val="auto"/>
              </w:rPr>
            </w:pPr>
            <w:r>
              <w:rPr>
                <w:rFonts w:ascii="Arial" w:cs="Arial" w:eastAsia="Arial" w:hAnsi="Arial"/>
                <w:sz w:val="13"/>
                <w:szCs w:val="13"/>
                <w:color w:val="auto"/>
              </w:rPr>
              <w:t>Deliver Buyer, Inc.</w:t>
            </w:r>
          </w:p>
        </w:tc>
        <w:tc>
          <w:tcPr>
            <w:tcW w:w="480" w:type="dxa"/>
            <w:vAlign w:val="bottom"/>
          </w:tcPr>
          <w:p>
            <w:pPr>
              <w:spacing w:after="0"/>
              <w:rPr>
                <w:sz w:val="20"/>
                <w:szCs w:val="20"/>
                <w:color w:val="auto"/>
              </w:rPr>
            </w:pPr>
            <w:r>
              <w:rPr>
                <w:rFonts w:ascii="Arial" w:cs="Arial" w:eastAsia="Arial" w:hAnsi="Arial"/>
                <w:sz w:val="11"/>
                <w:szCs w:val="11"/>
                <w:color w:val="auto"/>
                <w:w w:val="87"/>
              </w:rPr>
              <w:t>(8)(13)(14)</w:t>
            </w:r>
          </w:p>
        </w:tc>
      </w:tr>
      <w:tr>
        <w:trPr>
          <w:trHeight w:val="160"/>
        </w:trPr>
        <w:tc>
          <w:tcPr>
            <w:tcW w:w="2940" w:type="dxa"/>
            <w:vAlign w:val="bottom"/>
          </w:tcPr>
          <w:p>
            <w:pPr>
              <w:ind w:left="160"/>
              <w:spacing w:after="0"/>
              <w:rPr>
                <w:sz w:val="20"/>
                <w:szCs w:val="20"/>
                <w:color w:val="auto"/>
              </w:rPr>
            </w:pPr>
            <w:r>
              <w:rPr>
                <w:rFonts w:ascii="Arial" w:cs="Arial" w:eastAsia="Arial" w:hAnsi="Arial"/>
                <w:sz w:val="13"/>
                <w:szCs w:val="13"/>
                <w:color w:val="auto"/>
              </w:rPr>
              <w:t>Capital Equipment</w:t>
            </w:r>
          </w:p>
        </w:tc>
        <w:tc>
          <w:tcPr>
            <w:tcW w:w="480" w:type="dxa"/>
            <w:vAlign w:val="bottom"/>
          </w:tcPr>
          <w:p>
            <w:pPr>
              <w:spacing w:after="0"/>
              <w:rPr>
                <w:sz w:val="13"/>
                <w:szCs w:val="13"/>
                <w:color w:val="auto"/>
              </w:rPr>
            </w:pPr>
          </w:p>
        </w:tc>
      </w:tr>
      <w:tr>
        <w:trPr>
          <w:trHeight w:val="542"/>
        </w:trPr>
        <w:tc>
          <w:tcPr>
            <w:tcW w:w="2940" w:type="dxa"/>
            <w:vAlign w:val="bottom"/>
          </w:tcPr>
          <w:p>
            <w:pPr>
              <w:spacing w:after="0"/>
              <w:rPr>
                <w:sz w:val="20"/>
                <w:szCs w:val="20"/>
                <w:color w:val="auto"/>
              </w:rPr>
            </w:pPr>
            <w:r>
              <w:rPr>
                <w:rFonts w:ascii="Arial" w:cs="Arial" w:eastAsia="Arial" w:hAnsi="Arial"/>
                <w:sz w:val="13"/>
                <w:szCs w:val="13"/>
                <w:color w:val="auto"/>
                <w:w w:val="94"/>
              </w:rPr>
              <w:t>Digitran Innovations B.V. (Pomeroy Solutions Holding</w:t>
            </w:r>
          </w:p>
        </w:tc>
        <w:tc>
          <w:tcPr>
            <w:tcW w:w="480" w:type="dxa"/>
            <w:vAlign w:val="bottom"/>
          </w:tcPr>
          <w:p>
            <w:pPr>
              <w:spacing w:after="0"/>
              <w:rPr>
                <w:sz w:val="20"/>
                <w:szCs w:val="20"/>
                <w:color w:val="auto"/>
              </w:rPr>
            </w:pPr>
            <w:r>
              <w:rPr>
                <w:rFonts w:ascii="Arial" w:cs="Arial" w:eastAsia="Arial" w:hAnsi="Arial"/>
                <w:sz w:val="11"/>
                <w:szCs w:val="11"/>
                <w:color w:val="auto"/>
                <w:w w:val="98"/>
              </w:rPr>
              <w:t>(5)(8)(13)</w:t>
            </w:r>
          </w:p>
        </w:tc>
      </w:tr>
      <w:tr>
        <w:trPr>
          <w:trHeight w:val="160"/>
        </w:trPr>
        <w:tc>
          <w:tcPr>
            <w:tcW w:w="2940" w:type="dxa"/>
            <w:vAlign w:val="bottom"/>
          </w:tcPr>
          <w:p>
            <w:pPr>
              <w:spacing w:after="0"/>
              <w:rPr>
                <w:sz w:val="20"/>
                <w:szCs w:val="20"/>
                <w:color w:val="auto"/>
              </w:rPr>
            </w:pPr>
            <w:r>
              <w:rPr>
                <w:rFonts w:ascii="Arial" w:cs="Arial" w:eastAsia="Arial" w:hAnsi="Arial"/>
                <w:sz w:val="13"/>
                <w:szCs w:val="13"/>
                <w:color w:val="auto"/>
              </w:rPr>
              <w:t>Company, Inc.)</w:t>
            </w:r>
          </w:p>
        </w:tc>
        <w:tc>
          <w:tcPr>
            <w:tcW w:w="480" w:type="dxa"/>
            <w:vAlign w:val="bottom"/>
          </w:tcPr>
          <w:p>
            <w:pPr>
              <w:spacing w:after="0"/>
              <w:rPr>
                <w:sz w:val="13"/>
                <w:szCs w:val="13"/>
                <w:color w:val="auto"/>
              </w:rPr>
            </w:pPr>
          </w:p>
        </w:tc>
      </w:tr>
      <w:tr>
        <w:trPr>
          <w:trHeight w:val="270"/>
        </w:trPr>
        <w:tc>
          <w:tcPr>
            <w:tcW w:w="2940" w:type="dxa"/>
            <w:vAlign w:val="bottom"/>
          </w:tcPr>
          <w:p>
            <w:pPr>
              <w:ind w:left="200"/>
              <w:spacing w:after="0"/>
              <w:rPr>
                <w:sz w:val="20"/>
                <w:szCs w:val="20"/>
                <w:color w:val="auto"/>
              </w:rPr>
            </w:pPr>
            <w:r>
              <w:rPr>
                <w:rFonts w:ascii="Arial" w:cs="Arial" w:eastAsia="Arial" w:hAnsi="Arial"/>
                <w:sz w:val="13"/>
                <w:szCs w:val="13"/>
                <w:color w:val="auto"/>
              </w:rPr>
              <w:t>High Tech Industries</w:t>
            </w:r>
          </w:p>
        </w:tc>
        <w:tc>
          <w:tcPr>
            <w:tcW w:w="480" w:type="dxa"/>
            <w:vAlign w:val="bottom"/>
          </w:tcPr>
          <w:p>
            <w:pPr>
              <w:spacing w:after="0"/>
              <w:rPr>
                <w:sz w:val="23"/>
                <w:szCs w:val="23"/>
                <w:color w:val="auto"/>
              </w:rPr>
            </w:pPr>
          </w:p>
        </w:tc>
      </w:tr>
      <w:tr>
        <w:trPr>
          <w:trHeight w:val="272"/>
        </w:trPr>
        <w:tc>
          <w:tcPr>
            <w:tcW w:w="2940" w:type="dxa"/>
            <w:vAlign w:val="bottom"/>
          </w:tcPr>
          <w:p>
            <w:pPr>
              <w:spacing w:after="0"/>
              <w:rPr>
                <w:sz w:val="20"/>
                <w:szCs w:val="20"/>
                <w:color w:val="auto"/>
              </w:rPr>
            </w:pPr>
            <w:r>
              <w:rPr>
                <w:rFonts w:ascii="Arial" w:cs="Arial" w:eastAsia="Arial" w:hAnsi="Arial"/>
                <w:sz w:val="13"/>
                <w:szCs w:val="13"/>
                <w:color w:val="auto"/>
                <w:w w:val="94"/>
              </w:rPr>
              <w:t>Digitran Innovations B.V. (Pomeroy Solutions Holding</w:t>
            </w:r>
          </w:p>
        </w:tc>
        <w:tc>
          <w:tcPr>
            <w:tcW w:w="480" w:type="dxa"/>
            <w:vAlign w:val="bottom"/>
          </w:tcPr>
          <w:p>
            <w:pPr>
              <w:spacing w:after="0"/>
              <w:rPr>
                <w:sz w:val="20"/>
                <w:szCs w:val="20"/>
                <w:color w:val="auto"/>
              </w:rPr>
            </w:pPr>
            <w:r>
              <w:rPr>
                <w:rFonts w:ascii="Arial" w:cs="Arial" w:eastAsia="Arial" w:hAnsi="Arial"/>
                <w:sz w:val="11"/>
                <w:szCs w:val="11"/>
                <w:color w:val="auto"/>
              </w:rPr>
              <w:t>(8)(13)</w:t>
            </w:r>
          </w:p>
        </w:tc>
      </w:tr>
      <w:tr>
        <w:trPr>
          <w:trHeight w:val="160"/>
        </w:trPr>
        <w:tc>
          <w:tcPr>
            <w:tcW w:w="2940" w:type="dxa"/>
            <w:vAlign w:val="bottom"/>
          </w:tcPr>
          <w:p>
            <w:pPr>
              <w:spacing w:after="0"/>
              <w:rPr>
                <w:sz w:val="20"/>
                <w:szCs w:val="20"/>
                <w:color w:val="auto"/>
              </w:rPr>
            </w:pPr>
            <w:r>
              <w:rPr>
                <w:rFonts w:ascii="Arial" w:cs="Arial" w:eastAsia="Arial" w:hAnsi="Arial"/>
                <w:sz w:val="13"/>
                <w:szCs w:val="13"/>
                <w:color w:val="auto"/>
              </w:rPr>
              <w:t>Company, Inc.)</w:t>
            </w:r>
          </w:p>
        </w:tc>
        <w:tc>
          <w:tcPr>
            <w:tcW w:w="480" w:type="dxa"/>
            <w:vAlign w:val="bottom"/>
          </w:tcPr>
          <w:p>
            <w:pPr>
              <w:spacing w:after="0"/>
              <w:rPr>
                <w:sz w:val="13"/>
                <w:szCs w:val="13"/>
                <w:color w:val="auto"/>
              </w:rPr>
            </w:pPr>
          </w:p>
        </w:tc>
      </w:tr>
      <w:tr>
        <w:trPr>
          <w:trHeight w:val="270"/>
        </w:trPr>
        <w:tc>
          <w:tcPr>
            <w:tcW w:w="2940" w:type="dxa"/>
            <w:vAlign w:val="bottom"/>
          </w:tcPr>
          <w:p>
            <w:pPr>
              <w:ind w:left="200"/>
              <w:spacing w:after="0"/>
              <w:rPr>
                <w:sz w:val="20"/>
                <w:szCs w:val="20"/>
                <w:color w:val="auto"/>
              </w:rPr>
            </w:pPr>
            <w:r>
              <w:rPr>
                <w:rFonts w:ascii="Arial" w:cs="Arial" w:eastAsia="Arial" w:hAnsi="Arial"/>
                <w:sz w:val="13"/>
                <w:szCs w:val="13"/>
                <w:color w:val="auto"/>
              </w:rPr>
              <w:t>High Tech Industries</w:t>
            </w:r>
          </w:p>
        </w:tc>
        <w:tc>
          <w:tcPr>
            <w:tcW w:w="480" w:type="dxa"/>
            <w:vAlign w:val="bottom"/>
          </w:tcPr>
          <w:p>
            <w:pPr>
              <w:spacing w:after="0"/>
              <w:rPr>
                <w:sz w:val="23"/>
                <w:szCs w:val="23"/>
                <w:color w:val="auto"/>
              </w:rPr>
            </w:pPr>
          </w:p>
        </w:tc>
      </w:tr>
      <w:tr>
        <w:trPr>
          <w:trHeight w:val="272"/>
        </w:trPr>
        <w:tc>
          <w:tcPr>
            <w:tcW w:w="2940" w:type="dxa"/>
            <w:vAlign w:val="bottom"/>
          </w:tcPr>
          <w:p>
            <w:pPr>
              <w:spacing w:after="0"/>
              <w:rPr>
                <w:sz w:val="20"/>
                <w:szCs w:val="20"/>
                <w:color w:val="auto"/>
              </w:rPr>
            </w:pPr>
            <w:r>
              <w:rPr>
                <w:rFonts w:ascii="Arial" w:cs="Arial" w:eastAsia="Arial" w:hAnsi="Arial"/>
                <w:sz w:val="13"/>
                <w:szCs w:val="13"/>
                <w:color w:val="auto"/>
                <w:w w:val="94"/>
              </w:rPr>
              <w:t>Digitran Innovations B.V. (Pomeroy Solutions Holding</w:t>
            </w:r>
          </w:p>
        </w:tc>
        <w:tc>
          <w:tcPr>
            <w:tcW w:w="480" w:type="dxa"/>
            <w:vAlign w:val="bottom"/>
          </w:tcPr>
          <w:p>
            <w:pPr>
              <w:spacing w:after="0"/>
              <w:rPr>
                <w:sz w:val="20"/>
                <w:szCs w:val="20"/>
                <w:color w:val="auto"/>
              </w:rPr>
            </w:pPr>
            <w:r>
              <w:rPr>
                <w:rFonts w:ascii="Arial" w:cs="Arial" w:eastAsia="Arial" w:hAnsi="Arial"/>
                <w:sz w:val="11"/>
                <w:szCs w:val="11"/>
                <w:color w:val="auto"/>
              </w:rPr>
              <w:t>(3)(13)</w:t>
            </w:r>
          </w:p>
        </w:tc>
      </w:tr>
      <w:tr>
        <w:trPr>
          <w:trHeight w:val="160"/>
        </w:trPr>
        <w:tc>
          <w:tcPr>
            <w:tcW w:w="2940" w:type="dxa"/>
            <w:vAlign w:val="bottom"/>
          </w:tcPr>
          <w:p>
            <w:pPr>
              <w:spacing w:after="0"/>
              <w:rPr>
                <w:sz w:val="20"/>
                <w:szCs w:val="20"/>
                <w:color w:val="auto"/>
              </w:rPr>
            </w:pPr>
            <w:r>
              <w:rPr>
                <w:rFonts w:ascii="Arial" w:cs="Arial" w:eastAsia="Arial" w:hAnsi="Arial"/>
                <w:sz w:val="13"/>
                <w:szCs w:val="13"/>
                <w:color w:val="auto"/>
              </w:rPr>
              <w:t>Company, Inc.)</w:t>
            </w:r>
          </w:p>
        </w:tc>
        <w:tc>
          <w:tcPr>
            <w:tcW w:w="480" w:type="dxa"/>
            <w:vAlign w:val="bottom"/>
          </w:tcPr>
          <w:p>
            <w:pPr>
              <w:spacing w:after="0"/>
              <w:rPr>
                <w:sz w:val="13"/>
                <w:szCs w:val="13"/>
                <w:color w:val="auto"/>
              </w:rPr>
            </w:pPr>
          </w:p>
        </w:tc>
      </w:tr>
      <w:tr>
        <w:trPr>
          <w:trHeight w:val="270"/>
        </w:trPr>
        <w:tc>
          <w:tcPr>
            <w:tcW w:w="2940" w:type="dxa"/>
            <w:vAlign w:val="bottom"/>
          </w:tcPr>
          <w:p>
            <w:pPr>
              <w:ind w:left="200"/>
              <w:spacing w:after="0"/>
              <w:rPr>
                <w:sz w:val="20"/>
                <w:szCs w:val="20"/>
                <w:color w:val="auto"/>
              </w:rPr>
            </w:pPr>
            <w:r>
              <w:rPr>
                <w:rFonts w:ascii="Arial" w:cs="Arial" w:eastAsia="Arial" w:hAnsi="Arial"/>
                <w:sz w:val="13"/>
                <w:szCs w:val="13"/>
                <w:color w:val="auto"/>
              </w:rPr>
              <w:t>High Tech Industries</w:t>
            </w:r>
          </w:p>
        </w:tc>
        <w:tc>
          <w:tcPr>
            <w:tcW w:w="480" w:type="dxa"/>
            <w:vAlign w:val="bottom"/>
          </w:tcPr>
          <w:p>
            <w:pPr>
              <w:spacing w:after="0"/>
              <w:rPr>
                <w:sz w:val="23"/>
                <w:szCs w:val="23"/>
                <w:color w:val="auto"/>
              </w:rPr>
            </w:pPr>
          </w:p>
        </w:tc>
      </w:tr>
      <w:tr>
        <w:trPr>
          <w:trHeight w:val="272"/>
        </w:trPr>
        <w:tc>
          <w:tcPr>
            <w:tcW w:w="2940" w:type="dxa"/>
            <w:vAlign w:val="bottom"/>
          </w:tcPr>
          <w:p>
            <w:pPr>
              <w:spacing w:after="0"/>
              <w:rPr>
                <w:sz w:val="20"/>
                <w:szCs w:val="20"/>
                <w:color w:val="auto"/>
              </w:rPr>
            </w:pPr>
            <w:r>
              <w:rPr>
                <w:rFonts w:ascii="Arial" w:cs="Arial" w:eastAsia="Arial" w:hAnsi="Arial"/>
                <w:sz w:val="13"/>
                <w:szCs w:val="13"/>
                <w:color w:val="auto"/>
                <w:w w:val="94"/>
              </w:rPr>
              <w:t>Digitran Innovations B.V. (Pomeroy Solutions Holding</w:t>
            </w:r>
          </w:p>
        </w:tc>
        <w:tc>
          <w:tcPr>
            <w:tcW w:w="480" w:type="dxa"/>
            <w:vAlign w:val="bottom"/>
          </w:tcPr>
          <w:p>
            <w:pPr>
              <w:spacing w:after="0"/>
              <w:rPr>
                <w:sz w:val="20"/>
                <w:szCs w:val="20"/>
                <w:color w:val="auto"/>
              </w:rPr>
            </w:pPr>
            <w:r>
              <w:rPr>
                <w:rFonts w:ascii="Arial" w:cs="Arial" w:eastAsia="Arial" w:hAnsi="Arial"/>
                <w:sz w:val="11"/>
                <w:szCs w:val="11"/>
                <w:color w:val="auto"/>
              </w:rPr>
              <w:t>(8)(13)</w:t>
            </w:r>
          </w:p>
        </w:tc>
      </w:tr>
      <w:tr>
        <w:trPr>
          <w:trHeight w:val="160"/>
        </w:trPr>
        <w:tc>
          <w:tcPr>
            <w:tcW w:w="2940" w:type="dxa"/>
            <w:vAlign w:val="bottom"/>
          </w:tcPr>
          <w:p>
            <w:pPr>
              <w:spacing w:after="0"/>
              <w:rPr>
                <w:sz w:val="20"/>
                <w:szCs w:val="20"/>
                <w:color w:val="auto"/>
              </w:rPr>
            </w:pPr>
            <w:r>
              <w:rPr>
                <w:rFonts w:ascii="Arial" w:cs="Arial" w:eastAsia="Arial" w:hAnsi="Arial"/>
                <w:sz w:val="13"/>
                <w:szCs w:val="13"/>
                <w:color w:val="auto"/>
              </w:rPr>
              <w:t>Company, Inc.)</w:t>
            </w:r>
          </w:p>
        </w:tc>
        <w:tc>
          <w:tcPr>
            <w:tcW w:w="480" w:type="dxa"/>
            <w:vAlign w:val="bottom"/>
          </w:tcPr>
          <w:p>
            <w:pPr>
              <w:spacing w:after="0"/>
              <w:rPr>
                <w:sz w:val="13"/>
                <w:szCs w:val="13"/>
                <w:color w:val="auto"/>
              </w:rPr>
            </w:pPr>
          </w:p>
        </w:tc>
      </w:tr>
      <w:tr>
        <w:trPr>
          <w:trHeight w:val="270"/>
        </w:trPr>
        <w:tc>
          <w:tcPr>
            <w:tcW w:w="2940" w:type="dxa"/>
            <w:vAlign w:val="bottom"/>
          </w:tcPr>
          <w:p>
            <w:pPr>
              <w:ind w:left="200"/>
              <w:spacing w:after="0"/>
              <w:rPr>
                <w:sz w:val="20"/>
                <w:szCs w:val="20"/>
                <w:color w:val="auto"/>
              </w:rPr>
            </w:pPr>
            <w:r>
              <w:rPr>
                <w:rFonts w:ascii="Arial" w:cs="Arial" w:eastAsia="Arial" w:hAnsi="Arial"/>
                <w:sz w:val="13"/>
                <w:szCs w:val="13"/>
                <w:color w:val="auto"/>
              </w:rPr>
              <w:t>High Tech Industries</w:t>
            </w:r>
          </w:p>
        </w:tc>
        <w:tc>
          <w:tcPr>
            <w:tcW w:w="480" w:type="dxa"/>
            <w:vAlign w:val="bottom"/>
          </w:tcPr>
          <w:p>
            <w:pPr>
              <w:spacing w:after="0"/>
              <w:rPr>
                <w:sz w:val="23"/>
                <w:szCs w:val="23"/>
                <w:color w:val="auto"/>
              </w:rPr>
            </w:pPr>
          </w:p>
        </w:tc>
      </w:tr>
      <w:tr>
        <w:trPr>
          <w:trHeight w:val="297"/>
        </w:trPr>
        <w:tc>
          <w:tcPr>
            <w:tcW w:w="2940" w:type="dxa"/>
            <w:vAlign w:val="bottom"/>
          </w:tcPr>
          <w:p>
            <w:pPr>
              <w:spacing w:after="0"/>
              <w:rPr>
                <w:sz w:val="20"/>
                <w:szCs w:val="20"/>
                <w:color w:val="auto"/>
              </w:rPr>
            </w:pPr>
            <w:r>
              <w:rPr>
                <w:rFonts w:ascii="Arial" w:cs="Arial" w:eastAsia="Arial" w:hAnsi="Arial"/>
                <w:sz w:val="13"/>
                <w:szCs w:val="13"/>
                <w:color w:val="auto"/>
              </w:rPr>
              <w:t>DMT Solutions Global Corporation</w:t>
            </w:r>
          </w:p>
        </w:tc>
        <w:tc>
          <w:tcPr>
            <w:tcW w:w="480" w:type="dxa"/>
            <w:vAlign w:val="bottom"/>
          </w:tcPr>
          <w:p>
            <w:pPr>
              <w:spacing w:after="0"/>
              <w:rPr>
                <w:sz w:val="20"/>
                <w:szCs w:val="20"/>
                <w:color w:val="auto"/>
              </w:rPr>
            </w:pPr>
            <w:r>
              <w:rPr>
                <w:rFonts w:ascii="Arial" w:cs="Arial" w:eastAsia="Arial" w:hAnsi="Arial"/>
                <w:sz w:val="11"/>
                <w:szCs w:val="11"/>
                <w:color w:val="auto"/>
                <w:w w:val="87"/>
              </w:rPr>
              <w:t>(8)(13)(14)</w:t>
            </w:r>
          </w:p>
        </w:tc>
      </w:tr>
      <w:tr>
        <w:trPr>
          <w:trHeight w:val="270"/>
        </w:trPr>
        <w:tc>
          <w:tcPr>
            <w:tcW w:w="2940" w:type="dxa"/>
            <w:vAlign w:val="bottom"/>
          </w:tcPr>
          <w:p>
            <w:pPr>
              <w:ind w:left="200"/>
              <w:spacing w:after="0"/>
              <w:rPr>
                <w:sz w:val="20"/>
                <w:szCs w:val="20"/>
                <w:color w:val="auto"/>
              </w:rPr>
            </w:pPr>
            <w:r>
              <w:rPr>
                <w:rFonts w:ascii="Arial" w:cs="Arial" w:eastAsia="Arial" w:hAnsi="Arial"/>
                <w:sz w:val="13"/>
                <w:szCs w:val="13"/>
                <w:color w:val="auto"/>
              </w:rPr>
              <w:t>Electronics</w:t>
            </w:r>
          </w:p>
        </w:tc>
        <w:tc>
          <w:tcPr>
            <w:tcW w:w="48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Initial</w:t>
            </w: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4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7"/>
              </w:rPr>
              <w:t>Investment</w:t>
            </w:r>
          </w:p>
        </w:tc>
        <w:tc>
          <w:tcPr>
            <w:tcW w:w="11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gridSpan w:val="2"/>
          </w:tcPr>
          <w:p>
            <w:pPr>
              <w:jc w:val="right"/>
              <w:ind w:right="500"/>
              <w:spacing w:after="0" w:line="135" w:lineRule="exact"/>
              <w:rPr>
                <w:sz w:val="20"/>
                <w:szCs w:val="20"/>
                <w:color w:val="auto"/>
              </w:rPr>
            </w:pPr>
            <w:r>
              <w:rPr>
                <w:rFonts w:ascii="Arial" w:cs="Arial" w:eastAsia="Arial" w:hAnsi="Arial"/>
                <w:sz w:val="13"/>
                <w:szCs w:val="13"/>
                <w:b w:val="1"/>
                <w:bCs w:val="1"/>
                <w:color w:val="auto"/>
              </w:rPr>
              <w:t>Amortized</w:t>
            </w: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9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Interest Rate¹ / Maturity</w:t>
            </w:r>
            <w:r>
              <w:rPr>
                <w:rFonts w:ascii="Arial" w:cs="Arial" w:eastAsia="Arial" w:hAnsi="Arial"/>
                <w:sz w:val="10"/>
                <w:szCs w:val="10"/>
                <w:b w:val="1"/>
                <w:bCs w:val="1"/>
                <w:color w:val="auto"/>
                <w:w w:val="92"/>
              </w:rPr>
              <w:t>15</w:t>
            </w:r>
          </w:p>
        </w:tc>
        <w:tc>
          <w:tcPr>
            <w:tcW w:w="11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5"/>
              </w:rPr>
              <w:t>Date</w:t>
            </w:r>
          </w:p>
        </w:tc>
        <w:tc>
          <w:tcPr>
            <w:tcW w:w="1100" w:type="dxa"/>
            <w:vAlign w:val="bottom"/>
            <w:gridSpan w:val="2"/>
          </w:tcPr>
          <w:p>
            <w:pPr>
              <w:ind w:left="180"/>
              <w:spacing w:after="0"/>
              <w:rPr>
                <w:sz w:val="20"/>
                <w:szCs w:val="20"/>
                <w:color w:val="auto"/>
              </w:rPr>
            </w:pPr>
            <w:r>
              <w:rPr>
                <w:rFonts w:ascii="Arial" w:cs="Arial" w:eastAsia="Arial" w:hAnsi="Arial"/>
                <w:sz w:val="13"/>
                <w:szCs w:val="13"/>
                <w:b w:val="1"/>
                <w:bCs w:val="1"/>
                <w:color w:val="auto"/>
              </w:rPr>
              <w:t>Principal</w:t>
            </w:r>
          </w:p>
        </w:tc>
        <w:tc>
          <w:tcPr>
            <w:tcW w:w="1360" w:type="dxa"/>
            <w:vAlign w:val="bottom"/>
            <w:gridSpan w:val="2"/>
          </w:tcPr>
          <w:p>
            <w:pPr>
              <w:jc w:val="right"/>
              <w:ind w:right="680"/>
              <w:spacing w:after="0"/>
              <w:rPr>
                <w:sz w:val="20"/>
                <w:szCs w:val="20"/>
                <w:color w:val="auto"/>
              </w:rPr>
            </w:pPr>
            <w:r>
              <w:rPr>
                <w:rFonts w:ascii="Arial" w:cs="Arial" w:eastAsia="Arial" w:hAnsi="Arial"/>
                <w:sz w:val="13"/>
                <w:szCs w:val="13"/>
                <w:b w:val="1"/>
                <w:bCs w:val="1"/>
                <w:color w:val="auto"/>
              </w:rPr>
              <w:t>Cost</w:t>
            </w:r>
          </w:p>
        </w:tc>
        <w:tc>
          <w:tcPr>
            <w:tcW w:w="94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0"/>
                <w:szCs w:val="10"/>
                <w:b w:val="1"/>
                <w:bCs w:val="1"/>
                <w:color w:val="auto"/>
              </w:rPr>
              <w:t>2</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820" w:type="dxa"/>
            <w:vAlign w:val="bottom"/>
            <w:tcBorders>
              <w:top w:val="single" w:sz="8" w:color="auto"/>
            </w:tcBorders>
          </w:tcPr>
          <w:p>
            <w:pPr>
              <w:spacing w:after="0" w:line="128" w:lineRule="exact"/>
              <w:rPr>
                <w:sz w:val="20"/>
                <w:szCs w:val="20"/>
                <w:color w:val="auto"/>
              </w:rPr>
            </w:pPr>
            <w:r>
              <w:rPr>
                <w:rFonts w:ascii="Arial" w:cs="Arial" w:eastAsia="Arial" w:hAnsi="Arial"/>
                <w:sz w:val="13"/>
                <w:szCs w:val="13"/>
                <w:color w:val="auto"/>
              </w:rPr>
              <w:t>Senior Secured Loan — First Lien Term Loan</w:t>
            </w:r>
          </w:p>
        </w:tc>
        <w:tc>
          <w:tcPr>
            <w:tcW w:w="120" w:type="dxa"/>
            <w:vAlign w:val="bottom"/>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gridSpan w:val="3"/>
          </w:tcPr>
          <w:p>
            <w:pPr>
              <w:spacing w:after="0" w:line="135" w:lineRule="exact"/>
              <w:rPr>
                <w:sz w:val="20"/>
                <w:szCs w:val="20"/>
                <w:color w:val="auto"/>
              </w:rPr>
            </w:pPr>
            <w:r>
              <w:rPr>
                <w:rFonts w:ascii="Arial" w:cs="Arial" w:eastAsia="Arial" w:hAnsi="Arial"/>
                <w:sz w:val="13"/>
                <w:szCs w:val="13"/>
                <w:color w:val="auto"/>
              </w:rPr>
              <w:t>7.3% Cash, 3 Month Libor (1.00%) + 6.25%; Libor</w:t>
            </w: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960" w:type="dxa"/>
            <w:vAlign w:val="bottom"/>
            <w:gridSpan w:val="3"/>
          </w:tcPr>
          <w:p>
            <w:pPr>
              <w:spacing w:after="0"/>
              <w:rPr>
                <w:sz w:val="20"/>
                <w:szCs w:val="20"/>
                <w:color w:val="auto"/>
              </w:rPr>
            </w:pPr>
            <w:r>
              <w:rPr>
                <w:rFonts w:ascii="Arial" w:cs="Arial" w:eastAsia="Arial" w:hAnsi="Arial"/>
                <w:sz w:val="13"/>
                <w:szCs w:val="13"/>
                <w:color w:val="auto"/>
              </w:rPr>
              <w:t>Floor 1.00% , Due 11/26</w:t>
            </w:r>
          </w:p>
        </w:tc>
        <w:tc>
          <w:tcPr>
            <w:tcW w:w="1020" w:type="dxa"/>
            <w:vAlign w:val="bottom"/>
          </w:tcPr>
          <w:p>
            <w:pPr>
              <w:jc w:val="right"/>
              <w:spacing w:after="0"/>
              <w:rPr>
                <w:sz w:val="20"/>
                <w:szCs w:val="20"/>
                <w:color w:val="auto"/>
              </w:rPr>
            </w:pPr>
            <w:r>
              <w:rPr>
                <w:rFonts w:ascii="Arial" w:cs="Arial" w:eastAsia="Arial" w:hAnsi="Arial"/>
                <w:sz w:val="13"/>
                <w:szCs w:val="13"/>
                <w:color w:val="auto"/>
              </w:rPr>
              <w:t>11/23/2020</w:t>
            </w: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2,975,000</w:t>
            </w:r>
          </w:p>
        </w:tc>
        <w:tc>
          <w:tcPr>
            <w:tcW w:w="2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2,894,347</w:t>
            </w:r>
          </w:p>
        </w:tc>
        <w:tc>
          <w:tcPr>
            <w:tcW w:w="2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2,893,188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2960" w:type="dxa"/>
            <w:vAlign w:val="bottom"/>
            <w:gridSpan w:val="3"/>
          </w:tcPr>
          <w:p>
            <w:pPr>
              <w:spacing w:after="0"/>
              <w:rPr>
                <w:sz w:val="20"/>
                <w:szCs w:val="20"/>
                <w:color w:val="auto"/>
              </w:rPr>
            </w:pPr>
            <w:r>
              <w:rPr>
                <w:rFonts w:ascii="Arial" w:cs="Arial" w:eastAsia="Arial" w:hAnsi="Arial"/>
                <w:sz w:val="13"/>
                <w:szCs w:val="13"/>
                <w:color w:val="auto"/>
              </w:rPr>
              <w:t>Senior Secured Loan — Delayed Draw Term Loan</w:t>
            </w: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2960" w:type="dxa"/>
            <w:vAlign w:val="bottom"/>
            <w:gridSpan w:val="3"/>
          </w:tcPr>
          <w:p>
            <w:pPr>
              <w:spacing w:after="0" w:line="135" w:lineRule="exact"/>
              <w:rPr>
                <w:sz w:val="20"/>
                <w:szCs w:val="20"/>
                <w:color w:val="auto"/>
              </w:rPr>
            </w:pPr>
            <w:r>
              <w:rPr>
                <w:rFonts w:ascii="Arial" w:cs="Arial" w:eastAsia="Arial" w:hAnsi="Arial"/>
                <w:sz w:val="13"/>
                <w:szCs w:val="13"/>
                <w:color w:val="auto"/>
              </w:rPr>
              <w:t>(First Lien)</w:t>
            </w: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960" w:type="dxa"/>
            <w:vAlign w:val="bottom"/>
            <w:gridSpan w:val="3"/>
          </w:tcPr>
          <w:p>
            <w:pPr>
              <w:spacing w:after="0"/>
              <w:rPr>
                <w:sz w:val="20"/>
                <w:szCs w:val="20"/>
                <w:color w:val="auto"/>
              </w:rPr>
            </w:pPr>
            <w:r>
              <w:rPr>
                <w:rFonts w:ascii="Arial" w:cs="Arial" w:eastAsia="Arial" w:hAnsi="Arial"/>
                <w:sz w:val="13"/>
                <w:szCs w:val="13"/>
                <w:color w:val="auto"/>
              </w:rPr>
              <w:t>1.0% Cash, Due 11/26</w:t>
            </w:r>
          </w:p>
        </w:tc>
        <w:tc>
          <w:tcPr>
            <w:tcW w:w="1020" w:type="dxa"/>
            <w:vAlign w:val="bottom"/>
          </w:tcPr>
          <w:p>
            <w:pPr>
              <w:jc w:val="right"/>
              <w:spacing w:after="0"/>
              <w:rPr>
                <w:sz w:val="20"/>
                <w:szCs w:val="20"/>
                <w:color w:val="auto"/>
              </w:rPr>
            </w:pPr>
            <w:r>
              <w:rPr>
                <w:rFonts w:ascii="Arial" w:cs="Arial" w:eastAsia="Arial" w:hAnsi="Arial"/>
                <w:sz w:val="13"/>
                <w:szCs w:val="13"/>
                <w:color w:val="auto"/>
              </w:rPr>
              <w:t>11/23/2020</w:t>
            </w: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3"/>
                <w:szCs w:val="13"/>
                <w:color w:val="auto"/>
              </w:rPr>
              <w:t>(14,180)</w:t>
            </w: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(14,438)</w:t>
            </w:r>
          </w:p>
        </w:tc>
        <w:tc>
          <w:tcPr>
            <w:tcW w:w="0" w:type="dxa"/>
            <w:vAlign w:val="bottom"/>
          </w:tcPr>
          <w:p>
            <w:pPr>
              <w:spacing w:after="0"/>
              <w:rPr>
                <w:sz w:val="1"/>
                <w:szCs w:val="1"/>
                <w:color w:val="auto"/>
              </w:rPr>
            </w:pPr>
          </w:p>
        </w:tc>
      </w:tr>
      <w:tr>
        <w:trPr>
          <w:trHeight w:val="272"/>
        </w:trPr>
        <w:tc>
          <w:tcPr>
            <w:tcW w:w="2960" w:type="dxa"/>
            <w:vAlign w:val="bottom"/>
            <w:gridSpan w:val="3"/>
          </w:tcPr>
          <w:p>
            <w:pPr>
              <w:spacing w:after="0"/>
              <w:rPr>
                <w:sz w:val="20"/>
                <w:szCs w:val="20"/>
                <w:color w:val="auto"/>
              </w:rPr>
            </w:pPr>
            <w:r>
              <w:rPr>
                <w:rFonts w:ascii="Arial" w:cs="Arial" w:eastAsia="Arial" w:hAnsi="Arial"/>
                <w:sz w:val="13"/>
                <w:szCs w:val="13"/>
                <w:color w:val="auto"/>
                <w:w w:val="94"/>
              </w:rPr>
              <w:t>Senior Secured Loan — Incremental Term Loan (First</w:t>
            </w: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2960" w:type="dxa"/>
            <w:vAlign w:val="bottom"/>
            <w:gridSpan w:val="3"/>
          </w:tcPr>
          <w:p>
            <w:pPr>
              <w:spacing w:after="0" w:line="135" w:lineRule="exact"/>
              <w:rPr>
                <w:sz w:val="20"/>
                <w:szCs w:val="20"/>
                <w:color w:val="auto"/>
              </w:rPr>
            </w:pPr>
            <w:r>
              <w:rPr>
                <w:rFonts w:ascii="Arial" w:cs="Arial" w:eastAsia="Arial" w:hAnsi="Arial"/>
                <w:sz w:val="13"/>
                <w:szCs w:val="13"/>
                <w:color w:val="auto"/>
              </w:rPr>
              <w:t>Lien)</w:t>
            </w: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gridSpan w:val="3"/>
          </w:tcPr>
          <w:p>
            <w:pPr>
              <w:spacing w:after="0" w:line="135" w:lineRule="exact"/>
              <w:rPr>
                <w:sz w:val="20"/>
                <w:szCs w:val="20"/>
                <w:color w:val="auto"/>
              </w:rPr>
            </w:pPr>
            <w:r>
              <w:rPr>
                <w:rFonts w:ascii="Arial" w:cs="Arial" w:eastAsia="Arial" w:hAnsi="Arial"/>
                <w:sz w:val="13"/>
                <w:szCs w:val="13"/>
                <w:color w:val="auto"/>
              </w:rPr>
              <w:t>7.3% Cash, 3 Month Libor (1.00%) + 6.25%; Libor</w:t>
            </w: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960" w:type="dxa"/>
            <w:vAlign w:val="bottom"/>
            <w:gridSpan w:val="3"/>
          </w:tcPr>
          <w:p>
            <w:pPr>
              <w:spacing w:after="0"/>
              <w:rPr>
                <w:sz w:val="20"/>
                <w:szCs w:val="20"/>
                <w:color w:val="auto"/>
              </w:rPr>
            </w:pPr>
            <w:r>
              <w:rPr>
                <w:rFonts w:ascii="Arial" w:cs="Arial" w:eastAsia="Arial" w:hAnsi="Arial"/>
                <w:sz w:val="13"/>
                <w:szCs w:val="13"/>
                <w:color w:val="auto"/>
              </w:rPr>
              <w:t>Floor 1.00% , Due 5/24</w:t>
            </w:r>
          </w:p>
        </w:tc>
        <w:tc>
          <w:tcPr>
            <w:tcW w:w="1020" w:type="dxa"/>
            <w:vAlign w:val="bottom"/>
          </w:tcPr>
          <w:p>
            <w:pPr>
              <w:jc w:val="right"/>
              <w:spacing w:after="0"/>
              <w:rPr>
                <w:sz w:val="20"/>
                <w:szCs w:val="20"/>
                <w:color w:val="auto"/>
              </w:rPr>
            </w:pPr>
            <w:r>
              <w:rPr>
                <w:rFonts w:ascii="Arial" w:cs="Arial" w:eastAsia="Arial" w:hAnsi="Arial"/>
                <w:sz w:val="13"/>
                <w:szCs w:val="13"/>
                <w:color w:val="auto"/>
              </w:rPr>
              <w:t>7/1/2020</w:t>
            </w: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2,892,750</w:t>
            </w:r>
          </w:p>
        </w:tc>
        <w:tc>
          <w:tcPr>
            <w:tcW w:w="2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2,816,722</w:t>
            </w:r>
          </w:p>
        </w:tc>
        <w:tc>
          <w:tcPr>
            <w:tcW w:w="2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2,872,790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7"/>
        </w:trPr>
        <w:tc>
          <w:tcPr>
            <w:tcW w:w="2960" w:type="dxa"/>
            <w:vAlign w:val="bottom"/>
            <w:gridSpan w:val="3"/>
          </w:tcPr>
          <w:p>
            <w:pPr>
              <w:spacing w:after="0"/>
              <w:rPr>
                <w:sz w:val="20"/>
                <w:szCs w:val="20"/>
                <w:color w:val="auto"/>
              </w:rPr>
            </w:pPr>
            <w:r>
              <w:rPr>
                <w:rFonts w:ascii="Arial" w:cs="Arial" w:eastAsia="Arial" w:hAnsi="Arial"/>
                <w:sz w:val="13"/>
                <w:szCs w:val="13"/>
                <w:color w:val="auto"/>
                <w:w w:val="99"/>
              </w:rPr>
              <w:t>Senior Secured Loan — Senior Term Loan B, 7.0%</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960" w:type="dxa"/>
            <w:vAlign w:val="bottom"/>
            <w:gridSpan w:val="3"/>
          </w:tcPr>
          <w:p>
            <w:pPr>
              <w:spacing w:after="0"/>
              <w:rPr>
                <w:sz w:val="20"/>
                <w:szCs w:val="20"/>
                <w:color w:val="auto"/>
              </w:rPr>
            </w:pPr>
            <w:r>
              <w:rPr>
                <w:rFonts w:ascii="Arial" w:cs="Arial" w:eastAsia="Arial" w:hAnsi="Arial"/>
                <w:sz w:val="13"/>
                <w:szCs w:val="13"/>
                <w:color w:val="auto"/>
              </w:rPr>
              <w:t>PIK, Due 5/25</w:t>
            </w:r>
          </w:p>
        </w:tc>
        <w:tc>
          <w:tcPr>
            <w:tcW w:w="1020" w:type="dxa"/>
            <w:vAlign w:val="bottom"/>
            <w:vMerge w:val="restart"/>
          </w:tcPr>
          <w:p>
            <w:pPr>
              <w:jc w:val="right"/>
              <w:spacing w:after="0"/>
              <w:rPr>
                <w:sz w:val="20"/>
                <w:szCs w:val="20"/>
                <w:color w:val="auto"/>
              </w:rPr>
            </w:pPr>
            <w:r>
              <w:rPr>
                <w:rFonts w:ascii="Arial" w:cs="Arial" w:eastAsia="Arial" w:hAnsi="Arial"/>
                <w:sz w:val="13"/>
                <w:szCs w:val="13"/>
                <w:color w:val="auto"/>
              </w:rPr>
              <w:t>5/29/2020</w:t>
            </w:r>
          </w:p>
        </w:tc>
        <w:tc>
          <w:tcPr>
            <w:tcW w:w="12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1,484,979</w:t>
            </w:r>
          </w:p>
        </w:tc>
        <w:tc>
          <w:tcPr>
            <w:tcW w:w="22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3"/>
                <w:szCs w:val="13"/>
                <w:color w:val="auto"/>
              </w:rPr>
              <w:t>1,092,213</w:t>
            </w:r>
          </w:p>
        </w:tc>
        <w:tc>
          <w:tcPr>
            <w:tcW w:w="2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748,132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7"/>
        </w:trPr>
        <w:tc>
          <w:tcPr>
            <w:tcW w:w="2960" w:type="dxa"/>
            <w:vAlign w:val="bottom"/>
            <w:gridSpan w:val="3"/>
          </w:tcPr>
          <w:p>
            <w:pPr>
              <w:spacing w:after="0"/>
              <w:rPr>
                <w:sz w:val="20"/>
                <w:szCs w:val="20"/>
                <w:color w:val="auto"/>
              </w:rPr>
            </w:pPr>
            <w:r>
              <w:rPr>
                <w:rFonts w:ascii="Arial" w:cs="Arial" w:eastAsia="Arial" w:hAnsi="Arial"/>
                <w:sz w:val="13"/>
                <w:szCs w:val="13"/>
                <w:color w:val="auto"/>
                <w:w w:val="98"/>
              </w:rPr>
              <w:t>Senior Secured Loan — Super Senior Term Loan B</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960" w:type="dxa"/>
            <w:vAlign w:val="bottom"/>
            <w:gridSpan w:val="3"/>
          </w:tcPr>
          <w:p>
            <w:pPr>
              <w:spacing w:after="0"/>
              <w:rPr>
                <w:sz w:val="20"/>
                <w:szCs w:val="20"/>
                <w:color w:val="auto"/>
              </w:rPr>
            </w:pPr>
            <w:r>
              <w:rPr>
                <w:rFonts w:ascii="Arial" w:cs="Arial" w:eastAsia="Arial" w:hAnsi="Arial"/>
                <w:sz w:val="13"/>
                <w:szCs w:val="13"/>
                <w:color w:val="auto"/>
              </w:rPr>
              <w:t>2.0% Cash, 7.0% PIK, Due 5/25</w:t>
            </w:r>
          </w:p>
        </w:tc>
        <w:tc>
          <w:tcPr>
            <w:tcW w:w="1020" w:type="dxa"/>
            <w:vAlign w:val="bottom"/>
            <w:vMerge w:val="restart"/>
          </w:tcPr>
          <w:p>
            <w:pPr>
              <w:jc w:val="right"/>
              <w:spacing w:after="0"/>
              <w:rPr>
                <w:sz w:val="20"/>
                <w:szCs w:val="20"/>
                <w:color w:val="auto"/>
              </w:rPr>
            </w:pPr>
            <w:r>
              <w:rPr>
                <w:rFonts w:ascii="Arial" w:cs="Arial" w:eastAsia="Arial" w:hAnsi="Arial"/>
                <w:sz w:val="13"/>
                <w:szCs w:val="13"/>
                <w:color w:val="auto"/>
              </w:rPr>
              <w:t>5/29/2020</w:t>
            </w:r>
          </w:p>
        </w:tc>
        <w:tc>
          <w:tcPr>
            <w:tcW w:w="12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959,944</w:t>
            </w:r>
          </w:p>
        </w:tc>
        <w:tc>
          <w:tcPr>
            <w:tcW w:w="22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3"/>
                <w:szCs w:val="13"/>
                <w:color w:val="auto"/>
              </w:rPr>
              <w:t>943,862</w:t>
            </w:r>
          </w:p>
        </w:tc>
        <w:tc>
          <w:tcPr>
            <w:tcW w:w="2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940,745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7"/>
        </w:trPr>
        <w:tc>
          <w:tcPr>
            <w:tcW w:w="2960" w:type="dxa"/>
            <w:vAlign w:val="bottom"/>
            <w:gridSpan w:val="3"/>
          </w:tcPr>
          <w:p>
            <w:pPr>
              <w:spacing w:after="0"/>
              <w:rPr>
                <w:sz w:val="20"/>
                <w:szCs w:val="20"/>
                <w:color w:val="auto"/>
              </w:rPr>
            </w:pPr>
            <w:r>
              <w:rPr>
                <w:rFonts w:ascii="Arial" w:cs="Arial" w:eastAsia="Arial" w:hAnsi="Arial"/>
                <w:sz w:val="13"/>
                <w:szCs w:val="13"/>
                <w:color w:val="auto"/>
                <w:w w:val="93"/>
              </w:rPr>
              <w:t>Senior Secured Loan — EUR Term Loan A, 5.0% PIK,</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960" w:type="dxa"/>
            <w:vAlign w:val="bottom"/>
            <w:gridSpan w:val="3"/>
          </w:tcPr>
          <w:p>
            <w:pPr>
              <w:spacing w:after="0"/>
              <w:rPr>
                <w:sz w:val="20"/>
                <w:szCs w:val="20"/>
                <w:color w:val="auto"/>
              </w:rPr>
            </w:pPr>
            <w:r>
              <w:rPr>
                <w:rFonts w:ascii="Arial" w:cs="Arial" w:eastAsia="Arial" w:hAnsi="Arial"/>
                <w:sz w:val="13"/>
                <w:szCs w:val="13"/>
                <w:color w:val="auto"/>
              </w:rPr>
              <w:t>Due 7/25</w:t>
            </w:r>
          </w:p>
        </w:tc>
        <w:tc>
          <w:tcPr>
            <w:tcW w:w="1020" w:type="dxa"/>
            <w:vAlign w:val="bottom"/>
            <w:vMerge w:val="restart"/>
          </w:tcPr>
          <w:p>
            <w:pPr>
              <w:jc w:val="right"/>
              <w:spacing w:after="0"/>
              <w:rPr>
                <w:sz w:val="20"/>
                <w:szCs w:val="20"/>
                <w:color w:val="auto"/>
              </w:rPr>
            </w:pPr>
            <w:r>
              <w:rPr>
                <w:rFonts w:ascii="Arial" w:cs="Arial" w:eastAsia="Arial" w:hAnsi="Arial"/>
                <w:sz w:val="13"/>
                <w:szCs w:val="13"/>
                <w:color w:val="auto"/>
              </w:rPr>
              <w:t>5/11/2020</w:t>
            </w:r>
          </w:p>
        </w:tc>
        <w:tc>
          <w:tcPr>
            <w:tcW w:w="12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324,350</w:t>
            </w:r>
          </w:p>
        </w:tc>
        <w:tc>
          <w:tcPr>
            <w:tcW w:w="22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3"/>
                <w:szCs w:val="13"/>
                <w:color w:val="auto"/>
              </w:rPr>
              <w:t>285,676</w:t>
            </w:r>
          </w:p>
        </w:tc>
        <w:tc>
          <w:tcPr>
            <w:tcW w:w="2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268,222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7"/>
        </w:trPr>
        <w:tc>
          <w:tcPr>
            <w:tcW w:w="2960" w:type="dxa"/>
            <w:vAlign w:val="bottom"/>
            <w:gridSpan w:val="3"/>
          </w:tcPr>
          <w:p>
            <w:pPr>
              <w:spacing w:after="0"/>
              <w:rPr>
                <w:sz w:val="20"/>
                <w:szCs w:val="20"/>
                <w:color w:val="auto"/>
              </w:rPr>
            </w:pPr>
            <w:r>
              <w:rPr>
                <w:rFonts w:ascii="Arial" w:cs="Arial" w:eastAsia="Arial" w:hAnsi="Arial"/>
                <w:sz w:val="13"/>
                <w:szCs w:val="13"/>
                <w:color w:val="auto"/>
                <w:w w:val="99"/>
              </w:rPr>
              <w:t>Senior Secured Loan — Senior Term Loan A, 5.0%</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960" w:type="dxa"/>
            <w:vAlign w:val="bottom"/>
            <w:gridSpan w:val="3"/>
          </w:tcPr>
          <w:p>
            <w:pPr>
              <w:spacing w:after="0"/>
              <w:rPr>
                <w:sz w:val="20"/>
                <w:szCs w:val="20"/>
                <w:color w:val="auto"/>
              </w:rPr>
            </w:pPr>
            <w:r>
              <w:rPr>
                <w:rFonts w:ascii="Arial" w:cs="Arial" w:eastAsia="Arial" w:hAnsi="Arial"/>
                <w:sz w:val="13"/>
                <w:szCs w:val="13"/>
                <w:color w:val="auto"/>
              </w:rPr>
              <w:t>PIK, Due 5/25</w:t>
            </w:r>
          </w:p>
        </w:tc>
        <w:tc>
          <w:tcPr>
            <w:tcW w:w="1020" w:type="dxa"/>
            <w:vAlign w:val="bottom"/>
            <w:vMerge w:val="restart"/>
          </w:tcPr>
          <w:p>
            <w:pPr>
              <w:jc w:val="right"/>
              <w:spacing w:after="0"/>
              <w:rPr>
                <w:sz w:val="20"/>
                <w:szCs w:val="20"/>
                <w:color w:val="auto"/>
              </w:rPr>
            </w:pPr>
            <w:r>
              <w:rPr>
                <w:rFonts w:ascii="Arial" w:cs="Arial" w:eastAsia="Arial" w:hAnsi="Arial"/>
                <w:sz w:val="13"/>
                <w:szCs w:val="13"/>
                <w:color w:val="auto"/>
              </w:rPr>
              <w:t>5/29/2020</w:t>
            </w:r>
          </w:p>
        </w:tc>
        <w:tc>
          <w:tcPr>
            <w:tcW w:w="12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1,467,506</w:t>
            </w:r>
          </w:p>
        </w:tc>
        <w:tc>
          <w:tcPr>
            <w:tcW w:w="22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3"/>
                <w:szCs w:val="13"/>
                <w:color w:val="auto"/>
              </w:rPr>
              <w:t>1,074,740</w:t>
            </w:r>
          </w:p>
        </w:tc>
        <w:tc>
          <w:tcPr>
            <w:tcW w:w="2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1,063,942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9"/>
        </w:trPr>
        <w:tc>
          <w:tcPr>
            <w:tcW w:w="2960" w:type="dxa"/>
            <w:vAlign w:val="bottom"/>
            <w:gridSpan w:val="3"/>
          </w:tcPr>
          <w:p>
            <w:pPr>
              <w:spacing w:after="0"/>
              <w:rPr>
                <w:sz w:val="20"/>
                <w:szCs w:val="20"/>
                <w:color w:val="auto"/>
              </w:rPr>
            </w:pPr>
            <w:r>
              <w:rPr>
                <w:rFonts w:ascii="Arial" w:cs="Arial" w:eastAsia="Arial" w:hAnsi="Arial"/>
                <w:sz w:val="13"/>
                <w:szCs w:val="13"/>
                <w:color w:val="auto"/>
              </w:rPr>
              <w:t>Senior Secured Loan — First Lien Term Loan</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960" w:type="dxa"/>
            <w:vAlign w:val="bottom"/>
            <w:gridSpan w:val="3"/>
          </w:tcPr>
          <w:p>
            <w:pPr>
              <w:spacing w:after="0"/>
              <w:rPr>
                <w:sz w:val="20"/>
                <w:szCs w:val="20"/>
                <w:color w:val="auto"/>
              </w:rPr>
            </w:pPr>
            <w:r>
              <w:rPr>
                <w:rFonts w:ascii="Arial" w:cs="Arial" w:eastAsia="Arial" w:hAnsi="Arial"/>
                <w:sz w:val="13"/>
                <w:szCs w:val="13"/>
                <w:color w:val="auto"/>
                <w:w w:val="93"/>
              </w:rPr>
              <w:t>7.2% Cash, 3 Month Libor (0.24%) + 7.00% , Due 7/24</w:t>
            </w:r>
          </w:p>
        </w:tc>
        <w:tc>
          <w:tcPr>
            <w:tcW w:w="1020" w:type="dxa"/>
            <w:vAlign w:val="bottom"/>
            <w:vMerge w:val="restart"/>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6,381,442</w:t>
            </w:r>
          </w:p>
        </w:tc>
        <w:tc>
          <w:tcPr>
            <w:tcW w:w="22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3"/>
                <w:szCs w:val="13"/>
                <w:color w:val="auto"/>
              </w:rPr>
              <w:t>5,158,548</w:t>
            </w:r>
          </w:p>
        </w:tc>
        <w:tc>
          <w:tcPr>
            <w:tcW w:w="2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6,142,138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-2318385</wp:posOffset>
            </wp:positionH>
            <wp:positionV relativeFrom="paragraph">
              <wp:posOffset>-3229610</wp:posOffset>
            </wp:positionV>
            <wp:extent cx="7132320" cy="2743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-2861310</wp:posOffset>
            </wp:positionV>
            <wp:extent cx="7132320" cy="2654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-2500630</wp:posOffset>
            </wp:positionV>
            <wp:extent cx="7132320" cy="3511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351155"/>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-2055495</wp:posOffset>
            </wp:positionV>
            <wp:extent cx="7132320" cy="3511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351155"/>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-1609725</wp:posOffset>
            </wp:positionV>
            <wp:extent cx="7132320" cy="3511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351155"/>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-1163320</wp:posOffset>
            </wp:positionV>
            <wp:extent cx="7132320" cy="3511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351155"/>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-718185</wp:posOffset>
            </wp:positionV>
            <wp:extent cx="7132320" cy="3511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351155"/>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-272415</wp:posOffset>
            </wp:positionV>
            <wp:extent cx="7132320" cy="2654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122" w:lineRule="exact"/>
        <w:rPr>
          <w:sz w:val="20"/>
          <w:szCs w:val="20"/>
          <w:color w:val="auto"/>
        </w:rPr>
      </w:pPr>
    </w:p>
    <w:p>
      <w:pPr>
        <w:sectPr>
          <w:pgSz w:w="11900" w:h="16838" w:orient="portrait"/>
          <w:cols w:equalWidth="0" w:num="2">
            <w:col w:w="3420" w:space="240"/>
            <w:col w:w="7580"/>
          </w:cols>
          <w:pgMar w:left="320" w:top="431" w:right="339" w:bottom="1440" w:gutter="0" w:footer="0" w:header="0"/>
        </w:sectPr>
      </w:pPr>
    </w:p>
    <w:tbl>
      <w:tblPr>
        <w:tblLayout w:type="fixed"/>
        <w:tblInd w:w="0" w:type="dxa"/>
        <w:tblCellMar>
          <w:top w:w="0" w:type="dxa"/>
          <w:left w:w="0" w:type="dxa"/>
          <w:bottom w:w="0" w:type="dxa"/>
          <w:right w:w="0" w:type="dxa"/>
        </w:tblCellMar>
      </w:tblPr>
      <w:tr>
        <w:trPr>
          <w:trHeight w:val="149"/>
        </w:trPr>
        <w:tc>
          <w:tcPr>
            <w:tcW w:w="2200" w:type="dxa"/>
            <w:vAlign w:val="bottom"/>
            <w:shd w:val="clear" w:color="auto" w:fill="CFF0FC"/>
          </w:tcPr>
          <w:p>
            <w:pPr>
              <w:spacing w:after="0"/>
              <w:rPr>
                <w:sz w:val="20"/>
                <w:szCs w:val="20"/>
                <w:color w:val="auto"/>
              </w:rPr>
            </w:pPr>
            <w:r>
              <w:rPr>
                <w:rFonts w:ascii="Arial" w:cs="Arial" w:eastAsia="Arial" w:hAnsi="Arial"/>
                <w:sz w:val="13"/>
                <w:szCs w:val="13"/>
                <w:color w:val="auto"/>
              </w:rPr>
              <w:t>Drilling Info Holdings, Inc.</w:t>
            </w:r>
          </w:p>
        </w:tc>
        <w:tc>
          <w:tcPr>
            <w:tcW w:w="1440" w:type="dxa"/>
            <w:vAlign w:val="bottom"/>
            <w:shd w:val="clear" w:color="auto" w:fill="CFF0FC"/>
          </w:tcPr>
          <w:p>
            <w:pPr>
              <w:ind w:left="740"/>
              <w:spacing w:after="0"/>
              <w:rPr>
                <w:sz w:val="20"/>
                <w:szCs w:val="20"/>
                <w:color w:val="auto"/>
              </w:rPr>
            </w:pPr>
            <w:r>
              <w:rPr>
                <w:rFonts w:ascii="Arial" w:cs="Arial" w:eastAsia="Arial" w:hAnsi="Arial"/>
                <w:sz w:val="11"/>
                <w:szCs w:val="11"/>
                <w:color w:val="auto"/>
              </w:rPr>
              <w:t>(8)(14)(21)</w:t>
            </w:r>
          </w:p>
        </w:tc>
        <w:tc>
          <w:tcPr>
            <w:tcW w:w="312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Senior Secured Loan — 2019 Delayed Draw Term</w:t>
            </w:r>
          </w:p>
        </w:tc>
        <w:tc>
          <w:tcPr>
            <w:tcW w:w="110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200" w:type="dxa"/>
            <w:vAlign w:val="bottom"/>
            <w:shd w:val="clear" w:color="auto" w:fill="CFF0FC"/>
          </w:tcPr>
          <w:p>
            <w:pPr>
              <w:spacing w:after="0"/>
              <w:rPr>
                <w:sz w:val="11"/>
                <w:szCs w:val="11"/>
                <w:color w:val="auto"/>
              </w:rPr>
            </w:pPr>
          </w:p>
        </w:tc>
        <w:tc>
          <w:tcPr>
            <w:tcW w:w="1440" w:type="dxa"/>
            <w:vAlign w:val="bottom"/>
            <w:shd w:val="clear" w:color="auto" w:fill="CFF0FC"/>
          </w:tcPr>
          <w:p>
            <w:pPr>
              <w:spacing w:after="0"/>
              <w:rPr>
                <w:sz w:val="11"/>
                <w:szCs w:val="11"/>
                <w:color w:val="auto"/>
              </w:rPr>
            </w:pPr>
          </w:p>
        </w:tc>
        <w:tc>
          <w:tcPr>
            <w:tcW w:w="312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Loan (First Lien)</w:t>
            </w:r>
          </w:p>
        </w:tc>
        <w:tc>
          <w:tcPr>
            <w:tcW w:w="110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26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2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High Tech Industries</w:t>
            </w:r>
          </w:p>
        </w:tc>
        <w:tc>
          <w:tcPr>
            <w:tcW w:w="1440" w:type="dxa"/>
            <w:vAlign w:val="bottom"/>
            <w:shd w:val="clear" w:color="auto" w:fill="CFF0FC"/>
          </w:tcPr>
          <w:p>
            <w:pPr>
              <w:spacing w:after="0"/>
              <w:rPr>
                <w:sz w:val="12"/>
                <w:szCs w:val="12"/>
                <w:color w:val="auto"/>
              </w:rPr>
            </w:pPr>
          </w:p>
        </w:tc>
        <w:tc>
          <w:tcPr>
            <w:tcW w:w="320" w:type="dxa"/>
            <w:vAlign w:val="bottom"/>
            <w:shd w:val="clear" w:color="auto" w:fill="CFF0FC"/>
          </w:tcPr>
          <w:p>
            <w:pPr>
              <w:ind w:left="20"/>
              <w:spacing w:after="0"/>
              <w:rPr>
                <w:sz w:val="20"/>
                <w:szCs w:val="20"/>
                <w:color w:val="auto"/>
              </w:rPr>
            </w:pPr>
            <w:r>
              <w:rPr>
                <w:rFonts w:ascii="Arial" w:cs="Arial" w:eastAsia="Arial" w:hAnsi="Arial"/>
                <w:sz w:val="13"/>
                <w:szCs w:val="13"/>
                <w:color w:val="auto"/>
                <w:w w:val="94"/>
              </w:rPr>
              <w:t>2.0%</w:t>
            </w:r>
          </w:p>
        </w:tc>
        <w:tc>
          <w:tcPr>
            <w:tcW w:w="2800" w:type="dxa"/>
            <w:vAlign w:val="bottom"/>
            <w:shd w:val="clear" w:color="auto" w:fill="CFF0FC"/>
          </w:tcPr>
          <w:p>
            <w:pPr>
              <w:spacing w:after="0"/>
              <w:rPr>
                <w:sz w:val="20"/>
                <w:szCs w:val="20"/>
                <w:color w:val="auto"/>
              </w:rPr>
            </w:pPr>
            <w:r>
              <w:rPr>
                <w:rFonts w:ascii="Arial" w:cs="Arial" w:eastAsia="Arial" w:hAnsi="Arial"/>
                <w:sz w:val="13"/>
                <w:szCs w:val="13"/>
                <w:color w:val="auto"/>
              </w:rPr>
              <w:t>Cash, Due 7/25</w:t>
            </w:r>
          </w:p>
        </w:tc>
        <w:tc>
          <w:tcPr>
            <w:tcW w:w="1100" w:type="dxa"/>
            <w:vAlign w:val="bottom"/>
            <w:shd w:val="clear" w:color="auto" w:fill="CFF0FC"/>
          </w:tcPr>
          <w:p>
            <w:pPr>
              <w:jc w:val="right"/>
              <w:ind w:right="177"/>
              <w:spacing w:after="0"/>
              <w:rPr>
                <w:sz w:val="20"/>
                <w:szCs w:val="20"/>
                <w:color w:val="auto"/>
              </w:rPr>
            </w:pPr>
            <w:r>
              <w:rPr>
                <w:rFonts w:ascii="Arial" w:cs="Arial" w:eastAsia="Arial" w:hAnsi="Arial"/>
                <w:sz w:val="13"/>
                <w:szCs w:val="13"/>
                <w:color w:val="auto"/>
              </w:rPr>
              <w:t>6/27/2019</w:t>
            </w:r>
          </w:p>
        </w:tc>
        <w:tc>
          <w:tcPr>
            <w:tcW w:w="1200" w:type="dxa"/>
            <w:vAlign w:val="bottom"/>
            <w:shd w:val="clear" w:color="auto" w:fill="CFF0FC"/>
          </w:tcPr>
          <w:p>
            <w:pPr>
              <w:jc w:val="right"/>
              <w:ind w:right="377"/>
              <w:spacing w:after="0"/>
              <w:rPr>
                <w:sz w:val="20"/>
                <w:szCs w:val="20"/>
                <w:color w:val="auto"/>
              </w:rPr>
            </w:pPr>
            <w:r>
              <w:rPr>
                <w:rFonts w:ascii="Arial" w:cs="Arial" w:eastAsia="Arial" w:hAnsi="Arial"/>
                <w:sz w:val="13"/>
                <w:szCs w:val="13"/>
                <w:color w:val="auto"/>
              </w:rPr>
              <w:t>-</w:t>
            </w:r>
          </w:p>
        </w:tc>
        <w:tc>
          <w:tcPr>
            <w:tcW w:w="1260" w:type="dxa"/>
            <w:vAlign w:val="bottom"/>
            <w:shd w:val="clear" w:color="auto" w:fill="CFF0FC"/>
          </w:tcPr>
          <w:p>
            <w:pPr>
              <w:jc w:val="right"/>
              <w:ind w:right="217"/>
              <w:spacing w:after="0"/>
              <w:rPr>
                <w:sz w:val="20"/>
                <w:szCs w:val="20"/>
                <w:color w:val="auto"/>
              </w:rPr>
            </w:pPr>
            <w:r>
              <w:rPr>
                <w:rFonts w:ascii="Arial" w:cs="Arial" w:eastAsia="Arial" w:hAnsi="Arial"/>
                <w:sz w:val="13"/>
                <w:szCs w:val="13"/>
                <w:color w:val="auto"/>
              </w:rPr>
              <w:t>(1,375)</w:t>
            </w:r>
          </w:p>
        </w:tc>
        <w:tc>
          <w:tcPr>
            <w:tcW w:w="92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(10,621)</w:t>
            </w:r>
          </w:p>
        </w:tc>
        <w:tc>
          <w:tcPr>
            <w:tcW w:w="0" w:type="dxa"/>
            <w:vAlign w:val="bottom"/>
          </w:tcPr>
          <w:p>
            <w:pPr>
              <w:spacing w:after="0"/>
              <w:rPr>
                <w:sz w:val="1"/>
                <w:szCs w:val="1"/>
                <w:color w:val="auto"/>
              </w:rPr>
            </w:pPr>
          </w:p>
        </w:tc>
      </w:tr>
      <w:tr>
        <w:trPr>
          <w:trHeight w:val="148"/>
        </w:trPr>
        <w:tc>
          <w:tcPr>
            <w:tcW w:w="2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120" w:type="dxa"/>
            <w:vAlign w:val="bottom"/>
            <w:gridSpan w:val="2"/>
          </w:tcPr>
          <w:p>
            <w:pPr>
              <w:spacing w:after="0"/>
              <w:rPr>
                <w:sz w:val="12"/>
                <w:szCs w:val="12"/>
                <w:color w:val="auto"/>
              </w:rPr>
            </w:pPr>
          </w:p>
        </w:tc>
        <w:tc>
          <w:tcPr>
            <w:tcW w:w="1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2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Drilling Info Holdings, Inc.</w:t>
            </w:r>
          </w:p>
        </w:tc>
        <w:tc>
          <w:tcPr>
            <w:tcW w:w="1440" w:type="dxa"/>
            <w:vAlign w:val="bottom"/>
            <w:shd w:val="clear" w:color="auto" w:fill="CFF0FC"/>
          </w:tcPr>
          <w:p>
            <w:pPr>
              <w:ind w:left="740"/>
              <w:spacing w:after="0"/>
              <w:rPr>
                <w:sz w:val="20"/>
                <w:szCs w:val="20"/>
                <w:color w:val="auto"/>
              </w:rPr>
            </w:pPr>
            <w:r>
              <w:rPr>
                <w:rFonts w:ascii="Arial" w:cs="Arial" w:eastAsia="Arial" w:hAnsi="Arial"/>
                <w:sz w:val="11"/>
                <w:szCs w:val="11"/>
                <w:color w:val="auto"/>
              </w:rPr>
              <w:t>(8)(14)(21)</w:t>
            </w:r>
          </w:p>
        </w:tc>
        <w:tc>
          <w:tcPr>
            <w:tcW w:w="3120" w:type="dxa"/>
            <w:vAlign w:val="bottom"/>
            <w:gridSpan w:val="2"/>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Initial Term Loan (First Lien)</w:t>
            </w:r>
          </w:p>
        </w:tc>
        <w:tc>
          <w:tcPr>
            <w:tcW w:w="110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26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200" w:type="dxa"/>
            <w:vAlign w:val="bottom"/>
            <w:shd w:val="clear" w:color="auto" w:fill="CFF0FC"/>
          </w:tcPr>
          <w:p>
            <w:pPr>
              <w:ind w:left="160"/>
              <w:spacing w:after="0"/>
              <w:rPr>
                <w:sz w:val="20"/>
                <w:szCs w:val="20"/>
                <w:color w:val="auto"/>
              </w:rPr>
            </w:pPr>
            <w:r>
              <w:rPr>
                <w:rFonts w:ascii="Arial" w:cs="Arial" w:eastAsia="Arial" w:hAnsi="Arial"/>
                <w:sz w:val="13"/>
                <w:szCs w:val="13"/>
                <w:color w:val="auto"/>
              </w:rPr>
              <w:t>High Tech Industries</w:t>
            </w:r>
          </w:p>
        </w:tc>
        <w:tc>
          <w:tcPr>
            <w:tcW w:w="1440" w:type="dxa"/>
            <w:vAlign w:val="bottom"/>
            <w:shd w:val="clear" w:color="auto" w:fill="CFF0FC"/>
          </w:tcPr>
          <w:p>
            <w:pPr>
              <w:spacing w:after="0"/>
              <w:rPr>
                <w:sz w:val="12"/>
                <w:szCs w:val="12"/>
                <w:color w:val="auto"/>
              </w:rPr>
            </w:pPr>
          </w:p>
        </w:tc>
        <w:tc>
          <w:tcPr>
            <w:tcW w:w="320" w:type="dxa"/>
            <w:vAlign w:val="bottom"/>
            <w:shd w:val="clear" w:color="auto" w:fill="CFF0FC"/>
          </w:tcPr>
          <w:p>
            <w:pPr>
              <w:ind w:left="20"/>
              <w:spacing w:after="0"/>
              <w:rPr>
                <w:sz w:val="20"/>
                <w:szCs w:val="20"/>
                <w:color w:val="auto"/>
              </w:rPr>
            </w:pPr>
            <w:r>
              <w:rPr>
                <w:rFonts w:ascii="Arial" w:cs="Arial" w:eastAsia="Arial" w:hAnsi="Arial"/>
                <w:sz w:val="13"/>
                <w:szCs w:val="13"/>
                <w:color w:val="auto"/>
                <w:w w:val="94"/>
              </w:rPr>
              <w:t>4.4%</w:t>
            </w:r>
          </w:p>
        </w:tc>
        <w:tc>
          <w:tcPr>
            <w:tcW w:w="2800" w:type="dxa"/>
            <w:vAlign w:val="bottom"/>
            <w:shd w:val="clear" w:color="auto" w:fill="CFF0FC"/>
          </w:tcPr>
          <w:p>
            <w:pPr>
              <w:spacing w:after="0"/>
              <w:rPr>
                <w:sz w:val="20"/>
                <w:szCs w:val="20"/>
                <w:color w:val="auto"/>
              </w:rPr>
            </w:pPr>
            <w:r>
              <w:rPr>
                <w:rFonts w:ascii="Arial" w:cs="Arial" w:eastAsia="Arial" w:hAnsi="Arial"/>
                <w:sz w:val="13"/>
                <w:szCs w:val="13"/>
                <w:color w:val="auto"/>
                <w:w w:val="98"/>
              </w:rPr>
              <w:t>Cash, 1 Month Libor (0.15%) + 4.25% , Due 7/25</w:t>
            </w:r>
          </w:p>
        </w:tc>
        <w:tc>
          <w:tcPr>
            <w:tcW w:w="1100" w:type="dxa"/>
            <w:vAlign w:val="bottom"/>
            <w:shd w:val="clear" w:color="auto" w:fill="CFF0FC"/>
          </w:tcPr>
          <w:p>
            <w:pPr>
              <w:jc w:val="right"/>
              <w:ind w:right="177"/>
              <w:spacing w:after="0"/>
              <w:rPr>
                <w:sz w:val="20"/>
                <w:szCs w:val="20"/>
                <w:color w:val="auto"/>
              </w:rPr>
            </w:pPr>
            <w:r>
              <w:rPr>
                <w:rFonts w:ascii="Arial" w:cs="Arial" w:eastAsia="Arial" w:hAnsi="Arial"/>
                <w:sz w:val="13"/>
                <w:szCs w:val="13"/>
                <w:color w:val="auto"/>
              </w:rPr>
              <w:t>6/27/2019</w:t>
            </w:r>
          </w:p>
        </w:tc>
        <w:tc>
          <w:tcPr>
            <w:tcW w:w="1200" w:type="dxa"/>
            <w:vAlign w:val="bottom"/>
            <w:shd w:val="clear" w:color="auto" w:fill="CFF0FC"/>
          </w:tcPr>
          <w:p>
            <w:pPr>
              <w:jc w:val="right"/>
              <w:ind w:right="377"/>
              <w:spacing w:after="0"/>
              <w:rPr>
                <w:sz w:val="20"/>
                <w:szCs w:val="20"/>
                <w:color w:val="auto"/>
              </w:rPr>
            </w:pPr>
            <w:r>
              <w:rPr>
                <w:rFonts w:ascii="Arial" w:cs="Arial" w:eastAsia="Arial" w:hAnsi="Arial"/>
                <w:sz w:val="13"/>
                <w:szCs w:val="13"/>
                <w:color w:val="auto"/>
              </w:rPr>
              <w:t>465,621</w:t>
            </w:r>
          </w:p>
        </w:tc>
        <w:tc>
          <w:tcPr>
            <w:tcW w:w="1260" w:type="dxa"/>
            <w:vAlign w:val="bottom"/>
            <w:shd w:val="clear" w:color="auto" w:fill="CFF0FC"/>
          </w:tcPr>
          <w:p>
            <w:pPr>
              <w:jc w:val="right"/>
              <w:ind w:right="277"/>
              <w:spacing w:after="0"/>
              <w:rPr>
                <w:sz w:val="20"/>
                <w:szCs w:val="20"/>
                <w:color w:val="auto"/>
              </w:rPr>
            </w:pPr>
            <w:r>
              <w:rPr>
                <w:rFonts w:ascii="Arial" w:cs="Arial" w:eastAsia="Arial" w:hAnsi="Arial"/>
                <w:sz w:val="13"/>
                <w:szCs w:val="13"/>
                <w:color w:val="auto"/>
              </w:rPr>
              <w:t>465,621</w:t>
            </w:r>
          </w:p>
        </w:tc>
        <w:tc>
          <w:tcPr>
            <w:tcW w:w="92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452,042</w:t>
            </w: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120" w:type="dxa"/>
            <w:vAlign w:val="bottom"/>
            <w:gridSpan w:val="2"/>
          </w:tcPr>
          <w:p>
            <w:pPr>
              <w:spacing w:after="0"/>
              <w:rPr>
                <w:sz w:val="12"/>
                <w:szCs w:val="12"/>
                <w:color w:val="auto"/>
              </w:rPr>
            </w:pPr>
          </w:p>
        </w:tc>
        <w:tc>
          <w:tcPr>
            <w:tcW w:w="1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200" w:type="dxa"/>
            <w:vAlign w:val="bottom"/>
            <w:shd w:val="clear" w:color="auto" w:fill="CFF0FC"/>
          </w:tcPr>
          <w:p>
            <w:pPr>
              <w:spacing w:after="0"/>
              <w:rPr>
                <w:sz w:val="20"/>
                <w:szCs w:val="20"/>
                <w:color w:val="auto"/>
              </w:rPr>
            </w:pPr>
            <w:r>
              <w:rPr>
                <w:rFonts w:ascii="Arial" w:cs="Arial" w:eastAsia="Arial" w:hAnsi="Arial"/>
                <w:sz w:val="13"/>
                <w:szCs w:val="13"/>
                <w:color w:val="auto"/>
              </w:rPr>
              <w:t>Drilling Info Holdings, Inc.</w:t>
            </w:r>
          </w:p>
        </w:tc>
        <w:tc>
          <w:tcPr>
            <w:tcW w:w="1440" w:type="dxa"/>
            <w:vAlign w:val="bottom"/>
            <w:shd w:val="clear" w:color="auto" w:fill="CFF0FC"/>
          </w:tcPr>
          <w:p>
            <w:pPr>
              <w:ind w:left="740"/>
              <w:spacing w:after="0"/>
              <w:rPr>
                <w:sz w:val="20"/>
                <w:szCs w:val="20"/>
                <w:color w:val="auto"/>
              </w:rPr>
            </w:pPr>
            <w:r>
              <w:rPr>
                <w:rFonts w:ascii="Arial" w:cs="Arial" w:eastAsia="Arial" w:hAnsi="Arial"/>
                <w:sz w:val="11"/>
                <w:szCs w:val="11"/>
                <w:color w:val="auto"/>
                <w:w w:val="94"/>
              </w:rPr>
              <w:t>(8)(13)(14)(21)</w:t>
            </w:r>
          </w:p>
        </w:tc>
        <w:tc>
          <w:tcPr>
            <w:tcW w:w="312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Senior Secured Loan — 2020 Term Loan (First Lien)</w:t>
            </w:r>
          </w:p>
        </w:tc>
        <w:tc>
          <w:tcPr>
            <w:tcW w:w="110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2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3"/>
                <w:szCs w:val="13"/>
                <w:color w:val="auto"/>
              </w:rPr>
              <w:t>High Tech Industries</w:t>
            </w:r>
          </w:p>
        </w:tc>
        <w:tc>
          <w:tcPr>
            <w:tcW w:w="14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w w:val="94"/>
              </w:rPr>
              <w:t>4.7%</w:t>
            </w:r>
          </w:p>
        </w:tc>
        <w:tc>
          <w:tcPr>
            <w:tcW w:w="28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3"/>
                <w:szCs w:val="13"/>
                <w:color w:val="auto"/>
                <w:w w:val="98"/>
              </w:rPr>
              <w:t>Cash, 1 Month Libor (0.15%) + 4.50% , Due 7/25</w:t>
            </w:r>
          </w:p>
        </w:tc>
        <w:tc>
          <w:tcPr>
            <w:tcW w:w="1100" w:type="dxa"/>
            <w:vAlign w:val="bottom"/>
            <w:tcBorders>
              <w:bottom w:val="single" w:sz="8" w:color="CFF0FC"/>
            </w:tcBorders>
            <w:shd w:val="clear" w:color="auto" w:fill="CFF0FC"/>
          </w:tcPr>
          <w:p>
            <w:pPr>
              <w:jc w:val="right"/>
              <w:ind w:right="177"/>
              <w:spacing w:after="0"/>
              <w:rPr>
                <w:sz w:val="20"/>
                <w:szCs w:val="20"/>
                <w:color w:val="auto"/>
              </w:rPr>
            </w:pPr>
            <w:r>
              <w:rPr>
                <w:rFonts w:ascii="Arial" w:cs="Arial" w:eastAsia="Arial" w:hAnsi="Arial"/>
                <w:sz w:val="13"/>
                <w:szCs w:val="13"/>
                <w:color w:val="auto"/>
              </w:rPr>
              <w:t>2/14/2020</w:t>
            </w:r>
          </w:p>
        </w:tc>
        <w:tc>
          <w:tcPr>
            <w:tcW w:w="1200" w:type="dxa"/>
            <w:vAlign w:val="bottom"/>
            <w:tcBorders>
              <w:bottom w:val="single" w:sz="8" w:color="CFF0FC"/>
            </w:tcBorders>
            <w:shd w:val="clear" w:color="auto" w:fill="CFF0FC"/>
          </w:tcPr>
          <w:p>
            <w:pPr>
              <w:jc w:val="right"/>
              <w:ind w:right="377"/>
              <w:spacing w:after="0"/>
              <w:rPr>
                <w:sz w:val="20"/>
                <w:szCs w:val="20"/>
                <w:color w:val="auto"/>
              </w:rPr>
            </w:pPr>
            <w:r>
              <w:rPr>
                <w:rFonts w:ascii="Arial" w:cs="Arial" w:eastAsia="Arial" w:hAnsi="Arial"/>
                <w:sz w:val="13"/>
                <w:szCs w:val="13"/>
                <w:color w:val="auto"/>
              </w:rPr>
              <w:t>992,500</w:t>
            </w:r>
          </w:p>
        </w:tc>
        <w:tc>
          <w:tcPr>
            <w:tcW w:w="1260" w:type="dxa"/>
            <w:vAlign w:val="bottom"/>
            <w:tcBorders>
              <w:bottom w:val="single" w:sz="8" w:color="CFF0FC"/>
            </w:tcBorders>
            <w:shd w:val="clear" w:color="auto" w:fill="CFF0FC"/>
          </w:tcPr>
          <w:p>
            <w:pPr>
              <w:jc w:val="right"/>
              <w:ind w:right="277"/>
              <w:spacing w:after="0"/>
              <w:rPr>
                <w:sz w:val="20"/>
                <w:szCs w:val="20"/>
                <w:color w:val="auto"/>
              </w:rPr>
            </w:pPr>
            <w:r>
              <w:rPr>
                <w:rFonts w:ascii="Arial" w:cs="Arial" w:eastAsia="Arial" w:hAnsi="Arial"/>
                <w:sz w:val="13"/>
                <w:szCs w:val="13"/>
                <w:color w:val="auto"/>
              </w:rPr>
              <w:t>988,340</w:t>
            </w:r>
          </w:p>
        </w:tc>
        <w:tc>
          <w:tcPr>
            <w:tcW w:w="920" w:type="dxa"/>
            <w:vAlign w:val="bottom"/>
            <w:tcBorders>
              <w:bottom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947,838</w:t>
            </w:r>
          </w:p>
        </w:tc>
        <w:tc>
          <w:tcPr>
            <w:tcW w:w="0" w:type="dxa"/>
            <w:vAlign w:val="bottom"/>
          </w:tcPr>
          <w:p>
            <w:pPr>
              <w:spacing w:after="0"/>
              <w:rPr>
                <w:sz w:val="1"/>
                <w:szCs w:val="1"/>
                <w:color w:val="auto"/>
              </w:rPr>
            </w:pPr>
          </w:p>
        </w:tc>
      </w:tr>
      <w:tr>
        <w:trPr>
          <w:trHeight w:val="148"/>
        </w:trPr>
        <w:tc>
          <w:tcPr>
            <w:tcW w:w="2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200" w:type="dxa"/>
            <w:vAlign w:val="bottom"/>
            <w:shd w:val="clear" w:color="auto" w:fill="CFF0FC"/>
          </w:tcPr>
          <w:p>
            <w:pPr>
              <w:spacing w:after="0"/>
              <w:rPr>
                <w:sz w:val="20"/>
                <w:szCs w:val="20"/>
                <w:color w:val="auto"/>
              </w:rPr>
            </w:pPr>
            <w:r>
              <w:rPr>
                <w:rFonts w:ascii="Arial" w:cs="Arial" w:eastAsia="Arial" w:hAnsi="Arial"/>
                <w:sz w:val="13"/>
                <w:szCs w:val="13"/>
                <w:color w:val="auto"/>
              </w:rPr>
              <w:t>Electronics for Imaging, Inc.</w:t>
            </w:r>
          </w:p>
        </w:tc>
        <w:tc>
          <w:tcPr>
            <w:tcW w:w="1440" w:type="dxa"/>
            <w:vAlign w:val="bottom"/>
            <w:shd w:val="clear" w:color="auto" w:fill="CFF0FC"/>
          </w:tcPr>
          <w:p>
            <w:pPr>
              <w:ind w:left="740"/>
              <w:spacing w:after="0"/>
              <w:rPr>
                <w:sz w:val="20"/>
                <w:szCs w:val="20"/>
                <w:color w:val="auto"/>
              </w:rPr>
            </w:pPr>
            <w:r>
              <w:rPr>
                <w:rFonts w:ascii="Arial" w:cs="Arial" w:eastAsia="Arial" w:hAnsi="Arial"/>
                <w:sz w:val="11"/>
                <w:szCs w:val="11"/>
                <w:color w:val="auto"/>
              </w:rPr>
              <w:t>(8)(14)</w:t>
            </w:r>
          </w:p>
        </w:tc>
        <w:tc>
          <w:tcPr>
            <w:tcW w:w="3120" w:type="dxa"/>
            <w:vAlign w:val="bottom"/>
            <w:gridSpan w:val="2"/>
            <w:vMerge w:val="restart"/>
            <w:shd w:val="clear" w:color="auto" w:fill="CFF0FC"/>
          </w:tcPr>
          <w:p>
            <w:pPr>
              <w:ind w:left="20"/>
              <w:spacing w:after="0"/>
              <w:rPr>
                <w:sz w:val="20"/>
                <w:szCs w:val="20"/>
                <w:color w:val="auto"/>
              </w:rPr>
            </w:pPr>
            <w:r>
              <w:rPr>
                <w:rFonts w:ascii="Arial" w:cs="Arial" w:eastAsia="Arial" w:hAnsi="Arial"/>
                <w:sz w:val="13"/>
                <w:szCs w:val="13"/>
                <w:color w:val="auto"/>
              </w:rPr>
              <w:t>Senior Secured Loan — First Lien Term Loan</w:t>
            </w:r>
          </w:p>
        </w:tc>
        <w:tc>
          <w:tcPr>
            <w:tcW w:w="110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200" w:type="dxa"/>
            <w:vAlign w:val="bottom"/>
            <w:shd w:val="clear" w:color="auto" w:fill="CFF0FC"/>
          </w:tcPr>
          <w:p>
            <w:pPr>
              <w:spacing w:after="0"/>
              <w:rPr>
                <w:sz w:val="3"/>
                <w:szCs w:val="3"/>
                <w:color w:val="auto"/>
              </w:rPr>
            </w:pPr>
          </w:p>
        </w:tc>
        <w:tc>
          <w:tcPr>
            <w:tcW w:w="1440" w:type="dxa"/>
            <w:vAlign w:val="bottom"/>
            <w:shd w:val="clear" w:color="auto" w:fill="CFF0FC"/>
          </w:tcPr>
          <w:p>
            <w:pPr>
              <w:spacing w:after="0"/>
              <w:rPr>
                <w:sz w:val="3"/>
                <w:szCs w:val="3"/>
                <w:color w:val="auto"/>
              </w:rPr>
            </w:pPr>
          </w:p>
        </w:tc>
        <w:tc>
          <w:tcPr>
            <w:tcW w:w="3120" w:type="dxa"/>
            <w:vAlign w:val="bottom"/>
            <w:gridSpan w:val="2"/>
            <w:vMerge w:val="continue"/>
            <w:shd w:val="clear" w:color="auto" w:fill="CFF0FC"/>
          </w:tcPr>
          <w:p>
            <w:pPr>
              <w:spacing w:after="0"/>
              <w:rPr>
                <w:sz w:val="3"/>
                <w:szCs w:val="3"/>
                <w:color w:val="auto"/>
              </w:rPr>
            </w:pPr>
          </w:p>
        </w:tc>
        <w:tc>
          <w:tcPr>
            <w:tcW w:w="1100" w:type="dxa"/>
            <w:vAlign w:val="bottom"/>
            <w:shd w:val="clear" w:color="auto" w:fill="CFF0FC"/>
          </w:tcPr>
          <w:p>
            <w:pPr>
              <w:spacing w:after="0"/>
              <w:rPr>
                <w:sz w:val="3"/>
                <w:szCs w:val="3"/>
                <w:color w:val="auto"/>
              </w:rPr>
            </w:pPr>
          </w:p>
        </w:tc>
        <w:tc>
          <w:tcPr>
            <w:tcW w:w="1200" w:type="dxa"/>
            <w:vAlign w:val="bottom"/>
            <w:shd w:val="clear" w:color="auto" w:fill="CFF0FC"/>
          </w:tcPr>
          <w:p>
            <w:pPr>
              <w:spacing w:after="0"/>
              <w:rPr>
                <w:sz w:val="3"/>
                <w:szCs w:val="3"/>
                <w:color w:val="auto"/>
              </w:rPr>
            </w:pPr>
          </w:p>
        </w:tc>
        <w:tc>
          <w:tcPr>
            <w:tcW w:w="1260" w:type="dxa"/>
            <w:vAlign w:val="bottom"/>
            <w:shd w:val="clear" w:color="auto" w:fill="CFF0FC"/>
          </w:tcPr>
          <w:p>
            <w:pPr>
              <w:spacing w:after="0"/>
              <w:rPr>
                <w:sz w:val="3"/>
                <w:szCs w:val="3"/>
                <w:color w:val="auto"/>
              </w:rPr>
            </w:pPr>
          </w:p>
        </w:tc>
        <w:tc>
          <w:tcPr>
            <w:tcW w:w="920" w:type="dxa"/>
            <w:vAlign w:val="bottom"/>
            <w:shd w:val="clear" w:color="auto" w:fill="CFF0FC"/>
          </w:tcPr>
          <w:p>
            <w:pPr>
              <w:spacing w:after="0"/>
              <w:rPr>
                <w:sz w:val="3"/>
                <w:szCs w:val="3"/>
                <w:color w:val="auto"/>
              </w:rPr>
            </w:pPr>
          </w:p>
        </w:tc>
        <w:tc>
          <w:tcPr>
            <w:tcW w:w="0" w:type="dxa"/>
            <w:vAlign w:val="bottom"/>
          </w:tcPr>
          <w:p>
            <w:pPr>
              <w:spacing w:after="0"/>
              <w:rPr>
                <w:sz w:val="1"/>
                <w:szCs w:val="1"/>
                <w:color w:val="auto"/>
              </w:rPr>
            </w:pPr>
          </w:p>
        </w:tc>
      </w:tr>
      <w:tr>
        <w:trPr>
          <w:trHeight w:val="197"/>
        </w:trPr>
        <w:tc>
          <w:tcPr>
            <w:tcW w:w="22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3"/>
                <w:szCs w:val="13"/>
                <w:color w:val="auto"/>
              </w:rPr>
              <w:t>Electronics</w:t>
            </w:r>
          </w:p>
        </w:tc>
        <w:tc>
          <w:tcPr>
            <w:tcW w:w="14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w w:val="94"/>
              </w:rPr>
              <w:t>5.2%</w:t>
            </w:r>
          </w:p>
        </w:tc>
        <w:tc>
          <w:tcPr>
            <w:tcW w:w="28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3"/>
                <w:szCs w:val="13"/>
                <w:color w:val="auto"/>
                <w:w w:val="98"/>
              </w:rPr>
              <w:t>Cash, 1 Month Libor (0.15%) + 5.00% , Due 7/26</w:t>
            </w:r>
          </w:p>
        </w:tc>
        <w:tc>
          <w:tcPr>
            <w:tcW w:w="1100" w:type="dxa"/>
            <w:vAlign w:val="bottom"/>
            <w:tcBorders>
              <w:bottom w:val="single" w:sz="8" w:color="CFF0FC"/>
            </w:tcBorders>
            <w:shd w:val="clear" w:color="auto" w:fill="CFF0FC"/>
          </w:tcPr>
          <w:p>
            <w:pPr>
              <w:jc w:val="right"/>
              <w:ind w:right="177"/>
              <w:spacing w:after="0"/>
              <w:rPr>
                <w:sz w:val="20"/>
                <w:szCs w:val="20"/>
                <w:color w:val="auto"/>
              </w:rPr>
            </w:pPr>
            <w:r>
              <w:rPr>
                <w:rFonts w:ascii="Arial" w:cs="Arial" w:eastAsia="Arial" w:hAnsi="Arial"/>
                <w:sz w:val="13"/>
                <w:szCs w:val="13"/>
                <w:color w:val="auto"/>
              </w:rPr>
              <w:t>10/28/2020</w:t>
            </w:r>
          </w:p>
        </w:tc>
        <w:tc>
          <w:tcPr>
            <w:tcW w:w="1200" w:type="dxa"/>
            <w:vAlign w:val="bottom"/>
            <w:tcBorders>
              <w:bottom w:val="single" w:sz="8" w:color="CFF0FC"/>
            </w:tcBorders>
            <w:shd w:val="clear" w:color="auto" w:fill="CFF0FC"/>
          </w:tcPr>
          <w:p>
            <w:pPr>
              <w:jc w:val="right"/>
              <w:ind w:right="377"/>
              <w:spacing w:after="0"/>
              <w:rPr>
                <w:sz w:val="20"/>
                <w:szCs w:val="20"/>
                <w:color w:val="auto"/>
              </w:rPr>
            </w:pPr>
            <w:r>
              <w:rPr>
                <w:rFonts w:ascii="Arial" w:cs="Arial" w:eastAsia="Arial" w:hAnsi="Arial"/>
                <w:sz w:val="13"/>
                <w:szCs w:val="13"/>
                <w:color w:val="auto"/>
              </w:rPr>
              <w:t>2,181,735</w:t>
            </w:r>
          </w:p>
        </w:tc>
        <w:tc>
          <w:tcPr>
            <w:tcW w:w="1260" w:type="dxa"/>
            <w:vAlign w:val="bottom"/>
            <w:tcBorders>
              <w:bottom w:val="single" w:sz="8" w:color="CFF0FC"/>
            </w:tcBorders>
            <w:shd w:val="clear" w:color="auto" w:fill="CFF0FC"/>
          </w:tcPr>
          <w:p>
            <w:pPr>
              <w:jc w:val="right"/>
              <w:ind w:right="277"/>
              <w:spacing w:after="0"/>
              <w:rPr>
                <w:sz w:val="20"/>
                <w:szCs w:val="20"/>
                <w:color w:val="auto"/>
              </w:rPr>
            </w:pPr>
            <w:r>
              <w:rPr>
                <w:rFonts w:ascii="Arial" w:cs="Arial" w:eastAsia="Arial" w:hAnsi="Arial"/>
                <w:sz w:val="13"/>
                <w:szCs w:val="13"/>
                <w:color w:val="auto"/>
              </w:rPr>
              <w:t>1,639,163</w:t>
            </w:r>
          </w:p>
        </w:tc>
        <w:tc>
          <w:tcPr>
            <w:tcW w:w="920" w:type="dxa"/>
            <w:vAlign w:val="bottom"/>
            <w:tcBorders>
              <w:bottom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1,875,605</w:t>
            </w:r>
          </w:p>
        </w:tc>
        <w:tc>
          <w:tcPr>
            <w:tcW w:w="0" w:type="dxa"/>
            <w:vAlign w:val="bottom"/>
          </w:tcPr>
          <w:p>
            <w:pPr>
              <w:spacing w:after="0"/>
              <w:rPr>
                <w:sz w:val="1"/>
                <w:szCs w:val="1"/>
                <w:color w:val="auto"/>
              </w:rPr>
            </w:pPr>
          </w:p>
        </w:tc>
      </w:tr>
      <w:tr>
        <w:trPr>
          <w:trHeight w:val="148"/>
        </w:trPr>
        <w:tc>
          <w:tcPr>
            <w:tcW w:w="2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120" w:type="dxa"/>
            <w:vAlign w:val="bottom"/>
            <w:gridSpan w:val="2"/>
          </w:tcPr>
          <w:p>
            <w:pPr>
              <w:spacing w:after="0"/>
              <w:rPr>
                <w:sz w:val="12"/>
                <w:szCs w:val="12"/>
                <w:color w:val="auto"/>
              </w:rPr>
            </w:pPr>
          </w:p>
        </w:tc>
        <w:tc>
          <w:tcPr>
            <w:tcW w:w="1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2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ELO Touch Solutions, Inc.</w:t>
            </w:r>
          </w:p>
        </w:tc>
        <w:tc>
          <w:tcPr>
            <w:tcW w:w="1440" w:type="dxa"/>
            <w:vAlign w:val="bottom"/>
            <w:shd w:val="clear" w:color="auto" w:fill="CFF0FC"/>
          </w:tcPr>
          <w:p>
            <w:pPr>
              <w:ind w:left="740"/>
              <w:spacing w:after="0"/>
              <w:rPr>
                <w:sz w:val="20"/>
                <w:szCs w:val="20"/>
                <w:color w:val="auto"/>
              </w:rPr>
            </w:pPr>
            <w:r>
              <w:rPr>
                <w:rFonts w:ascii="Arial" w:cs="Arial" w:eastAsia="Arial" w:hAnsi="Arial"/>
                <w:sz w:val="11"/>
                <w:szCs w:val="11"/>
                <w:color w:val="auto"/>
              </w:rPr>
              <w:t>(8)(13)(14)</w:t>
            </w:r>
          </w:p>
        </w:tc>
        <w:tc>
          <w:tcPr>
            <w:tcW w:w="3120" w:type="dxa"/>
            <w:vAlign w:val="bottom"/>
            <w:gridSpan w:val="2"/>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First Lien Term Loan</w:t>
            </w:r>
          </w:p>
        </w:tc>
        <w:tc>
          <w:tcPr>
            <w:tcW w:w="110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26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00" w:type="dxa"/>
            <w:vAlign w:val="bottom"/>
            <w:shd w:val="clear" w:color="auto" w:fill="CFF0FC"/>
          </w:tcPr>
          <w:p>
            <w:pPr>
              <w:spacing w:after="0"/>
              <w:rPr>
                <w:sz w:val="11"/>
                <w:szCs w:val="11"/>
                <w:color w:val="auto"/>
              </w:rPr>
            </w:pPr>
          </w:p>
        </w:tc>
        <w:tc>
          <w:tcPr>
            <w:tcW w:w="1440" w:type="dxa"/>
            <w:vAlign w:val="bottom"/>
            <w:shd w:val="clear" w:color="auto" w:fill="CFF0FC"/>
          </w:tcPr>
          <w:p>
            <w:pPr>
              <w:spacing w:after="0"/>
              <w:rPr>
                <w:sz w:val="11"/>
                <w:szCs w:val="11"/>
                <w:color w:val="auto"/>
              </w:rPr>
            </w:pPr>
          </w:p>
        </w:tc>
        <w:tc>
          <w:tcPr>
            <w:tcW w:w="320" w:type="dxa"/>
            <w:vAlign w:val="bottom"/>
            <w:shd w:val="clear" w:color="auto" w:fill="CFF0FC"/>
          </w:tcPr>
          <w:p>
            <w:pPr>
              <w:ind w:left="20"/>
              <w:spacing w:after="0" w:line="135" w:lineRule="exact"/>
              <w:rPr>
                <w:sz w:val="20"/>
                <w:szCs w:val="20"/>
                <w:color w:val="auto"/>
              </w:rPr>
            </w:pPr>
            <w:r>
              <w:rPr>
                <w:rFonts w:ascii="Arial" w:cs="Arial" w:eastAsia="Arial" w:hAnsi="Arial"/>
                <w:sz w:val="13"/>
                <w:szCs w:val="13"/>
                <w:color w:val="auto"/>
                <w:w w:val="94"/>
              </w:rPr>
              <w:t>6.6%</w:t>
            </w:r>
          </w:p>
        </w:tc>
        <w:tc>
          <w:tcPr>
            <w:tcW w:w="280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Cash, 1 Month Libor (0.15%) + 6.50% , Due</w:t>
            </w:r>
          </w:p>
        </w:tc>
        <w:tc>
          <w:tcPr>
            <w:tcW w:w="110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26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2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High Tech Industries</w:t>
            </w:r>
          </w:p>
        </w:tc>
        <w:tc>
          <w:tcPr>
            <w:tcW w:w="1440" w:type="dxa"/>
            <w:vAlign w:val="bottom"/>
            <w:shd w:val="clear" w:color="auto" w:fill="CFF0FC"/>
          </w:tcPr>
          <w:p>
            <w:pPr>
              <w:spacing w:after="0"/>
              <w:rPr>
                <w:sz w:val="12"/>
                <w:szCs w:val="12"/>
                <w:color w:val="auto"/>
              </w:rPr>
            </w:pPr>
          </w:p>
        </w:tc>
        <w:tc>
          <w:tcPr>
            <w:tcW w:w="320" w:type="dxa"/>
            <w:vAlign w:val="bottom"/>
            <w:shd w:val="clear" w:color="auto" w:fill="CFF0FC"/>
          </w:tcPr>
          <w:p>
            <w:pPr>
              <w:ind w:left="20"/>
              <w:spacing w:after="0"/>
              <w:rPr>
                <w:sz w:val="20"/>
                <w:szCs w:val="20"/>
                <w:color w:val="auto"/>
              </w:rPr>
            </w:pPr>
            <w:r>
              <w:rPr>
                <w:rFonts w:ascii="Arial" w:cs="Arial" w:eastAsia="Arial" w:hAnsi="Arial"/>
                <w:sz w:val="13"/>
                <w:szCs w:val="13"/>
                <w:color w:val="auto"/>
                <w:w w:val="85"/>
              </w:rPr>
              <w:t>12/25</w:t>
            </w:r>
          </w:p>
        </w:tc>
        <w:tc>
          <w:tcPr>
            <w:tcW w:w="2800" w:type="dxa"/>
            <w:vAlign w:val="bottom"/>
            <w:shd w:val="clear" w:color="auto" w:fill="CFF0FC"/>
          </w:tcPr>
          <w:p>
            <w:pPr>
              <w:spacing w:after="0"/>
              <w:rPr>
                <w:sz w:val="12"/>
                <w:szCs w:val="12"/>
                <w:color w:val="auto"/>
              </w:rPr>
            </w:pPr>
          </w:p>
        </w:tc>
        <w:tc>
          <w:tcPr>
            <w:tcW w:w="1100" w:type="dxa"/>
            <w:vAlign w:val="bottom"/>
            <w:shd w:val="clear" w:color="auto" w:fill="CFF0FC"/>
          </w:tcPr>
          <w:p>
            <w:pPr>
              <w:jc w:val="right"/>
              <w:ind w:right="177"/>
              <w:spacing w:after="0"/>
              <w:rPr>
                <w:sz w:val="20"/>
                <w:szCs w:val="20"/>
                <w:color w:val="auto"/>
              </w:rPr>
            </w:pPr>
            <w:r>
              <w:rPr>
                <w:rFonts w:ascii="Arial" w:cs="Arial" w:eastAsia="Arial" w:hAnsi="Arial"/>
                <w:sz w:val="13"/>
                <w:szCs w:val="13"/>
                <w:color w:val="auto"/>
              </w:rPr>
              <w:t>10/28/2020</w:t>
            </w:r>
          </w:p>
        </w:tc>
        <w:tc>
          <w:tcPr>
            <w:tcW w:w="1200" w:type="dxa"/>
            <w:vAlign w:val="bottom"/>
            <w:shd w:val="clear" w:color="auto" w:fill="CFF0FC"/>
          </w:tcPr>
          <w:p>
            <w:pPr>
              <w:jc w:val="right"/>
              <w:ind w:right="377"/>
              <w:spacing w:after="0"/>
              <w:rPr>
                <w:sz w:val="20"/>
                <w:szCs w:val="20"/>
                <w:color w:val="auto"/>
              </w:rPr>
            </w:pPr>
            <w:r>
              <w:rPr>
                <w:rFonts w:ascii="Arial" w:cs="Arial" w:eastAsia="Arial" w:hAnsi="Arial"/>
                <w:sz w:val="13"/>
                <w:szCs w:val="13"/>
                <w:color w:val="auto"/>
              </w:rPr>
              <w:t>2,665,527</w:t>
            </w:r>
          </w:p>
        </w:tc>
        <w:tc>
          <w:tcPr>
            <w:tcW w:w="1260" w:type="dxa"/>
            <w:vAlign w:val="bottom"/>
            <w:shd w:val="clear" w:color="auto" w:fill="CFF0FC"/>
          </w:tcPr>
          <w:p>
            <w:pPr>
              <w:jc w:val="right"/>
              <w:ind w:right="277"/>
              <w:spacing w:after="0"/>
              <w:rPr>
                <w:sz w:val="20"/>
                <w:szCs w:val="20"/>
                <w:color w:val="auto"/>
              </w:rPr>
            </w:pPr>
            <w:r>
              <w:rPr>
                <w:rFonts w:ascii="Arial" w:cs="Arial" w:eastAsia="Arial" w:hAnsi="Arial"/>
                <w:sz w:val="13"/>
                <w:szCs w:val="13"/>
                <w:color w:val="auto"/>
              </w:rPr>
              <w:t>2,267,328</w:t>
            </w:r>
          </w:p>
        </w:tc>
        <w:tc>
          <w:tcPr>
            <w:tcW w:w="92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2,632,741</w:t>
            </w:r>
          </w:p>
        </w:tc>
        <w:tc>
          <w:tcPr>
            <w:tcW w:w="0" w:type="dxa"/>
            <w:vAlign w:val="bottom"/>
          </w:tcPr>
          <w:p>
            <w:pPr>
              <w:spacing w:after="0"/>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type w:val="continuous"/>
        </w:sectPr>
      </w:pPr>
    </w:p>
    <w:bookmarkStart w:id="27" w:name="page28"/>
    <w:bookmarkEnd w:id="27"/>
    <w:p>
      <w:pPr>
        <w:spacing w:after="0" w:line="14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Portfolio Company /</w:t>
      </w:r>
    </w:p>
    <w:p>
      <w:pPr>
        <w:spacing w:after="0"/>
        <w:rPr>
          <w:sz w:val="20"/>
          <w:szCs w:val="20"/>
          <w:color w:val="auto"/>
        </w:rPr>
      </w:pPr>
      <w:r>
        <w:rPr>
          <w:rFonts w:ascii="Arial" w:cs="Arial" w:eastAsia="Arial" w:hAnsi="Arial"/>
          <w:sz w:val="13"/>
          <w:szCs w:val="13"/>
          <w:b w:val="1"/>
          <w:bCs w:val="1"/>
          <w:color w:val="auto"/>
        </w:rPr>
        <w:t>Principal Business</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auto"/>
        </w:rPr>
        <w:t>Emtec, Inc.</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3"/>
          <w:szCs w:val="13"/>
          <w:color w:val="auto"/>
        </w:rPr>
        <w:t>Services: Business</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Emtec, Inc.</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3"/>
          <w:szCs w:val="13"/>
          <w:color w:val="auto"/>
        </w:rPr>
        <w:t>Services: Business</w:t>
      </w:r>
    </w:p>
    <w:p>
      <w:pPr>
        <w:spacing w:after="0" w:line="143" w:lineRule="exact"/>
        <w:rPr>
          <w:sz w:val="20"/>
          <w:szCs w:val="20"/>
          <w:color w:val="auto"/>
        </w:rPr>
      </w:pPr>
    </w:p>
    <w:p>
      <w:pPr>
        <w:spacing w:after="0"/>
        <w:rPr>
          <w:sz w:val="20"/>
          <w:szCs w:val="20"/>
          <w:color w:val="auto"/>
        </w:rPr>
      </w:pPr>
      <w:r>
        <w:rPr>
          <w:rFonts w:ascii="Arial" w:cs="Arial" w:eastAsia="Arial" w:hAnsi="Arial"/>
          <w:sz w:val="13"/>
          <w:szCs w:val="13"/>
          <w:color w:val="auto"/>
        </w:rPr>
        <w:t>Energy Acquisition Lp</w:t>
      </w:r>
    </w:p>
    <w:p>
      <w:pPr>
        <w:ind w:left="160"/>
        <w:spacing w:after="0"/>
        <w:rPr>
          <w:sz w:val="20"/>
          <w:szCs w:val="20"/>
          <w:color w:val="auto"/>
        </w:rPr>
      </w:pPr>
      <w:r>
        <w:rPr>
          <w:rFonts w:ascii="Arial" w:cs="Arial" w:eastAsia="Arial" w:hAnsi="Arial"/>
          <w:sz w:val="13"/>
          <w:szCs w:val="13"/>
          <w:color w:val="auto"/>
        </w:rPr>
        <w:t>Electronics</w:t>
      </w:r>
    </w:p>
    <w:p>
      <w:pPr>
        <w:spacing w:after="0" w:line="133" w:lineRule="exact"/>
        <w:rPr>
          <w:sz w:val="20"/>
          <w:szCs w:val="20"/>
          <w:color w:val="auto"/>
        </w:rPr>
      </w:pPr>
    </w:p>
    <w:p>
      <w:pPr>
        <w:spacing w:after="0"/>
        <w:rPr>
          <w:sz w:val="20"/>
          <w:szCs w:val="20"/>
          <w:color w:val="auto"/>
        </w:rPr>
      </w:pPr>
      <w:r>
        <w:rPr>
          <w:rFonts w:ascii="Arial" w:cs="Arial" w:eastAsia="Arial" w:hAnsi="Arial"/>
          <w:sz w:val="13"/>
          <w:szCs w:val="13"/>
          <w:color w:val="auto"/>
        </w:rPr>
        <w:t>Ensono, LP</w:t>
      </w:r>
    </w:p>
    <w:p>
      <w:pPr>
        <w:ind w:left="160"/>
        <w:spacing w:after="0"/>
        <w:rPr>
          <w:sz w:val="20"/>
          <w:szCs w:val="20"/>
          <w:color w:val="auto"/>
        </w:rPr>
      </w:pPr>
      <w:r>
        <w:rPr>
          <w:rFonts w:ascii="Arial" w:cs="Arial" w:eastAsia="Arial" w:hAnsi="Arial"/>
          <w:sz w:val="13"/>
          <w:szCs w:val="13"/>
          <w:color w:val="auto"/>
        </w:rPr>
        <w:t>Telecommunications</w:t>
      </w:r>
    </w:p>
    <w:p>
      <w:pPr>
        <w:spacing w:after="0" w:line="138" w:lineRule="exact"/>
        <w:rPr>
          <w:sz w:val="20"/>
          <w:szCs w:val="20"/>
          <w:color w:val="auto"/>
        </w:rPr>
      </w:pPr>
    </w:p>
    <w:p>
      <w:pPr>
        <w:spacing w:after="0"/>
        <w:rPr>
          <w:sz w:val="20"/>
          <w:szCs w:val="20"/>
          <w:color w:val="auto"/>
        </w:rPr>
      </w:pPr>
      <w:r>
        <w:rPr>
          <w:rFonts w:ascii="Arial" w:cs="Arial" w:eastAsia="Arial" w:hAnsi="Arial"/>
          <w:sz w:val="12"/>
          <w:szCs w:val="12"/>
          <w:color w:val="auto"/>
        </w:rPr>
        <w:t>Evergreen North America Acquisition, LLC</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13"/>
          <w:szCs w:val="13"/>
          <w:color w:val="auto"/>
        </w:rPr>
        <w:t>Environmental Industries</w:t>
      </w:r>
    </w:p>
    <w:p>
      <w:pPr>
        <w:spacing w:after="0" w:line="143" w:lineRule="exact"/>
        <w:rPr>
          <w:sz w:val="20"/>
          <w:szCs w:val="20"/>
          <w:color w:val="auto"/>
        </w:rPr>
      </w:pPr>
    </w:p>
    <w:p>
      <w:pPr>
        <w:spacing w:after="0"/>
        <w:rPr>
          <w:sz w:val="20"/>
          <w:szCs w:val="20"/>
          <w:color w:val="auto"/>
        </w:rPr>
      </w:pPr>
      <w:r>
        <w:rPr>
          <w:rFonts w:ascii="Arial" w:cs="Arial" w:eastAsia="Arial" w:hAnsi="Arial"/>
          <w:sz w:val="13"/>
          <w:szCs w:val="13"/>
          <w:color w:val="auto"/>
        </w:rPr>
        <w:t>Firstlight Holdco Inc.</w:t>
      </w:r>
    </w:p>
    <w:p>
      <w:pPr>
        <w:ind w:left="160"/>
        <w:spacing w:after="0"/>
        <w:rPr>
          <w:sz w:val="20"/>
          <w:szCs w:val="20"/>
          <w:color w:val="auto"/>
        </w:rPr>
      </w:pPr>
      <w:r>
        <w:rPr>
          <w:rFonts w:ascii="Arial" w:cs="Arial" w:eastAsia="Arial" w:hAnsi="Arial"/>
          <w:sz w:val="13"/>
          <w:szCs w:val="13"/>
          <w:color w:val="auto"/>
        </w:rPr>
        <w:t>Telecommunications</w:t>
      </w:r>
    </w:p>
    <w:p>
      <w:pPr>
        <w:spacing w:after="0" w:line="268" w:lineRule="exact"/>
        <w:rPr>
          <w:sz w:val="20"/>
          <w:szCs w:val="20"/>
          <w:color w:val="auto"/>
        </w:rPr>
      </w:pPr>
    </w:p>
    <w:p>
      <w:pPr>
        <w:spacing w:after="0"/>
        <w:rPr>
          <w:sz w:val="20"/>
          <w:szCs w:val="20"/>
          <w:color w:val="auto"/>
        </w:rPr>
      </w:pPr>
      <w:r>
        <w:rPr>
          <w:rFonts w:ascii="Arial" w:cs="Arial" w:eastAsia="Arial" w:hAnsi="Arial"/>
          <w:sz w:val="13"/>
          <w:szCs w:val="13"/>
          <w:color w:val="auto"/>
        </w:rPr>
        <w:t>Fusion Connect, Inc.</w:t>
      </w:r>
    </w:p>
    <w:p>
      <w:pPr>
        <w:ind w:left="160"/>
        <w:spacing w:after="0"/>
        <w:rPr>
          <w:sz w:val="20"/>
          <w:szCs w:val="20"/>
          <w:color w:val="auto"/>
        </w:rPr>
      </w:pPr>
      <w:r>
        <w:rPr>
          <w:rFonts w:ascii="Arial" w:cs="Arial" w:eastAsia="Arial" w:hAnsi="Arial"/>
          <w:sz w:val="13"/>
          <w:szCs w:val="13"/>
          <w:color w:val="auto"/>
        </w:rPr>
        <w:t>Telecommunications</w:t>
      </w:r>
    </w:p>
    <w:p>
      <w:pPr>
        <w:spacing w:after="0" w:line="268" w:lineRule="exact"/>
        <w:rPr>
          <w:sz w:val="20"/>
          <w:szCs w:val="20"/>
          <w:color w:val="auto"/>
        </w:rPr>
      </w:pPr>
    </w:p>
    <w:p>
      <w:pPr>
        <w:spacing w:after="0"/>
        <w:rPr>
          <w:sz w:val="20"/>
          <w:szCs w:val="20"/>
          <w:color w:val="auto"/>
        </w:rPr>
      </w:pPr>
      <w:r>
        <w:rPr>
          <w:rFonts w:ascii="Arial" w:cs="Arial" w:eastAsia="Arial" w:hAnsi="Arial"/>
          <w:sz w:val="13"/>
          <w:szCs w:val="13"/>
          <w:color w:val="auto"/>
        </w:rPr>
        <w:t>Geo Parent Corporation</w:t>
      </w:r>
    </w:p>
    <w:p>
      <w:pPr>
        <w:ind w:left="160"/>
        <w:spacing w:after="0"/>
        <w:rPr>
          <w:sz w:val="20"/>
          <w:szCs w:val="20"/>
          <w:color w:val="auto"/>
        </w:rPr>
      </w:pPr>
      <w:r>
        <w:rPr>
          <w:rFonts w:ascii="Arial" w:cs="Arial" w:eastAsia="Arial" w:hAnsi="Arial"/>
          <w:sz w:val="10"/>
          <w:szCs w:val="10"/>
          <w:color w:val="auto"/>
        </w:rPr>
        <w:t>Media: Advertising, Printing &amp; Publishing</w:t>
      </w:r>
    </w:p>
    <w:p>
      <w:pPr>
        <w:spacing w:after="0" w:line="307" w:lineRule="exact"/>
        <w:rPr>
          <w:sz w:val="20"/>
          <w:szCs w:val="20"/>
          <w:color w:val="auto"/>
        </w:rPr>
      </w:pPr>
    </w:p>
    <w:p>
      <w:pPr>
        <w:spacing w:after="0"/>
        <w:rPr>
          <w:sz w:val="20"/>
          <w:szCs w:val="20"/>
          <w:color w:val="auto"/>
        </w:rPr>
      </w:pPr>
      <w:r>
        <w:rPr>
          <w:rFonts w:ascii="Arial" w:cs="Arial" w:eastAsia="Arial" w:hAnsi="Arial"/>
          <w:sz w:val="13"/>
          <w:szCs w:val="13"/>
          <w:color w:val="auto"/>
        </w:rPr>
        <w:t>GI Revelation Acquisition LLC</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3"/>
          <w:szCs w:val="13"/>
          <w:color w:val="auto"/>
        </w:rPr>
        <w:t>Services: Business</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GK Holdings, Inc.</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3"/>
          <w:szCs w:val="13"/>
          <w:color w:val="auto"/>
        </w:rPr>
        <w:t>Services: Business</w:t>
      </w:r>
    </w:p>
    <w:p>
      <w:pPr>
        <w:spacing w:after="0" w:line="283" w:lineRule="exact"/>
        <w:rPr>
          <w:sz w:val="20"/>
          <w:szCs w:val="20"/>
          <w:color w:val="auto"/>
        </w:rPr>
      </w:pPr>
    </w:p>
    <w:p>
      <w:pPr>
        <w:spacing w:after="0"/>
        <w:rPr>
          <w:sz w:val="20"/>
          <w:szCs w:val="20"/>
          <w:color w:val="auto"/>
        </w:rPr>
      </w:pPr>
      <w:r>
        <w:rPr>
          <w:rFonts w:ascii="Arial" w:cs="Arial" w:eastAsia="Arial" w:hAnsi="Arial"/>
          <w:sz w:val="13"/>
          <w:szCs w:val="13"/>
          <w:color w:val="auto"/>
        </w:rPr>
        <w:t>Global Integrated Flooring Systems Inc.</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3"/>
          <w:szCs w:val="13"/>
          <w:color w:val="auto"/>
        </w:rPr>
        <w:t>Consumer goods: Durable</w:t>
      </w:r>
    </w:p>
    <w:p>
      <w:pPr>
        <w:spacing w:after="0" w:line="143" w:lineRule="exact"/>
        <w:rPr>
          <w:sz w:val="20"/>
          <w:szCs w:val="20"/>
          <w:color w:val="auto"/>
        </w:rPr>
      </w:pPr>
    </w:p>
    <w:p>
      <w:pPr>
        <w:spacing w:after="0"/>
        <w:rPr>
          <w:sz w:val="20"/>
          <w:szCs w:val="20"/>
          <w:color w:val="auto"/>
        </w:rPr>
      </w:pPr>
      <w:r>
        <w:rPr>
          <w:rFonts w:ascii="Arial" w:cs="Arial" w:eastAsia="Arial" w:hAnsi="Arial"/>
          <w:sz w:val="13"/>
          <w:szCs w:val="13"/>
          <w:color w:val="auto"/>
        </w:rPr>
        <w:t>Global Integrated Flooring Systems Inc.</w:t>
      </w:r>
    </w:p>
    <w:p>
      <w:pPr>
        <w:ind w:left="160"/>
        <w:spacing w:after="0"/>
        <w:rPr>
          <w:sz w:val="20"/>
          <w:szCs w:val="20"/>
          <w:color w:val="auto"/>
        </w:rPr>
      </w:pPr>
      <w:r>
        <w:rPr>
          <w:rFonts w:ascii="Arial" w:cs="Arial" w:eastAsia="Arial" w:hAnsi="Arial"/>
          <w:sz w:val="13"/>
          <w:szCs w:val="13"/>
          <w:color w:val="auto"/>
        </w:rPr>
        <w:t>Consumer goods: Durable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Initial</w:t>
            </w: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9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Investment</w:t>
            </w:r>
          </w:p>
        </w:tc>
        <w:tc>
          <w:tcPr>
            <w:tcW w:w="11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gridSpan w:val="2"/>
          </w:tcPr>
          <w:p>
            <w:pPr>
              <w:jc w:val="right"/>
              <w:ind w:right="500"/>
              <w:spacing w:after="0" w:line="135" w:lineRule="exact"/>
              <w:rPr>
                <w:sz w:val="20"/>
                <w:szCs w:val="20"/>
                <w:color w:val="auto"/>
              </w:rPr>
            </w:pPr>
            <w:r>
              <w:rPr>
                <w:rFonts w:ascii="Arial" w:cs="Arial" w:eastAsia="Arial" w:hAnsi="Arial"/>
                <w:sz w:val="13"/>
                <w:szCs w:val="13"/>
                <w:b w:val="1"/>
                <w:bCs w:val="1"/>
                <w:color w:val="auto"/>
              </w:rPr>
              <w:t>Amortized</w:t>
            </w: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9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Interest Rate¹ / Maturity</w:t>
            </w:r>
            <w:r>
              <w:rPr>
                <w:rFonts w:ascii="Arial" w:cs="Arial" w:eastAsia="Arial" w:hAnsi="Arial"/>
                <w:sz w:val="10"/>
                <w:szCs w:val="10"/>
                <w:b w:val="1"/>
                <w:bCs w:val="1"/>
                <w:color w:val="auto"/>
                <w:w w:val="92"/>
              </w:rPr>
              <w:t>15</w:t>
            </w:r>
          </w:p>
        </w:tc>
        <w:tc>
          <w:tcPr>
            <w:tcW w:w="11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5"/>
              </w:rPr>
              <w:t>Date</w:t>
            </w:r>
          </w:p>
        </w:tc>
        <w:tc>
          <w:tcPr>
            <w:tcW w:w="1100" w:type="dxa"/>
            <w:vAlign w:val="bottom"/>
            <w:gridSpan w:val="2"/>
          </w:tcPr>
          <w:p>
            <w:pPr>
              <w:ind w:left="180"/>
              <w:spacing w:after="0"/>
              <w:rPr>
                <w:sz w:val="20"/>
                <w:szCs w:val="20"/>
                <w:color w:val="auto"/>
              </w:rPr>
            </w:pPr>
            <w:r>
              <w:rPr>
                <w:rFonts w:ascii="Arial" w:cs="Arial" w:eastAsia="Arial" w:hAnsi="Arial"/>
                <w:sz w:val="13"/>
                <w:szCs w:val="13"/>
                <w:b w:val="1"/>
                <w:bCs w:val="1"/>
                <w:color w:val="auto"/>
              </w:rPr>
              <w:t>Principal</w:t>
            </w:r>
          </w:p>
        </w:tc>
        <w:tc>
          <w:tcPr>
            <w:tcW w:w="1360" w:type="dxa"/>
            <w:vAlign w:val="bottom"/>
            <w:gridSpan w:val="2"/>
          </w:tcPr>
          <w:p>
            <w:pPr>
              <w:jc w:val="right"/>
              <w:ind w:right="680"/>
              <w:spacing w:after="0"/>
              <w:rPr>
                <w:sz w:val="20"/>
                <w:szCs w:val="20"/>
                <w:color w:val="auto"/>
              </w:rPr>
            </w:pPr>
            <w:r>
              <w:rPr>
                <w:rFonts w:ascii="Arial" w:cs="Arial" w:eastAsia="Arial" w:hAnsi="Arial"/>
                <w:sz w:val="13"/>
                <w:szCs w:val="13"/>
                <w:b w:val="1"/>
                <w:bCs w:val="1"/>
                <w:color w:val="auto"/>
              </w:rPr>
              <w:t>Cost</w:t>
            </w:r>
          </w:p>
        </w:tc>
        <w:tc>
          <w:tcPr>
            <w:tcW w:w="94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0"/>
                <w:szCs w:val="10"/>
                <w:b w:val="1"/>
                <w:bCs w:val="1"/>
                <w:color w:val="auto"/>
              </w:rPr>
              <w:t>2</w:t>
            </w:r>
          </w:p>
        </w:tc>
        <w:tc>
          <w:tcPr>
            <w:tcW w:w="0" w:type="dxa"/>
            <w:vAlign w:val="bottom"/>
          </w:tcPr>
          <w:p>
            <w:pPr>
              <w:spacing w:after="0"/>
              <w:rPr>
                <w:sz w:val="1"/>
                <w:szCs w:val="1"/>
                <w:color w:val="auto"/>
              </w:rPr>
            </w:pPr>
          </w:p>
        </w:tc>
      </w:tr>
      <w:tr>
        <w:trPr>
          <w:trHeight w:val="128"/>
        </w:trPr>
        <w:tc>
          <w:tcPr>
            <w:tcW w:w="700" w:type="dxa"/>
            <w:vAlign w:val="bottom"/>
          </w:tcPr>
          <w:p>
            <w:pPr>
              <w:spacing w:after="0"/>
              <w:rPr>
                <w:sz w:val="20"/>
                <w:szCs w:val="20"/>
                <w:color w:val="auto"/>
              </w:rPr>
            </w:pPr>
            <w:r>
              <w:rPr>
                <w:rFonts w:ascii="Arial" w:cs="Arial" w:eastAsia="Arial" w:hAnsi="Arial"/>
                <w:sz w:val="11"/>
                <w:szCs w:val="11"/>
                <w:color w:val="auto"/>
              </w:rPr>
              <w:t>(8)(13)</w:t>
            </w:r>
          </w:p>
        </w:tc>
        <w:tc>
          <w:tcPr>
            <w:tcW w:w="20" w:type="dxa"/>
            <w:vAlign w:val="bottom"/>
          </w:tcPr>
          <w:p>
            <w:pPr>
              <w:spacing w:after="0"/>
              <w:rPr>
                <w:sz w:val="11"/>
                <w:szCs w:val="11"/>
                <w:color w:val="auto"/>
              </w:rPr>
            </w:pPr>
          </w:p>
        </w:tc>
        <w:tc>
          <w:tcPr>
            <w:tcW w:w="2840" w:type="dxa"/>
            <w:vAlign w:val="bottom"/>
            <w:tcBorders>
              <w:top w:val="single" w:sz="8" w:color="auto"/>
            </w:tcBorders>
          </w:tcPr>
          <w:p>
            <w:pPr>
              <w:spacing w:after="0" w:line="128" w:lineRule="exact"/>
              <w:rPr>
                <w:sz w:val="20"/>
                <w:szCs w:val="20"/>
                <w:color w:val="auto"/>
              </w:rPr>
            </w:pPr>
            <w:r>
              <w:rPr>
                <w:rFonts w:ascii="Arial" w:cs="Arial" w:eastAsia="Arial" w:hAnsi="Arial"/>
                <w:sz w:val="13"/>
                <w:szCs w:val="13"/>
                <w:color w:val="auto"/>
              </w:rPr>
              <w:t>Senior Secured Loan — First Lien Term Loan A</w:t>
            </w:r>
          </w:p>
        </w:tc>
        <w:tc>
          <w:tcPr>
            <w:tcW w:w="120" w:type="dxa"/>
            <w:vAlign w:val="bottom"/>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0" w:type="dxa"/>
            <w:vAlign w:val="bottom"/>
          </w:tcPr>
          <w:p>
            <w:pPr>
              <w:spacing w:after="0"/>
              <w:rPr>
                <w:sz w:val="11"/>
                <w:szCs w:val="11"/>
                <w:color w:val="auto"/>
              </w:rPr>
            </w:pPr>
          </w:p>
        </w:tc>
        <w:tc>
          <w:tcPr>
            <w:tcW w:w="2980" w:type="dxa"/>
            <w:vAlign w:val="bottom"/>
            <w:gridSpan w:val="3"/>
          </w:tcPr>
          <w:p>
            <w:pPr>
              <w:ind w:left="20"/>
              <w:spacing w:after="0" w:line="135" w:lineRule="exact"/>
              <w:rPr>
                <w:sz w:val="20"/>
                <w:szCs w:val="20"/>
                <w:color w:val="auto"/>
              </w:rPr>
            </w:pPr>
            <w:r>
              <w:rPr>
                <w:rFonts w:ascii="Arial" w:cs="Arial" w:eastAsia="Arial" w:hAnsi="Arial"/>
                <w:sz w:val="13"/>
                <w:szCs w:val="13"/>
                <w:color w:val="auto"/>
                <w:w w:val="99"/>
              </w:rPr>
              <w:t>10.0% Cash, 1 Month Libor (1.50%) + 8.50%; Libor</w:t>
            </w: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2980" w:type="dxa"/>
            <w:vAlign w:val="bottom"/>
            <w:gridSpan w:val="3"/>
          </w:tcPr>
          <w:p>
            <w:pPr>
              <w:ind w:left="20"/>
              <w:spacing w:after="0"/>
              <w:rPr>
                <w:sz w:val="20"/>
                <w:szCs w:val="20"/>
                <w:color w:val="auto"/>
              </w:rPr>
            </w:pPr>
            <w:r>
              <w:rPr>
                <w:rFonts w:ascii="Arial" w:cs="Arial" w:eastAsia="Arial" w:hAnsi="Arial"/>
                <w:sz w:val="13"/>
                <w:szCs w:val="13"/>
                <w:color w:val="auto"/>
              </w:rPr>
              <w:t>Floor 1.50% , Due 8/21</w:t>
            </w:r>
          </w:p>
        </w:tc>
        <w:tc>
          <w:tcPr>
            <w:tcW w:w="1020" w:type="dxa"/>
            <w:vAlign w:val="bottom"/>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2,395,175</w:t>
            </w:r>
          </w:p>
        </w:tc>
        <w:tc>
          <w:tcPr>
            <w:tcW w:w="2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2,138,552</w:t>
            </w:r>
          </w:p>
        </w:tc>
        <w:tc>
          <w:tcPr>
            <w:tcW w:w="2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2,377,690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700" w:type="dxa"/>
            <w:vAlign w:val="bottom"/>
          </w:tcPr>
          <w:p>
            <w:pPr>
              <w:spacing w:after="0"/>
              <w:rPr>
                <w:sz w:val="20"/>
                <w:szCs w:val="20"/>
                <w:color w:val="auto"/>
              </w:rPr>
            </w:pPr>
            <w:r>
              <w:rPr>
                <w:rFonts w:ascii="Arial" w:cs="Arial" w:eastAsia="Arial" w:hAnsi="Arial"/>
                <w:sz w:val="11"/>
                <w:szCs w:val="11"/>
                <w:color w:val="auto"/>
              </w:rPr>
              <w:t>(5)(8)(13)</w:t>
            </w:r>
          </w:p>
        </w:tc>
        <w:tc>
          <w:tcPr>
            <w:tcW w:w="2980" w:type="dxa"/>
            <w:vAlign w:val="bottom"/>
            <w:gridSpan w:val="3"/>
            <w:vMerge w:val="restart"/>
          </w:tcPr>
          <w:p>
            <w:pPr>
              <w:ind w:left="20"/>
              <w:spacing w:after="0"/>
              <w:rPr>
                <w:sz w:val="20"/>
                <w:szCs w:val="20"/>
                <w:color w:val="auto"/>
              </w:rPr>
            </w:pPr>
            <w:r>
              <w:rPr>
                <w:rFonts w:ascii="Arial" w:cs="Arial" w:eastAsia="Arial" w:hAnsi="Arial"/>
                <w:sz w:val="13"/>
                <w:szCs w:val="13"/>
                <w:color w:val="auto"/>
              </w:rPr>
              <w:t>Senior Secured Loan — First Lien Term Loan B,</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
        </w:trPr>
        <w:tc>
          <w:tcPr>
            <w:tcW w:w="700" w:type="dxa"/>
            <w:vAlign w:val="bottom"/>
          </w:tcPr>
          <w:p>
            <w:pPr>
              <w:spacing w:after="0"/>
              <w:rPr>
                <w:sz w:val="5"/>
                <w:szCs w:val="5"/>
                <w:color w:val="auto"/>
              </w:rPr>
            </w:pPr>
          </w:p>
        </w:tc>
        <w:tc>
          <w:tcPr>
            <w:tcW w:w="2980" w:type="dxa"/>
            <w:vAlign w:val="bottom"/>
            <w:gridSpan w:val="3"/>
            <w:vMerge w:val="continue"/>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2980" w:type="dxa"/>
            <w:vAlign w:val="bottom"/>
            <w:gridSpan w:val="3"/>
          </w:tcPr>
          <w:p>
            <w:pPr>
              <w:ind w:left="20"/>
              <w:spacing w:after="0"/>
              <w:rPr>
                <w:sz w:val="20"/>
                <w:szCs w:val="20"/>
                <w:color w:val="auto"/>
              </w:rPr>
            </w:pPr>
            <w:r>
              <w:rPr>
                <w:rFonts w:ascii="Arial" w:cs="Arial" w:eastAsia="Arial" w:hAnsi="Arial"/>
                <w:sz w:val="13"/>
                <w:szCs w:val="13"/>
                <w:color w:val="auto"/>
              </w:rPr>
              <w:t>10.3% PIK, Due 8/21</w:t>
            </w:r>
          </w:p>
        </w:tc>
        <w:tc>
          <w:tcPr>
            <w:tcW w:w="1020" w:type="dxa"/>
            <w:vAlign w:val="bottom"/>
            <w:vMerge w:val="restart"/>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1,734,498</w:t>
            </w:r>
          </w:p>
        </w:tc>
        <w:tc>
          <w:tcPr>
            <w:tcW w:w="22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3"/>
                <w:szCs w:val="13"/>
                <w:color w:val="auto"/>
              </w:rPr>
              <w:t>1,394,239</w:t>
            </w:r>
          </w:p>
        </w:tc>
        <w:tc>
          <w:tcPr>
            <w:tcW w:w="2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1,620,368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2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2"/>
        </w:trPr>
        <w:tc>
          <w:tcPr>
            <w:tcW w:w="3680" w:type="dxa"/>
            <w:vAlign w:val="bottom"/>
            <w:gridSpan w:val="4"/>
          </w:tcPr>
          <w:p>
            <w:pPr>
              <w:ind w:left="540"/>
              <w:spacing w:after="0"/>
              <w:rPr>
                <w:sz w:val="20"/>
                <w:szCs w:val="20"/>
                <w:color w:val="auto"/>
              </w:rPr>
            </w:pPr>
            <w:r>
              <w:rPr>
                <w:rFonts w:ascii="Arial" w:cs="Arial" w:eastAsia="Arial" w:hAnsi="Arial"/>
                <w:sz w:val="11"/>
                <w:szCs w:val="11"/>
                <w:color w:val="auto"/>
              </w:rPr>
              <w:t xml:space="preserve">(14) </w:t>
            </w:r>
            <w:r>
              <w:rPr>
                <w:rFonts w:ascii="Arial" w:cs="Arial" w:eastAsia="Arial" w:hAnsi="Arial"/>
                <w:sz w:val="12"/>
                <w:szCs w:val="12"/>
                <w:color w:val="auto"/>
              </w:rPr>
              <w:t>Senior Secured Loan — First Lien Term Loan</w:t>
            </w: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2980" w:type="dxa"/>
            <w:vAlign w:val="bottom"/>
            <w:gridSpan w:val="3"/>
          </w:tcPr>
          <w:p>
            <w:pPr>
              <w:ind w:left="20"/>
              <w:spacing w:after="0"/>
              <w:rPr>
                <w:sz w:val="20"/>
                <w:szCs w:val="20"/>
                <w:color w:val="auto"/>
              </w:rPr>
            </w:pPr>
            <w:r>
              <w:rPr>
                <w:rFonts w:ascii="Arial" w:cs="Arial" w:eastAsia="Arial" w:hAnsi="Arial"/>
                <w:sz w:val="13"/>
                <w:szCs w:val="13"/>
                <w:color w:val="auto"/>
                <w:w w:val="93"/>
              </w:rPr>
              <w:t>4.4% Cash, 1 Month Libor (0.15%) + 4.25% , Due 6/25</w:t>
            </w:r>
          </w:p>
        </w:tc>
        <w:tc>
          <w:tcPr>
            <w:tcW w:w="1020" w:type="dxa"/>
            <w:vAlign w:val="bottom"/>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4,887,218</w:t>
            </w:r>
          </w:p>
        </w:tc>
        <w:tc>
          <w:tcPr>
            <w:tcW w:w="2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3,940,620</w:t>
            </w:r>
          </w:p>
        </w:tc>
        <w:tc>
          <w:tcPr>
            <w:tcW w:w="2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4,752,820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700" w:type="dxa"/>
            <w:vAlign w:val="bottom"/>
          </w:tcPr>
          <w:p>
            <w:pPr>
              <w:spacing w:after="0"/>
              <w:rPr>
                <w:sz w:val="20"/>
                <w:szCs w:val="20"/>
                <w:color w:val="auto"/>
              </w:rPr>
            </w:pPr>
            <w:r>
              <w:rPr>
                <w:rFonts w:ascii="Arial" w:cs="Arial" w:eastAsia="Arial" w:hAnsi="Arial"/>
                <w:sz w:val="11"/>
                <w:szCs w:val="11"/>
                <w:color w:val="auto"/>
              </w:rPr>
              <w:t>(8)(13)(14)</w:t>
            </w:r>
          </w:p>
        </w:tc>
        <w:tc>
          <w:tcPr>
            <w:tcW w:w="2980" w:type="dxa"/>
            <w:vAlign w:val="bottom"/>
            <w:gridSpan w:val="3"/>
          </w:tcPr>
          <w:p>
            <w:pPr>
              <w:ind w:left="20"/>
              <w:spacing w:after="0"/>
              <w:rPr>
                <w:sz w:val="20"/>
                <w:szCs w:val="20"/>
                <w:color w:val="auto"/>
              </w:rPr>
            </w:pPr>
            <w:r>
              <w:rPr>
                <w:rFonts w:ascii="Arial" w:cs="Arial" w:eastAsia="Arial" w:hAnsi="Arial"/>
                <w:sz w:val="13"/>
                <w:szCs w:val="13"/>
                <w:color w:val="auto"/>
              </w:rPr>
              <w:t>Junior Secured Loan — Term Loan (Second Lien)</w:t>
            </w: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2980" w:type="dxa"/>
            <w:vAlign w:val="bottom"/>
            <w:gridSpan w:val="3"/>
          </w:tcPr>
          <w:p>
            <w:pPr>
              <w:ind w:left="20"/>
              <w:spacing w:after="0"/>
              <w:rPr>
                <w:sz w:val="20"/>
                <w:szCs w:val="20"/>
                <w:color w:val="auto"/>
              </w:rPr>
            </w:pPr>
            <w:r>
              <w:rPr>
                <w:rFonts w:ascii="Arial" w:cs="Arial" w:eastAsia="Arial" w:hAnsi="Arial"/>
                <w:sz w:val="13"/>
                <w:szCs w:val="13"/>
                <w:color w:val="auto"/>
                <w:w w:val="93"/>
              </w:rPr>
              <w:t>9.4% Cash, 1 Month Libor (0.15%) + 9.25% , Due 6/26</w:t>
            </w:r>
          </w:p>
        </w:tc>
        <w:tc>
          <w:tcPr>
            <w:tcW w:w="1020" w:type="dxa"/>
            <w:vAlign w:val="bottom"/>
          </w:tcPr>
          <w:p>
            <w:pPr>
              <w:jc w:val="right"/>
              <w:spacing w:after="0"/>
              <w:rPr>
                <w:sz w:val="20"/>
                <w:szCs w:val="20"/>
                <w:color w:val="auto"/>
              </w:rPr>
            </w:pPr>
            <w:r>
              <w:rPr>
                <w:rFonts w:ascii="Arial" w:cs="Arial" w:eastAsia="Arial" w:hAnsi="Arial"/>
                <w:sz w:val="13"/>
                <w:szCs w:val="13"/>
                <w:color w:val="auto"/>
              </w:rPr>
              <w:t>12/18/2019</w:t>
            </w: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1,700,000</w:t>
            </w:r>
          </w:p>
        </w:tc>
        <w:tc>
          <w:tcPr>
            <w:tcW w:w="2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1,530,845</w:t>
            </w:r>
          </w:p>
        </w:tc>
        <w:tc>
          <w:tcPr>
            <w:tcW w:w="2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1,648,660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700" w:type="dxa"/>
            <w:vAlign w:val="bottom"/>
          </w:tcPr>
          <w:p>
            <w:pPr>
              <w:spacing w:after="0"/>
              <w:rPr>
                <w:sz w:val="20"/>
                <w:szCs w:val="20"/>
                <w:color w:val="auto"/>
              </w:rPr>
            </w:pPr>
            <w:r>
              <w:rPr>
                <w:rFonts w:ascii="Arial" w:cs="Arial" w:eastAsia="Arial" w:hAnsi="Arial"/>
                <w:sz w:val="11"/>
                <w:szCs w:val="11"/>
                <w:color w:val="auto"/>
              </w:rPr>
              <w:t>(8)(13)(14)</w:t>
            </w:r>
          </w:p>
        </w:tc>
        <w:tc>
          <w:tcPr>
            <w:tcW w:w="2980" w:type="dxa"/>
            <w:vAlign w:val="bottom"/>
            <w:gridSpan w:val="3"/>
          </w:tcPr>
          <w:p>
            <w:pPr>
              <w:ind w:left="20"/>
              <w:spacing w:after="0"/>
              <w:rPr>
                <w:sz w:val="20"/>
                <w:szCs w:val="20"/>
                <w:color w:val="auto"/>
              </w:rPr>
            </w:pPr>
            <w:r>
              <w:rPr>
                <w:rFonts w:ascii="Arial" w:cs="Arial" w:eastAsia="Arial" w:hAnsi="Arial"/>
                <w:sz w:val="13"/>
                <w:szCs w:val="13"/>
                <w:color w:val="auto"/>
              </w:rPr>
              <w:t>Senior Secured Loan — Term Loan</w:t>
            </w: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700" w:type="dxa"/>
            <w:vAlign w:val="bottom"/>
          </w:tcPr>
          <w:p>
            <w:pPr>
              <w:spacing w:after="0"/>
              <w:rPr>
                <w:sz w:val="11"/>
                <w:szCs w:val="11"/>
                <w:color w:val="auto"/>
              </w:rPr>
            </w:pPr>
          </w:p>
        </w:tc>
        <w:tc>
          <w:tcPr>
            <w:tcW w:w="2980" w:type="dxa"/>
            <w:vAlign w:val="bottom"/>
            <w:gridSpan w:val="3"/>
          </w:tcPr>
          <w:p>
            <w:pPr>
              <w:ind w:left="20"/>
              <w:spacing w:after="0" w:line="135" w:lineRule="exact"/>
              <w:rPr>
                <w:sz w:val="20"/>
                <w:szCs w:val="20"/>
                <w:color w:val="auto"/>
              </w:rPr>
            </w:pPr>
            <w:r>
              <w:rPr>
                <w:rFonts w:ascii="Arial" w:cs="Arial" w:eastAsia="Arial" w:hAnsi="Arial"/>
                <w:sz w:val="13"/>
                <w:szCs w:val="13"/>
                <w:color w:val="auto"/>
              </w:rPr>
              <w:t>6.0% Cash, 6 month Libor (1.00%) + 5.00%; Libor</w:t>
            </w: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2980" w:type="dxa"/>
            <w:vAlign w:val="bottom"/>
            <w:gridSpan w:val="3"/>
          </w:tcPr>
          <w:p>
            <w:pPr>
              <w:ind w:left="20"/>
              <w:spacing w:after="0"/>
              <w:rPr>
                <w:sz w:val="20"/>
                <w:szCs w:val="20"/>
                <w:color w:val="auto"/>
              </w:rPr>
            </w:pPr>
            <w:r>
              <w:rPr>
                <w:rFonts w:ascii="Arial" w:cs="Arial" w:eastAsia="Arial" w:hAnsi="Arial"/>
                <w:sz w:val="13"/>
                <w:szCs w:val="13"/>
                <w:color w:val="auto"/>
              </w:rPr>
              <w:t>Floor 1.00% , Due 6/22</w:t>
            </w:r>
          </w:p>
        </w:tc>
        <w:tc>
          <w:tcPr>
            <w:tcW w:w="1020" w:type="dxa"/>
            <w:vAlign w:val="bottom"/>
          </w:tcPr>
          <w:p>
            <w:pPr>
              <w:jc w:val="right"/>
              <w:spacing w:after="0"/>
              <w:rPr>
                <w:sz w:val="20"/>
                <w:szCs w:val="20"/>
                <w:color w:val="auto"/>
              </w:rPr>
            </w:pPr>
            <w:r>
              <w:rPr>
                <w:rFonts w:ascii="Arial" w:cs="Arial" w:eastAsia="Arial" w:hAnsi="Arial"/>
                <w:sz w:val="13"/>
                <w:szCs w:val="13"/>
                <w:color w:val="auto"/>
              </w:rPr>
              <w:t>6/21/2016</w:t>
            </w: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975,366</w:t>
            </w:r>
          </w:p>
        </w:tc>
        <w:tc>
          <w:tcPr>
            <w:tcW w:w="2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976,863</w:t>
            </w:r>
          </w:p>
        </w:tc>
        <w:tc>
          <w:tcPr>
            <w:tcW w:w="2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963,174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700" w:type="dxa"/>
            <w:vAlign w:val="bottom"/>
          </w:tcPr>
          <w:p>
            <w:pPr>
              <w:spacing w:after="0"/>
              <w:rPr>
                <w:sz w:val="20"/>
                <w:szCs w:val="20"/>
                <w:color w:val="auto"/>
              </w:rPr>
            </w:pPr>
            <w:r>
              <w:rPr>
                <w:rFonts w:ascii="Arial" w:cs="Arial" w:eastAsia="Arial" w:hAnsi="Arial"/>
                <w:sz w:val="11"/>
                <w:szCs w:val="11"/>
                <w:color w:val="auto"/>
              </w:rPr>
              <w:t>(8)(13)(14)</w:t>
            </w:r>
          </w:p>
        </w:tc>
        <w:tc>
          <w:tcPr>
            <w:tcW w:w="2980" w:type="dxa"/>
            <w:vAlign w:val="bottom"/>
            <w:gridSpan w:val="3"/>
          </w:tcPr>
          <w:p>
            <w:pPr>
              <w:ind w:left="20"/>
              <w:spacing w:after="0"/>
              <w:rPr>
                <w:sz w:val="20"/>
                <w:szCs w:val="20"/>
                <w:color w:val="auto"/>
              </w:rPr>
            </w:pPr>
            <w:r>
              <w:rPr>
                <w:rFonts w:ascii="Arial" w:cs="Arial" w:eastAsia="Arial" w:hAnsi="Arial"/>
                <w:sz w:val="13"/>
                <w:szCs w:val="13"/>
                <w:color w:val="auto"/>
              </w:rPr>
              <w:t>Junior Secured Loan — Initial Term Loan (Second</w:t>
            </w: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700" w:type="dxa"/>
            <w:vAlign w:val="bottom"/>
          </w:tcPr>
          <w:p>
            <w:pPr>
              <w:spacing w:after="0"/>
              <w:rPr>
                <w:sz w:val="11"/>
                <w:szCs w:val="11"/>
                <w:color w:val="auto"/>
              </w:rPr>
            </w:pPr>
          </w:p>
        </w:tc>
        <w:tc>
          <w:tcPr>
            <w:tcW w:w="2980" w:type="dxa"/>
            <w:vAlign w:val="bottom"/>
            <w:gridSpan w:val="3"/>
          </w:tcPr>
          <w:p>
            <w:pPr>
              <w:ind w:left="20"/>
              <w:spacing w:after="0" w:line="135" w:lineRule="exact"/>
              <w:rPr>
                <w:sz w:val="20"/>
                <w:szCs w:val="20"/>
                <w:color w:val="auto"/>
              </w:rPr>
            </w:pPr>
            <w:r>
              <w:rPr>
                <w:rFonts w:ascii="Arial" w:cs="Arial" w:eastAsia="Arial" w:hAnsi="Arial"/>
                <w:sz w:val="13"/>
                <w:szCs w:val="13"/>
                <w:color w:val="auto"/>
              </w:rPr>
              <w:t>Lien)</w:t>
            </w: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2980" w:type="dxa"/>
            <w:vAlign w:val="bottom"/>
            <w:gridSpan w:val="3"/>
          </w:tcPr>
          <w:p>
            <w:pPr>
              <w:ind w:left="20"/>
              <w:spacing w:after="0"/>
              <w:rPr>
                <w:sz w:val="20"/>
                <w:szCs w:val="20"/>
                <w:color w:val="auto"/>
              </w:rPr>
            </w:pPr>
            <w:r>
              <w:rPr>
                <w:rFonts w:ascii="Arial" w:cs="Arial" w:eastAsia="Arial" w:hAnsi="Arial"/>
                <w:sz w:val="13"/>
                <w:szCs w:val="13"/>
                <w:color w:val="auto"/>
                <w:w w:val="93"/>
              </w:rPr>
              <w:t>7.7% Cash, 1 Month Libor (0.15%) + 7.50% , Due 7/26</w:t>
            </w:r>
          </w:p>
        </w:tc>
        <w:tc>
          <w:tcPr>
            <w:tcW w:w="1020" w:type="dxa"/>
            <w:vAlign w:val="bottom"/>
          </w:tcPr>
          <w:p>
            <w:pPr>
              <w:jc w:val="right"/>
              <w:spacing w:after="0"/>
              <w:rPr>
                <w:sz w:val="20"/>
                <w:szCs w:val="20"/>
                <w:color w:val="auto"/>
              </w:rPr>
            </w:pPr>
            <w:r>
              <w:rPr>
                <w:rFonts w:ascii="Arial" w:cs="Arial" w:eastAsia="Arial" w:hAnsi="Arial"/>
                <w:sz w:val="13"/>
                <w:szCs w:val="13"/>
                <w:color w:val="auto"/>
              </w:rPr>
              <w:t>12/18/2019</w:t>
            </w: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400,000</w:t>
            </w:r>
          </w:p>
        </w:tc>
        <w:tc>
          <w:tcPr>
            <w:tcW w:w="2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362,000</w:t>
            </w:r>
          </w:p>
        </w:tc>
        <w:tc>
          <w:tcPr>
            <w:tcW w:w="2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383,000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700" w:type="dxa"/>
            <w:vAlign w:val="bottom"/>
          </w:tcPr>
          <w:p>
            <w:pPr>
              <w:spacing w:after="0"/>
              <w:rPr>
                <w:sz w:val="20"/>
                <w:szCs w:val="20"/>
                <w:color w:val="auto"/>
              </w:rPr>
            </w:pPr>
            <w:r>
              <w:rPr>
                <w:rFonts w:ascii="Arial" w:cs="Arial" w:eastAsia="Arial" w:hAnsi="Arial"/>
                <w:sz w:val="11"/>
                <w:szCs w:val="11"/>
                <w:color w:val="auto"/>
              </w:rPr>
              <w:t>(8)(13)(14)</w:t>
            </w:r>
          </w:p>
        </w:tc>
        <w:tc>
          <w:tcPr>
            <w:tcW w:w="2980" w:type="dxa"/>
            <w:vAlign w:val="bottom"/>
            <w:gridSpan w:val="3"/>
          </w:tcPr>
          <w:p>
            <w:pPr>
              <w:ind w:left="20"/>
              <w:spacing w:after="0"/>
              <w:rPr>
                <w:sz w:val="20"/>
                <w:szCs w:val="20"/>
                <w:color w:val="auto"/>
              </w:rPr>
            </w:pPr>
            <w:r>
              <w:rPr>
                <w:rFonts w:ascii="Arial" w:cs="Arial" w:eastAsia="Arial" w:hAnsi="Arial"/>
                <w:sz w:val="13"/>
                <w:szCs w:val="13"/>
                <w:color w:val="auto"/>
              </w:rPr>
              <w:t>Senior Secured Loan — First Lien Term Loan B</w:t>
            </w: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700" w:type="dxa"/>
            <w:vAlign w:val="bottom"/>
          </w:tcPr>
          <w:p>
            <w:pPr>
              <w:spacing w:after="0"/>
              <w:rPr>
                <w:sz w:val="11"/>
                <w:szCs w:val="11"/>
                <w:color w:val="auto"/>
              </w:rPr>
            </w:pPr>
          </w:p>
        </w:tc>
        <w:tc>
          <w:tcPr>
            <w:tcW w:w="2980" w:type="dxa"/>
            <w:vAlign w:val="bottom"/>
            <w:gridSpan w:val="3"/>
          </w:tcPr>
          <w:p>
            <w:pPr>
              <w:ind w:left="20"/>
              <w:spacing w:after="0" w:line="135" w:lineRule="exact"/>
              <w:rPr>
                <w:sz w:val="20"/>
                <w:szCs w:val="20"/>
                <w:color w:val="auto"/>
              </w:rPr>
            </w:pPr>
            <w:r>
              <w:rPr>
                <w:rFonts w:ascii="Arial" w:cs="Arial" w:eastAsia="Arial" w:hAnsi="Arial"/>
                <w:sz w:val="13"/>
                <w:szCs w:val="13"/>
                <w:color w:val="auto"/>
                <w:w w:val="99"/>
              </w:rPr>
              <w:t>10.0% Cash, 6 month Libor (2.00%) + 8.00%; Libor</w:t>
            </w: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2980" w:type="dxa"/>
            <w:vAlign w:val="bottom"/>
            <w:gridSpan w:val="3"/>
          </w:tcPr>
          <w:p>
            <w:pPr>
              <w:ind w:left="20"/>
              <w:spacing w:after="0"/>
              <w:rPr>
                <w:sz w:val="20"/>
                <w:szCs w:val="20"/>
                <w:color w:val="auto"/>
              </w:rPr>
            </w:pPr>
            <w:r>
              <w:rPr>
                <w:rFonts w:ascii="Arial" w:cs="Arial" w:eastAsia="Arial" w:hAnsi="Arial"/>
                <w:sz w:val="13"/>
                <w:szCs w:val="13"/>
                <w:color w:val="auto"/>
              </w:rPr>
              <w:t>Floor 2.00% , Due 7/25</w:t>
            </w:r>
          </w:p>
        </w:tc>
        <w:tc>
          <w:tcPr>
            <w:tcW w:w="1020" w:type="dxa"/>
            <w:vAlign w:val="bottom"/>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2,964,925</w:t>
            </w:r>
          </w:p>
        </w:tc>
        <w:tc>
          <w:tcPr>
            <w:tcW w:w="2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1,730,558</w:t>
            </w:r>
          </w:p>
        </w:tc>
        <w:tc>
          <w:tcPr>
            <w:tcW w:w="2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1,885,989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700" w:type="dxa"/>
            <w:vAlign w:val="bottom"/>
          </w:tcPr>
          <w:p>
            <w:pPr>
              <w:spacing w:after="0"/>
              <w:rPr>
                <w:sz w:val="20"/>
                <w:szCs w:val="20"/>
                <w:color w:val="auto"/>
              </w:rPr>
            </w:pPr>
            <w:r>
              <w:rPr>
                <w:rFonts w:ascii="Arial" w:cs="Arial" w:eastAsia="Arial" w:hAnsi="Arial"/>
                <w:sz w:val="11"/>
                <w:szCs w:val="11"/>
                <w:color w:val="auto"/>
              </w:rPr>
              <w:t>(8)(13)(14)</w:t>
            </w:r>
          </w:p>
        </w:tc>
        <w:tc>
          <w:tcPr>
            <w:tcW w:w="2980" w:type="dxa"/>
            <w:vAlign w:val="bottom"/>
            <w:gridSpan w:val="3"/>
          </w:tcPr>
          <w:p>
            <w:pPr>
              <w:ind w:left="20"/>
              <w:spacing w:after="0"/>
              <w:rPr>
                <w:sz w:val="20"/>
                <w:szCs w:val="20"/>
                <w:color w:val="auto"/>
              </w:rPr>
            </w:pPr>
            <w:r>
              <w:rPr>
                <w:rFonts w:ascii="Arial" w:cs="Arial" w:eastAsia="Arial" w:hAnsi="Arial"/>
                <w:sz w:val="13"/>
                <w:szCs w:val="13"/>
                <w:color w:val="auto"/>
              </w:rPr>
              <w:t>Senior Secured Loan — First Lien Term Loan</w:t>
            </w: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700" w:type="dxa"/>
            <w:vAlign w:val="bottom"/>
          </w:tcPr>
          <w:p>
            <w:pPr>
              <w:spacing w:after="0"/>
              <w:rPr>
                <w:sz w:val="11"/>
                <w:szCs w:val="11"/>
                <w:color w:val="auto"/>
              </w:rPr>
            </w:pPr>
          </w:p>
        </w:tc>
        <w:tc>
          <w:tcPr>
            <w:tcW w:w="2980" w:type="dxa"/>
            <w:vAlign w:val="bottom"/>
            <w:gridSpan w:val="3"/>
          </w:tcPr>
          <w:p>
            <w:pPr>
              <w:ind w:left="20"/>
              <w:spacing w:after="0" w:line="135" w:lineRule="exact"/>
              <w:rPr>
                <w:sz w:val="20"/>
                <w:szCs w:val="20"/>
                <w:color w:val="auto"/>
              </w:rPr>
            </w:pPr>
            <w:r>
              <w:rPr>
                <w:rFonts w:ascii="Arial" w:cs="Arial" w:eastAsia="Arial" w:hAnsi="Arial"/>
                <w:sz w:val="13"/>
                <w:szCs w:val="13"/>
                <w:color w:val="auto"/>
              </w:rPr>
              <w:t>5.4% Cash, 1 Month Libor (0.15%) + 5.25% , Due</w:t>
            </w: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2860" w:type="dxa"/>
            <w:vAlign w:val="bottom"/>
            <w:gridSpan w:val="2"/>
          </w:tcPr>
          <w:p>
            <w:pPr>
              <w:ind w:left="20"/>
              <w:spacing w:after="0"/>
              <w:rPr>
                <w:sz w:val="20"/>
                <w:szCs w:val="20"/>
                <w:color w:val="auto"/>
              </w:rPr>
            </w:pPr>
            <w:r>
              <w:rPr>
                <w:rFonts w:ascii="Arial" w:cs="Arial" w:eastAsia="Arial" w:hAnsi="Arial"/>
                <w:sz w:val="13"/>
                <w:szCs w:val="13"/>
                <w:color w:val="auto"/>
              </w:rPr>
              <w:t>12/25</w:t>
            </w:r>
          </w:p>
        </w:tc>
        <w:tc>
          <w:tcPr>
            <w:tcW w:w="1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3,290,011</w:t>
            </w:r>
          </w:p>
        </w:tc>
        <w:tc>
          <w:tcPr>
            <w:tcW w:w="2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2,830,592</w:t>
            </w:r>
          </w:p>
        </w:tc>
        <w:tc>
          <w:tcPr>
            <w:tcW w:w="2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3,170,254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9"/>
        </w:trPr>
        <w:tc>
          <w:tcPr>
            <w:tcW w:w="700" w:type="dxa"/>
            <w:vAlign w:val="bottom"/>
          </w:tcPr>
          <w:p>
            <w:pPr>
              <w:spacing w:after="0"/>
              <w:rPr>
                <w:sz w:val="20"/>
                <w:szCs w:val="20"/>
                <w:color w:val="auto"/>
              </w:rPr>
            </w:pPr>
            <w:r>
              <w:rPr>
                <w:rFonts w:ascii="Arial" w:cs="Arial" w:eastAsia="Arial" w:hAnsi="Arial"/>
                <w:sz w:val="11"/>
                <w:szCs w:val="11"/>
                <w:color w:val="auto"/>
                <w:w w:val="94"/>
              </w:rPr>
              <w:t>(8)(13)(14)(21)</w:t>
            </w:r>
          </w:p>
        </w:tc>
        <w:tc>
          <w:tcPr>
            <w:tcW w:w="2980" w:type="dxa"/>
            <w:vAlign w:val="bottom"/>
            <w:gridSpan w:val="3"/>
          </w:tcPr>
          <w:p>
            <w:pPr>
              <w:ind w:left="20"/>
              <w:spacing w:after="0"/>
              <w:rPr>
                <w:sz w:val="20"/>
                <w:szCs w:val="20"/>
                <w:color w:val="auto"/>
              </w:rPr>
            </w:pPr>
            <w:r>
              <w:rPr>
                <w:rFonts w:ascii="Arial" w:cs="Arial" w:eastAsia="Arial" w:hAnsi="Arial"/>
                <w:sz w:val="13"/>
                <w:szCs w:val="13"/>
                <w:color w:val="auto"/>
                <w:w w:val="96"/>
              </w:rPr>
              <w:t>Senior Secured Loan — Initial Term Loan (First Lien)</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2980" w:type="dxa"/>
            <w:vAlign w:val="bottom"/>
            <w:gridSpan w:val="3"/>
          </w:tcPr>
          <w:p>
            <w:pPr>
              <w:ind w:left="20"/>
              <w:spacing w:after="0"/>
              <w:rPr>
                <w:sz w:val="20"/>
                <w:szCs w:val="20"/>
                <w:color w:val="auto"/>
              </w:rPr>
            </w:pPr>
            <w:r>
              <w:rPr>
                <w:rFonts w:ascii="Arial" w:cs="Arial" w:eastAsia="Arial" w:hAnsi="Arial"/>
                <w:sz w:val="13"/>
                <w:szCs w:val="13"/>
                <w:color w:val="auto"/>
                <w:w w:val="93"/>
              </w:rPr>
              <w:t>5.2% Cash, 1 Month Libor (0.15%) + 5.00% , Due 4/25</w:t>
            </w:r>
          </w:p>
        </w:tc>
        <w:tc>
          <w:tcPr>
            <w:tcW w:w="1020" w:type="dxa"/>
            <w:vAlign w:val="bottom"/>
            <w:vMerge w:val="restart"/>
          </w:tcPr>
          <w:p>
            <w:pPr>
              <w:jc w:val="right"/>
              <w:spacing w:after="0"/>
              <w:rPr>
                <w:sz w:val="20"/>
                <w:szCs w:val="20"/>
                <w:color w:val="auto"/>
              </w:rPr>
            </w:pPr>
            <w:r>
              <w:rPr>
                <w:rFonts w:ascii="Arial" w:cs="Arial" w:eastAsia="Arial" w:hAnsi="Arial"/>
                <w:sz w:val="13"/>
                <w:szCs w:val="13"/>
                <w:color w:val="auto"/>
              </w:rPr>
              <w:t>5/22/2020</w:t>
            </w:r>
          </w:p>
        </w:tc>
        <w:tc>
          <w:tcPr>
            <w:tcW w:w="12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3,902,444</w:t>
            </w:r>
          </w:p>
        </w:tc>
        <w:tc>
          <w:tcPr>
            <w:tcW w:w="22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3"/>
                <w:szCs w:val="13"/>
                <w:color w:val="auto"/>
              </w:rPr>
              <w:t>3,490,451</w:t>
            </w:r>
          </w:p>
        </w:tc>
        <w:tc>
          <w:tcPr>
            <w:tcW w:w="2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3,629,663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2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2"/>
        </w:trPr>
        <w:tc>
          <w:tcPr>
            <w:tcW w:w="700" w:type="dxa"/>
            <w:vAlign w:val="bottom"/>
          </w:tcPr>
          <w:p>
            <w:pPr>
              <w:spacing w:after="0"/>
              <w:rPr>
                <w:sz w:val="20"/>
                <w:szCs w:val="20"/>
                <w:color w:val="auto"/>
              </w:rPr>
            </w:pPr>
            <w:r>
              <w:rPr>
                <w:rFonts w:ascii="Arial" w:cs="Arial" w:eastAsia="Arial" w:hAnsi="Arial"/>
                <w:sz w:val="11"/>
                <w:szCs w:val="11"/>
                <w:color w:val="auto"/>
              </w:rPr>
              <w:t>(5)(8)(13)</w:t>
            </w:r>
          </w:p>
        </w:tc>
        <w:tc>
          <w:tcPr>
            <w:tcW w:w="2980" w:type="dxa"/>
            <w:vAlign w:val="bottom"/>
            <w:gridSpan w:val="3"/>
          </w:tcPr>
          <w:p>
            <w:pPr>
              <w:ind w:left="20"/>
              <w:spacing w:after="0"/>
              <w:rPr>
                <w:sz w:val="20"/>
                <w:szCs w:val="20"/>
                <w:color w:val="auto"/>
              </w:rPr>
            </w:pPr>
            <w:r>
              <w:rPr>
                <w:rFonts w:ascii="Arial" w:cs="Arial" w:eastAsia="Arial" w:hAnsi="Arial"/>
                <w:sz w:val="13"/>
                <w:szCs w:val="13"/>
                <w:color w:val="auto"/>
              </w:rPr>
              <w:t>Junior Secured Loan — Initial Term Loan (Second</w:t>
            </w: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700" w:type="dxa"/>
            <w:vAlign w:val="bottom"/>
          </w:tcPr>
          <w:p>
            <w:pPr>
              <w:spacing w:after="0"/>
              <w:rPr>
                <w:sz w:val="11"/>
                <w:szCs w:val="11"/>
                <w:color w:val="auto"/>
              </w:rPr>
            </w:pPr>
          </w:p>
        </w:tc>
        <w:tc>
          <w:tcPr>
            <w:tcW w:w="2980" w:type="dxa"/>
            <w:vAlign w:val="bottom"/>
            <w:gridSpan w:val="3"/>
          </w:tcPr>
          <w:p>
            <w:pPr>
              <w:ind w:left="20"/>
              <w:spacing w:after="0" w:line="135" w:lineRule="exact"/>
              <w:rPr>
                <w:sz w:val="20"/>
                <w:szCs w:val="20"/>
                <w:color w:val="auto"/>
              </w:rPr>
            </w:pPr>
            <w:r>
              <w:rPr>
                <w:rFonts w:ascii="Arial" w:cs="Arial" w:eastAsia="Arial" w:hAnsi="Arial"/>
                <w:sz w:val="13"/>
                <w:szCs w:val="13"/>
                <w:color w:val="auto"/>
              </w:rPr>
              <w:t>Lien)</w:t>
            </w: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0" w:type="dxa"/>
            <w:vAlign w:val="bottom"/>
          </w:tcPr>
          <w:p>
            <w:pPr>
              <w:spacing w:after="0"/>
              <w:rPr>
                <w:sz w:val="11"/>
                <w:szCs w:val="11"/>
                <w:color w:val="auto"/>
              </w:rPr>
            </w:pPr>
          </w:p>
        </w:tc>
        <w:tc>
          <w:tcPr>
            <w:tcW w:w="2980" w:type="dxa"/>
            <w:vAlign w:val="bottom"/>
            <w:gridSpan w:val="3"/>
          </w:tcPr>
          <w:p>
            <w:pPr>
              <w:ind w:left="20"/>
              <w:spacing w:after="0" w:line="135" w:lineRule="exact"/>
              <w:rPr>
                <w:sz w:val="20"/>
                <w:szCs w:val="20"/>
                <w:color w:val="auto"/>
              </w:rPr>
            </w:pPr>
            <w:r>
              <w:rPr>
                <w:rFonts w:ascii="Arial" w:cs="Arial" w:eastAsia="Arial" w:hAnsi="Arial"/>
                <w:sz w:val="13"/>
                <w:szCs w:val="13"/>
                <w:color w:val="auto"/>
                <w:w w:val="97"/>
              </w:rPr>
              <w:t>13.3% Cash, 3 Month Libor (1.00%) + 12.25%; Libor</w:t>
            </w: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2980" w:type="dxa"/>
            <w:vAlign w:val="bottom"/>
            <w:gridSpan w:val="3"/>
          </w:tcPr>
          <w:p>
            <w:pPr>
              <w:ind w:left="20"/>
              <w:spacing w:after="0"/>
              <w:rPr>
                <w:sz w:val="20"/>
                <w:szCs w:val="20"/>
                <w:color w:val="auto"/>
              </w:rPr>
            </w:pPr>
            <w:r>
              <w:rPr>
                <w:rFonts w:ascii="Arial" w:cs="Arial" w:eastAsia="Arial" w:hAnsi="Arial"/>
                <w:sz w:val="13"/>
                <w:szCs w:val="13"/>
                <w:color w:val="auto"/>
              </w:rPr>
              <w:t>Floor 1.00% , Due 1/22</w:t>
            </w:r>
          </w:p>
        </w:tc>
        <w:tc>
          <w:tcPr>
            <w:tcW w:w="1020" w:type="dxa"/>
            <w:vAlign w:val="bottom"/>
          </w:tcPr>
          <w:p>
            <w:pPr>
              <w:jc w:val="right"/>
              <w:spacing w:after="0"/>
              <w:rPr>
                <w:sz w:val="20"/>
                <w:szCs w:val="20"/>
                <w:color w:val="auto"/>
              </w:rPr>
            </w:pPr>
            <w:r>
              <w:rPr>
                <w:rFonts w:ascii="Arial" w:cs="Arial" w:eastAsia="Arial" w:hAnsi="Arial"/>
                <w:sz w:val="13"/>
                <w:szCs w:val="13"/>
                <w:color w:val="auto"/>
              </w:rPr>
              <w:t>1/30/2015</w:t>
            </w: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1,500,000</w:t>
            </w:r>
          </w:p>
        </w:tc>
        <w:tc>
          <w:tcPr>
            <w:tcW w:w="2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1,495,464</w:t>
            </w:r>
          </w:p>
        </w:tc>
        <w:tc>
          <w:tcPr>
            <w:tcW w:w="2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839,100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700" w:type="dxa"/>
            <w:vAlign w:val="bottom"/>
          </w:tcPr>
          <w:p>
            <w:pPr>
              <w:spacing w:after="0"/>
              <w:rPr>
                <w:sz w:val="20"/>
                <w:szCs w:val="20"/>
                <w:color w:val="auto"/>
              </w:rPr>
            </w:pPr>
            <w:r>
              <w:rPr>
                <w:rFonts w:ascii="Arial" w:cs="Arial" w:eastAsia="Arial" w:hAnsi="Arial"/>
                <w:sz w:val="11"/>
                <w:szCs w:val="11"/>
                <w:color w:val="auto"/>
              </w:rPr>
              <w:t>(8)(13)</w:t>
            </w:r>
          </w:p>
        </w:tc>
        <w:tc>
          <w:tcPr>
            <w:tcW w:w="2980" w:type="dxa"/>
            <w:vAlign w:val="bottom"/>
            <w:gridSpan w:val="3"/>
            <w:vMerge w:val="restart"/>
          </w:tcPr>
          <w:p>
            <w:pPr>
              <w:ind w:left="20"/>
              <w:spacing w:after="0"/>
              <w:rPr>
                <w:sz w:val="20"/>
                <w:szCs w:val="20"/>
                <w:color w:val="auto"/>
              </w:rPr>
            </w:pPr>
            <w:r>
              <w:rPr>
                <w:rFonts w:ascii="Arial" w:cs="Arial" w:eastAsia="Arial" w:hAnsi="Arial"/>
                <w:sz w:val="13"/>
                <w:szCs w:val="13"/>
                <w:color w:val="auto"/>
              </w:rPr>
              <w:t>Senior Secured Loan — Revolver</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
        </w:trPr>
        <w:tc>
          <w:tcPr>
            <w:tcW w:w="700" w:type="dxa"/>
            <w:vAlign w:val="bottom"/>
          </w:tcPr>
          <w:p>
            <w:pPr>
              <w:spacing w:after="0"/>
              <w:rPr>
                <w:sz w:val="5"/>
                <w:szCs w:val="5"/>
                <w:color w:val="auto"/>
              </w:rPr>
            </w:pPr>
          </w:p>
        </w:tc>
        <w:tc>
          <w:tcPr>
            <w:tcW w:w="2980" w:type="dxa"/>
            <w:vAlign w:val="bottom"/>
            <w:gridSpan w:val="3"/>
            <w:vMerge w:val="continue"/>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2980" w:type="dxa"/>
            <w:vAlign w:val="bottom"/>
            <w:gridSpan w:val="3"/>
          </w:tcPr>
          <w:p>
            <w:pPr>
              <w:ind w:left="20"/>
              <w:spacing w:after="0"/>
              <w:rPr>
                <w:sz w:val="20"/>
                <w:szCs w:val="20"/>
                <w:color w:val="auto"/>
              </w:rPr>
            </w:pPr>
            <w:r>
              <w:rPr>
                <w:rFonts w:ascii="Arial" w:cs="Arial" w:eastAsia="Arial" w:hAnsi="Arial"/>
                <w:sz w:val="13"/>
                <w:szCs w:val="13"/>
                <w:color w:val="auto"/>
              </w:rPr>
              <w:t>0.8% Cash, Due 2/23</w:t>
            </w:r>
          </w:p>
        </w:tc>
        <w:tc>
          <w:tcPr>
            <w:tcW w:w="1020" w:type="dxa"/>
            <w:vAlign w:val="bottom"/>
            <w:vMerge w:val="restart"/>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3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(0)</w:t>
            </w:r>
          </w:p>
        </w:tc>
        <w:tc>
          <w:tcPr>
            <w:tcW w:w="940" w:type="dxa"/>
            <w:vAlign w:val="bottom"/>
            <w:gridSpan w:val="2"/>
            <w:vMerge w:val="restart"/>
          </w:tcPr>
          <w:p>
            <w:pPr>
              <w:jc w:val="right"/>
              <w:spacing w:after="0"/>
              <w:rPr>
                <w:sz w:val="20"/>
                <w:szCs w:val="20"/>
                <w:color w:val="auto"/>
              </w:rPr>
            </w:pPr>
            <w:r>
              <w:rPr>
                <w:rFonts w:ascii="Arial" w:cs="Arial" w:eastAsia="Arial" w:hAnsi="Arial"/>
                <w:sz w:val="13"/>
                <w:szCs w:val="13"/>
                <w:color w:val="auto"/>
              </w:rPr>
              <w:t>(42,857)</w:t>
            </w:r>
          </w:p>
        </w:tc>
        <w:tc>
          <w:tcPr>
            <w:tcW w:w="0" w:type="dxa"/>
            <w:vAlign w:val="bottom"/>
          </w:tcPr>
          <w:p>
            <w:pPr>
              <w:spacing w:after="0"/>
              <w:rPr>
                <w:sz w:val="1"/>
                <w:szCs w:val="1"/>
                <w:color w:val="auto"/>
              </w:rPr>
            </w:pPr>
          </w:p>
        </w:tc>
      </w:tr>
      <w:tr>
        <w:trPr>
          <w:trHeight w:val="68"/>
        </w:trPr>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2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2"/>
        </w:trPr>
        <w:tc>
          <w:tcPr>
            <w:tcW w:w="700" w:type="dxa"/>
            <w:vAlign w:val="bottom"/>
          </w:tcPr>
          <w:p>
            <w:pPr>
              <w:spacing w:after="0"/>
              <w:rPr>
                <w:sz w:val="20"/>
                <w:szCs w:val="20"/>
                <w:color w:val="auto"/>
              </w:rPr>
            </w:pPr>
            <w:r>
              <w:rPr>
                <w:rFonts w:ascii="Arial" w:cs="Arial" w:eastAsia="Arial" w:hAnsi="Arial"/>
                <w:sz w:val="11"/>
                <w:szCs w:val="11"/>
                <w:color w:val="auto"/>
              </w:rPr>
              <w:t>(8)(13)</w:t>
            </w:r>
          </w:p>
        </w:tc>
        <w:tc>
          <w:tcPr>
            <w:tcW w:w="2980" w:type="dxa"/>
            <w:vAlign w:val="bottom"/>
            <w:gridSpan w:val="3"/>
          </w:tcPr>
          <w:p>
            <w:pPr>
              <w:ind w:left="20"/>
              <w:spacing w:after="0"/>
              <w:rPr>
                <w:sz w:val="20"/>
                <w:szCs w:val="20"/>
                <w:color w:val="auto"/>
              </w:rPr>
            </w:pPr>
            <w:r>
              <w:rPr>
                <w:rFonts w:ascii="Arial" w:cs="Arial" w:eastAsia="Arial" w:hAnsi="Arial"/>
                <w:sz w:val="13"/>
                <w:szCs w:val="13"/>
                <w:color w:val="auto"/>
              </w:rPr>
              <w:t>Senior Secured Loan — First Lien Term Loan</w:t>
            </w: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700" w:type="dxa"/>
            <w:vAlign w:val="bottom"/>
          </w:tcPr>
          <w:p>
            <w:pPr>
              <w:spacing w:after="0"/>
              <w:rPr>
                <w:sz w:val="11"/>
                <w:szCs w:val="11"/>
                <w:color w:val="auto"/>
              </w:rPr>
            </w:pPr>
          </w:p>
        </w:tc>
        <w:tc>
          <w:tcPr>
            <w:tcW w:w="2980" w:type="dxa"/>
            <w:vAlign w:val="bottom"/>
            <w:gridSpan w:val="3"/>
          </w:tcPr>
          <w:p>
            <w:pPr>
              <w:ind w:left="20"/>
              <w:spacing w:after="0" w:line="135" w:lineRule="exact"/>
              <w:rPr>
                <w:sz w:val="20"/>
                <w:szCs w:val="20"/>
                <w:color w:val="auto"/>
              </w:rPr>
            </w:pPr>
            <w:r>
              <w:rPr>
                <w:rFonts w:ascii="Arial" w:cs="Arial" w:eastAsia="Arial" w:hAnsi="Arial"/>
                <w:sz w:val="13"/>
                <w:szCs w:val="13"/>
                <w:color w:val="auto"/>
              </w:rPr>
              <w:t>9.5% Cash, 3 Month Libor (1.25%) + 8.25%; Libor</w:t>
            </w: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2980" w:type="dxa"/>
            <w:vAlign w:val="bottom"/>
            <w:gridSpan w:val="3"/>
          </w:tcPr>
          <w:p>
            <w:pPr>
              <w:ind w:left="20"/>
              <w:spacing w:after="0"/>
              <w:rPr>
                <w:sz w:val="20"/>
                <w:szCs w:val="20"/>
                <w:color w:val="auto"/>
              </w:rPr>
            </w:pPr>
            <w:r>
              <w:rPr>
                <w:rFonts w:ascii="Arial" w:cs="Arial" w:eastAsia="Arial" w:hAnsi="Arial"/>
                <w:sz w:val="13"/>
                <w:szCs w:val="13"/>
                <w:color w:val="auto"/>
              </w:rPr>
              <w:t>Floor 1.25% , Due 2/23</w:t>
            </w:r>
          </w:p>
        </w:tc>
        <w:tc>
          <w:tcPr>
            <w:tcW w:w="1020" w:type="dxa"/>
            <w:vAlign w:val="bottom"/>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6,412,500</w:t>
            </w:r>
          </w:p>
        </w:tc>
        <w:tc>
          <w:tcPr>
            <w:tcW w:w="2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4,110,863</w:t>
            </w:r>
          </w:p>
        </w:tc>
        <w:tc>
          <w:tcPr>
            <w:tcW w:w="2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3,851,348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-1861185</wp:posOffset>
            </wp:positionH>
            <wp:positionV relativeFrom="paragraph">
              <wp:posOffset>-3786505</wp:posOffset>
            </wp:positionV>
            <wp:extent cx="7132320" cy="2654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-3426460</wp:posOffset>
            </wp:positionV>
            <wp:extent cx="7132320" cy="1797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-3152140</wp:posOffset>
            </wp:positionV>
            <wp:extent cx="7132320" cy="1797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-2877820</wp:posOffset>
            </wp:positionV>
            <wp:extent cx="7132320" cy="2654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-2517775</wp:posOffset>
            </wp:positionV>
            <wp:extent cx="7132320" cy="2654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-2157730</wp:posOffset>
            </wp:positionV>
            <wp:extent cx="7132320" cy="2654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-1798320</wp:posOffset>
            </wp:positionV>
            <wp:extent cx="7132320" cy="2654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-1437640</wp:posOffset>
            </wp:positionV>
            <wp:extent cx="7132320" cy="2654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-1077595</wp:posOffset>
            </wp:positionV>
            <wp:extent cx="7132320" cy="3511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351155"/>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-632460</wp:posOffset>
            </wp:positionV>
            <wp:extent cx="7132320" cy="2660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266065"/>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-272415</wp:posOffset>
            </wp:positionV>
            <wp:extent cx="7132320" cy="2660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266065"/>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-4155440</wp:posOffset>
            </wp:positionV>
            <wp:extent cx="7132320" cy="2743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360"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70485</wp:posOffset>
            </wp:positionV>
            <wp:extent cx="71748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2">
            <w:col w:w="2320" w:space="620"/>
            <w:col w:w="8220"/>
          </w:cols>
          <w:pgMar w:left="320" w:top="566" w:right="41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49"/>
        </w:trPr>
        <w:tc>
          <w:tcPr>
            <w:tcW w:w="2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Initial</w:t>
            </w: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35"/>
        </w:trPr>
        <w:tc>
          <w:tcPr>
            <w:tcW w:w="2200" w:type="dxa"/>
            <w:vAlign w:val="bottom"/>
          </w:tcPr>
          <w:p>
            <w:pPr>
              <w:spacing w:after="0" w:line="135" w:lineRule="exact"/>
              <w:rPr>
                <w:sz w:val="20"/>
                <w:szCs w:val="20"/>
                <w:color w:val="auto"/>
              </w:rPr>
            </w:pPr>
            <w:r>
              <w:rPr>
                <w:rFonts w:ascii="Arial" w:cs="Arial" w:eastAsia="Arial" w:hAnsi="Arial"/>
                <w:sz w:val="13"/>
                <w:szCs w:val="13"/>
                <w:b w:val="1"/>
                <w:bCs w:val="1"/>
                <w:color w:val="auto"/>
              </w:rPr>
              <w:t>Portfolio Company /</w:t>
            </w: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80" w:type="dxa"/>
            <w:vAlign w:val="bottom"/>
            <w:gridSpan w:val="2"/>
          </w:tcPr>
          <w:p>
            <w:pPr>
              <w:ind w:left="440"/>
              <w:spacing w:after="0" w:line="135" w:lineRule="exact"/>
              <w:rPr>
                <w:sz w:val="20"/>
                <w:szCs w:val="20"/>
                <w:color w:val="auto"/>
              </w:rPr>
            </w:pPr>
            <w:r>
              <w:rPr>
                <w:rFonts w:ascii="Arial" w:cs="Arial" w:eastAsia="Arial" w:hAnsi="Arial"/>
                <w:sz w:val="13"/>
                <w:szCs w:val="13"/>
                <w:b w:val="1"/>
                <w:bCs w:val="1"/>
                <w:color w:val="auto"/>
              </w:rPr>
              <w:t>Investment</w:t>
            </w:r>
          </w:p>
        </w:tc>
        <w:tc>
          <w:tcPr>
            <w:tcW w:w="11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gridSpan w:val="2"/>
          </w:tcPr>
          <w:p>
            <w:pPr>
              <w:ind w:left="280"/>
              <w:spacing w:after="0" w:line="135" w:lineRule="exact"/>
              <w:rPr>
                <w:sz w:val="20"/>
                <w:szCs w:val="20"/>
                <w:color w:val="auto"/>
              </w:rPr>
            </w:pPr>
            <w:r>
              <w:rPr>
                <w:rFonts w:ascii="Arial" w:cs="Arial" w:eastAsia="Arial" w:hAnsi="Arial"/>
                <w:sz w:val="13"/>
                <w:szCs w:val="13"/>
                <w:b w:val="1"/>
                <w:bCs w:val="1"/>
                <w:color w:val="auto"/>
              </w:rPr>
              <w:t>Amortized</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3"/>
        </w:trPr>
        <w:tc>
          <w:tcPr>
            <w:tcW w:w="22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Principal Business</w:t>
            </w:r>
          </w:p>
        </w:tc>
        <w:tc>
          <w:tcPr>
            <w:tcW w:w="740" w:type="dxa"/>
            <w:vAlign w:val="bottom"/>
            <w:tcBorders>
              <w:bottom w:val="single" w:sz="8" w:color="auto"/>
            </w:tcBorders>
          </w:tcPr>
          <w:p>
            <w:pPr>
              <w:spacing w:after="0"/>
              <w:rPr>
                <w:sz w:val="13"/>
                <w:szCs w:val="13"/>
                <w:color w:val="auto"/>
              </w:rPr>
            </w:pPr>
          </w:p>
        </w:tc>
        <w:tc>
          <w:tcPr>
            <w:tcW w:w="60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Interest Rate¹ / Maturity</w:t>
            </w:r>
            <w:r>
              <w:rPr>
                <w:rFonts w:ascii="Arial" w:cs="Arial" w:eastAsia="Arial" w:hAnsi="Arial"/>
                <w:sz w:val="10"/>
                <w:szCs w:val="10"/>
                <w:b w:val="1"/>
                <w:bCs w:val="1"/>
                <w:color w:val="auto"/>
              </w:rPr>
              <w:t>15</w:t>
            </w:r>
          </w:p>
        </w:tc>
        <w:tc>
          <w:tcPr>
            <w:tcW w:w="12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Date</w:t>
            </w:r>
          </w:p>
        </w:tc>
        <w:tc>
          <w:tcPr>
            <w:tcW w:w="120" w:type="dxa"/>
            <w:vAlign w:val="bottom"/>
            <w:tcBorders>
              <w:bottom w:val="single" w:sz="8" w:color="CFF0FC"/>
            </w:tcBorders>
          </w:tcPr>
          <w:p>
            <w:pPr>
              <w:spacing w:after="0"/>
              <w:rPr>
                <w:sz w:val="13"/>
                <w:szCs w:val="13"/>
                <w:color w:val="auto"/>
              </w:rPr>
            </w:pPr>
          </w:p>
        </w:tc>
        <w:tc>
          <w:tcPr>
            <w:tcW w:w="8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Principal</w:t>
            </w:r>
          </w:p>
        </w:tc>
        <w:tc>
          <w:tcPr>
            <w:tcW w:w="220" w:type="dxa"/>
            <w:vAlign w:val="bottom"/>
            <w:tcBorders>
              <w:bottom w:val="single" w:sz="8" w:color="CFF0FC"/>
            </w:tcBorders>
          </w:tcPr>
          <w:p>
            <w:pPr>
              <w:spacing w:after="0"/>
              <w:rPr>
                <w:sz w:val="13"/>
                <w:szCs w:val="13"/>
                <w:color w:val="auto"/>
              </w:rPr>
            </w:pPr>
          </w:p>
        </w:tc>
        <w:tc>
          <w:tcPr>
            <w:tcW w:w="1140" w:type="dxa"/>
            <w:vAlign w:val="bottom"/>
            <w:tcBorders>
              <w:bottom w:val="single" w:sz="8" w:color="auto"/>
            </w:tcBorders>
          </w:tcPr>
          <w:p>
            <w:pPr>
              <w:jc w:val="right"/>
              <w:ind w:right="397"/>
              <w:spacing w:after="0"/>
              <w:rPr>
                <w:sz w:val="20"/>
                <w:szCs w:val="20"/>
                <w:color w:val="auto"/>
              </w:rPr>
            </w:pPr>
            <w:r>
              <w:rPr>
                <w:rFonts w:ascii="Arial" w:cs="Arial" w:eastAsia="Arial" w:hAnsi="Arial"/>
                <w:sz w:val="13"/>
                <w:szCs w:val="13"/>
                <w:b w:val="1"/>
                <w:bCs w:val="1"/>
                <w:color w:val="auto"/>
              </w:rPr>
              <w:t>Cost</w:t>
            </w:r>
          </w:p>
        </w:tc>
        <w:tc>
          <w:tcPr>
            <w:tcW w:w="22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0"/>
                <w:szCs w:val="10"/>
                <w:b w:val="1"/>
                <w:bCs w:val="1"/>
                <w:color w:val="auto"/>
              </w:rPr>
              <w:t>2</w:t>
            </w:r>
          </w:p>
        </w:tc>
        <w:tc>
          <w:tcPr>
            <w:tcW w:w="120" w:type="dxa"/>
            <w:vAlign w:val="bottom"/>
            <w:tcBorders>
              <w:bottom w:val="single" w:sz="8" w:color="CFF0FC"/>
            </w:tcBorders>
          </w:tcPr>
          <w:p>
            <w:pPr>
              <w:spacing w:after="0"/>
              <w:rPr>
                <w:sz w:val="13"/>
                <w:szCs w:val="13"/>
                <w:color w:val="auto"/>
              </w:rPr>
            </w:pPr>
          </w:p>
        </w:tc>
      </w:tr>
      <w:tr>
        <w:trPr>
          <w:trHeight w:val="128"/>
        </w:trPr>
        <w:tc>
          <w:tcPr>
            <w:tcW w:w="2200" w:type="dxa"/>
            <w:vAlign w:val="bottom"/>
            <w:shd w:val="clear" w:color="auto" w:fill="CFF0FC"/>
          </w:tcPr>
          <w:p>
            <w:pPr>
              <w:spacing w:after="0" w:line="128" w:lineRule="exact"/>
              <w:rPr>
                <w:sz w:val="20"/>
                <w:szCs w:val="20"/>
                <w:color w:val="auto"/>
              </w:rPr>
            </w:pPr>
            <w:r>
              <w:rPr>
                <w:rFonts w:ascii="Arial" w:cs="Arial" w:eastAsia="Arial" w:hAnsi="Arial"/>
                <w:sz w:val="13"/>
                <w:szCs w:val="13"/>
                <w:color w:val="auto"/>
              </w:rPr>
              <w:t>Global Tel*Link Corporation</w:t>
            </w:r>
          </w:p>
        </w:tc>
        <w:tc>
          <w:tcPr>
            <w:tcW w:w="1340" w:type="dxa"/>
            <w:vAlign w:val="bottom"/>
            <w:gridSpan w:val="2"/>
            <w:shd w:val="clear" w:color="auto" w:fill="CFF0FC"/>
          </w:tcPr>
          <w:p>
            <w:pPr>
              <w:ind w:left="740"/>
              <w:spacing w:after="0"/>
              <w:rPr>
                <w:sz w:val="20"/>
                <w:szCs w:val="20"/>
                <w:color w:val="auto"/>
              </w:rPr>
            </w:pPr>
            <w:r>
              <w:rPr>
                <w:rFonts w:ascii="Arial" w:cs="Arial" w:eastAsia="Arial" w:hAnsi="Arial"/>
                <w:sz w:val="11"/>
                <w:szCs w:val="11"/>
                <w:color w:val="auto"/>
              </w:rPr>
              <w:t>(8)(14)</w:t>
            </w:r>
          </w:p>
        </w:tc>
        <w:tc>
          <w:tcPr>
            <w:tcW w:w="120" w:type="dxa"/>
            <w:vAlign w:val="bottom"/>
            <w:shd w:val="clear" w:color="auto" w:fill="CFF0FC"/>
          </w:tcPr>
          <w:p>
            <w:pPr>
              <w:spacing w:after="0"/>
              <w:rPr>
                <w:sz w:val="11"/>
                <w:szCs w:val="11"/>
                <w:color w:val="auto"/>
              </w:rPr>
            </w:pPr>
          </w:p>
        </w:tc>
        <w:tc>
          <w:tcPr>
            <w:tcW w:w="2840" w:type="dxa"/>
            <w:vAlign w:val="bottom"/>
            <w:gridSpan w:val="2"/>
            <w:shd w:val="clear" w:color="auto" w:fill="CFF0FC"/>
          </w:tcPr>
          <w:p>
            <w:pPr>
              <w:spacing w:after="0" w:line="128" w:lineRule="exact"/>
              <w:rPr>
                <w:sz w:val="20"/>
                <w:szCs w:val="20"/>
                <w:color w:val="auto"/>
              </w:rPr>
            </w:pPr>
            <w:r>
              <w:rPr>
                <w:rFonts w:ascii="Arial" w:cs="Arial" w:eastAsia="Arial" w:hAnsi="Arial"/>
                <w:sz w:val="13"/>
                <w:szCs w:val="13"/>
                <w:color w:val="auto"/>
              </w:rPr>
              <w:t>Junior Secured Loan — Loan (Second Lien)</w:t>
            </w: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20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Telecommunications</w:t>
            </w:r>
          </w:p>
        </w:tc>
        <w:tc>
          <w:tcPr>
            <w:tcW w:w="74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800" w:type="dxa"/>
            <w:vAlign w:val="bottom"/>
            <w:gridSpan w:val="2"/>
            <w:shd w:val="clear" w:color="auto" w:fill="CFF0FC"/>
          </w:tcPr>
          <w:p>
            <w:pPr>
              <w:ind w:left="120"/>
              <w:spacing w:after="0" w:line="135" w:lineRule="exact"/>
              <w:rPr>
                <w:sz w:val="20"/>
                <w:szCs w:val="20"/>
                <w:color w:val="auto"/>
              </w:rPr>
            </w:pPr>
            <w:r>
              <w:rPr>
                <w:rFonts w:ascii="Arial" w:cs="Arial" w:eastAsia="Arial" w:hAnsi="Arial"/>
                <w:sz w:val="13"/>
                <w:szCs w:val="13"/>
                <w:color w:val="auto"/>
                <w:w w:val="84"/>
              </w:rPr>
              <w:t>8.4% Cash, 1</w:t>
            </w:r>
          </w:p>
        </w:tc>
        <w:tc>
          <w:tcPr>
            <w:tcW w:w="22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Month Libor (0.15%) + 8.25% , Due</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2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800" w:type="dxa"/>
            <w:vAlign w:val="bottom"/>
            <w:gridSpan w:val="2"/>
            <w:shd w:val="clear" w:color="auto" w:fill="CFF0FC"/>
          </w:tcPr>
          <w:p>
            <w:pPr>
              <w:ind w:left="120"/>
              <w:spacing w:after="0"/>
              <w:rPr>
                <w:sz w:val="20"/>
                <w:szCs w:val="20"/>
                <w:color w:val="auto"/>
              </w:rPr>
            </w:pPr>
            <w:r>
              <w:rPr>
                <w:rFonts w:ascii="Arial" w:cs="Arial" w:eastAsia="Arial" w:hAnsi="Arial"/>
                <w:sz w:val="13"/>
                <w:szCs w:val="13"/>
                <w:color w:val="auto"/>
              </w:rPr>
              <w:t>11/26</w:t>
            </w:r>
          </w:p>
        </w:tc>
        <w:tc>
          <w:tcPr>
            <w:tcW w:w="2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5/21/2013</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1,500,000</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1,481,015</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1,062,000</w:t>
            </w:r>
          </w:p>
        </w:tc>
        <w:tc>
          <w:tcPr>
            <w:tcW w:w="120" w:type="dxa"/>
            <w:vAlign w:val="bottom"/>
            <w:shd w:val="clear" w:color="auto" w:fill="CFF0FC"/>
          </w:tcPr>
          <w:p>
            <w:pPr>
              <w:spacing w:after="0"/>
              <w:rPr>
                <w:sz w:val="12"/>
                <w:szCs w:val="12"/>
                <w:color w:val="auto"/>
              </w:rPr>
            </w:pPr>
          </w:p>
        </w:tc>
      </w:tr>
      <w:tr>
        <w:trPr>
          <w:trHeight w:val="148"/>
        </w:trPr>
        <w:tc>
          <w:tcPr>
            <w:tcW w:w="2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2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Gruden Acquisition, Inc.</w:t>
            </w:r>
          </w:p>
        </w:tc>
        <w:tc>
          <w:tcPr>
            <w:tcW w:w="1340" w:type="dxa"/>
            <w:vAlign w:val="bottom"/>
            <w:gridSpan w:val="2"/>
            <w:shd w:val="clear" w:color="auto" w:fill="CFF0FC"/>
          </w:tcPr>
          <w:p>
            <w:pPr>
              <w:ind w:left="740"/>
              <w:spacing w:after="0"/>
              <w:rPr>
                <w:sz w:val="20"/>
                <w:szCs w:val="20"/>
                <w:color w:val="auto"/>
              </w:rPr>
            </w:pPr>
            <w:r>
              <w:rPr>
                <w:rFonts w:ascii="Arial" w:cs="Arial" w:eastAsia="Arial" w:hAnsi="Arial"/>
                <w:sz w:val="11"/>
                <w:szCs w:val="11"/>
                <w:color w:val="auto"/>
              </w:rPr>
              <w:t>(8)(13)(14)</w:t>
            </w:r>
          </w:p>
        </w:tc>
        <w:tc>
          <w:tcPr>
            <w:tcW w:w="3080" w:type="dxa"/>
            <w:vAlign w:val="bottom"/>
            <w:gridSpan w:val="4"/>
            <w:shd w:val="clear" w:color="auto" w:fill="CFF0FC"/>
          </w:tcPr>
          <w:p>
            <w:pPr>
              <w:ind w:left="120"/>
              <w:spacing w:after="0" w:line="134" w:lineRule="exact"/>
              <w:rPr>
                <w:sz w:val="20"/>
                <w:szCs w:val="20"/>
                <w:color w:val="auto"/>
              </w:rPr>
            </w:pPr>
            <w:r>
              <w:rPr>
                <w:rFonts w:ascii="Arial" w:cs="Arial" w:eastAsia="Arial" w:hAnsi="Arial"/>
                <w:sz w:val="13"/>
                <w:szCs w:val="13"/>
                <w:color w:val="auto"/>
              </w:rPr>
              <w:t>Senior Secured Loan — First Lien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2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800" w:type="dxa"/>
            <w:vAlign w:val="bottom"/>
            <w:gridSpan w:val="2"/>
            <w:shd w:val="clear" w:color="auto" w:fill="CFF0FC"/>
          </w:tcPr>
          <w:p>
            <w:pPr>
              <w:ind w:left="120"/>
              <w:spacing w:after="0" w:line="135" w:lineRule="exact"/>
              <w:rPr>
                <w:sz w:val="20"/>
                <w:szCs w:val="20"/>
                <w:color w:val="auto"/>
              </w:rPr>
            </w:pPr>
            <w:r>
              <w:rPr>
                <w:rFonts w:ascii="Arial" w:cs="Arial" w:eastAsia="Arial" w:hAnsi="Arial"/>
                <w:sz w:val="13"/>
                <w:szCs w:val="13"/>
                <w:color w:val="auto"/>
                <w:w w:val="84"/>
              </w:rPr>
              <w:t>6.5% Cash, 3</w:t>
            </w:r>
          </w:p>
        </w:tc>
        <w:tc>
          <w:tcPr>
            <w:tcW w:w="22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Month Libor (1.00%) + 5.50%;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2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Transportation: Cargo</w:t>
            </w:r>
          </w:p>
        </w:tc>
        <w:tc>
          <w:tcPr>
            <w:tcW w:w="7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080" w:type="dxa"/>
            <w:vAlign w:val="bottom"/>
            <w:gridSpan w:val="4"/>
            <w:shd w:val="clear" w:color="auto" w:fill="CFF0FC"/>
          </w:tcPr>
          <w:p>
            <w:pPr>
              <w:ind w:left="120"/>
              <w:spacing w:after="0"/>
              <w:rPr>
                <w:sz w:val="20"/>
                <w:szCs w:val="20"/>
                <w:color w:val="auto"/>
              </w:rPr>
            </w:pPr>
            <w:r>
              <w:rPr>
                <w:rFonts w:ascii="Arial" w:cs="Arial" w:eastAsia="Arial" w:hAnsi="Arial"/>
                <w:sz w:val="13"/>
                <w:szCs w:val="13"/>
                <w:color w:val="auto"/>
              </w:rPr>
              <w:t>Floor 1.00% , Due 8/22</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2,414,315</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2,071,047</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2,404,658</w:t>
            </w:r>
          </w:p>
        </w:tc>
        <w:tc>
          <w:tcPr>
            <w:tcW w:w="120" w:type="dxa"/>
            <w:vAlign w:val="bottom"/>
            <w:shd w:val="clear" w:color="auto" w:fill="CFF0FC"/>
          </w:tcPr>
          <w:p>
            <w:pPr>
              <w:spacing w:after="0"/>
              <w:rPr>
                <w:sz w:val="12"/>
                <w:szCs w:val="12"/>
                <w:color w:val="auto"/>
              </w:rPr>
            </w:pPr>
          </w:p>
        </w:tc>
      </w:tr>
    </w:tbl>
    <w:p>
      <w:pPr>
        <w:spacing w:after="0" w:line="133" w:lineRule="exact"/>
        <w:rPr>
          <w:sz w:val="20"/>
          <w:szCs w:val="20"/>
          <w:color w:val="auto"/>
        </w:rPr>
      </w:pPr>
    </w:p>
    <w:p>
      <w:pPr>
        <w:sectPr>
          <w:pgSz w:w="11900" w:h="16838" w:orient="portrait"/>
          <w:cols w:equalWidth="0" w:num="1">
            <w:col w:w="11240"/>
          </w:cols>
          <w:pgMar w:left="320" w:top="336" w:right="339" w:bottom="1440" w:gutter="0" w:footer="0" w:header="0"/>
        </w:sectPr>
      </w:pP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Grupo HIMA San Pablo, Inc.</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3"/>
          <w:szCs w:val="13"/>
          <w:color w:val="auto"/>
        </w:rPr>
        <w:t>Healthcare &amp; Pharmaceuticals</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Grupo HIMA San Pablo, Inc.</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3"/>
          <w:szCs w:val="13"/>
          <w:color w:val="auto"/>
        </w:rPr>
        <w:t>Healthcare &amp; Pharmaceuticals</w:t>
      </w:r>
    </w:p>
    <w:p>
      <w:pPr>
        <w:spacing w:after="0" w:line="143" w:lineRule="exact"/>
        <w:rPr>
          <w:sz w:val="20"/>
          <w:szCs w:val="20"/>
          <w:color w:val="auto"/>
        </w:rPr>
      </w:pPr>
    </w:p>
    <w:p>
      <w:pPr>
        <w:spacing w:after="0"/>
        <w:rPr>
          <w:sz w:val="20"/>
          <w:szCs w:val="20"/>
          <w:color w:val="auto"/>
        </w:rPr>
      </w:pPr>
      <w:r>
        <w:rPr>
          <w:rFonts w:ascii="Arial" w:cs="Arial" w:eastAsia="Arial" w:hAnsi="Arial"/>
          <w:sz w:val="13"/>
          <w:szCs w:val="13"/>
          <w:color w:val="auto"/>
        </w:rPr>
        <w:t>Hayward Industries, Inc.</w:t>
      </w:r>
    </w:p>
    <w:p>
      <w:pPr>
        <w:ind w:left="160"/>
        <w:spacing w:after="0"/>
        <w:rPr>
          <w:sz w:val="20"/>
          <w:szCs w:val="20"/>
          <w:color w:val="auto"/>
        </w:rPr>
      </w:pPr>
      <w:r>
        <w:rPr>
          <w:rFonts w:ascii="Arial" w:cs="Arial" w:eastAsia="Arial" w:hAnsi="Arial"/>
          <w:sz w:val="13"/>
          <w:szCs w:val="13"/>
          <w:color w:val="auto"/>
        </w:rPr>
        <w:t>Consumer goods: Durable</w:t>
      </w:r>
    </w:p>
    <w:p>
      <w:pPr>
        <w:spacing w:after="0" w:line="273" w:lineRule="exact"/>
        <w:rPr>
          <w:sz w:val="20"/>
          <w:szCs w:val="20"/>
          <w:color w:val="auto"/>
        </w:rPr>
      </w:pPr>
    </w:p>
    <w:p>
      <w:pPr>
        <w:ind w:left="160" w:right="360" w:hanging="156"/>
        <w:spacing w:after="0" w:line="236" w:lineRule="auto"/>
        <w:rPr>
          <w:sz w:val="20"/>
          <w:szCs w:val="20"/>
          <w:color w:val="auto"/>
        </w:rPr>
      </w:pPr>
      <w:r>
        <w:rPr>
          <w:rFonts w:ascii="Arial" w:cs="Arial" w:eastAsia="Arial" w:hAnsi="Arial"/>
          <w:sz w:val="13"/>
          <w:szCs w:val="13"/>
          <w:color w:val="auto"/>
        </w:rPr>
        <w:t>HDC/HW Intermediate Holdings, LLC High Tech Industries</w:t>
      </w:r>
    </w:p>
    <w:p>
      <w:pPr>
        <w:spacing w:after="0" w:line="273" w:lineRule="exact"/>
        <w:rPr>
          <w:sz w:val="20"/>
          <w:szCs w:val="20"/>
          <w:color w:val="auto"/>
        </w:rPr>
      </w:pPr>
    </w:p>
    <w:p>
      <w:pPr>
        <w:spacing w:after="0"/>
        <w:rPr>
          <w:sz w:val="20"/>
          <w:szCs w:val="20"/>
          <w:color w:val="auto"/>
        </w:rPr>
      </w:pPr>
      <w:r>
        <w:rPr>
          <w:rFonts w:ascii="Arial" w:cs="Arial" w:eastAsia="Arial" w:hAnsi="Arial"/>
          <w:sz w:val="13"/>
          <w:szCs w:val="13"/>
          <w:color w:val="auto"/>
        </w:rPr>
        <w:t>HDC/HW Intermediate Holdings, LLC</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3"/>
          <w:szCs w:val="13"/>
          <w:color w:val="auto"/>
        </w:rPr>
        <w:t>High Tech Industries</w:t>
      </w:r>
    </w:p>
    <w:p>
      <w:pPr>
        <w:spacing w:after="0" w:line="143" w:lineRule="exact"/>
        <w:rPr>
          <w:sz w:val="20"/>
          <w:szCs w:val="20"/>
          <w:color w:val="auto"/>
        </w:rPr>
      </w:pPr>
    </w:p>
    <w:p>
      <w:pPr>
        <w:spacing w:after="0"/>
        <w:rPr>
          <w:sz w:val="20"/>
          <w:szCs w:val="20"/>
          <w:color w:val="auto"/>
        </w:rPr>
      </w:pPr>
      <w:r>
        <w:rPr>
          <w:rFonts w:ascii="Arial" w:cs="Arial" w:eastAsia="Arial" w:hAnsi="Arial"/>
          <w:sz w:val="13"/>
          <w:szCs w:val="13"/>
          <w:color w:val="auto"/>
        </w:rPr>
        <w:t>Helix Acquisition Holdings, Inc.</w:t>
      </w:r>
    </w:p>
    <w:p>
      <w:pPr>
        <w:ind w:left="160"/>
        <w:spacing w:after="0"/>
        <w:rPr>
          <w:sz w:val="20"/>
          <w:szCs w:val="20"/>
          <w:color w:val="auto"/>
        </w:rPr>
      </w:pPr>
      <w:r>
        <w:rPr>
          <w:rFonts w:ascii="Arial" w:cs="Arial" w:eastAsia="Arial" w:hAnsi="Arial"/>
          <w:sz w:val="13"/>
          <w:szCs w:val="13"/>
          <w:color w:val="auto"/>
        </w:rPr>
        <w:t>Metals &amp; Mining</w:t>
      </w:r>
    </w:p>
    <w:p>
      <w:pPr>
        <w:spacing w:after="0" w:line="273" w:lineRule="exact"/>
        <w:rPr>
          <w:sz w:val="20"/>
          <w:szCs w:val="20"/>
          <w:color w:val="auto"/>
        </w:rPr>
      </w:pPr>
    </w:p>
    <w:p>
      <w:pPr>
        <w:spacing w:after="0"/>
        <w:rPr>
          <w:sz w:val="20"/>
          <w:szCs w:val="20"/>
          <w:color w:val="auto"/>
        </w:rPr>
      </w:pPr>
      <w:r>
        <w:rPr>
          <w:rFonts w:ascii="Arial" w:cs="Arial" w:eastAsia="Arial" w:hAnsi="Arial"/>
          <w:sz w:val="13"/>
          <w:szCs w:val="13"/>
          <w:color w:val="auto"/>
        </w:rPr>
        <w:t>Hoffmaster Group, Inc.</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3"/>
          <w:szCs w:val="13"/>
          <w:color w:val="auto"/>
        </w:rPr>
        <w:t>Forest Products &amp; Paper</w:t>
      </w:r>
    </w:p>
    <w:p>
      <w:pPr>
        <w:spacing w:after="0" w:line="278" w:lineRule="exact"/>
        <w:rPr>
          <w:sz w:val="20"/>
          <w:szCs w:val="20"/>
          <w:color w:val="auto"/>
        </w:rPr>
      </w:pPr>
    </w:p>
    <w:p>
      <w:pPr>
        <w:spacing w:after="0"/>
        <w:rPr>
          <w:sz w:val="20"/>
          <w:szCs w:val="20"/>
          <w:color w:val="auto"/>
        </w:rPr>
      </w:pPr>
      <w:r>
        <w:rPr>
          <w:rFonts w:ascii="Arial" w:cs="Arial" w:eastAsia="Arial" w:hAnsi="Arial"/>
          <w:sz w:val="13"/>
          <w:szCs w:val="13"/>
          <w:color w:val="auto"/>
        </w:rPr>
        <w:t>Holley Purchaser, Inc.</w:t>
      </w:r>
    </w:p>
    <w:p>
      <w:pPr>
        <w:ind w:left="160"/>
        <w:spacing w:after="0"/>
        <w:rPr>
          <w:sz w:val="20"/>
          <w:szCs w:val="20"/>
          <w:color w:val="auto"/>
        </w:rPr>
      </w:pPr>
      <w:r>
        <w:rPr>
          <w:rFonts w:ascii="Arial" w:cs="Arial" w:eastAsia="Arial" w:hAnsi="Arial"/>
          <w:sz w:val="10"/>
          <w:szCs w:val="10"/>
          <w:color w:val="auto"/>
        </w:rPr>
        <w:t>Banking, Finance, Insurance &amp; Real Estate</w:t>
      </w:r>
    </w:p>
    <w:p>
      <w:pPr>
        <w:spacing w:after="0" w:line="307" w:lineRule="exact"/>
        <w:rPr>
          <w:sz w:val="20"/>
          <w:szCs w:val="20"/>
          <w:color w:val="auto"/>
        </w:rPr>
      </w:pPr>
    </w:p>
    <w:p>
      <w:pPr>
        <w:spacing w:after="0"/>
        <w:rPr>
          <w:sz w:val="20"/>
          <w:szCs w:val="20"/>
          <w:color w:val="auto"/>
        </w:rPr>
      </w:pPr>
      <w:r>
        <w:rPr>
          <w:rFonts w:ascii="Arial" w:cs="Arial" w:eastAsia="Arial" w:hAnsi="Arial"/>
          <w:sz w:val="13"/>
          <w:szCs w:val="13"/>
          <w:color w:val="auto"/>
        </w:rPr>
        <w:t>Idera, Inc.</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3"/>
          <w:szCs w:val="13"/>
          <w:color w:val="auto"/>
        </w:rPr>
        <w:t>High Tech Industries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700" w:type="dxa"/>
            <w:vAlign w:val="bottom"/>
          </w:tcPr>
          <w:p>
            <w:pPr>
              <w:spacing w:after="0"/>
              <w:rPr>
                <w:sz w:val="20"/>
                <w:szCs w:val="20"/>
                <w:color w:val="auto"/>
              </w:rPr>
            </w:pPr>
            <w:r>
              <w:rPr>
                <w:rFonts w:ascii="Arial" w:cs="Arial" w:eastAsia="Arial" w:hAnsi="Arial"/>
                <w:sz w:val="11"/>
                <w:szCs w:val="11"/>
                <w:color w:val="auto"/>
              </w:rPr>
              <w:t>(8)(13)(14)</w:t>
            </w:r>
          </w:p>
        </w:tc>
        <w:tc>
          <w:tcPr>
            <w:tcW w:w="3120" w:type="dxa"/>
            <w:vAlign w:val="bottom"/>
          </w:tcPr>
          <w:p>
            <w:pPr>
              <w:ind w:left="20"/>
              <w:spacing w:after="0"/>
              <w:rPr>
                <w:sz w:val="20"/>
                <w:szCs w:val="20"/>
                <w:color w:val="auto"/>
              </w:rPr>
            </w:pPr>
            <w:r>
              <w:rPr>
                <w:rFonts w:ascii="Arial" w:cs="Arial" w:eastAsia="Arial" w:hAnsi="Arial"/>
                <w:sz w:val="13"/>
                <w:szCs w:val="13"/>
                <w:color w:val="auto"/>
              </w:rPr>
              <w:t>Senior Secured Loan — Term B Loan (First Lien)</w:t>
            </w:r>
          </w:p>
        </w:tc>
        <w:tc>
          <w:tcPr>
            <w:tcW w:w="1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700" w:type="dxa"/>
            <w:vAlign w:val="bottom"/>
          </w:tcPr>
          <w:p>
            <w:pPr>
              <w:spacing w:after="0"/>
              <w:rPr>
                <w:sz w:val="11"/>
                <w:szCs w:val="11"/>
                <w:color w:val="auto"/>
              </w:rPr>
            </w:pPr>
          </w:p>
        </w:tc>
        <w:tc>
          <w:tcPr>
            <w:tcW w:w="3120" w:type="dxa"/>
            <w:vAlign w:val="bottom"/>
          </w:tcPr>
          <w:p>
            <w:pPr>
              <w:ind w:left="20"/>
              <w:spacing w:after="0" w:line="135" w:lineRule="exact"/>
              <w:rPr>
                <w:sz w:val="20"/>
                <w:szCs w:val="20"/>
                <w:color w:val="auto"/>
              </w:rPr>
            </w:pPr>
            <w:r>
              <w:rPr>
                <w:rFonts w:ascii="Arial" w:cs="Arial" w:eastAsia="Arial" w:hAnsi="Arial"/>
                <w:sz w:val="13"/>
                <w:szCs w:val="13"/>
                <w:color w:val="auto"/>
              </w:rPr>
              <w:t>10.5% Cash, 3 Month Libor (1.50%) + 9.00%; Libor</w:t>
            </w:r>
          </w:p>
        </w:tc>
        <w:tc>
          <w:tcPr>
            <w:tcW w:w="1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3120" w:type="dxa"/>
            <w:vAlign w:val="bottom"/>
          </w:tcPr>
          <w:p>
            <w:pPr>
              <w:ind w:left="20"/>
              <w:spacing w:after="0"/>
              <w:rPr>
                <w:sz w:val="20"/>
                <w:szCs w:val="20"/>
                <w:color w:val="auto"/>
              </w:rPr>
            </w:pPr>
            <w:r>
              <w:rPr>
                <w:rFonts w:ascii="Arial" w:cs="Arial" w:eastAsia="Arial" w:hAnsi="Arial"/>
                <w:sz w:val="13"/>
                <w:szCs w:val="13"/>
                <w:color w:val="auto"/>
              </w:rPr>
              <w:t>Floor 1.50% , Due 1/18</w:t>
            </w:r>
          </w:p>
        </w:tc>
        <w:tc>
          <w:tcPr>
            <w:tcW w:w="1100" w:type="dxa"/>
            <w:vAlign w:val="bottom"/>
          </w:tcPr>
          <w:p>
            <w:pPr>
              <w:jc w:val="right"/>
              <w:ind w:right="177"/>
              <w:spacing w:after="0"/>
              <w:rPr>
                <w:sz w:val="20"/>
                <w:szCs w:val="20"/>
                <w:color w:val="auto"/>
              </w:rPr>
            </w:pPr>
            <w:r>
              <w:rPr>
                <w:rFonts w:ascii="Arial" w:cs="Arial" w:eastAsia="Arial" w:hAnsi="Arial"/>
                <w:sz w:val="13"/>
                <w:szCs w:val="13"/>
                <w:color w:val="auto"/>
              </w:rPr>
              <w:t>1/30/2013</w:t>
            </w:r>
          </w:p>
        </w:tc>
        <w:tc>
          <w:tcPr>
            <w:tcW w:w="1200" w:type="dxa"/>
            <w:vAlign w:val="bottom"/>
          </w:tcPr>
          <w:p>
            <w:pPr>
              <w:jc w:val="right"/>
              <w:ind w:right="377"/>
              <w:spacing w:after="0"/>
              <w:rPr>
                <w:sz w:val="20"/>
                <w:szCs w:val="20"/>
                <w:color w:val="auto"/>
              </w:rPr>
            </w:pPr>
            <w:r>
              <w:rPr>
                <w:rFonts w:ascii="Arial" w:cs="Arial" w:eastAsia="Arial" w:hAnsi="Arial"/>
                <w:sz w:val="13"/>
                <w:szCs w:val="13"/>
                <w:color w:val="auto"/>
              </w:rPr>
              <w:t>2,702,232</w:t>
            </w:r>
          </w:p>
        </w:tc>
        <w:tc>
          <w:tcPr>
            <w:tcW w:w="1240" w:type="dxa"/>
            <w:vAlign w:val="bottom"/>
          </w:tcPr>
          <w:p>
            <w:pPr>
              <w:jc w:val="right"/>
              <w:ind w:right="257"/>
              <w:spacing w:after="0"/>
              <w:rPr>
                <w:sz w:val="20"/>
                <w:szCs w:val="20"/>
                <w:color w:val="auto"/>
              </w:rPr>
            </w:pPr>
            <w:r>
              <w:rPr>
                <w:rFonts w:ascii="Arial" w:cs="Arial" w:eastAsia="Arial" w:hAnsi="Arial"/>
                <w:sz w:val="13"/>
                <w:szCs w:val="13"/>
                <w:color w:val="auto"/>
              </w:rPr>
              <w:t>2,702,232</w:t>
            </w:r>
          </w:p>
        </w:tc>
        <w:tc>
          <w:tcPr>
            <w:tcW w:w="800" w:type="dxa"/>
            <w:vAlign w:val="bottom"/>
          </w:tcPr>
          <w:p>
            <w:pPr>
              <w:jc w:val="right"/>
              <w:spacing w:after="0"/>
              <w:rPr>
                <w:sz w:val="20"/>
                <w:szCs w:val="20"/>
                <w:color w:val="auto"/>
              </w:rPr>
            </w:pPr>
            <w:r>
              <w:rPr>
                <w:rFonts w:ascii="Arial" w:cs="Arial" w:eastAsia="Arial" w:hAnsi="Arial"/>
                <w:sz w:val="13"/>
                <w:szCs w:val="13"/>
                <w:color w:val="auto"/>
              </w:rPr>
              <w:t>2,418,498</w:t>
            </w:r>
          </w:p>
        </w:tc>
        <w:tc>
          <w:tcPr>
            <w:tcW w:w="0" w:type="dxa"/>
            <w:vAlign w:val="bottom"/>
          </w:tcPr>
          <w:p>
            <w:pPr>
              <w:spacing w:after="0"/>
              <w:rPr>
                <w:sz w:val="1"/>
                <w:szCs w:val="1"/>
                <w:color w:val="auto"/>
              </w:rPr>
            </w:pPr>
          </w:p>
        </w:tc>
      </w:tr>
      <w:tr>
        <w:trPr>
          <w:trHeight w:val="277"/>
        </w:trPr>
        <w:tc>
          <w:tcPr>
            <w:tcW w:w="700" w:type="dxa"/>
            <w:vAlign w:val="bottom"/>
          </w:tcPr>
          <w:p>
            <w:pPr>
              <w:spacing w:after="0"/>
              <w:rPr>
                <w:sz w:val="20"/>
                <w:szCs w:val="20"/>
                <w:color w:val="auto"/>
              </w:rPr>
            </w:pPr>
            <w:r>
              <w:rPr>
                <w:rFonts w:ascii="Arial" w:cs="Arial" w:eastAsia="Arial" w:hAnsi="Arial"/>
                <w:sz w:val="11"/>
                <w:szCs w:val="11"/>
                <w:color w:val="auto"/>
              </w:rPr>
              <w:t>(5)(8)(13)</w:t>
            </w:r>
          </w:p>
        </w:tc>
        <w:tc>
          <w:tcPr>
            <w:tcW w:w="3120" w:type="dxa"/>
            <w:vAlign w:val="bottom"/>
            <w:vMerge w:val="restart"/>
          </w:tcPr>
          <w:p>
            <w:pPr>
              <w:ind w:left="20"/>
              <w:spacing w:after="0"/>
              <w:rPr>
                <w:sz w:val="20"/>
                <w:szCs w:val="20"/>
                <w:color w:val="auto"/>
              </w:rPr>
            </w:pPr>
            <w:r>
              <w:rPr>
                <w:rFonts w:ascii="Arial" w:cs="Arial" w:eastAsia="Arial" w:hAnsi="Arial"/>
                <w:sz w:val="13"/>
                <w:szCs w:val="13"/>
                <w:color w:val="auto"/>
              </w:rPr>
              <w:t>Junior Secured Loan — Term Loan (Second Lien)</w:t>
            </w:r>
          </w:p>
        </w:tc>
        <w:tc>
          <w:tcPr>
            <w:tcW w:w="1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
        </w:trPr>
        <w:tc>
          <w:tcPr>
            <w:tcW w:w="700" w:type="dxa"/>
            <w:vAlign w:val="bottom"/>
          </w:tcPr>
          <w:p>
            <w:pPr>
              <w:spacing w:after="0"/>
              <w:rPr>
                <w:sz w:val="5"/>
                <w:szCs w:val="5"/>
                <w:color w:val="auto"/>
              </w:rPr>
            </w:pPr>
          </w:p>
        </w:tc>
        <w:tc>
          <w:tcPr>
            <w:tcW w:w="312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3120" w:type="dxa"/>
            <w:vAlign w:val="bottom"/>
          </w:tcPr>
          <w:p>
            <w:pPr>
              <w:ind w:left="20"/>
              <w:spacing w:after="0"/>
              <w:rPr>
                <w:sz w:val="20"/>
                <w:szCs w:val="20"/>
                <w:color w:val="auto"/>
              </w:rPr>
            </w:pPr>
            <w:r>
              <w:rPr>
                <w:rFonts w:ascii="Arial" w:cs="Arial" w:eastAsia="Arial" w:hAnsi="Arial"/>
                <w:sz w:val="13"/>
                <w:szCs w:val="13"/>
                <w:color w:val="auto"/>
              </w:rPr>
              <w:t>13.8% Cash, Due 7/18</w:t>
            </w:r>
          </w:p>
        </w:tc>
        <w:tc>
          <w:tcPr>
            <w:tcW w:w="1100" w:type="dxa"/>
            <w:vAlign w:val="bottom"/>
            <w:vMerge w:val="restart"/>
          </w:tcPr>
          <w:p>
            <w:pPr>
              <w:jc w:val="right"/>
              <w:ind w:right="177"/>
              <w:spacing w:after="0"/>
              <w:rPr>
                <w:sz w:val="20"/>
                <w:szCs w:val="20"/>
                <w:color w:val="auto"/>
              </w:rPr>
            </w:pPr>
            <w:r>
              <w:rPr>
                <w:rFonts w:ascii="Arial" w:cs="Arial" w:eastAsia="Arial" w:hAnsi="Arial"/>
                <w:sz w:val="13"/>
                <w:szCs w:val="13"/>
                <w:color w:val="auto"/>
              </w:rPr>
              <w:t>1/30/2013</w:t>
            </w:r>
          </w:p>
        </w:tc>
        <w:tc>
          <w:tcPr>
            <w:tcW w:w="1200" w:type="dxa"/>
            <w:vAlign w:val="bottom"/>
            <w:vMerge w:val="restart"/>
          </w:tcPr>
          <w:p>
            <w:pPr>
              <w:jc w:val="right"/>
              <w:ind w:right="377"/>
              <w:spacing w:after="0"/>
              <w:rPr>
                <w:sz w:val="20"/>
                <w:szCs w:val="20"/>
                <w:color w:val="auto"/>
              </w:rPr>
            </w:pPr>
            <w:r>
              <w:rPr>
                <w:rFonts w:ascii="Arial" w:cs="Arial" w:eastAsia="Arial" w:hAnsi="Arial"/>
                <w:sz w:val="13"/>
                <w:szCs w:val="13"/>
                <w:color w:val="auto"/>
              </w:rPr>
              <w:t>7,191,667</w:t>
            </w:r>
          </w:p>
        </w:tc>
        <w:tc>
          <w:tcPr>
            <w:tcW w:w="1240" w:type="dxa"/>
            <w:vAlign w:val="bottom"/>
            <w:vMerge w:val="restart"/>
          </w:tcPr>
          <w:p>
            <w:pPr>
              <w:jc w:val="right"/>
              <w:ind w:right="257"/>
              <w:spacing w:after="0"/>
              <w:rPr>
                <w:sz w:val="20"/>
                <w:szCs w:val="20"/>
                <w:color w:val="auto"/>
              </w:rPr>
            </w:pPr>
            <w:r>
              <w:rPr>
                <w:rFonts w:ascii="Arial" w:cs="Arial" w:eastAsia="Arial" w:hAnsi="Arial"/>
                <w:sz w:val="13"/>
                <w:szCs w:val="13"/>
                <w:color w:val="auto"/>
              </w:rPr>
              <w:t>7,191,667</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199,209</w:t>
            </w:r>
          </w:p>
        </w:tc>
        <w:tc>
          <w:tcPr>
            <w:tcW w:w="0" w:type="dxa"/>
            <w:vAlign w:val="bottom"/>
          </w:tcPr>
          <w:p>
            <w:pPr>
              <w:spacing w:after="0"/>
              <w:rPr>
                <w:sz w:val="1"/>
                <w:szCs w:val="1"/>
                <w:color w:val="auto"/>
              </w:rPr>
            </w:pPr>
          </w:p>
        </w:tc>
      </w:tr>
      <w:tr>
        <w:trPr>
          <w:trHeight w:val="68"/>
        </w:trPr>
        <w:tc>
          <w:tcPr>
            <w:tcW w:w="700" w:type="dxa"/>
            <w:vAlign w:val="bottom"/>
          </w:tcPr>
          <w:p>
            <w:pPr>
              <w:spacing w:after="0"/>
              <w:rPr>
                <w:sz w:val="5"/>
                <w:szCs w:val="5"/>
                <w:color w:val="auto"/>
              </w:rPr>
            </w:pPr>
          </w:p>
        </w:tc>
        <w:tc>
          <w:tcPr>
            <w:tcW w:w="312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124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2"/>
        </w:trPr>
        <w:tc>
          <w:tcPr>
            <w:tcW w:w="700" w:type="dxa"/>
            <w:vAlign w:val="bottom"/>
          </w:tcPr>
          <w:p>
            <w:pPr>
              <w:spacing w:after="0"/>
              <w:rPr>
                <w:sz w:val="20"/>
                <w:szCs w:val="20"/>
                <w:color w:val="auto"/>
              </w:rPr>
            </w:pPr>
            <w:r>
              <w:rPr>
                <w:rFonts w:ascii="Arial" w:cs="Arial" w:eastAsia="Arial" w:hAnsi="Arial"/>
                <w:sz w:val="11"/>
                <w:szCs w:val="11"/>
                <w:color w:val="auto"/>
              </w:rPr>
              <w:t>(8)(13)(14)</w:t>
            </w:r>
          </w:p>
        </w:tc>
        <w:tc>
          <w:tcPr>
            <w:tcW w:w="3120" w:type="dxa"/>
            <w:vAlign w:val="bottom"/>
          </w:tcPr>
          <w:p>
            <w:pPr>
              <w:ind w:left="20"/>
              <w:spacing w:after="0"/>
              <w:rPr>
                <w:sz w:val="20"/>
                <w:szCs w:val="20"/>
                <w:color w:val="auto"/>
              </w:rPr>
            </w:pPr>
            <w:r>
              <w:rPr>
                <w:rFonts w:ascii="Arial" w:cs="Arial" w:eastAsia="Arial" w:hAnsi="Arial"/>
                <w:sz w:val="13"/>
                <w:szCs w:val="13"/>
                <w:color w:val="auto"/>
              </w:rPr>
              <w:t>Junior Secured Loan — Initial Loan (Second Lien)</w:t>
            </w:r>
          </w:p>
        </w:tc>
        <w:tc>
          <w:tcPr>
            <w:tcW w:w="1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700" w:type="dxa"/>
            <w:vAlign w:val="bottom"/>
          </w:tcPr>
          <w:p>
            <w:pPr>
              <w:spacing w:after="0"/>
              <w:rPr>
                <w:sz w:val="11"/>
                <w:szCs w:val="11"/>
                <w:color w:val="auto"/>
              </w:rPr>
            </w:pPr>
          </w:p>
        </w:tc>
        <w:tc>
          <w:tcPr>
            <w:tcW w:w="3120" w:type="dxa"/>
            <w:vAlign w:val="bottom"/>
          </w:tcPr>
          <w:p>
            <w:pPr>
              <w:ind w:left="20"/>
              <w:spacing w:after="0" w:line="135" w:lineRule="exact"/>
              <w:rPr>
                <w:sz w:val="20"/>
                <w:szCs w:val="20"/>
                <w:color w:val="auto"/>
              </w:rPr>
            </w:pPr>
            <w:r>
              <w:rPr>
                <w:rFonts w:ascii="Arial" w:cs="Arial" w:eastAsia="Arial" w:hAnsi="Arial"/>
                <w:sz w:val="13"/>
                <w:szCs w:val="13"/>
                <w:color w:val="auto"/>
              </w:rPr>
              <w:t>8.4% Cash, 1 Month Libor (0.15%) + 8.25%; Libor</w:t>
            </w:r>
          </w:p>
        </w:tc>
        <w:tc>
          <w:tcPr>
            <w:tcW w:w="1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3120" w:type="dxa"/>
            <w:vAlign w:val="bottom"/>
          </w:tcPr>
          <w:p>
            <w:pPr>
              <w:ind w:left="20"/>
              <w:spacing w:after="0"/>
              <w:rPr>
                <w:sz w:val="20"/>
                <w:szCs w:val="20"/>
                <w:color w:val="auto"/>
              </w:rPr>
            </w:pPr>
            <w:r>
              <w:rPr>
                <w:rFonts w:ascii="Arial" w:cs="Arial" w:eastAsia="Arial" w:hAnsi="Arial"/>
                <w:sz w:val="13"/>
                <w:szCs w:val="13"/>
                <w:color w:val="auto"/>
              </w:rPr>
              <w:t>Floor 0.00% , Due 8/25</w:t>
            </w:r>
          </w:p>
        </w:tc>
        <w:tc>
          <w:tcPr>
            <w:tcW w:w="1100" w:type="dxa"/>
            <w:vAlign w:val="bottom"/>
          </w:tcPr>
          <w:p>
            <w:pPr>
              <w:jc w:val="right"/>
              <w:ind w:right="177"/>
              <w:spacing w:after="0"/>
              <w:rPr>
                <w:sz w:val="20"/>
                <w:szCs w:val="20"/>
                <w:color w:val="auto"/>
              </w:rPr>
            </w:pPr>
            <w:r>
              <w:rPr>
                <w:rFonts w:ascii="Arial" w:cs="Arial" w:eastAsia="Arial" w:hAnsi="Arial"/>
                <w:sz w:val="13"/>
                <w:szCs w:val="13"/>
                <w:color w:val="auto"/>
              </w:rPr>
              <w:t>12/18/2019</w:t>
            </w:r>
          </w:p>
        </w:tc>
        <w:tc>
          <w:tcPr>
            <w:tcW w:w="1200" w:type="dxa"/>
            <w:vAlign w:val="bottom"/>
          </w:tcPr>
          <w:p>
            <w:pPr>
              <w:jc w:val="right"/>
              <w:ind w:right="377"/>
              <w:spacing w:after="0"/>
              <w:rPr>
                <w:sz w:val="20"/>
                <w:szCs w:val="20"/>
                <w:color w:val="auto"/>
              </w:rPr>
            </w:pPr>
            <w:r>
              <w:rPr>
                <w:rFonts w:ascii="Arial" w:cs="Arial" w:eastAsia="Arial" w:hAnsi="Arial"/>
                <w:sz w:val="13"/>
                <w:szCs w:val="13"/>
                <w:color w:val="auto"/>
              </w:rPr>
              <w:t>2,159,333</w:t>
            </w:r>
          </w:p>
        </w:tc>
        <w:tc>
          <w:tcPr>
            <w:tcW w:w="1240" w:type="dxa"/>
            <w:vAlign w:val="bottom"/>
          </w:tcPr>
          <w:p>
            <w:pPr>
              <w:jc w:val="right"/>
              <w:ind w:right="257"/>
              <w:spacing w:after="0"/>
              <w:rPr>
                <w:sz w:val="20"/>
                <w:szCs w:val="20"/>
                <w:color w:val="auto"/>
              </w:rPr>
            </w:pPr>
            <w:r>
              <w:rPr>
                <w:rFonts w:ascii="Arial" w:cs="Arial" w:eastAsia="Arial" w:hAnsi="Arial"/>
                <w:sz w:val="13"/>
                <w:szCs w:val="13"/>
                <w:color w:val="auto"/>
              </w:rPr>
              <w:t>1,893,917</w:t>
            </w:r>
          </w:p>
        </w:tc>
        <w:tc>
          <w:tcPr>
            <w:tcW w:w="800" w:type="dxa"/>
            <w:vAlign w:val="bottom"/>
          </w:tcPr>
          <w:p>
            <w:pPr>
              <w:jc w:val="right"/>
              <w:spacing w:after="0"/>
              <w:rPr>
                <w:sz w:val="20"/>
                <w:szCs w:val="20"/>
                <w:color w:val="auto"/>
              </w:rPr>
            </w:pPr>
            <w:r>
              <w:rPr>
                <w:rFonts w:ascii="Arial" w:cs="Arial" w:eastAsia="Arial" w:hAnsi="Arial"/>
                <w:sz w:val="13"/>
                <w:szCs w:val="13"/>
                <w:color w:val="auto"/>
              </w:rPr>
              <w:t>2,107,077</w:t>
            </w:r>
          </w:p>
        </w:tc>
        <w:tc>
          <w:tcPr>
            <w:tcW w:w="0" w:type="dxa"/>
            <w:vAlign w:val="bottom"/>
          </w:tcPr>
          <w:p>
            <w:pPr>
              <w:spacing w:after="0"/>
              <w:rPr>
                <w:sz w:val="1"/>
                <w:szCs w:val="1"/>
                <w:color w:val="auto"/>
              </w:rPr>
            </w:pPr>
          </w:p>
        </w:tc>
      </w:tr>
      <w:tr>
        <w:trPr>
          <w:trHeight w:val="272"/>
        </w:trPr>
        <w:tc>
          <w:tcPr>
            <w:tcW w:w="700" w:type="dxa"/>
            <w:vAlign w:val="bottom"/>
          </w:tcPr>
          <w:p>
            <w:pPr>
              <w:spacing w:after="0"/>
              <w:rPr>
                <w:sz w:val="20"/>
                <w:szCs w:val="20"/>
                <w:color w:val="auto"/>
              </w:rPr>
            </w:pPr>
            <w:r>
              <w:rPr>
                <w:rFonts w:ascii="Arial" w:cs="Arial" w:eastAsia="Arial" w:hAnsi="Arial"/>
                <w:sz w:val="11"/>
                <w:szCs w:val="11"/>
                <w:color w:val="auto"/>
              </w:rPr>
              <w:t>(8)(13)(14)</w:t>
            </w:r>
          </w:p>
        </w:tc>
        <w:tc>
          <w:tcPr>
            <w:tcW w:w="3120" w:type="dxa"/>
            <w:vAlign w:val="bottom"/>
          </w:tcPr>
          <w:p>
            <w:pPr>
              <w:ind w:left="20"/>
              <w:spacing w:after="0"/>
              <w:rPr>
                <w:sz w:val="20"/>
                <w:szCs w:val="20"/>
                <w:color w:val="auto"/>
              </w:rPr>
            </w:pPr>
            <w:r>
              <w:rPr>
                <w:rFonts w:ascii="Arial" w:cs="Arial" w:eastAsia="Arial" w:hAnsi="Arial"/>
                <w:sz w:val="13"/>
                <w:szCs w:val="13"/>
                <w:color w:val="auto"/>
              </w:rPr>
              <w:t>Senior Secured Loan — Revolver</w:t>
            </w:r>
          </w:p>
        </w:tc>
        <w:tc>
          <w:tcPr>
            <w:tcW w:w="1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700" w:type="dxa"/>
            <w:vAlign w:val="bottom"/>
          </w:tcPr>
          <w:p>
            <w:pPr>
              <w:spacing w:after="0"/>
              <w:rPr>
                <w:sz w:val="11"/>
                <w:szCs w:val="11"/>
                <w:color w:val="auto"/>
              </w:rPr>
            </w:pPr>
          </w:p>
        </w:tc>
        <w:tc>
          <w:tcPr>
            <w:tcW w:w="3120" w:type="dxa"/>
            <w:vAlign w:val="bottom"/>
          </w:tcPr>
          <w:p>
            <w:pPr>
              <w:ind w:left="20"/>
              <w:spacing w:after="0" w:line="135" w:lineRule="exact"/>
              <w:rPr>
                <w:sz w:val="20"/>
                <w:szCs w:val="20"/>
                <w:color w:val="auto"/>
              </w:rPr>
            </w:pPr>
            <w:r>
              <w:rPr>
                <w:rFonts w:ascii="Arial" w:cs="Arial" w:eastAsia="Arial" w:hAnsi="Arial"/>
                <w:sz w:val="13"/>
                <w:szCs w:val="13"/>
                <w:color w:val="auto"/>
              </w:rPr>
              <w:t>8.5% Cash, 3 Month Libor (1.00%) + 7.50%; Libor</w:t>
            </w:r>
          </w:p>
        </w:tc>
        <w:tc>
          <w:tcPr>
            <w:tcW w:w="1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3120" w:type="dxa"/>
            <w:vAlign w:val="bottom"/>
          </w:tcPr>
          <w:p>
            <w:pPr>
              <w:ind w:left="20"/>
              <w:spacing w:after="0"/>
              <w:rPr>
                <w:sz w:val="20"/>
                <w:szCs w:val="20"/>
                <w:color w:val="auto"/>
              </w:rPr>
            </w:pPr>
            <w:r>
              <w:rPr>
                <w:rFonts w:ascii="Arial" w:cs="Arial" w:eastAsia="Arial" w:hAnsi="Arial"/>
                <w:sz w:val="13"/>
                <w:szCs w:val="13"/>
                <w:color w:val="auto"/>
              </w:rPr>
              <w:t>Floor 1.00% , Due 12/23</w:t>
            </w:r>
          </w:p>
        </w:tc>
        <w:tc>
          <w:tcPr>
            <w:tcW w:w="1100" w:type="dxa"/>
            <w:vAlign w:val="bottom"/>
          </w:tcPr>
          <w:p>
            <w:pPr>
              <w:jc w:val="right"/>
              <w:ind w:right="177"/>
              <w:spacing w:after="0"/>
              <w:rPr>
                <w:sz w:val="20"/>
                <w:szCs w:val="20"/>
                <w:color w:val="auto"/>
              </w:rPr>
            </w:pPr>
            <w:r>
              <w:rPr>
                <w:rFonts w:ascii="Arial" w:cs="Arial" w:eastAsia="Arial" w:hAnsi="Arial"/>
                <w:sz w:val="13"/>
                <w:szCs w:val="13"/>
                <w:color w:val="auto"/>
              </w:rPr>
              <w:t>10/28/2020</w:t>
            </w:r>
          </w:p>
        </w:tc>
        <w:tc>
          <w:tcPr>
            <w:tcW w:w="1200" w:type="dxa"/>
            <w:vAlign w:val="bottom"/>
          </w:tcPr>
          <w:p>
            <w:pPr>
              <w:jc w:val="right"/>
              <w:ind w:right="377"/>
              <w:spacing w:after="0"/>
              <w:rPr>
                <w:sz w:val="20"/>
                <w:szCs w:val="20"/>
                <w:color w:val="auto"/>
              </w:rPr>
            </w:pPr>
            <w:r>
              <w:rPr>
                <w:rFonts w:ascii="Arial" w:cs="Arial" w:eastAsia="Arial" w:hAnsi="Arial"/>
                <w:sz w:val="13"/>
                <w:szCs w:val="13"/>
                <w:color w:val="auto"/>
              </w:rPr>
              <w:t>669,722</w:t>
            </w:r>
          </w:p>
        </w:tc>
        <w:tc>
          <w:tcPr>
            <w:tcW w:w="1240" w:type="dxa"/>
            <w:vAlign w:val="bottom"/>
          </w:tcPr>
          <w:p>
            <w:pPr>
              <w:jc w:val="right"/>
              <w:ind w:right="257"/>
              <w:spacing w:after="0"/>
              <w:rPr>
                <w:sz w:val="20"/>
                <w:szCs w:val="20"/>
                <w:color w:val="auto"/>
              </w:rPr>
            </w:pPr>
            <w:r>
              <w:rPr>
                <w:rFonts w:ascii="Arial" w:cs="Arial" w:eastAsia="Arial" w:hAnsi="Arial"/>
                <w:sz w:val="13"/>
                <w:szCs w:val="13"/>
                <w:color w:val="auto"/>
              </w:rPr>
              <w:t>561,785</w:t>
            </w:r>
          </w:p>
        </w:tc>
        <w:tc>
          <w:tcPr>
            <w:tcW w:w="800" w:type="dxa"/>
            <w:vAlign w:val="bottom"/>
          </w:tcPr>
          <w:p>
            <w:pPr>
              <w:jc w:val="right"/>
              <w:spacing w:after="0"/>
              <w:rPr>
                <w:sz w:val="20"/>
                <w:szCs w:val="20"/>
                <w:color w:val="auto"/>
              </w:rPr>
            </w:pPr>
            <w:r>
              <w:rPr>
                <w:rFonts w:ascii="Arial" w:cs="Arial" w:eastAsia="Arial" w:hAnsi="Arial"/>
                <w:sz w:val="13"/>
                <w:szCs w:val="13"/>
                <w:color w:val="auto"/>
              </w:rPr>
              <w:t>632,486</w:t>
            </w:r>
          </w:p>
        </w:tc>
        <w:tc>
          <w:tcPr>
            <w:tcW w:w="0" w:type="dxa"/>
            <w:vAlign w:val="bottom"/>
          </w:tcPr>
          <w:p>
            <w:pPr>
              <w:spacing w:after="0"/>
              <w:rPr>
                <w:sz w:val="1"/>
                <w:szCs w:val="1"/>
                <w:color w:val="auto"/>
              </w:rPr>
            </w:pPr>
          </w:p>
        </w:tc>
      </w:tr>
      <w:tr>
        <w:trPr>
          <w:trHeight w:val="272"/>
        </w:trPr>
        <w:tc>
          <w:tcPr>
            <w:tcW w:w="700" w:type="dxa"/>
            <w:vAlign w:val="bottom"/>
          </w:tcPr>
          <w:p>
            <w:pPr>
              <w:spacing w:after="0"/>
              <w:rPr>
                <w:sz w:val="20"/>
                <w:szCs w:val="20"/>
                <w:color w:val="auto"/>
              </w:rPr>
            </w:pPr>
            <w:r>
              <w:rPr>
                <w:rFonts w:ascii="Arial" w:cs="Arial" w:eastAsia="Arial" w:hAnsi="Arial"/>
                <w:sz w:val="11"/>
                <w:szCs w:val="11"/>
                <w:color w:val="auto"/>
              </w:rPr>
              <w:t>(8)(13)(14)</w:t>
            </w:r>
          </w:p>
        </w:tc>
        <w:tc>
          <w:tcPr>
            <w:tcW w:w="3120" w:type="dxa"/>
            <w:vAlign w:val="bottom"/>
          </w:tcPr>
          <w:p>
            <w:pPr>
              <w:ind w:left="20"/>
              <w:spacing w:after="0"/>
              <w:rPr>
                <w:sz w:val="20"/>
                <w:szCs w:val="20"/>
                <w:color w:val="auto"/>
              </w:rPr>
            </w:pPr>
            <w:r>
              <w:rPr>
                <w:rFonts w:ascii="Arial" w:cs="Arial" w:eastAsia="Arial" w:hAnsi="Arial"/>
                <w:sz w:val="13"/>
                <w:szCs w:val="13"/>
                <w:color w:val="auto"/>
              </w:rPr>
              <w:t>Senior Secured Loan — First Lien Term Loan A</w:t>
            </w:r>
          </w:p>
        </w:tc>
        <w:tc>
          <w:tcPr>
            <w:tcW w:w="1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700" w:type="dxa"/>
            <w:vAlign w:val="bottom"/>
          </w:tcPr>
          <w:p>
            <w:pPr>
              <w:spacing w:after="0"/>
              <w:rPr>
                <w:sz w:val="11"/>
                <w:szCs w:val="11"/>
                <w:color w:val="auto"/>
              </w:rPr>
            </w:pPr>
          </w:p>
        </w:tc>
        <w:tc>
          <w:tcPr>
            <w:tcW w:w="3120" w:type="dxa"/>
            <w:vAlign w:val="bottom"/>
          </w:tcPr>
          <w:p>
            <w:pPr>
              <w:ind w:left="20"/>
              <w:spacing w:after="0" w:line="135" w:lineRule="exact"/>
              <w:rPr>
                <w:sz w:val="20"/>
                <w:szCs w:val="20"/>
                <w:color w:val="auto"/>
              </w:rPr>
            </w:pPr>
            <w:r>
              <w:rPr>
                <w:rFonts w:ascii="Arial" w:cs="Arial" w:eastAsia="Arial" w:hAnsi="Arial"/>
                <w:sz w:val="13"/>
                <w:szCs w:val="13"/>
                <w:color w:val="auto"/>
              </w:rPr>
              <w:t>8.5% Cash, 3 Month Libor (1.00%) + 7.50%; Libor</w:t>
            </w:r>
          </w:p>
        </w:tc>
        <w:tc>
          <w:tcPr>
            <w:tcW w:w="1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3120" w:type="dxa"/>
            <w:vAlign w:val="bottom"/>
          </w:tcPr>
          <w:p>
            <w:pPr>
              <w:ind w:left="20"/>
              <w:spacing w:after="0"/>
              <w:rPr>
                <w:sz w:val="20"/>
                <w:szCs w:val="20"/>
                <w:color w:val="auto"/>
              </w:rPr>
            </w:pPr>
            <w:r>
              <w:rPr>
                <w:rFonts w:ascii="Arial" w:cs="Arial" w:eastAsia="Arial" w:hAnsi="Arial"/>
                <w:sz w:val="13"/>
                <w:szCs w:val="13"/>
                <w:color w:val="auto"/>
              </w:rPr>
              <w:t>Floor 1.00% , Due 12/23</w:t>
            </w:r>
          </w:p>
        </w:tc>
        <w:tc>
          <w:tcPr>
            <w:tcW w:w="1100" w:type="dxa"/>
            <w:vAlign w:val="bottom"/>
          </w:tcPr>
          <w:p>
            <w:pPr>
              <w:jc w:val="right"/>
              <w:ind w:right="177"/>
              <w:spacing w:after="0"/>
              <w:rPr>
                <w:sz w:val="20"/>
                <w:szCs w:val="20"/>
                <w:color w:val="auto"/>
              </w:rPr>
            </w:pPr>
            <w:r>
              <w:rPr>
                <w:rFonts w:ascii="Arial" w:cs="Arial" w:eastAsia="Arial" w:hAnsi="Arial"/>
                <w:sz w:val="13"/>
                <w:szCs w:val="13"/>
                <w:color w:val="auto"/>
              </w:rPr>
              <w:t>10/28/2020</w:t>
            </w:r>
          </w:p>
        </w:tc>
        <w:tc>
          <w:tcPr>
            <w:tcW w:w="1200" w:type="dxa"/>
            <w:vAlign w:val="bottom"/>
          </w:tcPr>
          <w:p>
            <w:pPr>
              <w:jc w:val="right"/>
              <w:ind w:right="377"/>
              <w:spacing w:after="0"/>
              <w:rPr>
                <w:sz w:val="20"/>
                <w:szCs w:val="20"/>
                <w:color w:val="auto"/>
              </w:rPr>
            </w:pPr>
            <w:r>
              <w:rPr>
                <w:rFonts w:ascii="Arial" w:cs="Arial" w:eastAsia="Arial" w:hAnsi="Arial"/>
                <w:sz w:val="13"/>
                <w:szCs w:val="13"/>
                <w:color w:val="auto"/>
              </w:rPr>
              <w:t>6,596,764</w:t>
            </w:r>
          </w:p>
        </w:tc>
        <w:tc>
          <w:tcPr>
            <w:tcW w:w="1240" w:type="dxa"/>
            <w:vAlign w:val="bottom"/>
          </w:tcPr>
          <w:p>
            <w:pPr>
              <w:jc w:val="right"/>
              <w:ind w:right="257"/>
              <w:spacing w:after="0"/>
              <w:rPr>
                <w:sz w:val="20"/>
                <w:szCs w:val="20"/>
                <w:color w:val="auto"/>
              </w:rPr>
            </w:pPr>
            <w:r>
              <w:rPr>
                <w:rFonts w:ascii="Arial" w:cs="Arial" w:eastAsia="Arial" w:hAnsi="Arial"/>
                <w:sz w:val="13"/>
                <w:szCs w:val="13"/>
                <w:color w:val="auto"/>
              </w:rPr>
              <w:t>5,533,583</w:t>
            </w:r>
          </w:p>
        </w:tc>
        <w:tc>
          <w:tcPr>
            <w:tcW w:w="800" w:type="dxa"/>
            <w:vAlign w:val="bottom"/>
          </w:tcPr>
          <w:p>
            <w:pPr>
              <w:jc w:val="right"/>
              <w:spacing w:after="0"/>
              <w:rPr>
                <w:sz w:val="20"/>
                <w:szCs w:val="20"/>
                <w:color w:val="auto"/>
              </w:rPr>
            </w:pPr>
            <w:r>
              <w:rPr>
                <w:rFonts w:ascii="Arial" w:cs="Arial" w:eastAsia="Arial" w:hAnsi="Arial"/>
                <w:sz w:val="13"/>
                <w:szCs w:val="13"/>
                <w:color w:val="auto"/>
              </w:rPr>
              <w:t>6,229,984</w:t>
            </w:r>
          </w:p>
        </w:tc>
        <w:tc>
          <w:tcPr>
            <w:tcW w:w="0" w:type="dxa"/>
            <w:vAlign w:val="bottom"/>
          </w:tcPr>
          <w:p>
            <w:pPr>
              <w:spacing w:after="0"/>
              <w:rPr>
                <w:sz w:val="1"/>
                <w:szCs w:val="1"/>
                <w:color w:val="auto"/>
              </w:rPr>
            </w:pPr>
          </w:p>
        </w:tc>
      </w:tr>
      <w:tr>
        <w:trPr>
          <w:trHeight w:val="272"/>
        </w:trPr>
        <w:tc>
          <w:tcPr>
            <w:tcW w:w="700" w:type="dxa"/>
            <w:vAlign w:val="bottom"/>
          </w:tcPr>
          <w:p>
            <w:pPr>
              <w:spacing w:after="0"/>
              <w:rPr>
                <w:sz w:val="20"/>
                <w:szCs w:val="20"/>
                <w:color w:val="auto"/>
              </w:rPr>
            </w:pPr>
            <w:r>
              <w:rPr>
                <w:rFonts w:ascii="Arial" w:cs="Arial" w:eastAsia="Arial" w:hAnsi="Arial"/>
                <w:sz w:val="11"/>
                <w:szCs w:val="11"/>
                <w:color w:val="auto"/>
              </w:rPr>
              <w:t>(8)(14)</w:t>
            </w:r>
          </w:p>
        </w:tc>
        <w:tc>
          <w:tcPr>
            <w:tcW w:w="3120" w:type="dxa"/>
            <w:vAlign w:val="bottom"/>
          </w:tcPr>
          <w:p>
            <w:pPr>
              <w:ind w:left="20"/>
              <w:spacing w:after="0"/>
              <w:rPr>
                <w:sz w:val="20"/>
                <w:szCs w:val="20"/>
                <w:color w:val="auto"/>
              </w:rPr>
            </w:pPr>
            <w:r>
              <w:rPr>
                <w:rFonts w:ascii="Arial" w:cs="Arial" w:eastAsia="Arial" w:hAnsi="Arial"/>
                <w:sz w:val="13"/>
                <w:szCs w:val="13"/>
                <w:color w:val="auto"/>
              </w:rPr>
              <w:t>Junior Secured Loan — Initial Term Loan (Second</w:t>
            </w:r>
          </w:p>
        </w:tc>
        <w:tc>
          <w:tcPr>
            <w:tcW w:w="1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700" w:type="dxa"/>
            <w:vAlign w:val="bottom"/>
          </w:tcPr>
          <w:p>
            <w:pPr>
              <w:spacing w:after="0"/>
              <w:rPr>
                <w:sz w:val="11"/>
                <w:szCs w:val="11"/>
                <w:color w:val="auto"/>
              </w:rPr>
            </w:pPr>
          </w:p>
        </w:tc>
        <w:tc>
          <w:tcPr>
            <w:tcW w:w="3120" w:type="dxa"/>
            <w:vAlign w:val="bottom"/>
          </w:tcPr>
          <w:p>
            <w:pPr>
              <w:ind w:left="20"/>
              <w:spacing w:after="0" w:line="135" w:lineRule="exact"/>
              <w:rPr>
                <w:sz w:val="20"/>
                <w:szCs w:val="20"/>
                <w:color w:val="auto"/>
              </w:rPr>
            </w:pPr>
            <w:r>
              <w:rPr>
                <w:rFonts w:ascii="Arial" w:cs="Arial" w:eastAsia="Arial" w:hAnsi="Arial"/>
                <w:sz w:val="13"/>
                <w:szCs w:val="13"/>
                <w:color w:val="auto"/>
              </w:rPr>
              <w:t>Lien)</w:t>
            </w:r>
          </w:p>
        </w:tc>
        <w:tc>
          <w:tcPr>
            <w:tcW w:w="1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3120" w:type="dxa"/>
            <w:vAlign w:val="bottom"/>
          </w:tcPr>
          <w:p>
            <w:pPr>
              <w:ind w:left="20"/>
              <w:spacing w:after="0"/>
              <w:rPr>
                <w:sz w:val="20"/>
                <w:szCs w:val="20"/>
                <w:color w:val="auto"/>
              </w:rPr>
            </w:pPr>
            <w:r>
              <w:rPr>
                <w:rFonts w:ascii="Arial" w:cs="Arial" w:eastAsia="Arial" w:hAnsi="Arial"/>
                <w:sz w:val="13"/>
                <w:szCs w:val="13"/>
                <w:color w:val="auto"/>
                <w:w w:val="97"/>
              </w:rPr>
              <w:t>8.3% Cash, 3 Month Libor (0.25%) + 8.00% , Due 9/25</w:t>
            </w:r>
          </w:p>
        </w:tc>
        <w:tc>
          <w:tcPr>
            <w:tcW w:w="1100" w:type="dxa"/>
            <w:vAlign w:val="bottom"/>
          </w:tcPr>
          <w:p>
            <w:pPr>
              <w:jc w:val="right"/>
              <w:ind w:right="177"/>
              <w:spacing w:after="0"/>
              <w:rPr>
                <w:sz w:val="20"/>
                <w:szCs w:val="20"/>
                <w:color w:val="auto"/>
              </w:rPr>
            </w:pPr>
            <w:r>
              <w:rPr>
                <w:rFonts w:ascii="Arial" w:cs="Arial" w:eastAsia="Arial" w:hAnsi="Arial"/>
                <w:sz w:val="13"/>
                <w:szCs w:val="13"/>
                <w:color w:val="auto"/>
              </w:rPr>
              <w:t>12/18/2019</w:t>
            </w:r>
          </w:p>
        </w:tc>
        <w:tc>
          <w:tcPr>
            <w:tcW w:w="1200" w:type="dxa"/>
            <w:vAlign w:val="bottom"/>
          </w:tcPr>
          <w:p>
            <w:pPr>
              <w:jc w:val="right"/>
              <w:ind w:right="377"/>
              <w:spacing w:after="0"/>
              <w:rPr>
                <w:sz w:val="20"/>
                <w:szCs w:val="20"/>
                <w:color w:val="auto"/>
              </w:rPr>
            </w:pPr>
            <w:r>
              <w:rPr>
                <w:rFonts w:ascii="Arial" w:cs="Arial" w:eastAsia="Arial" w:hAnsi="Arial"/>
                <w:sz w:val="13"/>
                <w:szCs w:val="13"/>
                <w:color w:val="auto"/>
              </w:rPr>
              <w:t>1,400,000</w:t>
            </w:r>
          </w:p>
        </w:tc>
        <w:tc>
          <w:tcPr>
            <w:tcW w:w="1240" w:type="dxa"/>
            <w:vAlign w:val="bottom"/>
          </w:tcPr>
          <w:p>
            <w:pPr>
              <w:jc w:val="right"/>
              <w:ind w:right="257"/>
              <w:spacing w:after="0"/>
              <w:rPr>
                <w:sz w:val="20"/>
                <w:szCs w:val="20"/>
                <w:color w:val="auto"/>
              </w:rPr>
            </w:pPr>
            <w:r>
              <w:rPr>
                <w:rFonts w:ascii="Arial" w:cs="Arial" w:eastAsia="Arial" w:hAnsi="Arial"/>
                <w:sz w:val="13"/>
                <w:szCs w:val="13"/>
                <w:color w:val="auto"/>
              </w:rPr>
              <w:t>1,219,188</w:t>
            </w:r>
          </w:p>
        </w:tc>
        <w:tc>
          <w:tcPr>
            <w:tcW w:w="800" w:type="dxa"/>
            <w:vAlign w:val="bottom"/>
          </w:tcPr>
          <w:p>
            <w:pPr>
              <w:jc w:val="right"/>
              <w:spacing w:after="0"/>
              <w:rPr>
                <w:sz w:val="20"/>
                <w:szCs w:val="20"/>
                <w:color w:val="auto"/>
              </w:rPr>
            </w:pPr>
            <w:r>
              <w:rPr>
                <w:rFonts w:ascii="Arial" w:cs="Arial" w:eastAsia="Arial" w:hAnsi="Arial"/>
                <w:sz w:val="13"/>
                <w:szCs w:val="13"/>
                <w:color w:val="auto"/>
              </w:rPr>
              <w:t>1,326,500</w:t>
            </w:r>
          </w:p>
        </w:tc>
        <w:tc>
          <w:tcPr>
            <w:tcW w:w="0" w:type="dxa"/>
            <w:vAlign w:val="bottom"/>
          </w:tcPr>
          <w:p>
            <w:pPr>
              <w:spacing w:after="0"/>
              <w:rPr>
                <w:sz w:val="1"/>
                <w:szCs w:val="1"/>
                <w:color w:val="auto"/>
              </w:rPr>
            </w:pPr>
          </w:p>
        </w:tc>
      </w:tr>
      <w:tr>
        <w:trPr>
          <w:trHeight w:val="272"/>
        </w:trPr>
        <w:tc>
          <w:tcPr>
            <w:tcW w:w="700" w:type="dxa"/>
            <w:vAlign w:val="bottom"/>
          </w:tcPr>
          <w:p>
            <w:pPr>
              <w:spacing w:after="0"/>
              <w:rPr>
                <w:sz w:val="20"/>
                <w:szCs w:val="20"/>
                <w:color w:val="auto"/>
              </w:rPr>
            </w:pPr>
            <w:r>
              <w:rPr>
                <w:rFonts w:ascii="Arial" w:cs="Arial" w:eastAsia="Arial" w:hAnsi="Arial"/>
                <w:sz w:val="11"/>
                <w:szCs w:val="11"/>
                <w:color w:val="auto"/>
              </w:rPr>
              <w:t>(8)(13)(14)</w:t>
            </w:r>
          </w:p>
        </w:tc>
        <w:tc>
          <w:tcPr>
            <w:tcW w:w="3120" w:type="dxa"/>
            <w:vAlign w:val="bottom"/>
          </w:tcPr>
          <w:p>
            <w:pPr>
              <w:ind w:left="20"/>
              <w:spacing w:after="0"/>
              <w:rPr>
                <w:sz w:val="20"/>
                <w:szCs w:val="20"/>
                <w:color w:val="auto"/>
              </w:rPr>
            </w:pPr>
            <w:r>
              <w:rPr>
                <w:rFonts w:ascii="Arial" w:cs="Arial" w:eastAsia="Arial" w:hAnsi="Arial"/>
                <w:sz w:val="13"/>
                <w:szCs w:val="13"/>
                <w:color w:val="auto"/>
              </w:rPr>
              <w:t>Junior Secured Loan — Initial Term Loan (Second</w:t>
            </w:r>
          </w:p>
        </w:tc>
        <w:tc>
          <w:tcPr>
            <w:tcW w:w="1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700" w:type="dxa"/>
            <w:vAlign w:val="bottom"/>
          </w:tcPr>
          <w:p>
            <w:pPr>
              <w:spacing w:after="0"/>
              <w:rPr>
                <w:sz w:val="11"/>
                <w:szCs w:val="11"/>
                <w:color w:val="auto"/>
              </w:rPr>
            </w:pPr>
          </w:p>
        </w:tc>
        <w:tc>
          <w:tcPr>
            <w:tcW w:w="3120" w:type="dxa"/>
            <w:vAlign w:val="bottom"/>
          </w:tcPr>
          <w:p>
            <w:pPr>
              <w:ind w:left="20"/>
              <w:spacing w:after="0" w:line="135" w:lineRule="exact"/>
              <w:rPr>
                <w:sz w:val="20"/>
                <w:szCs w:val="20"/>
                <w:color w:val="auto"/>
              </w:rPr>
            </w:pPr>
            <w:r>
              <w:rPr>
                <w:rFonts w:ascii="Arial" w:cs="Arial" w:eastAsia="Arial" w:hAnsi="Arial"/>
                <w:sz w:val="13"/>
                <w:szCs w:val="13"/>
                <w:color w:val="auto"/>
              </w:rPr>
              <w:t>Lien)</w:t>
            </w:r>
          </w:p>
        </w:tc>
        <w:tc>
          <w:tcPr>
            <w:tcW w:w="1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0" w:type="dxa"/>
            <w:vAlign w:val="bottom"/>
          </w:tcPr>
          <w:p>
            <w:pPr>
              <w:spacing w:after="0"/>
              <w:rPr>
                <w:sz w:val="11"/>
                <w:szCs w:val="11"/>
                <w:color w:val="auto"/>
              </w:rPr>
            </w:pPr>
          </w:p>
        </w:tc>
        <w:tc>
          <w:tcPr>
            <w:tcW w:w="3120" w:type="dxa"/>
            <w:vAlign w:val="bottom"/>
          </w:tcPr>
          <w:p>
            <w:pPr>
              <w:ind w:left="20"/>
              <w:spacing w:after="0" w:line="135" w:lineRule="exact"/>
              <w:rPr>
                <w:sz w:val="20"/>
                <w:szCs w:val="20"/>
                <w:color w:val="auto"/>
              </w:rPr>
            </w:pPr>
            <w:r>
              <w:rPr>
                <w:rFonts w:ascii="Arial" w:cs="Arial" w:eastAsia="Arial" w:hAnsi="Arial"/>
                <w:sz w:val="13"/>
                <w:szCs w:val="13"/>
                <w:color w:val="auto"/>
              </w:rPr>
              <w:t>10.5% Cash, 3 Month Libor (1.00%) + 9.50%; Libor</w:t>
            </w:r>
          </w:p>
        </w:tc>
        <w:tc>
          <w:tcPr>
            <w:tcW w:w="1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3120" w:type="dxa"/>
            <w:vAlign w:val="bottom"/>
          </w:tcPr>
          <w:p>
            <w:pPr>
              <w:ind w:left="20"/>
              <w:spacing w:after="0"/>
              <w:rPr>
                <w:sz w:val="20"/>
                <w:szCs w:val="20"/>
                <w:color w:val="auto"/>
              </w:rPr>
            </w:pPr>
            <w:r>
              <w:rPr>
                <w:rFonts w:ascii="Arial" w:cs="Arial" w:eastAsia="Arial" w:hAnsi="Arial"/>
                <w:sz w:val="13"/>
                <w:szCs w:val="13"/>
                <w:color w:val="auto"/>
              </w:rPr>
              <w:t>Floor 1.00% , Due 11/24</w:t>
            </w:r>
          </w:p>
        </w:tc>
        <w:tc>
          <w:tcPr>
            <w:tcW w:w="1100" w:type="dxa"/>
            <w:vAlign w:val="bottom"/>
          </w:tcPr>
          <w:p>
            <w:pPr>
              <w:jc w:val="right"/>
              <w:ind w:right="177"/>
              <w:spacing w:after="0"/>
              <w:rPr>
                <w:sz w:val="20"/>
                <w:szCs w:val="20"/>
                <w:color w:val="auto"/>
              </w:rPr>
            </w:pPr>
            <w:r>
              <w:rPr>
                <w:rFonts w:ascii="Arial" w:cs="Arial" w:eastAsia="Arial" w:hAnsi="Arial"/>
                <w:sz w:val="13"/>
                <w:szCs w:val="13"/>
                <w:color w:val="auto"/>
              </w:rPr>
              <w:t>5/6/2014</w:t>
            </w:r>
          </w:p>
        </w:tc>
        <w:tc>
          <w:tcPr>
            <w:tcW w:w="1200" w:type="dxa"/>
            <w:vAlign w:val="bottom"/>
          </w:tcPr>
          <w:p>
            <w:pPr>
              <w:jc w:val="right"/>
              <w:ind w:right="377"/>
              <w:spacing w:after="0"/>
              <w:rPr>
                <w:sz w:val="20"/>
                <w:szCs w:val="20"/>
                <w:color w:val="auto"/>
              </w:rPr>
            </w:pPr>
            <w:r>
              <w:rPr>
                <w:rFonts w:ascii="Arial" w:cs="Arial" w:eastAsia="Arial" w:hAnsi="Arial"/>
                <w:sz w:val="13"/>
                <w:szCs w:val="13"/>
                <w:color w:val="auto"/>
              </w:rPr>
              <w:t>1,600,000</w:t>
            </w:r>
          </w:p>
        </w:tc>
        <w:tc>
          <w:tcPr>
            <w:tcW w:w="1240" w:type="dxa"/>
            <w:vAlign w:val="bottom"/>
          </w:tcPr>
          <w:p>
            <w:pPr>
              <w:jc w:val="right"/>
              <w:ind w:right="257"/>
              <w:spacing w:after="0"/>
              <w:rPr>
                <w:sz w:val="20"/>
                <w:szCs w:val="20"/>
                <w:color w:val="auto"/>
              </w:rPr>
            </w:pPr>
            <w:r>
              <w:rPr>
                <w:rFonts w:ascii="Arial" w:cs="Arial" w:eastAsia="Arial" w:hAnsi="Arial"/>
                <w:sz w:val="13"/>
                <w:szCs w:val="13"/>
                <w:color w:val="auto"/>
              </w:rPr>
              <w:t>1,576,633</w:t>
            </w:r>
          </w:p>
        </w:tc>
        <w:tc>
          <w:tcPr>
            <w:tcW w:w="800" w:type="dxa"/>
            <w:vAlign w:val="bottom"/>
          </w:tcPr>
          <w:p>
            <w:pPr>
              <w:jc w:val="right"/>
              <w:spacing w:after="0"/>
              <w:rPr>
                <w:sz w:val="20"/>
                <w:szCs w:val="20"/>
                <w:color w:val="auto"/>
              </w:rPr>
            </w:pPr>
            <w:r>
              <w:rPr>
                <w:rFonts w:ascii="Arial" w:cs="Arial" w:eastAsia="Arial" w:hAnsi="Arial"/>
                <w:sz w:val="13"/>
                <w:szCs w:val="13"/>
                <w:color w:val="auto"/>
              </w:rPr>
              <w:t>1,270,880</w:t>
            </w:r>
          </w:p>
        </w:tc>
        <w:tc>
          <w:tcPr>
            <w:tcW w:w="0" w:type="dxa"/>
            <w:vAlign w:val="bottom"/>
          </w:tcPr>
          <w:p>
            <w:pPr>
              <w:spacing w:after="0"/>
              <w:rPr>
                <w:sz w:val="1"/>
                <w:szCs w:val="1"/>
                <w:color w:val="auto"/>
              </w:rPr>
            </w:pPr>
          </w:p>
        </w:tc>
      </w:tr>
      <w:tr>
        <w:trPr>
          <w:trHeight w:val="272"/>
        </w:trPr>
        <w:tc>
          <w:tcPr>
            <w:tcW w:w="700" w:type="dxa"/>
            <w:vAlign w:val="bottom"/>
          </w:tcPr>
          <w:p>
            <w:pPr>
              <w:spacing w:after="0"/>
              <w:rPr>
                <w:sz w:val="20"/>
                <w:szCs w:val="20"/>
                <w:color w:val="auto"/>
              </w:rPr>
            </w:pPr>
            <w:r>
              <w:rPr>
                <w:rFonts w:ascii="Arial" w:cs="Arial" w:eastAsia="Arial" w:hAnsi="Arial"/>
                <w:sz w:val="11"/>
                <w:szCs w:val="11"/>
                <w:color w:val="auto"/>
              </w:rPr>
              <w:t>(8)(14)</w:t>
            </w:r>
          </w:p>
        </w:tc>
        <w:tc>
          <w:tcPr>
            <w:tcW w:w="3120" w:type="dxa"/>
            <w:vAlign w:val="bottom"/>
          </w:tcPr>
          <w:p>
            <w:pPr>
              <w:ind w:left="20"/>
              <w:spacing w:after="0"/>
              <w:rPr>
                <w:sz w:val="20"/>
                <w:szCs w:val="20"/>
                <w:color w:val="auto"/>
              </w:rPr>
            </w:pPr>
            <w:r>
              <w:rPr>
                <w:rFonts w:ascii="Arial" w:cs="Arial" w:eastAsia="Arial" w:hAnsi="Arial"/>
                <w:sz w:val="13"/>
                <w:szCs w:val="13"/>
                <w:color w:val="auto"/>
              </w:rPr>
              <w:t>Senior Secured Loan — First Lien Term Loan A</w:t>
            </w:r>
          </w:p>
        </w:tc>
        <w:tc>
          <w:tcPr>
            <w:tcW w:w="1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700" w:type="dxa"/>
            <w:vAlign w:val="bottom"/>
          </w:tcPr>
          <w:p>
            <w:pPr>
              <w:spacing w:after="0"/>
              <w:rPr>
                <w:sz w:val="11"/>
                <w:szCs w:val="11"/>
                <w:color w:val="auto"/>
              </w:rPr>
            </w:pPr>
          </w:p>
        </w:tc>
        <w:tc>
          <w:tcPr>
            <w:tcW w:w="3120" w:type="dxa"/>
            <w:vAlign w:val="bottom"/>
          </w:tcPr>
          <w:p>
            <w:pPr>
              <w:ind w:left="20"/>
              <w:spacing w:after="0" w:line="135" w:lineRule="exact"/>
              <w:rPr>
                <w:sz w:val="20"/>
                <w:szCs w:val="20"/>
                <w:color w:val="auto"/>
              </w:rPr>
            </w:pPr>
            <w:r>
              <w:rPr>
                <w:rFonts w:ascii="Arial" w:cs="Arial" w:eastAsia="Arial" w:hAnsi="Arial"/>
                <w:sz w:val="13"/>
                <w:szCs w:val="13"/>
                <w:color w:val="auto"/>
              </w:rPr>
              <w:t>5.2% Cash, 3 Month Libor (0.21%) + 5.00% , Due</w:t>
            </w:r>
          </w:p>
        </w:tc>
        <w:tc>
          <w:tcPr>
            <w:tcW w:w="1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3120" w:type="dxa"/>
            <w:vAlign w:val="bottom"/>
          </w:tcPr>
          <w:p>
            <w:pPr>
              <w:ind w:left="20"/>
              <w:spacing w:after="0"/>
              <w:rPr>
                <w:sz w:val="20"/>
                <w:szCs w:val="20"/>
                <w:color w:val="auto"/>
              </w:rPr>
            </w:pPr>
            <w:r>
              <w:rPr>
                <w:rFonts w:ascii="Arial" w:cs="Arial" w:eastAsia="Arial" w:hAnsi="Arial"/>
                <w:sz w:val="13"/>
                <w:szCs w:val="13"/>
                <w:color w:val="auto"/>
              </w:rPr>
              <w:t>10/25</w:t>
            </w:r>
          </w:p>
        </w:tc>
        <w:tc>
          <w:tcPr>
            <w:tcW w:w="1100" w:type="dxa"/>
            <w:vAlign w:val="bottom"/>
          </w:tcPr>
          <w:p>
            <w:pPr>
              <w:jc w:val="right"/>
              <w:ind w:right="177"/>
              <w:spacing w:after="0"/>
              <w:rPr>
                <w:sz w:val="20"/>
                <w:szCs w:val="20"/>
                <w:color w:val="auto"/>
              </w:rPr>
            </w:pPr>
            <w:r>
              <w:rPr>
                <w:rFonts w:ascii="Arial" w:cs="Arial" w:eastAsia="Arial" w:hAnsi="Arial"/>
                <w:sz w:val="13"/>
                <w:szCs w:val="13"/>
                <w:color w:val="auto"/>
              </w:rPr>
              <w:t>10/28/2020</w:t>
            </w:r>
          </w:p>
        </w:tc>
        <w:tc>
          <w:tcPr>
            <w:tcW w:w="1200" w:type="dxa"/>
            <w:vAlign w:val="bottom"/>
          </w:tcPr>
          <w:p>
            <w:pPr>
              <w:jc w:val="right"/>
              <w:ind w:right="377"/>
              <w:spacing w:after="0"/>
              <w:rPr>
                <w:sz w:val="20"/>
                <w:szCs w:val="20"/>
                <w:color w:val="auto"/>
              </w:rPr>
            </w:pPr>
            <w:r>
              <w:rPr>
                <w:rFonts w:ascii="Arial" w:cs="Arial" w:eastAsia="Arial" w:hAnsi="Arial"/>
                <w:sz w:val="13"/>
                <w:szCs w:val="13"/>
                <w:color w:val="auto"/>
              </w:rPr>
              <w:t>6,487,528</w:t>
            </w:r>
          </w:p>
        </w:tc>
        <w:tc>
          <w:tcPr>
            <w:tcW w:w="1240" w:type="dxa"/>
            <w:vAlign w:val="bottom"/>
          </w:tcPr>
          <w:p>
            <w:pPr>
              <w:jc w:val="right"/>
              <w:ind w:right="257"/>
              <w:spacing w:after="0"/>
              <w:rPr>
                <w:sz w:val="20"/>
                <w:szCs w:val="20"/>
                <w:color w:val="auto"/>
              </w:rPr>
            </w:pPr>
            <w:r>
              <w:rPr>
                <w:rFonts w:ascii="Arial" w:cs="Arial" w:eastAsia="Arial" w:hAnsi="Arial"/>
                <w:sz w:val="13"/>
                <w:szCs w:val="13"/>
                <w:color w:val="auto"/>
              </w:rPr>
              <w:t>5,528,001</w:t>
            </w:r>
          </w:p>
        </w:tc>
        <w:tc>
          <w:tcPr>
            <w:tcW w:w="800" w:type="dxa"/>
            <w:vAlign w:val="bottom"/>
          </w:tcPr>
          <w:p>
            <w:pPr>
              <w:jc w:val="right"/>
              <w:spacing w:after="0"/>
              <w:rPr>
                <w:sz w:val="20"/>
                <w:szCs w:val="20"/>
                <w:color w:val="auto"/>
              </w:rPr>
            </w:pPr>
            <w:r>
              <w:rPr>
                <w:rFonts w:ascii="Arial" w:cs="Arial" w:eastAsia="Arial" w:hAnsi="Arial"/>
                <w:sz w:val="13"/>
                <w:szCs w:val="13"/>
                <w:color w:val="auto"/>
              </w:rPr>
              <w:t>6,339,547</w:t>
            </w:r>
          </w:p>
        </w:tc>
        <w:tc>
          <w:tcPr>
            <w:tcW w:w="0" w:type="dxa"/>
            <w:vAlign w:val="bottom"/>
          </w:tcPr>
          <w:p>
            <w:pPr>
              <w:spacing w:after="0"/>
              <w:rPr>
                <w:sz w:val="1"/>
                <w:szCs w:val="1"/>
                <w:color w:val="auto"/>
              </w:rPr>
            </w:pPr>
          </w:p>
        </w:tc>
      </w:tr>
      <w:tr>
        <w:trPr>
          <w:trHeight w:val="272"/>
        </w:trPr>
        <w:tc>
          <w:tcPr>
            <w:tcW w:w="700" w:type="dxa"/>
            <w:vAlign w:val="bottom"/>
          </w:tcPr>
          <w:p>
            <w:pPr>
              <w:spacing w:after="0"/>
              <w:rPr>
                <w:sz w:val="20"/>
                <w:szCs w:val="20"/>
                <w:color w:val="auto"/>
              </w:rPr>
            </w:pPr>
            <w:r>
              <w:rPr>
                <w:rFonts w:ascii="Arial" w:cs="Arial" w:eastAsia="Arial" w:hAnsi="Arial"/>
                <w:sz w:val="11"/>
                <w:szCs w:val="11"/>
                <w:color w:val="auto"/>
                <w:w w:val="94"/>
              </w:rPr>
              <w:t>(8)(13)(14)(21)</w:t>
            </w:r>
          </w:p>
        </w:tc>
        <w:tc>
          <w:tcPr>
            <w:tcW w:w="3120" w:type="dxa"/>
            <w:vAlign w:val="bottom"/>
          </w:tcPr>
          <w:p>
            <w:pPr>
              <w:ind w:left="20"/>
              <w:spacing w:after="0"/>
              <w:rPr>
                <w:sz w:val="20"/>
                <w:szCs w:val="20"/>
                <w:color w:val="auto"/>
              </w:rPr>
            </w:pPr>
            <w:r>
              <w:rPr>
                <w:rFonts w:ascii="Arial" w:cs="Arial" w:eastAsia="Arial" w:hAnsi="Arial"/>
                <w:sz w:val="13"/>
                <w:szCs w:val="13"/>
                <w:color w:val="auto"/>
              </w:rPr>
              <w:t>Junior Secured Loan — Loan (Second Lien)</w:t>
            </w:r>
          </w:p>
        </w:tc>
        <w:tc>
          <w:tcPr>
            <w:tcW w:w="1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700" w:type="dxa"/>
            <w:vAlign w:val="bottom"/>
          </w:tcPr>
          <w:p>
            <w:pPr>
              <w:spacing w:after="0"/>
              <w:rPr>
                <w:sz w:val="11"/>
                <w:szCs w:val="11"/>
                <w:color w:val="auto"/>
              </w:rPr>
            </w:pPr>
          </w:p>
        </w:tc>
        <w:tc>
          <w:tcPr>
            <w:tcW w:w="3120" w:type="dxa"/>
            <w:vAlign w:val="bottom"/>
          </w:tcPr>
          <w:p>
            <w:pPr>
              <w:ind w:left="20"/>
              <w:spacing w:after="0" w:line="135" w:lineRule="exact"/>
              <w:rPr>
                <w:sz w:val="20"/>
                <w:szCs w:val="20"/>
                <w:color w:val="auto"/>
              </w:rPr>
            </w:pPr>
            <w:r>
              <w:rPr>
                <w:rFonts w:ascii="Arial" w:cs="Arial" w:eastAsia="Arial" w:hAnsi="Arial"/>
                <w:sz w:val="13"/>
                <w:szCs w:val="13"/>
                <w:color w:val="auto"/>
              </w:rPr>
              <w:t>10.0% Cash, 6 Month Libor (1.00%) + 9.00%; Libor</w:t>
            </w:r>
          </w:p>
        </w:tc>
        <w:tc>
          <w:tcPr>
            <w:tcW w:w="1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3120" w:type="dxa"/>
            <w:vAlign w:val="bottom"/>
          </w:tcPr>
          <w:p>
            <w:pPr>
              <w:ind w:left="20"/>
              <w:spacing w:after="0"/>
              <w:rPr>
                <w:sz w:val="20"/>
                <w:szCs w:val="20"/>
                <w:color w:val="auto"/>
              </w:rPr>
            </w:pPr>
            <w:r>
              <w:rPr>
                <w:rFonts w:ascii="Arial" w:cs="Arial" w:eastAsia="Arial" w:hAnsi="Arial"/>
                <w:sz w:val="13"/>
                <w:szCs w:val="13"/>
                <w:color w:val="auto"/>
              </w:rPr>
              <w:t>Floor 1.00% , Due 6/27</w:t>
            </w:r>
          </w:p>
        </w:tc>
        <w:tc>
          <w:tcPr>
            <w:tcW w:w="1100" w:type="dxa"/>
            <w:vAlign w:val="bottom"/>
          </w:tcPr>
          <w:p>
            <w:pPr>
              <w:jc w:val="right"/>
              <w:ind w:right="177"/>
              <w:spacing w:after="0"/>
              <w:rPr>
                <w:sz w:val="20"/>
                <w:szCs w:val="20"/>
                <w:color w:val="auto"/>
              </w:rPr>
            </w:pPr>
            <w:r>
              <w:rPr>
                <w:rFonts w:ascii="Arial" w:cs="Arial" w:eastAsia="Arial" w:hAnsi="Arial"/>
                <w:sz w:val="13"/>
                <w:szCs w:val="13"/>
                <w:color w:val="auto"/>
              </w:rPr>
              <w:t>6/27/2019</w:t>
            </w:r>
          </w:p>
        </w:tc>
        <w:tc>
          <w:tcPr>
            <w:tcW w:w="1200" w:type="dxa"/>
            <w:vAlign w:val="bottom"/>
          </w:tcPr>
          <w:p>
            <w:pPr>
              <w:jc w:val="right"/>
              <w:ind w:right="377"/>
              <w:spacing w:after="0"/>
              <w:rPr>
                <w:sz w:val="20"/>
                <w:szCs w:val="20"/>
                <w:color w:val="auto"/>
              </w:rPr>
            </w:pPr>
            <w:r>
              <w:rPr>
                <w:rFonts w:ascii="Arial" w:cs="Arial" w:eastAsia="Arial" w:hAnsi="Arial"/>
                <w:sz w:val="13"/>
                <w:szCs w:val="13"/>
                <w:color w:val="auto"/>
              </w:rPr>
              <w:t>7,500,000</w:t>
            </w:r>
          </w:p>
        </w:tc>
        <w:tc>
          <w:tcPr>
            <w:tcW w:w="1240" w:type="dxa"/>
            <w:vAlign w:val="bottom"/>
          </w:tcPr>
          <w:p>
            <w:pPr>
              <w:jc w:val="right"/>
              <w:ind w:right="257"/>
              <w:spacing w:after="0"/>
              <w:rPr>
                <w:sz w:val="20"/>
                <w:szCs w:val="20"/>
                <w:color w:val="auto"/>
              </w:rPr>
            </w:pPr>
            <w:r>
              <w:rPr>
                <w:rFonts w:ascii="Arial" w:cs="Arial" w:eastAsia="Arial" w:hAnsi="Arial"/>
                <w:sz w:val="13"/>
                <w:szCs w:val="13"/>
                <w:color w:val="auto"/>
              </w:rPr>
              <w:t>7,408,450</w:t>
            </w:r>
          </w:p>
        </w:tc>
        <w:tc>
          <w:tcPr>
            <w:tcW w:w="800" w:type="dxa"/>
            <w:vAlign w:val="bottom"/>
          </w:tcPr>
          <w:p>
            <w:pPr>
              <w:jc w:val="right"/>
              <w:spacing w:after="0"/>
              <w:rPr>
                <w:sz w:val="20"/>
                <w:szCs w:val="20"/>
                <w:color w:val="auto"/>
              </w:rPr>
            </w:pPr>
            <w:r>
              <w:rPr>
                <w:rFonts w:ascii="Arial" w:cs="Arial" w:eastAsia="Arial" w:hAnsi="Arial"/>
                <w:sz w:val="13"/>
                <w:szCs w:val="13"/>
                <w:color w:val="auto"/>
              </w:rPr>
              <w:t>7,344,000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-1861185</wp:posOffset>
            </wp:positionH>
            <wp:positionV relativeFrom="paragraph">
              <wp:posOffset>-3237865</wp:posOffset>
            </wp:positionV>
            <wp:extent cx="7132320" cy="2654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-2877820</wp:posOffset>
            </wp:positionV>
            <wp:extent cx="7132320" cy="2654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-2517775</wp:posOffset>
            </wp:positionV>
            <wp:extent cx="7132320" cy="2654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-2157730</wp:posOffset>
            </wp:positionV>
            <wp:extent cx="7132320" cy="2654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-1797685</wp:posOffset>
            </wp:positionV>
            <wp:extent cx="7132320" cy="2654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-1437640</wp:posOffset>
            </wp:positionV>
            <wp:extent cx="7132320" cy="2654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-1077595</wp:posOffset>
            </wp:positionV>
            <wp:extent cx="7132320" cy="3511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351155"/>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-631825</wp:posOffset>
            </wp:positionV>
            <wp:extent cx="7132320" cy="2654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-271780</wp:posOffset>
            </wp:positionV>
            <wp:extent cx="7132320" cy="2654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122" w:lineRule="exact"/>
        <w:rPr>
          <w:sz w:val="20"/>
          <w:szCs w:val="20"/>
          <w:color w:val="auto"/>
        </w:rPr>
      </w:pPr>
    </w:p>
    <w:p>
      <w:pPr>
        <w:sectPr>
          <w:pgSz w:w="11900" w:h="16838" w:orient="portrait"/>
          <w:cols w:equalWidth="0" w:num="2">
            <w:col w:w="2340" w:space="600"/>
            <w:col w:w="8300"/>
          </w:cols>
          <w:pgMar w:left="320" w:top="336" w:right="33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100" w:type="dxa"/>
            <w:vAlign w:val="bottom"/>
            <w:shd w:val="clear" w:color="auto" w:fill="CFF0FC"/>
          </w:tcPr>
          <w:p>
            <w:pPr>
              <w:spacing w:after="0"/>
              <w:rPr>
                <w:sz w:val="20"/>
                <w:szCs w:val="20"/>
                <w:color w:val="auto"/>
              </w:rPr>
            </w:pPr>
            <w:r>
              <w:rPr>
                <w:rFonts w:ascii="Arial" w:cs="Arial" w:eastAsia="Arial" w:hAnsi="Arial"/>
                <w:sz w:val="13"/>
                <w:szCs w:val="13"/>
                <w:color w:val="auto"/>
              </w:rPr>
              <w:t>Infobase Holdings, Inc.</w:t>
            </w:r>
          </w:p>
        </w:tc>
        <w:tc>
          <w:tcPr>
            <w:tcW w:w="1440" w:type="dxa"/>
            <w:vAlign w:val="bottom"/>
            <w:shd w:val="clear" w:color="auto" w:fill="CFF0FC"/>
          </w:tcPr>
          <w:p>
            <w:pPr>
              <w:jc w:val="right"/>
              <w:ind w:right="66"/>
              <w:spacing w:after="0"/>
              <w:rPr>
                <w:sz w:val="20"/>
                <w:szCs w:val="20"/>
                <w:color w:val="auto"/>
              </w:rPr>
            </w:pPr>
            <w:r>
              <w:rPr>
                <w:rFonts w:ascii="Arial" w:cs="Arial" w:eastAsia="Arial" w:hAnsi="Arial"/>
                <w:sz w:val="11"/>
                <w:szCs w:val="11"/>
                <w:color w:val="auto"/>
              </w:rPr>
              <w:t>(8)(13)(14)</w:t>
            </w:r>
          </w:p>
        </w:tc>
        <w:tc>
          <w:tcPr>
            <w:tcW w:w="3120" w:type="dxa"/>
            <w:vAlign w:val="bottom"/>
            <w:shd w:val="clear" w:color="auto" w:fill="CFF0FC"/>
          </w:tcPr>
          <w:p>
            <w:pPr>
              <w:ind w:left="120"/>
              <w:spacing w:after="0"/>
              <w:rPr>
                <w:sz w:val="20"/>
                <w:szCs w:val="20"/>
                <w:color w:val="auto"/>
              </w:rPr>
            </w:pPr>
            <w:r>
              <w:rPr>
                <w:rFonts w:ascii="Arial" w:cs="Arial" w:eastAsia="Arial" w:hAnsi="Arial"/>
                <w:sz w:val="13"/>
                <w:szCs w:val="13"/>
                <w:color w:val="auto"/>
              </w:rPr>
              <w:t>Senior Secured Loan — Term Loan</w:t>
            </w:r>
          </w:p>
        </w:tc>
        <w:tc>
          <w:tcPr>
            <w:tcW w:w="120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r>
      <w:tr>
        <w:trPr>
          <w:trHeight w:val="135"/>
        </w:trPr>
        <w:tc>
          <w:tcPr>
            <w:tcW w:w="2100" w:type="dxa"/>
            <w:vAlign w:val="bottom"/>
            <w:shd w:val="clear" w:color="auto" w:fill="CFF0FC"/>
          </w:tcPr>
          <w:p>
            <w:pPr>
              <w:spacing w:after="0"/>
              <w:rPr>
                <w:sz w:val="11"/>
                <w:szCs w:val="11"/>
                <w:color w:val="auto"/>
              </w:rPr>
            </w:pPr>
          </w:p>
        </w:tc>
        <w:tc>
          <w:tcPr>
            <w:tcW w:w="1440" w:type="dxa"/>
            <w:vAlign w:val="bottom"/>
            <w:shd w:val="clear" w:color="auto" w:fill="CFF0FC"/>
          </w:tcPr>
          <w:p>
            <w:pPr>
              <w:spacing w:after="0"/>
              <w:rPr>
                <w:sz w:val="11"/>
                <w:szCs w:val="11"/>
                <w:color w:val="auto"/>
              </w:rPr>
            </w:pPr>
          </w:p>
        </w:tc>
        <w:tc>
          <w:tcPr>
            <w:tcW w:w="3120" w:type="dxa"/>
            <w:vAlign w:val="bottom"/>
            <w:shd w:val="clear" w:color="auto" w:fill="CFF0FC"/>
          </w:tcPr>
          <w:p>
            <w:pPr>
              <w:ind w:left="120"/>
              <w:spacing w:after="0" w:line="135" w:lineRule="exact"/>
              <w:rPr>
                <w:sz w:val="20"/>
                <w:szCs w:val="20"/>
                <w:color w:val="auto"/>
              </w:rPr>
            </w:pPr>
            <w:r>
              <w:rPr>
                <w:rFonts w:ascii="Arial" w:cs="Arial" w:eastAsia="Arial" w:hAnsi="Arial"/>
                <w:sz w:val="13"/>
                <w:szCs w:val="13"/>
                <w:color w:val="auto"/>
              </w:rPr>
              <w:t>5.5% Cash, 3 Month Libor (1.00%) + 4.50%; Libor</w:t>
            </w:r>
          </w:p>
        </w:tc>
        <w:tc>
          <w:tcPr>
            <w:tcW w:w="120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r>
      <w:tr>
        <w:trPr>
          <w:trHeight w:val="149"/>
        </w:trPr>
        <w:tc>
          <w:tcPr>
            <w:tcW w:w="21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High Tech Industries</w:t>
            </w:r>
          </w:p>
        </w:tc>
        <w:tc>
          <w:tcPr>
            <w:tcW w:w="1440" w:type="dxa"/>
            <w:vAlign w:val="bottom"/>
            <w:shd w:val="clear" w:color="auto" w:fill="CFF0FC"/>
          </w:tcPr>
          <w:p>
            <w:pPr>
              <w:spacing w:after="0"/>
              <w:rPr>
                <w:sz w:val="12"/>
                <w:szCs w:val="12"/>
                <w:color w:val="auto"/>
              </w:rPr>
            </w:pPr>
          </w:p>
        </w:tc>
        <w:tc>
          <w:tcPr>
            <w:tcW w:w="3120" w:type="dxa"/>
            <w:vAlign w:val="bottom"/>
            <w:shd w:val="clear" w:color="auto" w:fill="CFF0FC"/>
          </w:tcPr>
          <w:p>
            <w:pPr>
              <w:ind w:left="120"/>
              <w:spacing w:after="0"/>
              <w:rPr>
                <w:sz w:val="20"/>
                <w:szCs w:val="20"/>
                <w:color w:val="auto"/>
              </w:rPr>
            </w:pPr>
            <w:r>
              <w:rPr>
                <w:rFonts w:ascii="Arial" w:cs="Arial" w:eastAsia="Arial" w:hAnsi="Arial"/>
                <w:sz w:val="13"/>
                <w:szCs w:val="13"/>
                <w:color w:val="auto"/>
              </w:rPr>
              <w:t>Floor 1.00% , Due 12/22</w:t>
            </w:r>
          </w:p>
        </w:tc>
        <w:tc>
          <w:tcPr>
            <w:tcW w:w="1200" w:type="dxa"/>
            <w:vAlign w:val="bottom"/>
            <w:shd w:val="clear" w:color="auto" w:fill="CFF0FC"/>
          </w:tcPr>
          <w:p>
            <w:pPr>
              <w:jc w:val="right"/>
              <w:ind w:right="177"/>
              <w:spacing w:after="0"/>
              <w:rPr>
                <w:sz w:val="20"/>
                <w:szCs w:val="20"/>
                <w:color w:val="auto"/>
              </w:rPr>
            </w:pPr>
            <w:r>
              <w:rPr>
                <w:rFonts w:ascii="Arial" w:cs="Arial" w:eastAsia="Arial" w:hAnsi="Arial"/>
                <w:sz w:val="13"/>
                <w:szCs w:val="13"/>
                <w:color w:val="auto"/>
              </w:rPr>
              <w:t>12/13/2017</w:t>
            </w:r>
          </w:p>
        </w:tc>
        <w:tc>
          <w:tcPr>
            <w:tcW w:w="1200" w:type="dxa"/>
            <w:vAlign w:val="bottom"/>
            <w:shd w:val="clear" w:color="auto" w:fill="CFF0FC"/>
          </w:tcPr>
          <w:p>
            <w:pPr>
              <w:jc w:val="right"/>
              <w:ind w:right="377"/>
              <w:spacing w:after="0"/>
              <w:rPr>
                <w:sz w:val="20"/>
                <w:szCs w:val="20"/>
                <w:color w:val="auto"/>
              </w:rPr>
            </w:pPr>
            <w:r>
              <w:rPr>
                <w:rFonts w:ascii="Arial" w:cs="Arial" w:eastAsia="Arial" w:hAnsi="Arial"/>
                <w:sz w:val="13"/>
                <w:szCs w:val="13"/>
                <w:color w:val="auto"/>
              </w:rPr>
              <w:t>1,850,000</w:t>
            </w:r>
          </w:p>
        </w:tc>
        <w:tc>
          <w:tcPr>
            <w:tcW w:w="1240" w:type="dxa"/>
            <w:vAlign w:val="bottom"/>
            <w:shd w:val="clear" w:color="auto" w:fill="CFF0FC"/>
          </w:tcPr>
          <w:p>
            <w:pPr>
              <w:jc w:val="right"/>
              <w:ind w:right="257"/>
              <w:spacing w:after="0"/>
              <w:rPr>
                <w:sz w:val="20"/>
                <w:szCs w:val="20"/>
                <w:color w:val="auto"/>
              </w:rPr>
            </w:pPr>
            <w:r>
              <w:rPr>
                <w:rFonts w:ascii="Arial" w:cs="Arial" w:eastAsia="Arial" w:hAnsi="Arial"/>
                <w:sz w:val="13"/>
                <w:szCs w:val="13"/>
                <w:color w:val="auto"/>
              </w:rPr>
              <w:t>1,841,858</w:t>
            </w:r>
          </w:p>
        </w:tc>
        <w:tc>
          <w:tcPr>
            <w:tcW w:w="94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1,850,000</w:t>
            </w:r>
          </w:p>
        </w:tc>
      </w:tr>
    </w:tbl>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type w:val="continuous"/>
        </w:sectPr>
      </w:pPr>
    </w:p>
    <w:bookmarkStart w:id="29" w:name="page30"/>
    <w:bookmarkEnd w:id="29"/>
    <w:tbl>
      <w:tblPr>
        <w:tblLayout w:type="fixed"/>
        <w:tblInd w:w="0" w:type="dxa"/>
        <w:tblCellMar>
          <w:top w:w="0" w:type="dxa"/>
          <w:left w:w="0" w:type="dxa"/>
          <w:bottom w:w="0" w:type="dxa"/>
          <w:right w:w="0" w:type="dxa"/>
        </w:tblCellMar>
      </w:tblPr>
      <w:tr>
        <w:trPr>
          <w:trHeight w:val="149"/>
        </w:trPr>
        <w:tc>
          <w:tcPr>
            <w:tcW w:w="2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Initial</w:t>
            </w: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Arial" w:cs="Arial" w:eastAsia="Arial" w:hAnsi="Arial"/>
                <w:sz w:val="13"/>
                <w:szCs w:val="13"/>
                <w:b w:val="1"/>
                <w:bCs w:val="1"/>
                <w:color w:val="auto"/>
              </w:rPr>
              <w:t>Portfolio Company /</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60" w:type="dxa"/>
            <w:vAlign w:val="bottom"/>
            <w:gridSpan w:val="2"/>
          </w:tcPr>
          <w:p>
            <w:pPr>
              <w:ind w:left="820"/>
              <w:spacing w:after="0" w:line="135" w:lineRule="exact"/>
              <w:rPr>
                <w:sz w:val="20"/>
                <w:szCs w:val="20"/>
                <w:color w:val="auto"/>
              </w:rPr>
            </w:pPr>
            <w:r>
              <w:rPr>
                <w:rFonts w:ascii="Arial" w:cs="Arial" w:eastAsia="Arial" w:hAnsi="Arial"/>
                <w:sz w:val="13"/>
                <w:szCs w:val="13"/>
                <w:b w:val="1"/>
                <w:bCs w:val="1"/>
                <w:color w:val="auto"/>
              </w:rPr>
              <w:t>Investment</w:t>
            </w:r>
          </w:p>
        </w:tc>
        <w:tc>
          <w:tcPr>
            <w:tcW w:w="11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gridSpan w:val="2"/>
          </w:tcPr>
          <w:p>
            <w:pPr>
              <w:jc w:val="right"/>
              <w:ind w:right="500"/>
              <w:spacing w:after="0" w:line="135" w:lineRule="exact"/>
              <w:rPr>
                <w:sz w:val="20"/>
                <w:szCs w:val="20"/>
                <w:color w:val="auto"/>
              </w:rPr>
            </w:pPr>
            <w:r>
              <w:rPr>
                <w:rFonts w:ascii="Arial" w:cs="Arial" w:eastAsia="Arial" w:hAnsi="Arial"/>
                <w:sz w:val="13"/>
                <w:szCs w:val="13"/>
                <w:b w:val="1"/>
                <w:bCs w:val="1"/>
                <w:color w:val="auto"/>
              </w:rPr>
              <w:t>Amortized</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6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Principal Business</w:t>
            </w:r>
          </w:p>
        </w:tc>
        <w:tc>
          <w:tcPr>
            <w:tcW w:w="280" w:type="dxa"/>
            <w:vAlign w:val="bottom"/>
            <w:tcBorders>
              <w:bottom w:val="single" w:sz="8" w:color="auto"/>
            </w:tcBorders>
          </w:tcPr>
          <w:p>
            <w:pPr>
              <w:spacing w:after="0"/>
              <w:rPr>
                <w:sz w:val="13"/>
                <w:szCs w:val="13"/>
                <w:color w:val="auto"/>
              </w:rPr>
            </w:pPr>
          </w:p>
        </w:tc>
        <w:tc>
          <w:tcPr>
            <w:tcW w:w="7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540" w:type="dxa"/>
            <w:vAlign w:val="bottom"/>
            <w:tcBorders>
              <w:bottom w:val="single" w:sz="8" w:color="auto"/>
            </w:tcBorders>
          </w:tcPr>
          <w:p>
            <w:pPr>
              <w:ind w:left="400"/>
              <w:spacing w:after="0"/>
              <w:rPr>
                <w:sz w:val="20"/>
                <w:szCs w:val="20"/>
                <w:color w:val="auto"/>
              </w:rPr>
            </w:pPr>
            <w:r>
              <w:rPr>
                <w:rFonts w:ascii="Arial" w:cs="Arial" w:eastAsia="Arial" w:hAnsi="Arial"/>
                <w:sz w:val="13"/>
                <w:szCs w:val="13"/>
                <w:b w:val="1"/>
                <w:bCs w:val="1"/>
                <w:color w:val="auto"/>
              </w:rPr>
              <w:t>Interest Rate¹ / Maturity</w:t>
            </w:r>
            <w:r>
              <w:rPr>
                <w:rFonts w:ascii="Arial" w:cs="Arial" w:eastAsia="Arial" w:hAnsi="Arial"/>
                <w:sz w:val="10"/>
                <w:szCs w:val="10"/>
                <w:b w:val="1"/>
                <w:bCs w:val="1"/>
                <w:color w:val="auto"/>
              </w:rPr>
              <w:t>15</w:t>
            </w:r>
          </w:p>
        </w:tc>
        <w:tc>
          <w:tcPr>
            <w:tcW w:w="12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Date</w:t>
            </w:r>
          </w:p>
        </w:tc>
        <w:tc>
          <w:tcPr>
            <w:tcW w:w="120" w:type="dxa"/>
            <w:vAlign w:val="bottom"/>
            <w:tcBorders>
              <w:bottom w:val="single" w:sz="8" w:color="CFF0FC"/>
            </w:tcBorders>
          </w:tcPr>
          <w:p>
            <w:pPr>
              <w:spacing w:after="0"/>
              <w:rPr>
                <w:sz w:val="13"/>
                <w:szCs w:val="13"/>
                <w:color w:val="auto"/>
              </w:rPr>
            </w:pPr>
          </w:p>
        </w:tc>
        <w:tc>
          <w:tcPr>
            <w:tcW w:w="8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Principal</w:t>
            </w:r>
          </w:p>
        </w:tc>
        <w:tc>
          <w:tcPr>
            <w:tcW w:w="220" w:type="dxa"/>
            <w:vAlign w:val="bottom"/>
            <w:tcBorders>
              <w:bottom w:val="single" w:sz="8" w:color="CFF0FC"/>
            </w:tcBorders>
          </w:tcPr>
          <w:p>
            <w:pPr>
              <w:spacing w:after="0"/>
              <w:rPr>
                <w:sz w:val="13"/>
                <w:szCs w:val="13"/>
                <w:color w:val="auto"/>
              </w:rPr>
            </w:pPr>
          </w:p>
        </w:tc>
        <w:tc>
          <w:tcPr>
            <w:tcW w:w="1140" w:type="dxa"/>
            <w:vAlign w:val="bottom"/>
            <w:tcBorders>
              <w:bottom w:val="single" w:sz="8" w:color="auto"/>
            </w:tcBorders>
          </w:tcPr>
          <w:p>
            <w:pPr>
              <w:jc w:val="right"/>
              <w:ind w:right="397"/>
              <w:spacing w:after="0"/>
              <w:rPr>
                <w:sz w:val="20"/>
                <w:szCs w:val="20"/>
                <w:color w:val="auto"/>
              </w:rPr>
            </w:pPr>
            <w:r>
              <w:rPr>
                <w:rFonts w:ascii="Arial" w:cs="Arial" w:eastAsia="Arial" w:hAnsi="Arial"/>
                <w:sz w:val="13"/>
                <w:szCs w:val="13"/>
                <w:b w:val="1"/>
                <w:bCs w:val="1"/>
                <w:color w:val="auto"/>
              </w:rPr>
              <w:t>Cost</w:t>
            </w:r>
          </w:p>
        </w:tc>
        <w:tc>
          <w:tcPr>
            <w:tcW w:w="22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0"/>
                <w:szCs w:val="10"/>
                <w:b w:val="1"/>
                <w:bCs w:val="1"/>
                <w:color w:val="auto"/>
              </w:rPr>
              <w:t>2</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660" w:type="dxa"/>
            <w:vAlign w:val="bottom"/>
            <w:shd w:val="clear" w:color="auto" w:fill="CFF0FC"/>
          </w:tcPr>
          <w:p>
            <w:pPr>
              <w:spacing w:after="0" w:line="128" w:lineRule="exact"/>
              <w:rPr>
                <w:sz w:val="20"/>
                <w:szCs w:val="20"/>
                <w:color w:val="auto"/>
              </w:rPr>
            </w:pPr>
            <w:r>
              <w:rPr>
                <w:rFonts w:ascii="Arial" w:cs="Arial" w:eastAsia="Arial" w:hAnsi="Arial"/>
                <w:sz w:val="13"/>
                <w:szCs w:val="13"/>
                <w:color w:val="auto"/>
              </w:rPr>
              <w:t>Infobase Holdings, Inc.</w:t>
            </w:r>
          </w:p>
        </w:tc>
        <w:tc>
          <w:tcPr>
            <w:tcW w:w="980" w:type="dxa"/>
            <w:vAlign w:val="bottom"/>
            <w:gridSpan w:val="2"/>
            <w:shd w:val="clear" w:color="auto" w:fill="CFF0FC"/>
          </w:tcPr>
          <w:p>
            <w:pPr>
              <w:ind w:left="280"/>
              <w:spacing w:after="0"/>
              <w:rPr>
                <w:sz w:val="20"/>
                <w:szCs w:val="20"/>
                <w:color w:val="auto"/>
              </w:rPr>
            </w:pPr>
            <w:r>
              <w:rPr>
                <w:rFonts w:ascii="Arial" w:cs="Arial" w:eastAsia="Arial" w:hAnsi="Arial"/>
                <w:sz w:val="11"/>
                <w:szCs w:val="11"/>
                <w:color w:val="auto"/>
              </w:rPr>
              <w:t>(8)(13)(14)</w:t>
            </w:r>
          </w:p>
        </w:tc>
        <w:tc>
          <w:tcPr>
            <w:tcW w:w="20" w:type="dxa"/>
            <w:vAlign w:val="bottom"/>
            <w:shd w:val="clear" w:color="auto" w:fill="CFF0FC"/>
          </w:tcPr>
          <w:p>
            <w:pPr>
              <w:spacing w:after="0"/>
              <w:rPr>
                <w:sz w:val="11"/>
                <w:szCs w:val="11"/>
                <w:color w:val="auto"/>
              </w:rPr>
            </w:pPr>
          </w:p>
        </w:tc>
        <w:tc>
          <w:tcPr>
            <w:tcW w:w="2840" w:type="dxa"/>
            <w:vAlign w:val="bottom"/>
            <w:gridSpan w:val="2"/>
            <w:shd w:val="clear" w:color="auto" w:fill="CFF0FC"/>
          </w:tcPr>
          <w:p>
            <w:pPr>
              <w:spacing w:after="0" w:line="128" w:lineRule="exact"/>
              <w:rPr>
                <w:sz w:val="20"/>
                <w:szCs w:val="20"/>
                <w:color w:val="auto"/>
              </w:rPr>
            </w:pPr>
            <w:r>
              <w:rPr>
                <w:rFonts w:ascii="Arial" w:cs="Arial" w:eastAsia="Arial" w:hAnsi="Arial"/>
                <w:sz w:val="13"/>
                <w:szCs w:val="13"/>
                <w:color w:val="auto"/>
              </w:rPr>
              <w:t>Senior Secured Loan — Term Loan (add on)</w:t>
            </w: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High Tech Industries</w:t>
            </w:r>
          </w:p>
        </w:tc>
        <w:tc>
          <w:tcPr>
            <w:tcW w:w="2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2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94"/>
              </w:rPr>
              <w:t>5.5%</w:t>
            </w:r>
          </w:p>
        </w:tc>
        <w:tc>
          <w:tcPr>
            <w:tcW w:w="266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Cash, 3 Month Libor (1.00%) + 4.50%;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Floor 1.00% , Due 12/22</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12/13/2017</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1,961,372</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1,952,741</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1,961,373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660" w:type="dxa"/>
            <w:vAlign w:val="bottom"/>
            <w:shd w:val="clear" w:color="auto" w:fill="CFF0FC"/>
          </w:tcPr>
          <w:p>
            <w:pPr>
              <w:spacing w:after="0"/>
              <w:rPr>
                <w:sz w:val="20"/>
                <w:szCs w:val="20"/>
                <w:color w:val="auto"/>
              </w:rPr>
            </w:pPr>
            <w:r>
              <w:rPr>
                <w:rFonts w:ascii="Arial" w:cs="Arial" w:eastAsia="Arial" w:hAnsi="Arial"/>
                <w:sz w:val="13"/>
                <w:szCs w:val="13"/>
                <w:color w:val="auto"/>
              </w:rPr>
              <w:t>Institutional Shareholder Services Inc.</w:t>
            </w:r>
          </w:p>
        </w:tc>
        <w:tc>
          <w:tcPr>
            <w:tcW w:w="980" w:type="dxa"/>
            <w:vAlign w:val="bottom"/>
            <w:gridSpan w:val="2"/>
            <w:shd w:val="clear" w:color="auto" w:fill="CFF0FC"/>
          </w:tcPr>
          <w:p>
            <w:pPr>
              <w:ind w:left="280"/>
              <w:spacing w:after="0"/>
              <w:rPr>
                <w:sz w:val="20"/>
                <w:szCs w:val="20"/>
                <w:color w:val="auto"/>
              </w:rPr>
            </w:pPr>
            <w:r>
              <w:rPr>
                <w:rFonts w:ascii="Arial" w:cs="Arial" w:eastAsia="Arial" w:hAnsi="Arial"/>
                <w:sz w:val="11"/>
                <w:szCs w:val="11"/>
                <w:color w:val="auto"/>
              </w:rPr>
              <w:t>(8)(14)</w:t>
            </w:r>
          </w:p>
        </w:tc>
        <w:tc>
          <w:tcPr>
            <w:tcW w:w="2980" w:type="dxa"/>
            <w:vAlign w:val="bottom"/>
            <w:gridSpan w:val="4"/>
            <w:vMerge w:val="restart"/>
            <w:shd w:val="clear" w:color="auto" w:fill="CFF0FC"/>
          </w:tcPr>
          <w:p>
            <w:pPr>
              <w:ind w:left="20"/>
              <w:spacing w:after="0"/>
              <w:rPr>
                <w:sz w:val="20"/>
                <w:szCs w:val="20"/>
                <w:color w:val="auto"/>
              </w:rPr>
            </w:pPr>
            <w:r>
              <w:rPr>
                <w:rFonts w:ascii="Arial" w:cs="Arial" w:eastAsia="Arial" w:hAnsi="Arial"/>
                <w:sz w:val="13"/>
                <w:szCs w:val="13"/>
                <w:color w:val="auto"/>
              </w:rPr>
              <w:t>Senior Secured Loan — First Lien Term Loan</w:t>
            </w:r>
          </w:p>
        </w:tc>
        <w:tc>
          <w:tcPr>
            <w:tcW w:w="10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660" w:type="dxa"/>
            <w:vAlign w:val="bottom"/>
            <w:shd w:val="clear" w:color="auto" w:fill="CFF0FC"/>
          </w:tcPr>
          <w:p>
            <w:pPr>
              <w:spacing w:after="0"/>
              <w:rPr>
                <w:sz w:val="3"/>
                <w:szCs w:val="3"/>
                <w:color w:val="auto"/>
              </w:rPr>
            </w:pPr>
          </w:p>
        </w:tc>
        <w:tc>
          <w:tcPr>
            <w:tcW w:w="280" w:type="dxa"/>
            <w:vAlign w:val="bottom"/>
            <w:shd w:val="clear" w:color="auto" w:fill="CFF0FC"/>
          </w:tcPr>
          <w:p>
            <w:pPr>
              <w:spacing w:after="0"/>
              <w:rPr>
                <w:sz w:val="3"/>
                <w:szCs w:val="3"/>
                <w:color w:val="auto"/>
              </w:rPr>
            </w:pPr>
          </w:p>
        </w:tc>
        <w:tc>
          <w:tcPr>
            <w:tcW w:w="700" w:type="dxa"/>
            <w:vAlign w:val="bottom"/>
            <w:shd w:val="clear" w:color="auto" w:fill="CFF0FC"/>
          </w:tcPr>
          <w:p>
            <w:pPr>
              <w:spacing w:after="0"/>
              <w:rPr>
                <w:sz w:val="3"/>
                <w:szCs w:val="3"/>
                <w:color w:val="auto"/>
              </w:rPr>
            </w:pPr>
          </w:p>
        </w:tc>
        <w:tc>
          <w:tcPr>
            <w:tcW w:w="2980" w:type="dxa"/>
            <w:vAlign w:val="bottom"/>
            <w:gridSpan w:val="4"/>
            <w:vMerge w:val="continue"/>
            <w:shd w:val="clear" w:color="auto" w:fill="CFF0FC"/>
          </w:tcPr>
          <w:p>
            <w:pPr>
              <w:spacing w:after="0"/>
              <w:rPr>
                <w:sz w:val="3"/>
                <w:szCs w:val="3"/>
                <w:color w:val="auto"/>
              </w:rPr>
            </w:pPr>
          </w:p>
        </w:tc>
        <w:tc>
          <w:tcPr>
            <w:tcW w:w="1020" w:type="dxa"/>
            <w:vAlign w:val="bottom"/>
            <w:shd w:val="clear" w:color="auto" w:fill="CFF0FC"/>
          </w:tcPr>
          <w:p>
            <w:pPr>
              <w:spacing w:after="0"/>
              <w:rPr>
                <w:sz w:val="3"/>
                <w:szCs w:val="3"/>
                <w:color w:val="auto"/>
              </w:rPr>
            </w:pPr>
          </w:p>
        </w:tc>
        <w:tc>
          <w:tcPr>
            <w:tcW w:w="120" w:type="dxa"/>
            <w:vAlign w:val="bottom"/>
            <w:shd w:val="clear" w:color="auto" w:fill="CFF0FC"/>
          </w:tcPr>
          <w:p>
            <w:pPr>
              <w:spacing w:after="0"/>
              <w:rPr>
                <w:sz w:val="3"/>
                <w:szCs w:val="3"/>
                <w:color w:val="auto"/>
              </w:rPr>
            </w:pPr>
          </w:p>
        </w:tc>
        <w:tc>
          <w:tcPr>
            <w:tcW w:w="880" w:type="dxa"/>
            <w:vAlign w:val="bottom"/>
            <w:shd w:val="clear" w:color="auto" w:fill="CFF0FC"/>
          </w:tcPr>
          <w:p>
            <w:pPr>
              <w:spacing w:after="0"/>
              <w:rPr>
                <w:sz w:val="3"/>
                <w:szCs w:val="3"/>
                <w:color w:val="auto"/>
              </w:rPr>
            </w:pPr>
          </w:p>
        </w:tc>
        <w:tc>
          <w:tcPr>
            <w:tcW w:w="220" w:type="dxa"/>
            <w:vAlign w:val="bottom"/>
            <w:shd w:val="clear" w:color="auto" w:fill="CFF0FC"/>
          </w:tcPr>
          <w:p>
            <w:pPr>
              <w:spacing w:after="0"/>
              <w:rPr>
                <w:sz w:val="3"/>
                <w:szCs w:val="3"/>
                <w:color w:val="auto"/>
              </w:rPr>
            </w:pPr>
          </w:p>
        </w:tc>
        <w:tc>
          <w:tcPr>
            <w:tcW w:w="1140" w:type="dxa"/>
            <w:vAlign w:val="bottom"/>
            <w:shd w:val="clear" w:color="auto" w:fill="CFF0FC"/>
          </w:tcPr>
          <w:p>
            <w:pPr>
              <w:spacing w:after="0"/>
              <w:rPr>
                <w:sz w:val="3"/>
                <w:szCs w:val="3"/>
                <w:color w:val="auto"/>
              </w:rPr>
            </w:pPr>
          </w:p>
        </w:tc>
        <w:tc>
          <w:tcPr>
            <w:tcW w:w="220" w:type="dxa"/>
            <w:vAlign w:val="bottom"/>
            <w:shd w:val="clear" w:color="auto" w:fill="CFF0FC"/>
          </w:tcPr>
          <w:p>
            <w:pPr>
              <w:spacing w:after="0"/>
              <w:rPr>
                <w:sz w:val="3"/>
                <w:szCs w:val="3"/>
                <w:color w:val="auto"/>
              </w:rPr>
            </w:pPr>
          </w:p>
        </w:tc>
        <w:tc>
          <w:tcPr>
            <w:tcW w:w="900" w:type="dxa"/>
            <w:vAlign w:val="bottom"/>
            <w:shd w:val="clear" w:color="auto" w:fill="CFF0FC"/>
          </w:tcPr>
          <w:p>
            <w:pPr>
              <w:spacing w:after="0"/>
              <w:rPr>
                <w:sz w:val="3"/>
                <w:szCs w:val="3"/>
                <w:color w:val="auto"/>
              </w:rPr>
            </w:pPr>
          </w:p>
        </w:tc>
        <w:tc>
          <w:tcPr>
            <w:tcW w:w="120" w:type="dxa"/>
            <w:vAlign w:val="bottom"/>
            <w:shd w:val="clear" w:color="auto" w:fill="CFF0FC"/>
          </w:tcPr>
          <w:p>
            <w:pPr>
              <w:spacing w:after="0"/>
              <w:rPr>
                <w:sz w:val="3"/>
                <w:szCs w:val="3"/>
                <w:color w:val="auto"/>
              </w:rPr>
            </w:pPr>
          </w:p>
        </w:tc>
        <w:tc>
          <w:tcPr>
            <w:tcW w:w="0" w:type="dxa"/>
            <w:vAlign w:val="bottom"/>
          </w:tcPr>
          <w:p>
            <w:pPr>
              <w:spacing w:after="0"/>
              <w:rPr>
                <w:sz w:val="1"/>
                <w:szCs w:val="1"/>
                <w:color w:val="auto"/>
              </w:rPr>
            </w:pPr>
          </w:p>
        </w:tc>
      </w:tr>
      <w:tr>
        <w:trPr>
          <w:trHeight w:val="197"/>
        </w:trPr>
        <w:tc>
          <w:tcPr>
            <w:tcW w:w="26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3"/>
                <w:szCs w:val="13"/>
                <w:color w:val="auto"/>
                <w:w w:val="98"/>
              </w:rPr>
              <w:t>Banking, Finance, Insurance &amp; Real Estate</w:t>
            </w:r>
          </w:p>
        </w:tc>
        <w:tc>
          <w:tcPr>
            <w:tcW w:w="280" w:type="dxa"/>
            <w:vAlign w:val="bottom"/>
            <w:tcBorders>
              <w:bottom w:val="single" w:sz="8" w:color="CFF0FC"/>
            </w:tcBorders>
            <w:shd w:val="clear" w:color="auto" w:fill="CFF0FC"/>
          </w:tcPr>
          <w:p>
            <w:pPr>
              <w:spacing w:after="0"/>
              <w:rPr>
                <w:sz w:val="17"/>
                <w:szCs w:val="17"/>
                <w:color w:val="auto"/>
              </w:rPr>
            </w:pPr>
          </w:p>
        </w:tc>
        <w:tc>
          <w:tcPr>
            <w:tcW w:w="70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3"/>
                <w:szCs w:val="13"/>
                <w:color w:val="auto"/>
                <w:w w:val="94"/>
              </w:rPr>
              <w:t>4.8%</w:t>
            </w:r>
          </w:p>
        </w:tc>
        <w:tc>
          <w:tcPr>
            <w:tcW w:w="26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3"/>
                <w:szCs w:val="13"/>
                <w:color w:val="auto"/>
                <w:w w:val="93"/>
              </w:rPr>
              <w:t>Cash, 3 Month Libor (0.25%) + 4.50% , Due 3/26</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4,769,657</w:t>
            </w:r>
          </w:p>
        </w:tc>
        <w:tc>
          <w:tcPr>
            <w:tcW w:w="220" w:type="dxa"/>
            <w:vAlign w:val="bottom"/>
            <w:tcBorders>
              <w:bottom w:val="single" w:sz="8" w:color="CFF0FC"/>
            </w:tcBorders>
            <w:shd w:val="clear" w:color="auto" w:fill="CFF0FC"/>
          </w:tcPr>
          <w:p>
            <w:pPr>
              <w:spacing w:after="0"/>
              <w:rPr>
                <w:sz w:val="17"/>
                <w:szCs w:val="17"/>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4,022,186</w:t>
            </w:r>
          </w:p>
        </w:tc>
        <w:tc>
          <w:tcPr>
            <w:tcW w:w="22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4,751,771</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6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Intermedia Holdings, Inc.</w:t>
            </w:r>
          </w:p>
        </w:tc>
        <w:tc>
          <w:tcPr>
            <w:tcW w:w="980" w:type="dxa"/>
            <w:vAlign w:val="bottom"/>
            <w:gridSpan w:val="2"/>
            <w:shd w:val="clear" w:color="auto" w:fill="CFF0FC"/>
          </w:tcPr>
          <w:p>
            <w:pPr>
              <w:ind w:left="280"/>
              <w:spacing w:after="0"/>
              <w:rPr>
                <w:sz w:val="20"/>
                <w:szCs w:val="20"/>
                <w:color w:val="auto"/>
              </w:rPr>
            </w:pPr>
            <w:r>
              <w:rPr>
                <w:rFonts w:ascii="Arial" w:cs="Arial" w:eastAsia="Arial" w:hAnsi="Arial"/>
                <w:sz w:val="11"/>
                <w:szCs w:val="11"/>
                <w:color w:val="auto"/>
              </w:rPr>
              <w:t>(8)(14)</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First Lien Term Loan A</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2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94"/>
              </w:rPr>
              <w:t>7.0%</w:t>
            </w:r>
          </w:p>
        </w:tc>
        <w:tc>
          <w:tcPr>
            <w:tcW w:w="266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Cash, 1 Month Libor (1.00%) + 6.00%;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60" w:type="dxa"/>
            <w:vAlign w:val="bottom"/>
            <w:shd w:val="clear" w:color="auto" w:fill="CFF0FC"/>
          </w:tcPr>
          <w:p>
            <w:pPr>
              <w:ind w:left="200"/>
              <w:spacing w:after="0"/>
              <w:rPr>
                <w:sz w:val="20"/>
                <w:szCs w:val="20"/>
                <w:color w:val="auto"/>
              </w:rPr>
            </w:pPr>
            <w:r>
              <w:rPr>
                <w:rFonts w:ascii="Arial" w:cs="Arial" w:eastAsia="Arial" w:hAnsi="Arial"/>
                <w:sz w:val="13"/>
                <w:szCs w:val="13"/>
                <w:color w:val="auto"/>
              </w:rPr>
              <w:t>High Tech Industries</w:t>
            </w:r>
          </w:p>
        </w:tc>
        <w:tc>
          <w:tcPr>
            <w:tcW w:w="2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Floor 1.00% , Due 7/25</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2,695,439</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2,349,230</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2,693,336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6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Janus International Group, LLC</w:t>
            </w:r>
          </w:p>
        </w:tc>
        <w:tc>
          <w:tcPr>
            <w:tcW w:w="980" w:type="dxa"/>
            <w:vAlign w:val="bottom"/>
            <w:gridSpan w:val="2"/>
            <w:shd w:val="clear" w:color="auto" w:fill="CFF0FC"/>
          </w:tcPr>
          <w:p>
            <w:pPr>
              <w:ind w:left="280"/>
              <w:spacing w:after="0"/>
              <w:rPr>
                <w:sz w:val="20"/>
                <w:szCs w:val="20"/>
                <w:color w:val="auto"/>
              </w:rPr>
            </w:pPr>
            <w:r>
              <w:rPr>
                <w:rFonts w:ascii="Arial" w:cs="Arial" w:eastAsia="Arial" w:hAnsi="Arial"/>
                <w:sz w:val="11"/>
                <w:szCs w:val="11"/>
                <w:color w:val="auto"/>
              </w:rPr>
              <w:t>(8)(13)(14)</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First Lien Term Loan B</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Construction &amp; Building</w:t>
            </w:r>
          </w:p>
        </w:tc>
        <w:tc>
          <w:tcPr>
            <w:tcW w:w="2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2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94"/>
              </w:rPr>
              <w:t>5.5%</w:t>
            </w:r>
          </w:p>
        </w:tc>
        <w:tc>
          <w:tcPr>
            <w:tcW w:w="266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Cash, 3 Month Libor (1.00%) + 4.50%;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Floor 1.00% , Due 2/25</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2,193,340</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1,889,233</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2,152,544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6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Keeco, LLC</w:t>
            </w:r>
          </w:p>
        </w:tc>
        <w:tc>
          <w:tcPr>
            <w:tcW w:w="980" w:type="dxa"/>
            <w:vAlign w:val="bottom"/>
            <w:gridSpan w:val="2"/>
            <w:shd w:val="clear" w:color="auto" w:fill="CFF0FC"/>
          </w:tcPr>
          <w:p>
            <w:pPr>
              <w:ind w:left="280"/>
              <w:spacing w:after="0"/>
              <w:rPr>
                <w:sz w:val="20"/>
                <w:szCs w:val="20"/>
                <w:color w:val="auto"/>
              </w:rPr>
            </w:pPr>
            <w:r>
              <w:rPr>
                <w:rFonts w:ascii="Arial" w:cs="Arial" w:eastAsia="Arial" w:hAnsi="Arial"/>
                <w:sz w:val="11"/>
                <w:szCs w:val="11"/>
                <w:color w:val="auto"/>
              </w:rPr>
              <w:t>(8)(13)(14)</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First Lien Term Loan A</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2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94"/>
              </w:rPr>
              <w:t>9.5%</w:t>
            </w:r>
          </w:p>
        </w:tc>
        <w:tc>
          <w:tcPr>
            <w:tcW w:w="266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Cash, 0.5% PIK, 1 Month Libor (1.75%) +</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60" w:type="dxa"/>
            <w:vAlign w:val="bottom"/>
            <w:shd w:val="clear" w:color="auto" w:fill="CFF0FC"/>
          </w:tcPr>
          <w:p>
            <w:pPr>
              <w:ind w:left="200"/>
              <w:spacing w:after="0"/>
              <w:rPr>
                <w:sz w:val="20"/>
                <w:szCs w:val="20"/>
                <w:color w:val="auto"/>
              </w:rPr>
            </w:pPr>
            <w:r>
              <w:rPr>
                <w:rFonts w:ascii="Arial" w:cs="Arial" w:eastAsia="Arial" w:hAnsi="Arial"/>
                <w:sz w:val="13"/>
                <w:szCs w:val="13"/>
                <w:color w:val="auto"/>
              </w:rPr>
              <w:t>Consumer goods: Durable</w:t>
            </w:r>
          </w:p>
        </w:tc>
        <w:tc>
          <w:tcPr>
            <w:tcW w:w="2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7.75%; Libor Floor 1.75% , Due 3/24</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5,627,336</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4,717,415</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5,571,062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6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Lifescan Global Corporation</w:t>
            </w:r>
          </w:p>
        </w:tc>
        <w:tc>
          <w:tcPr>
            <w:tcW w:w="980" w:type="dxa"/>
            <w:vAlign w:val="bottom"/>
            <w:gridSpan w:val="2"/>
            <w:shd w:val="clear" w:color="auto" w:fill="CFF0FC"/>
          </w:tcPr>
          <w:p>
            <w:pPr>
              <w:ind w:left="280"/>
              <w:spacing w:after="0"/>
              <w:rPr>
                <w:sz w:val="20"/>
                <w:szCs w:val="20"/>
                <w:color w:val="auto"/>
              </w:rPr>
            </w:pPr>
            <w:r>
              <w:rPr>
                <w:rFonts w:ascii="Arial" w:cs="Arial" w:eastAsia="Arial" w:hAnsi="Arial"/>
                <w:sz w:val="11"/>
                <w:szCs w:val="11"/>
                <w:color w:val="auto"/>
              </w:rPr>
              <w:t>(8)(14)</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First Lien Term Loan A</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2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94"/>
              </w:rPr>
              <w:t>6.2%</w:t>
            </w:r>
          </w:p>
        </w:tc>
        <w:tc>
          <w:tcPr>
            <w:tcW w:w="266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Cash, 3 Month Libor (0.24%) + 6.00% , Due</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60" w:type="dxa"/>
            <w:vAlign w:val="bottom"/>
            <w:shd w:val="clear" w:color="auto" w:fill="CFF0FC"/>
          </w:tcPr>
          <w:p>
            <w:pPr>
              <w:ind w:left="200"/>
              <w:spacing w:after="0"/>
              <w:rPr>
                <w:sz w:val="20"/>
                <w:szCs w:val="20"/>
                <w:color w:val="auto"/>
              </w:rPr>
            </w:pPr>
            <w:r>
              <w:rPr>
                <w:rFonts w:ascii="Arial" w:cs="Arial" w:eastAsia="Arial" w:hAnsi="Arial"/>
                <w:sz w:val="13"/>
                <w:szCs w:val="13"/>
                <w:color w:val="auto"/>
              </w:rPr>
              <w:t>Healthcare &amp; Pharmaceuticals</w:t>
            </w:r>
          </w:p>
        </w:tc>
        <w:tc>
          <w:tcPr>
            <w:tcW w:w="2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2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w w:val="85"/>
              </w:rPr>
              <w:t>10/24</w:t>
            </w:r>
          </w:p>
        </w:tc>
        <w:tc>
          <w:tcPr>
            <w:tcW w:w="25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3,233,554</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2,674,220</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3,089,063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6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Location Services Holdings, LLC</w:t>
            </w:r>
          </w:p>
        </w:tc>
        <w:tc>
          <w:tcPr>
            <w:tcW w:w="980" w:type="dxa"/>
            <w:vAlign w:val="bottom"/>
            <w:gridSpan w:val="2"/>
            <w:shd w:val="clear" w:color="auto" w:fill="CFF0FC"/>
          </w:tcPr>
          <w:p>
            <w:pPr>
              <w:ind w:left="280"/>
              <w:spacing w:after="0"/>
              <w:rPr>
                <w:sz w:val="20"/>
                <w:szCs w:val="20"/>
                <w:color w:val="auto"/>
              </w:rPr>
            </w:pPr>
            <w:r>
              <w:rPr>
                <w:rFonts w:ascii="Arial" w:cs="Arial" w:eastAsia="Arial" w:hAnsi="Arial"/>
                <w:sz w:val="11"/>
                <w:szCs w:val="11"/>
                <w:color w:val="auto"/>
                <w:w w:val="94"/>
              </w:rPr>
              <w:t>(8)(13)(14)(21)</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Revolving Credit</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Services: Business</w:t>
            </w:r>
          </w:p>
        </w:tc>
        <w:tc>
          <w:tcPr>
            <w:tcW w:w="2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2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94"/>
              </w:rPr>
              <w:t>7.8%</w:t>
            </w:r>
          </w:p>
        </w:tc>
        <w:tc>
          <w:tcPr>
            <w:tcW w:w="266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Cash, 1 Month Libor (1.00%) + 6.75%;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Floor 1.00% , Due 5/21</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11/7/2019</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2,291,667</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2,270,203</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2,197,917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6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Luminii LLC</w:t>
            </w:r>
          </w:p>
        </w:tc>
        <w:tc>
          <w:tcPr>
            <w:tcW w:w="980" w:type="dxa"/>
            <w:vAlign w:val="bottom"/>
            <w:gridSpan w:val="2"/>
            <w:shd w:val="clear" w:color="auto" w:fill="CFF0FC"/>
          </w:tcPr>
          <w:p>
            <w:pPr>
              <w:ind w:left="280"/>
              <w:spacing w:after="0"/>
              <w:rPr>
                <w:sz w:val="20"/>
                <w:szCs w:val="20"/>
                <w:color w:val="auto"/>
              </w:rPr>
            </w:pPr>
            <w:r>
              <w:rPr>
                <w:rFonts w:ascii="Arial" w:cs="Arial" w:eastAsia="Arial" w:hAnsi="Arial"/>
                <w:sz w:val="11"/>
                <w:szCs w:val="11"/>
                <w:color w:val="auto"/>
              </w:rPr>
              <w:t>(8)(13)(14)</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Revolver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2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94"/>
              </w:rPr>
              <w:t>7.3%</w:t>
            </w:r>
          </w:p>
        </w:tc>
        <w:tc>
          <w:tcPr>
            <w:tcW w:w="266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Cash, 3 Month Libor (1.00%) + 6.25%;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60" w:type="dxa"/>
            <w:vAlign w:val="bottom"/>
            <w:shd w:val="clear" w:color="auto" w:fill="CFF0FC"/>
          </w:tcPr>
          <w:p>
            <w:pPr>
              <w:ind w:left="200"/>
              <w:spacing w:after="0"/>
              <w:rPr>
                <w:sz w:val="20"/>
                <w:szCs w:val="20"/>
                <w:color w:val="auto"/>
              </w:rPr>
            </w:pPr>
            <w:r>
              <w:rPr>
                <w:rFonts w:ascii="Arial" w:cs="Arial" w:eastAsia="Arial" w:hAnsi="Arial"/>
                <w:sz w:val="13"/>
                <w:szCs w:val="13"/>
                <w:color w:val="auto"/>
              </w:rPr>
              <w:t>Construction &amp; Building</w:t>
            </w:r>
          </w:p>
        </w:tc>
        <w:tc>
          <w:tcPr>
            <w:tcW w:w="2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Floor 1.00% , Due 4/23</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343,473</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300,180</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326,729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6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Luminii LLC</w:t>
            </w:r>
          </w:p>
        </w:tc>
        <w:tc>
          <w:tcPr>
            <w:tcW w:w="980" w:type="dxa"/>
            <w:vAlign w:val="bottom"/>
            <w:gridSpan w:val="2"/>
            <w:shd w:val="clear" w:color="auto" w:fill="CFF0FC"/>
          </w:tcPr>
          <w:p>
            <w:pPr>
              <w:ind w:left="280"/>
              <w:spacing w:after="0"/>
              <w:rPr>
                <w:sz w:val="20"/>
                <w:szCs w:val="20"/>
                <w:color w:val="auto"/>
              </w:rPr>
            </w:pPr>
            <w:r>
              <w:rPr>
                <w:rFonts w:ascii="Arial" w:cs="Arial" w:eastAsia="Arial" w:hAnsi="Arial"/>
                <w:sz w:val="11"/>
                <w:szCs w:val="11"/>
                <w:color w:val="auto"/>
              </w:rPr>
              <w:t>(8)(13)(14)</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First Lien Term Loan B</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Construction &amp; Building</w:t>
            </w:r>
          </w:p>
        </w:tc>
        <w:tc>
          <w:tcPr>
            <w:tcW w:w="2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2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94"/>
              </w:rPr>
              <w:t>7.3%</w:t>
            </w:r>
          </w:p>
        </w:tc>
        <w:tc>
          <w:tcPr>
            <w:tcW w:w="266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Cash, 3 Month Libor (1.00%) + 6.25%;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Floor 1.00% , Due 4/23</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7,134,945</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6,235,604</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6,903,059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6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Mag Ds Corp.</w:t>
            </w:r>
          </w:p>
        </w:tc>
        <w:tc>
          <w:tcPr>
            <w:tcW w:w="980" w:type="dxa"/>
            <w:vAlign w:val="bottom"/>
            <w:gridSpan w:val="2"/>
            <w:shd w:val="clear" w:color="auto" w:fill="CFF0FC"/>
          </w:tcPr>
          <w:p>
            <w:pPr>
              <w:ind w:left="280"/>
              <w:spacing w:after="0"/>
              <w:rPr>
                <w:sz w:val="20"/>
                <w:szCs w:val="20"/>
                <w:color w:val="auto"/>
              </w:rPr>
            </w:pPr>
            <w:r>
              <w:rPr>
                <w:rFonts w:ascii="Arial" w:cs="Arial" w:eastAsia="Arial" w:hAnsi="Arial"/>
                <w:sz w:val="11"/>
                <w:szCs w:val="11"/>
                <w:color w:val="auto"/>
                <w:w w:val="94"/>
              </w:rPr>
              <w:t>(8)(13)(14)(21)</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First Lien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Aerospace and Defense</w:t>
            </w:r>
          </w:p>
        </w:tc>
        <w:tc>
          <w:tcPr>
            <w:tcW w:w="2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2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94"/>
              </w:rPr>
              <w:t>6.5%</w:t>
            </w:r>
          </w:p>
        </w:tc>
        <w:tc>
          <w:tcPr>
            <w:tcW w:w="266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Cash, 3 Month Libor (1.00%) + 5.50%;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Floor 1.00% , Due 4/27</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3,990,000</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3,327,258</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3,803,268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6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Maxor National Pharmacy Services, LLC</w:t>
            </w:r>
          </w:p>
        </w:tc>
        <w:tc>
          <w:tcPr>
            <w:tcW w:w="980" w:type="dxa"/>
            <w:vAlign w:val="bottom"/>
            <w:gridSpan w:val="2"/>
            <w:shd w:val="clear" w:color="auto" w:fill="CFF0FC"/>
          </w:tcPr>
          <w:p>
            <w:pPr>
              <w:ind w:left="280"/>
              <w:spacing w:after="0"/>
              <w:rPr>
                <w:sz w:val="20"/>
                <w:szCs w:val="20"/>
                <w:color w:val="auto"/>
              </w:rPr>
            </w:pPr>
            <w:r>
              <w:rPr>
                <w:rFonts w:ascii="Arial" w:cs="Arial" w:eastAsia="Arial" w:hAnsi="Arial"/>
                <w:sz w:val="11"/>
                <w:szCs w:val="11"/>
                <w:color w:val="auto"/>
              </w:rPr>
              <w:t>(8)(13)(14)</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First Lien Term Loan B</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Healthcare &amp; Pharmaceuticals</w:t>
            </w:r>
          </w:p>
        </w:tc>
        <w:tc>
          <w:tcPr>
            <w:tcW w:w="2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2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94"/>
              </w:rPr>
              <w:t>6.5%</w:t>
            </w:r>
          </w:p>
        </w:tc>
        <w:tc>
          <w:tcPr>
            <w:tcW w:w="266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Cash, 3 Month Libor (1.00%) + 5.50%;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Floor 1.00% , Due 11/23</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8,532,796</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7,439,057</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8,453,441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6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Maxor National Pharmacy Services, LLC</w:t>
            </w:r>
          </w:p>
        </w:tc>
        <w:tc>
          <w:tcPr>
            <w:tcW w:w="980" w:type="dxa"/>
            <w:vAlign w:val="bottom"/>
            <w:gridSpan w:val="2"/>
            <w:shd w:val="clear" w:color="auto" w:fill="CFF0FC"/>
          </w:tcPr>
          <w:p>
            <w:pPr>
              <w:ind w:left="280"/>
              <w:spacing w:after="0"/>
              <w:rPr>
                <w:sz w:val="20"/>
                <w:szCs w:val="20"/>
                <w:color w:val="auto"/>
              </w:rPr>
            </w:pPr>
            <w:r>
              <w:rPr>
                <w:rFonts w:ascii="Arial" w:cs="Arial" w:eastAsia="Arial" w:hAnsi="Arial"/>
                <w:sz w:val="11"/>
                <w:szCs w:val="11"/>
                <w:color w:val="auto"/>
              </w:rPr>
              <w:t>(8)(13)(14)</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Revolver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60" w:type="dxa"/>
            <w:vAlign w:val="bottom"/>
            <w:shd w:val="clear" w:color="auto" w:fill="CFF0FC"/>
          </w:tcPr>
          <w:p>
            <w:pPr>
              <w:ind w:left="160"/>
              <w:spacing w:after="0"/>
              <w:rPr>
                <w:sz w:val="20"/>
                <w:szCs w:val="20"/>
                <w:color w:val="auto"/>
              </w:rPr>
            </w:pPr>
            <w:r>
              <w:rPr>
                <w:rFonts w:ascii="Arial" w:cs="Arial" w:eastAsia="Arial" w:hAnsi="Arial"/>
                <w:sz w:val="13"/>
                <w:szCs w:val="13"/>
                <w:color w:val="auto"/>
              </w:rPr>
              <w:t>Healthcare &amp; Pharmaceuticals</w:t>
            </w:r>
          </w:p>
        </w:tc>
        <w:tc>
          <w:tcPr>
            <w:tcW w:w="2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2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w w:val="94"/>
              </w:rPr>
              <w:t>0.5%</w:t>
            </w:r>
          </w:p>
        </w:tc>
        <w:tc>
          <w:tcPr>
            <w:tcW w:w="266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Cash, Due 11/22</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(0)</w:t>
            </w: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(5,441)</w:t>
            </w:r>
          </w:p>
        </w:tc>
        <w:tc>
          <w:tcPr>
            <w:tcW w:w="0" w:type="dxa"/>
            <w:vAlign w:val="bottom"/>
          </w:tcPr>
          <w:p>
            <w:pPr>
              <w:spacing w:after="0"/>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49"/>
        </w:trPr>
        <w:tc>
          <w:tcPr>
            <w:tcW w:w="2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Initial</w:t>
            </w: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35"/>
        </w:trPr>
        <w:tc>
          <w:tcPr>
            <w:tcW w:w="2480" w:type="dxa"/>
            <w:vAlign w:val="bottom"/>
          </w:tcPr>
          <w:p>
            <w:pPr>
              <w:spacing w:after="0" w:line="135" w:lineRule="exact"/>
              <w:rPr>
                <w:sz w:val="20"/>
                <w:szCs w:val="20"/>
                <w:color w:val="auto"/>
              </w:rPr>
            </w:pPr>
            <w:r>
              <w:rPr>
                <w:rFonts w:ascii="Arial" w:cs="Arial" w:eastAsia="Arial" w:hAnsi="Arial"/>
                <w:sz w:val="13"/>
                <w:szCs w:val="13"/>
                <w:b w:val="1"/>
                <w:bCs w:val="1"/>
                <w:color w:val="auto"/>
              </w:rPr>
              <w:t>Portfolio Company /</w:t>
            </w: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360" w:type="dxa"/>
            <w:vAlign w:val="bottom"/>
            <w:gridSpan w:val="2"/>
          </w:tcPr>
          <w:p>
            <w:pPr>
              <w:ind w:left="520"/>
              <w:spacing w:after="0" w:line="135" w:lineRule="exact"/>
              <w:rPr>
                <w:sz w:val="20"/>
                <w:szCs w:val="20"/>
                <w:color w:val="auto"/>
              </w:rPr>
            </w:pPr>
            <w:r>
              <w:rPr>
                <w:rFonts w:ascii="Arial" w:cs="Arial" w:eastAsia="Arial" w:hAnsi="Arial"/>
                <w:sz w:val="13"/>
                <w:szCs w:val="13"/>
                <w:b w:val="1"/>
                <w:bCs w:val="1"/>
                <w:color w:val="auto"/>
              </w:rPr>
              <w:t>Investment</w:t>
            </w:r>
          </w:p>
        </w:tc>
        <w:tc>
          <w:tcPr>
            <w:tcW w:w="11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gridSpan w:val="2"/>
          </w:tcPr>
          <w:p>
            <w:pPr>
              <w:jc w:val="right"/>
              <w:ind w:right="500"/>
              <w:spacing w:after="0" w:line="135" w:lineRule="exact"/>
              <w:rPr>
                <w:sz w:val="20"/>
                <w:szCs w:val="20"/>
                <w:color w:val="auto"/>
              </w:rPr>
            </w:pPr>
            <w:r>
              <w:rPr>
                <w:rFonts w:ascii="Arial" w:cs="Arial" w:eastAsia="Arial" w:hAnsi="Arial"/>
                <w:sz w:val="13"/>
                <w:szCs w:val="13"/>
                <w:b w:val="1"/>
                <w:bCs w:val="1"/>
                <w:color w:val="auto"/>
              </w:rPr>
              <w:t>Amortized</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3"/>
        </w:trPr>
        <w:tc>
          <w:tcPr>
            <w:tcW w:w="24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Principal Business</w:t>
            </w:r>
          </w:p>
        </w:tc>
        <w:tc>
          <w:tcPr>
            <w:tcW w:w="460" w:type="dxa"/>
            <w:vAlign w:val="bottom"/>
            <w:tcBorders>
              <w:bottom w:val="single" w:sz="8" w:color="auto"/>
            </w:tcBorders>
          </w:tcPr>
          <w:p>
            <w:pPr>
              <w:spacing w:after="0"/>
              <w:rPr>
                <w:sz w:val="13"/>
                <w:szCs w:val="13"/>
                <w:color w:val="auto"/>
              </w:rPr>
            </w:pPr>
          </w:p>
        </w:tc>
        <w:tc>
          <w:tcPr>
            <w:tcW w:w="7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Interest Rate¹ / Maturity</w:t>
            </w:r>
            <w:r>
              <w:rPr>
                <w:rFonts w:ascii="Arial" w:cs="Arial" w:eastAsia="Arial" w:hAnsi="Arial"/>
                <w:sz w:val="10"/>
                <w:szCs w:val="10"/>
                <w:b w:val="1"/>
                <w:bCs w:val="1"/>
                <w:color w:val="auto"/>
              </w:rPr>
              <w:t>15</w:t>
            </w:r>
          </w:p>
        </w:tc>
        <w:tc>
          <w:tcPr>
            <w:tcW w:w="12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Date</w:t>
            </w:r>
          </w:p>
        </w:tc>
        <w:tc>
          <w:tcPr>
            <w:tcW w:w="120" w:type="dxa"/>
            <w:vAlign w:val="bottom"/>
            <w:tcBorders>
              <w:bottom w:val="single" w:sz="8" w:color="CFF0FC"/>
            </w:tcBorders>
          </w:tcPr>
          <w:p>
            <w:pPr>
              <w:spacing w:after="0"/>
              <w:rPr>
                <w:sz w:val="13"/>
                <w:szCs w:val="13"/>
                <w:color w:val="auto"/>
              </w:rPr>
            </w:pPr>
          </w:p>
        </w:tc>
        <w:tc>
          <w:tcPr>
            <w:tcW w:w="8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Principal</w:t>
            </w:r>
          </w:p>
        </w:tc>
        <w:tc>
          <w:tcPr>
            <w:tcW w:w="220" w:type="dxa"/>
            <w:vAlign w:val="bottom"/>
            <w:tcBorders>
              <w:bottom w:val="single" w:sz="8" w:color="CFF0FC"/>
            </w:tcBorders>
          </w:tcPr>
          <w:p>
            <w:pPr>
              <w:spacing w:after="0"/>
              <w:rPr>
                <w:sz w:val="13"/>
                <w:szCs w:val="13"/>
                <w:color w:val="auto"/>
              </w:rPr>
            </w:pPr>
          </w:p>
        </w:tc>
        <w:tc>
          <w:tcPr>
            <w:tcW w:w="1140" w:type="dxa"/>
            <w:vAlign w:val="bottom"/>
            <w:tcBorders>
              <w:bottom w:val="single" w:sz="8" w:color="auto"/>
            </w:tcBorders>
          </w:tcPr>
          <w:p>
            <w:pPr>
              <w:jc w:val="right"/>
              <w:ind w:right="397"/>
              <w:spacing w:after="0"/>
              <w:rPr>
                <w:sz w:val="20"/>
                <w:szCs w:val="20"/>
                <w:color w:val="auto"/>
              </w:rPr>
            </w:pPr>
            <w:r>
              <w:rPr>
                <w:rFonts w:ascii="Arial" w:cs="Arial" w:eastAsia="Arial" w:hAnsi="Arial"/>
                <w:sz w:val="13"/>
                <w:szCs w:val="13"/>
                <w:b w:val="1"/>
                <w:bCs w:val="1"/>
                <w:color w:val="auto"/>
              </w:rPr>
              <w:t>Cost</w:t>
            </w:r>
          </w:p>
        </w:tc>
        <w:tc>
          <w:tcPr>
            <w:tcW w:w="22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0"/>
                <w:szCs w:val="10"/>
                <w:b w:val="1"/>
                <w:bCs w:val="1"/>
                <w:color w:val="auto"/>
              </w:rPr>
              <w:t>2</w:t>
            </w:r>
          </w:p>
        </w:tc>
        <w:tc>
          <w:tcPr>
            <w:tcW w:w="120" w:type="dxa"/>
            <w:vAlign w:val="bottom"/>
            <w:tcBorders>
              <w:bottom w:val="single" w:sz="8" w:color="CFF0FC"/>
            </w:tcBorders>
          </w:tcPr>
          <w:p>
            <w:pPr>
              <w:spacing w:after="0"/>
              <w:rPr>
                <w:sz w:val="13"/>
                <w:szCs w:val="13"/>
                <w:color w:val="auto"/>
              </w:rPr>
            </w:pPr>
          </w:p>
        </w:tc>
      </w:tr>
      <w:tr>
        <w:trPr>
          <w:trHeight w:val="128"/>
        </w:trPr>
        <w:tc>
          <w:tcPr>
            <w:tcW w:w="2480" w:type="dxa"/>
            <w:vAlign w:val="bottom"/>
            <w:shd w:val="clear" w:color="auto" w:fill="CFF0FC"/>
          </w:tcPr>
          <w:p>
            <w:pPr>
              <w:spacing w:after="0" w:line="128" w:lineRule="exact"/>
              <w:rPr>
                <w:sz w:val="20"/>
                <w:szCs w:val="20"/>
                <w:color w:val="auto"/>
              </w:rPr>
            </w:pPr>
            <w:r>
              <w:rPr>
                <w:rFonts w:ascii="Arial" w:cs="Arial" w:eastAsia="Arial" w:hAnsi="Arial"/>
                <w:sz w:val="13"/>
                <w:szCs w:val="13"/>
                <w:color w:val="auto"/>
              </w:rPr>
              <w:t>McNally Industries, LLC</w:t>
            </w:r>
          </w:p>
        </w:tc>
        <w:tc>
          <w:tcPr>
            <w:tcW w:w="1160" w:type="dxa"/>
            <w:vAlign w:val="bottom"/>
            <w:gridSpan w:val="2"/>
            <w:shd w:val="clear" w:color="auto" w:fill="CFF0FC"/>
          </w:tcPr>
          <w:p>
            <w:pPr>
              <w:ind w:left="460"/>
              <w:spacing w:after="0"/>
              <w:rPr>
                <w:sz w:val="20"/>
                <w:szCs w:val="20"/>
                <w:color w:val="auto"/>
              </w:rPr>
            </w:pPr>
            <w:r>
              <w:rPr>
                <w:rFonts w:ascii="Arial" w:cs="Arial" w:eastAsia="Arial" w:hAnsi="Arial"/>
                <w:sz w:val="11"/>
                <w:szCs w:val="11"/>
                <w:color w:val="auto"/>
              </w:rPr>
              <w:t>(8)(13)</w:t>
            </w:r>
          </w:p>
        </w:tc>
        <w:tc>
          <w:tcPr>
            <w:tcW w:w="20" w:type="dxa"/>
            <w:vAlign w:val="bottom"/>
            <w:shd w:val="clear" w:color="auto" w:fill="CFF0FC"/>
          </w:tcPr>
          <w:p>
            <w:pPr>
              <w:spacing w:after="0"/>
              <w:rPr>
                <w:sz w:val="11"/>
                <w:szCs w:val="11"/>
                <w:color w:val="auto"/>
              </w:rPr>
            </w:pPr>
          </w:p>
        </w:tc>
        <w:tc>
          <w:tcPr>
            <w:tcW w:w="2840" w:type="dxa"/>
            <w:vAlign w:val="bottom"/>
            <w:gridSpan w:val="3"/>
            <w:shd w:val="clear" w:color="auto" w:fill="CFF0FC"/>
          </w:tcPr>
          <w:p>
            <w:pPr>
              <w:spacing w:after="0" w:line="128" w:lineRule="exact"/>
              <w:rPr>
                <w:sz w:val="20"/>
                <w:szCs w:val="20"/>
                <w:color w:val="auto"/>
              </w:rPr>
            </w:pPr>
            <w:r>
              <w:rPr>
                <w:rFonts w:ascii="Arial" w:cs="Arial" w:eastAsia="Arial" w:hAnsi="Arial"/>
                <w:sz w:val="13"/>
                <w:szCs w:val="13"/>
                <w:color w:val="auto"/>
                <w:w w:val="97"/>
              </w:rPr>
              <w:t>Senior Secured Loan — Delayed Draw Term Loan</w:t>
            </w: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48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Consumer goods: Durable</w:t>
            </w:r>
          </w:p>
        </w:tc>
        <w:tc>
          <w:tcPr>
            <w:tcW w:w="46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620" w:type="dxa"/>
            <w:vAlign w:val="bottom"/>
            <w:gridSpan w:val="3"/>
            <w:shd w:val="clear" w:color="auto" w:fill="CFF0FC"/>
          </w:tcPr>
          <w:p>
            <w:pPr>
              <w:ind w:left="20"/>
              <w:spacing w:after="0" w:line="135" w:lineRule="exact"/>
              <w:rPr>
                <w:sz w:val="20"/>
                <w:szCs w:val="20"/>
                <w:color w:val="auto"/>
              </w:rPr>
            </w:pPr>
            <w:r>
              <w:rPr>
                <w:rFonts w:ascii="Arial" w:cs="Arial" w:eastAsia="Arial" w:hAnsi="Arial"/>
                <w:sz w:val="13"/>
                <w:szCs w:val="13"/>
                <w:color w:val="auto"/>
                <w:w w:val="93"/>
              </w:rPr>
              <w:t>(First Lien)</w:t>
            </w:r>
          </w:p>
        </w:tc>
        <w:tc>
          <w:tcPr>
            <w:tcW w:w="2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48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7"/>
              </w:rPr>
              <w:t>7.3%</w:t>
            </w:r>
          </w:p>
        </w:tc>
        <w:tc>
          <w:tcPr>
            <w:tcW w:w="320" w:type="dxa"/>
            <w:vAlign w:val="bottom"/>
            <w:shd w:val="clear" w:color="auto" w:fill="CFF0FC"/>
          </w:tcPr>
          <w:p>
            <w:pPr>
              <w:ind w:left="20"/>
              <w:spacing w:after="0" w:line="135" w:lineRule="exact"/>
              <w:rPr>
                <w:sz w:val="20"/>
                <w:szCs w:val="20"/>
                <w:color w:val="auto"/>
              </w:rPr>
            </w:pPr>
            <w:r>
              <w:rPr>
                <w:rFonts w:ascii="Arial" w:cs="Arial" w:eastAsia="Arial" w:hAnsi="Arial"/>
                <w:sz w:val="13"/>
                <w:szCs w:val="13"/>
                <w:color w:val="auto"/>
                <w:w w:val="82"/>
              </w:rPr>
              <w:t>Cash,</w:t>
            </w:r>
          </w:p>
        </w:tc>
        <w:tc>
          <w:tcPr>
            <w:tcW w:w="236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1 Month Libor (1.50%) + 5.75%;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4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5"/>
            <w:shd w:val="clear" w:color="auto" w:fill="CFF0FC"/>
          </w:tcPr>
          <w:p>
            <w:pPr>
              <w:ind w:left="20"/>
              <w:spacing w:after="0"/>
              <w:rPr>
                <w:sz w:val="20"/>
                <w:szCs w:val="20"/>
                <w:color w:val="auto"/>
              </w:rPr>
            </w:pPr>
            <w:r>
              <w:rPr>
                <w:rFonts w:ascii="Arial" w:cs="Arial" w:eastAsia="Arial" w:hAnsi="Arial"/>
                <w:sz w:val="13"/>
                <w:szCs w:val="13"/>
                <w:color w:val="auto"/>
              </w:rPr>
              <w:t>Floor 1.50% , Due 8/24</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49,147</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42,989</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49,024</w:t>
            </w:r>
          </w:p>
        </w:tc>
        <w:tc>
          <w:tcPr>
            <w:tcW w:w="120" w:type="dxa"/>
            <w:vAlign w:val="bottom"/>
            <w:shd w:val="clear" w:color="auto" w:fill="CFF0FC"/>
          </w:tcPr>
          <w:p>
            <w:pPr>
              <w:spacing w:after="0"/>
              <w:rPr>
                <w:sz w:val="12"/>
                <w:szCs w:val="12"/>
                <w:color w:val="auto"/>
              </w:rPr>
            </w:pPr>
          </w:p>
        </w:tc>
      </w:tr>
      <w:tr>
        <w:trPr>
          <w:trHeight w:val="148"/>
        </w:trPr>
        <w:tc>
          <w:tcPr>
            <w:tcW w:w="2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3"/>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48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McNally Industries, LLC</w:t>
            </w:r>
          </w:p>
        </w:tc>
        <w:tc>
          <w:tcPr>
            <w:tcW w:w="1160" w:type="dxa"/>
            <w:vAlign w:val="bottom"/>
            <w:gridSpan w:val="2"/>
            <w:shd w:val="clear" w:color="auto" w:fill="CFF0FC"/>
          </w:tcPr>
          <w:p>
            <w:pPr>
              <w:ind w:left="460"/>
              <w:spacing w:after="0"/>
              <w:rPr>
                <w:sz w:val="20"/>
                <w:szCs w:val="20"/>
                <w:color w:val="auto"/>
              </w:rPr>
            </w:pPr>
            <w:r>
              <w:rPr>
                <w:rFonts w:ascii="Arial" w:cs="Arial" w:eastAsia="Arial" w:hAnsi="Arial"/>
                <w:sz w:val="11"/>
                <w:szCs w:val="11"/>
                <w:color w:val="auto"/>
              </w:rPr>
              <w:t>(8)(13)</w:t>
            </w:r>
          </w:p>
        </w:tc>
        <w:tc>
          <w:tcPr>
            <w:tcW w:w="2980" w:type="dxa"/>
            <w:vAlign w:val="bottom"/>
            <w:gridSpan w:val="5"/>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Revolver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480" w:type="dxa"/>
            <w:vAlign w:val="bottom"/>
            <w:shd w:val="clear" w:color="auto" w:fill="CFF0FC"/>
          </w:tcPr>
          <w:p>
            <w:pPr>
              <w:ind w:left="160"/>
              <w:spacing w:after="0"/>
              <w:rPr>
                <w:sz w:val="20"/>
                <w:szCs w:val="20"/>
                <w:color w:val="auto"/>
              </w:rPr>
            </w:pPr>
            <w:r>
              <w:rPr>
                <w:rFonts w:ascii="Arial" w:cs="Arial" w:eastAsia="Arial" w:hAnsi="Arial"/>
                <w:sz w:val="13"/>
                <w:szCs w:val="13"/>
                <w:color w:val="auto"/>
              </w:rPr>
              <w:t>Consumer goods: Durable</w:t>
            </w:r>
          </w:p>
        </w:tc>
        <w:tc>
          <w:tcPr>
            <w:tcW w:w="4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0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w w:val="87"/>
              </w:rPr>
              <w:t>0.5%</w:t>
            </w:r>
          </w:p>
        </w:tc>
        <w:tc>
          <w:tcPr>
            <w:tcW w:w="268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rPr>
              <w:t>Cash, Due 8/24</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(5,507)</w:t>
            </w: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(125)</w:t>
            </w:r>
          </w:p>
        </w:tc>
      </w:tr>
      <w:tr>
        <w:trPr>
          <w:trHeight w:val="148"/>
        </w:trPr>
        <w:tc>
          <w:tcPr>
            <w:tcW w:w="2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3"/>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48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McNally Industries, LLC</w:t>
            </w:r>
          </w:p>
        </w:tc>
        <w:tc>
          <w:tcPr>
            <w:tcW w:w="1160" w:type="dxa"/>
            <w:vAlign w:val="bottom"/>
            <w:gridSpan w:val="2"/>
            <w:shd w:val="clear" w:color="auto" w:fill="CFF0FC"/>
          </w:tcPr>
          <w:p>
            <w:pPr>
              <w:ind w:left="460"/>
              <w:spacing w:after="0"/>
              <w:rPr>
                <w:sz w:val="20"/>
                <w:szCs w:val="20"/>
                <w:color w:val="auto"/>
              </w:rPr>
            </w:pPr>
            <w:r>
              <w:rPr>
                <w:rFonts w:ascii="Arial" w:cs="Arial" w:eastAsia="Arial" w:hAnsi="Arial"/>
                <w:sz w:val="11"/>
                <w:szCs w:val="11"/>
                <w:color w:val="auto"/>
              </w:rPr>
              <w:t>(8)(13)</w:t>
            </w:r>
          </w:p>
        </w:tc>
        <w:tc>
          <w:tcPr>
            <w:tcW w:w="2980" w:type="dxa"/>
            <w:vAlign w:val="bottom"/>
            <w:gridSpan w:val="5"/>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First Lien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48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Consumer goods: Durable</w:t>
            </w:r>
          </w:p>
        </w:tc>
        <w:tc>
          <w:tcPr>
            <w:tcW w:w="46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7"/>
              </w:rPr>
              <w:t>7.3%</w:t>
            </w:r>
          </w:p>
        </w:tc>
        <w:tc>
          <w:tcPr>
            <w:tcW w:w="320" w:type="dxa"/>
            <w:vAlign w:val="bottom"/>
            <w:shd w:val="clear" w:color="auto" w:fill="CFF0FC"/>
          </w:tcPr>
          <w:p>
            <w:pPr>
              <w:ind w:left="20"/>
              <w:spacing w:after="0" w:line="135" w:lineRule="exact"/>
              <w:rPr>
                <w:sz w:val="20"/>
                <w:szCs w:val="20"/>
                <w:color w:val="auto"/>
              </w:rPr>
            </w:pPr>
            <w:r>
              <w:rPr>
                <w:rFonts w:ascii="Arial" w:cs="Arial" w:eastAsia="Arial" w:hAnsi="Arial"/>
                <w:sz w:val="13"/>
                <w:szCs w:val="13"/>
                <w:color w:val="auto"/>
                <w:w w:val="82"/>
              </w:rPr>
              <w:t>Cash,</w:t>
            </w:r>
          </w:p>
        </w:tc>
        <w:tc>
          <w:tcPr>
            <w:tcW w:w="236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1 Month Libor (1.50%) + 5.75%;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4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5"/>
            <w:shd w:val="clear" w:color="auto" w:fill="CFF0FC"/>
          </w:tcPr>
          <w:p>
            <w:pPr>
              <w:ind w:left="20"/>
              <w:spacing w:after="0"/>
              <w:rPr>
                <w:sz w:val="20"/>
                <w:szCs w:val="20"/>
                <w:color w:val="auto"/>
              </w:rPr>
            </w:pPr>
            <w:r>
              <w:rPr>
                <w:rFonts w:ascii="Arial" w:cs="Arial" w:eastAsia="Arial" w:hAnsi="Arial"/>
                <w:sz w:val="13"/>
                <w:szCs w:val="13"/>
                <w:color w:val="auto"/>
              </w:rPr>
              <w:t>Floor 1.50% , Due 8/24</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6,770,625</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5,922,332</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6,753,698</w:t>
            </w:r>
          </w:p>
        </w:tc>
        <w:tc>
          <w:tcPr>
            <w:tcW w:w="120" w:type="dxa"/>
            <w:vAlign w:val="bottom"/>
            <w:shd w:val="clear" w:color="auto" w:fill="CFF0FC"/>
          </w:tcPr>
          <w:p>
            <w:pPr>
              <w:spacing w:after="0"/>
              <w:rPr>
                <w:sz w:val="12"/>
                <w:szCs w:val="12"/>
                <w:color w:val="auto"/>
              </w:rPr>
            </w:pPr>
          </w:p>
        </w:tc>
      </w:tr>
      <w:tr>
        <w:trPr>
          <w:trHeight w:val="149"/>
        </w:trPr>
        <w:tc>
          <w:tcPr>
            <w:tcW w:w="2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3"/>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48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Ministry Brands, LLC</w:t>
            </w:r>
          </w:p>
        </w:tc>
        <w:tc>
          <w:tcPr>
            <w:tcW w:w="1160" w:type="dxa"/>
            <w:vAlign w:val="bottom"/>
            <w:gridSpan w:val="2"/>
            <w:shd w:val="clear" w:color="auto" w:fill="CFF0FC"/>
          </w:tcPr>
          <w:p>
            <w:pPr>
              <w:ind w:left="460"/>
              <w:spacing w:after="0"/>
              <w:rPr>
                <w:sz w:val="20"/>
                <w:szCs w:val="20"/>
                <w:color w:val="auto"/>
              </w:rPr>
            </w:pPr>
            <w:r>
              <w:rPr>
                <w:rFonts w:ascii="Arial" w:cs="Arial" w:eastAsia="Arial" w:hAnsi="Arial"/>
                <w:sz w:val="11"/>
                <w:szCs w:val="11"/>
                <w:color w:val="auto"/>
              </w:rPr>
              <w:t>(8)(13)(14)</w:t>
            </w:r>
          </w:p>
        </w:tc>
        <w:tc>
          <w:tcPr>
            <w:tcW w:w="2980" w:type="dxa"/>
            <w:vAlign w:val="bottom"/>
            <w:gridSpan w:val="5"/>
            <w:shd w:val="clear" w:color="auto" w:fill="CFF0FC"/>
          </w:tcPr>
          <w:p>
            <w:pPr>
              <w:ind w:left="20"/>
              <w:spacing w:after="0" w:line="134" w:lineRule="exact"/>
              <w:rPr>
                <w:sz w:val="20"/>
                <w:szCs w:val="20"/>
                <w:color w:val="auto"/>
              </w:rPr>
            </w:pPr>
            <w:r>
              <w:rPr>
                <w:rFonts w:ascii="Arial" w:cs="Arial" w:eastAsia="Arial" w:hAnsi="Arial"/>
                <w:sz w:val="13"/>
                <w:szCs w:val="13"/>
                <w:color w:val="auto"/>
                <w:w w:val="96"/>
              </w:rPr>
              <w:t>Junior Secured Loan — April 2018 Incremental Term</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48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Electronics</w:t>
            </w:r>
          </w:p>
        </w:tc>
        <w:tc>
          <w:tcPr>
            <w:tcW w:w="46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980" w:type="dxa"/>
            <w:vAlign w:val="bottom"/>
            <w:gridSpan w:val="5"/>
            <w:shd w:val="clear" w:color="auto" w:fill="CFF0FC"/>
          </w:tcPr>
          <w:p>
            <w:pPr>
              <w:ind w:left="20"/>
              <w:spacing w:after="0" w:line="135" w:lineRule="exact"/>
              <w:rPr>
                <w:sz w:val="20"/>
                <w:szCs w:val="20"/>
                <w:color w:val="auto"/>
              </w:rPr>
            </w:pPr>
            <w:r>
              <w:rPr>
                <w:rFonts w:ascii="Arial" w:cs="Arial" w:eastAsia="Arial" w:hAnsi="Arial"/>
                <w:sz w:val="13"/>
                <w:szCs w:val="13"/>
                <w:color w:val="auto"/>
              </w:rPr>
              <w:t>Loan (Second Lien)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48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7"/>
              </w:rPr>
              <w:t>9.0%</w:t>
            </w:r>
          </w:p>
        </w:tc>
        <w:tc>
          <w:tcPr>
            <w:tcW w:w="320" w:type="dxa"/>
            <w:vAlign w:val="bottom"/>
            <w:shd w:val="clear" w:color="auto" w:fill="CFF0FC"/>
          </w:tcPr>
          <w:p>
            <w:pPr>
              <w:ind w:left="20"/>
              <w:spacing w:after="0" w:line="135" w:lineRule="exact"/>
              <w:rPr>
                <w:sz w:val="20"/>
                <w:szCs w:val="20"/>
                <w:color w:val="auto"/>
              </w:rPr>
            </w:pPr>
            <w:r>
              <w:rPr>
                <w:rFonts w:ascii="Arial" w:cs="Arial" w:eastAsia="Arial" w:hAnsi="Arial"/>
                <w:sz w:val="13"/>
                <w:szCs w:val="13"/>
                <w:color w:val="auto"/>
                <w:w w:val="82"/>
              </w:rPr>
              <w:t>Cash,</w:t>
            </w:r>
          </w:p>
        </w:tc>
        <w:tc>
          <w:tcPr>
            <w:tcW w:w="236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3 Month Libor (1.00%) + 8.00%;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4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5"/>
            <w:shd w:val="clear" w:color="auto" w:fill="CFF0FC"/>
          </w:tcPr>
          <w:p>
            <w:pPr>
              <w:ind w:left="20"/>
              <w:spacing w:after="0"/>
              <w:rPr>
                <w:sz w:val="20"/>
                <w:szCs w:val="20"/>
                <w:color w:val="auto"/>
              </w:rPr>
            </w:pPr>
            <w:r>
              <w:rPr>
                <w:rFonts w:ascii="Arial" w:cs="Arial" w:eastAsia="Arial" w:hAnsi="Arial"/>
                <w:sz w:val="13"/>
                <w:szCs w:val="13"/>
                <w:color w:val="auto"/>
              </w:rPr>
              <w:t>Floor 1.00% , Due 6/23</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12/18/2019</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6,000,000</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5,555,131</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5,722,800</w:t>
            </w:r>
          </w:p>
        </w:tc>
        <w:tc>
          <w:tcPr>
            <w:tcW w:w="120" w:type="dxa"/>
            <w:vAlign w:val="bottom"/>
            <w:shd w:val="clear" w:color="auto" w:fill="CFF0FC"/>
          </w:tcPr>
          <w:p>
            <w:pPr>
              <w:spacing w:after="0"/>
              <w:rPr>
                <w:sz w:val="12"/>
                <w:szCs w:val="12"/>
                <w:color w:val="auto"/>
              </w:rPr>
            </w:pPr>
          </w:p>
        </w:tc>
      </w:tr>
      <w:tr>
        <w:trPr>
          <w:trHeight w:val="148"/>
        </w:trPr>
        <w:tc>
          <w:tcPr>
            <w:tcW w:w="2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3"/>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48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Mother's Market &amp; Kitchen, Inc.</w:t>
            </w:r>
          </w:p>
        </w:tc>
        <w:tc>
          <w:tcPr>
            <w:tcW w:w="1160" w:type="dxa"/>
            <w:vAlign w:val="bottom"/>
            <w:gridSpan w:val="2"/>
            <w:shd w:val="clear" w:color="auto" w:fill="CFF0FC"/>
          </w:tcPr>
          <w:p>
            <w:pPr>
              <w:ind w:left="460"/>
              <w:spacing w:after="0"/>
              <w:rPr>
                <w:sz w:val="20"/>
                <w:szCs w:val="20"/>
                <w:color w:val="auto"/>
              </w:rPr>
            </w:pPr>
            <w:r>
              <w:rPr>
                <w:rFonts w:ascii="Arial" w:cs="Arial" w:eastAsia="Arial" w:hAnsi="Arial"/>
                <w:sz w:val="11"/>
                <w:szCs w:val="11"/>
                <w:color w:val="auto"/>
              </w:rPr>
              <w:t>(8)(13)(14)</w:t>
            </w:r>
          </w:p>
        </w:tc>
        <w:tc>
          <w:tcPr>
            <w:tcW w:w="2980" w:type="dxa"/>
            <w:vAlign w:val="bottom"/>
            <w:gridSpan w:val="5"/>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First Lien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48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Healthcare &amp; Pharmaceuticals</w:t>
            </w:r>
          </w:p>
        </w:tc>
        <w:tc>
          <w:tcPr>
            <w:tcW w:w="46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7"/>
              </w:rPr>
              <w:t>6.8%</w:t>
            </w:r>
          </w:p>
        </w:tc>
        <w:tc>
          <w:tcPr>
            <w:tcW w:w="320" w:type="dxa"/>
            <w:vAlign w:val="bottom"/>
            <w:shd w:val="clear" w:color="auto" w:fill="CFF0FC"/>
          </w:tcPr>
          <w:p>
            <w:pPr>
              <w:ind w:left="20"/>
              <w:spacing w:after="0" w:line="135" w:lineRule="exact"/>
              <w:rPr>
                <w:sz w:val="20"/>
                <w:szCs w:val="20"/>
                <w:color w:val="auto"/>
              </w:rPr>
            </w:pPr>
            <w:r>
              <w:rPr>
                <w:rFonts w:ascii="Arial" w:cs="Arial" w:eastAsia="Arial" w:hAnsi="Arial"/>
                <w:sz w:val="13"/>
                <w:szCs w:val="13"/>
                <w:color w:val="auto"/>
                <w:w w:val="82"/>
              </w:rPr>
              <w:t>Cash,</w:t>
            </w:r>
          </w:p>
        </w:tc>
        <w:tc>
          <w:tcPr>
            <w:tcW w:w="236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3 Month Libor (1.25%) + 5.50%;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4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5"/>
            <w:shd w:val="clear" w:color="auto" w:fill="CFF0FC"/>
          </w:tcPr>
          <w:p>
            <w:pPr>
              <w:ind w:left="20"/>
              <w:spacing w:after="0"/>
              <w:rPr>
                <w:sz w:val="20"/>
                <w:szCs w:val="20"/>
                <w:color w:val="auto"/>
              </w:rPr>
            </w:pPr>
            <w:r>
              <w:rPr>
                <w:rFonts w:ascii="Arial" w:cs="Arial" w:eastAsia="Arial" w:hAnsi="Arial"/>
                <w:sz w:val="13"/>
                <w:szCs w:val="13"/>
                <w:color w:val="auto"/>
              </w:rPr>
              <w:t>Floor 1.25% , Due 7/23</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6,954,470</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6,070,606</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6,841,807</w:t>
            </w:r>
          </w:p>
        </w:tc>
        <w:tc>
          <w:tcPr>
            <w:tcW w:w="120" w:type="dxa"/>
            <w:vAlign w:val="bottom"/>
            <w:shd w:val="clear" w:color="auto" w:fill="CFF0FC"/>
          </w:tcPr>
          <w:p>
            <w:pPr>
              <w:spacing w:after="0"/>
              <w:rPr>
                <w:sz w:val="12"/>
                <w:szCs w:val="12"/>
                <w:color w:val="auto"/>
              </w:rPr>
            </w:pPr>
          </w:p>
        </w:tc>
      </w:tr>
      <w:tr>
        <w:trPr>
          <w:trHeight w:val="148"/>
        </w:trPr>
        <w:tc>
          <w:tcPr>
            <w:tcW w:w="2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3"/>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48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MountainTop Financial, LLC</w:t>
            </w:r>
          </w:p>
        </w:tc>
        <w:tc>
          <w:tcPr>
            <w:tcW w:w="1160" w:type="dxa"/>
            <w:vAlign w:val="bottom"/>
            <w:gridSpan w:val="2"/>
            <w:shd w:val="clear" w:color="auto" w:fill="CFF0FC"/>
          </w:tcPr>
          <w:p>
            <w:pPr>
              <w:ind w:left="460"/>
              <w:spacing w:after="0"/>
              <w:rPr>
                <w:sz w:val="20"/>
                <w:szCs w:val="20"/>
                <w:color w:val="auto"/>
              </w:rPr>
            </w:pPr>
            <w:r>
              <w:rPr>
                <w:rFonts w:ascii="Arial" w:cs="Arial" w:eastAsia="Arial" w:hAnsi="Arial"/>
                <w:sz w:val="11"/>
                <w:szCs w:val="11"/>
                <w:color w:val="auto"/>
              </w:rPr>
              <w:t>(8)(13)(14)</w:t>
            </w:r>
          </w:p>
        </w:tc>
        <w:tc>
          <w:tcPr>
            <w:tcW w:w="2980" w:type="dxa"/>
            <w:vAlign w:val="bottom"/>
            <w:gridSpan w:val="5"/>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First Lien Term Loan A</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48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Transportation: Cargo</w:t>
            </w:r>
          </w:p>
        </w:tc>
        <w:tc>
          <w:tcPr>
            <w:tcW w:w="46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7"/>
              </w:rPr>
              <w:t>8.5%</w:t>
            </w:r>
          </w:p>
        </w:tc>
        <w:tc>
          <w:tcPr>
            <w:tcW w:w="320" w:type="dxa"/>
            <w:vAlign w:val="bottom"/>
            <w:shd w:val="clear" w:color="auto" w:fill="CFF0FC"/>
          </w:tcPr>
          <w:p>
            <w:pPr>
              <w:ind w:left="20"/>
              <w:spacing w:after="0" w:line="135" w:lineRule="exact"/>
              <w:rPr>
                <w:sz w:val="20"/>
                <w:szCs w:val="20"/>
                <w:color w:val="auto"/>
              </w:rPr>
            </w:pPr>
            <w:r>
              <w:rPr>
                <w:rFonts w:ascii="Arial" w:cs="Arial" w:eastAsia="Arial" w:hAnsi="Arial"/>
                <w:sz w:val="13"/>
                <w:szCs w:val="13"/>
                <w:color w:val="auto"/>
                <w:w w:val="82"/>
              </w:rPr>
              <w:t>Cash,</w:t>
            </w:r>
          </w:p>
        </w:tc>
        <w:tc>
          <w:tcPr>
            <w:tcW w:w="236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3 Month Libor (1.50%) + 7.00%;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4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5"/>
            <w:shd w:val="clear" w:color="auto" w:fill="CFF0FC"/>
          </w:tcPr>
          <w:p>
            <w:pPr>
              <w:ind w:left="20"/>
              <w:spacing w:after="0"/>
              <w:rPr>
                <w:sz w:val="20"/>
                <w:szCs w:val="20"/>
                <w:color w:val="auto"/>
              </w:rPr>
            </w:pPr>
            <w:r>
              <w:rPr>
                <w:rFonts w:ascii="Arial" w:cs="Arial" w:eastAsia="Arial" w:hAnsi="Arial"/>
                <w:sz w:val="13"/>
                <w:szCs w:val="13"/>
                <w:color w:val="auto"/>
              </w:rPr>
              <w:t>Floor 1.50% , Due 3/24</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6,379,954</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5,584,923</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6,353,158</w:t>
            </w:r>
          </w:p>
        </w:tc>
        <w:tc>
          <w:tcPr>
            <w:tcW w:w="120" w:type="dxa"/>
            <w:vAlign w:val="bottom"/>
            <w:shd w:val="clear" w:color="auto" w:fill="CFF0FC"/>
          </w:tcPr>
          <w:p>
            <w:pPr>
              <w:spacing w:after="0"/>
              <w:rPr>
                <w:sz w:val="12"/>
                <w:szCs w:val="12"/>
                <w:color w:val="auto"/>
              </w:rPr>
            </w:pPr>
          </w:p>
        </w:tc>
      </w:tr>
      <w:tr>
        <w:trPr>
          <w:trHeight w:val="149"/>
        </w:trPr>
        <w:tc>
          <w:tcPr>
            <w:tcW w:w="2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3"/>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48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MSM Acquisitions, Inc.</w:t>
            </w:r>
          </w:p>
        </w:tc>
        <w:tc>
          <w:tcPr>
            <w:tcW w:w="1160" w:type="dxa"/>
            <w:vAlign w:val="bottom"/>
            <w:gridSpan w:val="2"/>
            <w:shd w:val="clear" w:color="auto" w:fill="CFF0FC"/>
          </w:tcPr>
          <w:p>
            <w:pPr>
              <w:ind w:left="460"/>
              <w:spacing w:after="0"/>
              <w:rPr>
                <w:sz w:val="20"/>
                <w:szCs w:val="20"/>
                <w:color w:val="auto"/>
              </w:rPr>
            </w:pPr>
            <w:r>
              <w:rPr>
                <w:rFonts w:ascii="Arial" w:cs="Arial" w:eastAsia="Arial" w:hAnsi="Arial"/>
                <w:sz w:val="11"/>
                <w:szCs w:val="11"/>
                <w:color w:val="auto"/>
              </w:rPr>
              <w:t>(8)(13)(14)</w:t>
            </w:r>
          </w:p>
        </w:tc>
        <w:tc>
          <w:tcPr>
            <w:tcW w:w="2980" w:type="dxa"/>
            <w:vAlign w:val="bottom"/>
            <w:gridSpan w:val="5"/>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Delayed Draw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48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Services: Business</w:t>
            </w:r>
          </w:p>
        </w:tc>
        <w:tc>
          <w:tcPr>
            <w:tcW w:w="46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620" w:type="dxa"/>
            <w:vAlign w:val="bottom"/>
            <w:gridSpan w:val="3"/>
            <w:shd w:val="clear" w:color="auto" w:fill="CFF0FC"/>
          </w:tcPr>
          <w:p>
            <w:pPr>
              <w:ind w:left="20"/>
              <w:spacing w:after="0" w:line="135" w:lineRule="exact"/>
              <w:rPr>
                <w:sz w:val="20"/>
                <w:szCs w:val="20"/>
                <w:color w:val="auto"/>
              </w:rPr>
            </w:pPr>
            <w:r>
              <w:rPr>
                <w:rFonts w:ascii="Arial" w:cs="Arial" w:eastAsia="Arial" w:hAnsi="Arial"/>
                <w:sz w:val="13"/>
                <w:szCs w:val="13"/>
                <w:color w:val="auto"/>
                <w:w w:val="93"/>
              </w:rPr>
              <w:t>(First Lien)</w:t>
            </w:r>
          </w:p>
        </w:tc>
        <w:tc>
          <w:tcPr>
            <w:tcW w:w="2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4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0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w w:val="87"/>
              </w:rPr>
              <w:t>1.0%</w:t>
            </w:r>
          </w:p>
        </w:tc>
        <w:tc>
          <w:tcPr>
            <w:tcW w:w="268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rPr>
              <w:t>Cash, Due 6/22</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12/31/2020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7,339</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7,353</w:t>
            </w:r>
          </w:p>
        </w:tc>
        <w:tc>
          <w:tcPr>
            <w:tcW w:w="120" w:type="dxa"/>
            <w:vAlign w:val="bottom"/>
            <w:shd w:val="clear" w:color="auto" w:fill="CFF0FC"/>
          </w:tcPr>
          <w:p>
            <w:pPr>
              <w:spacing w:after="0"/>
              <w:rPr>
                <w:sz w:val="12"/>
                <w:szCs w:val="12"/>
                <w:color w:val="auto"/>
              </w:rPr>
            </w:pPr>
          </w:p>
        </w:tc>
      </w:tr>
      <w:tr>
        <w:trPr>
          <w:trHeight w:val="148"/>
        </w:trPr>
        <w:tc>
          <w:tcPr>
            <w:tcW w:w="2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3"/>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48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MSM Acquisitions, Inc.</w:t>
            </w:r>
          </w:p>
        </w:tc>
        <w:tc>
          <w:tcPr>
            <w:tcW w:w="1160" w:type="dxa"/>
            <w:vAlign w:val="bottom"/>
            <w:gridSpan w:val="2"/>
            <w:shd w:val="clear" w:color="auto" w:fill="CFF0FC"/>
          </w:tcPr>
          <w:p>
            <w:pPr>
              <w:ind w:left="460"/>
              <w:spacing w:after="0"/>
              <w:rPr>
                <w:sz w:val="20"/>
                <w:szCs w:val="20"/>
                <w:color w:val="auto"/>
              </w:rPr>
            </w:pPr>
            <w:r>
              <w:rPr>
                <w:rFonts w:ascii="Arial" w:cs="Arial" w:eastAsia="Arial" w:hAnsi="Arial"/>
                <w:sz w:val="11"/>
                <w:szCs w:val="11"/>
                <w:color w:val="auto"/>
              </w:rPr>
              <w:t>(8)(13)(14)</w:t>
            </w:r>
          </w:p>
        </w:tc>
        <w:tc>
          <w:tcPr>
            <w:tcW w:w="2980" w:type="dxa"/>
            <w:vAlign w:val="bottom"/>
            <w:gridSpan w:val="5"/>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First Lien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48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Services: Business</w:t>
            </w:r>
          </w:p>
        </w:tc>
        <w:tc>
          <w:tcPr>
            <w:tcW w:w="46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7"/>
              </w:rPr>
              <w:t>7.0%</w:t>
            </w:r>
          </w:p>
        </w:tc>
        <w:tc>
          <w:tcPr>
            <w:tcW w:w="320" w:type="dxa"/>
            <w:vAlign w:val="bottom"/>
            <w:shd w:val="clear" w:color="auto" w:fill="CFF0FC"/>
          </w:tcPr>
          <w:p>
            <w:pPr>
              <w:ind w:left="20"/>
              <w:spacing w:after="0" w:line="135" w:lineRule="exact"/>
              <w:rPr>
                <w:sz w:val="20"/>
                <w:szCs w:val="20"/>
                <w:color w:val="auto"/>
              </w:rPr>
            </w:pPr>
            <w:r>
              <w:rPr>
                <w:rFonts w:ascii="Arial" w:cs="Arial" w:eastAsia="Arial" w:hAnsi="Arial"/>
                <w:sz w:val="13"/>
                <w:szCs w:val="13"/>
                <w:color w:val="auto"/>
                <w:w w:val="82"/>
              </w:rPr>
              <w:t>Cash,</w:t>
            </w:r>
          </w:p>
        </w:tc>
        <w:tc>
          <w:tcPr>
            <w:tcW w:w="236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1 Month Libor (1.00%) + 6.00%;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4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5"/>
            <w:shd w:val="clear" w:color="auto" w:fill="CFF0FC"/>
          </w:tcPr>
          <w:p>
            <w:pPr>
              <w:ind w:left="20"/>
              <w:spacing w:after="0"/>
              <w:rPr>
                <w:sz w:val="20"/>
                <w:szCs w:val="20"/>
                <w:color w:val="auto"/>
              </w:rPr>
            </w:pPr>
            <w:r>
              <w:rPr>
                <w:rFonts w:ascii="Arial" w:cs="Arial" w:eastAsia="Arial" w:hAnsi="Arial"/>
                <w:sz w:val="13"/>
                <w:szCs w:val="13"/>
                <w:color w:val="auto"/>
              </w:rPr>
              <w:t>Floor 1.00% , Due 1/26</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12/31/2020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7,058,824</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6,970,629</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6,970,588</w:t>
            </w:r>
          </w:p>
        </w:tc>
        <w:tc>
          <w:tcPr>
            <w:tcW w:w="120" w:type="dxa"/>
            <w:vAlign w:val="bottom"/>
            <w:shd w:val="clear" w:color="auto" w:fill="CFF0FC"/>
          </w:tcPr>
          <w:p>
            <w:pPr>
              <w:spacing w:after="0"/>
              <w:rPr>
                <w:sz w:val="12"/>
                <w:szCs w:val="12"/>
                <w:color w:val="auto"/>
              </w:rPr>
            </w:pPr>
          </w:p>
        </w:tc>
      </w:tr>
      <w:tr>
        <w:trPr>
          <w:trHeight w:val="148"/>
        </w:trPr>
        <w:tc>
          <w:tcPr>
            <w:tcW w:w="2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3"/>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48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Nasco Healthcare Inc.</w:t>
            </w:r>
          </w:p>
        </w:tc>
        <w:tc>
          <w:tcPr>
            <w:tcW w:w="1160" w:type="dxa"/>
            <w:vAlign w:val="bottom"/>
            <w:gridSpan w:val="2"/>
            <w:shd w:val="clear" w:color="auto" w:fill="CFF0FC"/>
          </w:tcPr>
          <w:p>
            <w:pPr>
              <w:ind w:left="460"/>
              <w:spacing w:after="0"/>
              <w:rPr>
                <w:sz w:val="20"/>
                <w:szCs w:val="20"/>
                <w:color w:val="auto"/>
              </w:rPr>
            </w:pPr>
            <w:r>
              <w:rPr>
                <w:rFonts w:ascii="Arial" w:cs="Arial" w:eastAsia="Arial" w:hAnsi="Arial"/>
                <w:sz w:val="11"/>
                <w:szCs w:val="11"/>
                <w:color w:val="auto"/>
                <w:w w:val="94"/>
              </w:rPr>
              <w:t>(8)(13)(14)(21)</w:t>
            </w:r>
          </w:p>
        </w:tc>
        <w:tc>
          <w:tcPr>
            <w:tcW w:w="2980" w:type="dxa"/>
            <w:vAlign w:val="bottom"/>
            <w:gridSpan w:val="5"/>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48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Healthcare, Education and Childcare</w:t>
            </w:r>
          </w:p>
        </w:tc>
        <w:tc>
          <w:tcPr>
            <w:tcW w:w="46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7"/>
              </w:rPr>
              <w:t>5.5%</w:t>
            </w:r>
          </w:p>
        </w:tc>
        <w:tc>
          <w:tcPr>
            <w:tcW w:w="320" w:type="dxa"/>
            <w:vAlign w:val="bottom"/>
            <w:shd w:val="clear" w:color="auto" w:fill="CFF0FC"/>
          </w:tcPr>
          <w:p>
            <w:pPr>
              <w:ind w:left="20"/>
              <w:spacing w:after="0" w:line="135" w:lineRule="exact"/>
              <w:rPr>
                <w:sz w:val="20"/>
                <w:szCs w:val="20"/>
                <w:color w:val="auto"/>
              </w:rPr>
            </w:pPr>
            <w:r>
              <w:rPr>
                <w:rFonts w:ascii="Arial" w:cs="Arial" w:eastAsia="Arial" w:hAnsi="Arial"/>
                <w:sz w:val="13"/>
                <w:szCs w:val="13"/>
                <w:color w:val="auto"/>
                <w:w w:val="82"/>
              </w:rPr>
              <w:t>Cash,</w:t>
            </w:r>
          </w:p>
        </w:tc>
        <w:tc>
          <w:tcPr>
            <w:tcW w:w="236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3 Month Libor (1.00%) + 4.50%;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4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5"/>
            <w:shd w:val="clear" w:color="auto" w:fill="CFF0FC"/>
          </w:tcPr>
          <w:p>
            <w:pPr>
              <w:ind w:left="20"/>
              <w:spacing w:after="0"/>
              <w:rPr>
                <w:sz w:val="20"/>
                <w:szCs w:val="20"/>
                <w:color w:val="auto"/>
              </w:rPr>
            </w:pPr>
            <w:r>
              <w:rPr>
                <w:rFonts w:ascii="Arial" w:cs="Arial" w:eastAsia="Arial" w:hAnsi="Arial"/>
                <w:sz w:val="13"/>
                <w:szCs w:val="13"/>
                <w:color w:val="auto"/>
              </w:rPr>
              <w:t>Floor 1.00% , Due 6/21</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5/22/2020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4,509,119</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4,220,080</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4,285,015</w:t>
            </w:r>
          </w:p>
        </w:tc>
        <w:tc>
          <w:tcPr>
            <w:tcW w:w="120" w:type="dxa"/>
            <w:vAlign w:val="bottom"/>
            <w:shd w:val="clear" w:color="auto" w:fill="CFF0FC"/>
          </w:tcPr>
          <w:p>
            <w:pPr>
              <w:spacing w:after="0"/>
              <w:rPr>
                <w:sz w:val="12"/>
                <w:szCs w:val="12"/>
                <w:color w:val="auto"/>
              </w:rPr>
            </w:pPr>
          </w:p>
        </w:tc>
      </w:tr>
      <w:tr>
        <w:trPr>
          <w:trHeight w:val="148"/>
        </w:trPr>
        <w:tc>
          <w:tcPr>
            <w:tcW w:w="2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3"/>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26"/>
        </w:trPr>
        <w:tc>
          <w:tcPr>
            <w:tcW w:w="2480" w:type="dxa"/>
            <w:vAlign w:val="bottom"/>
            <w:shd w:val="clear" w:color="auto" w:fill="CFF0FC"/>
          </w:tcPr>
          <w:p>
            <w:pPr>
              <w:spacing w:after="0" w:line="126" w:lineRule="exact"/>
              <w:rPr>
                <w:sz w:val="20"/>
                <w:szCs w:val="20"/>
                <w:color w:val="auto"/>
              </w:rPr>
            </w:pPr>
            <w:r>
              <w:rPr>
                <w:rFonts w:ascii="Arial" w:cs="Arial" w:eastAsia="Arial" w:hAnsi="Arial"/>
                <w:sz w:val="13"/>
                <w:szCs w:val="13"/>
                <w:color w:val="auto"/>
              </w:rPr>
              <w:t>Navex Topco, Inc.</w:t>
            </w:r>
          </w:p>
        </w:tc>
        <w:tc>
          <w:tcPr>
            <w:tcW w:w="1160" w:type="dxa"/>
            <w:vAlign w:val="bottom"/>
            <w:gridSpan w:val="2"/>
            <w:shd w:val="clear" w:color="auto" w:fill="CFF0FC"/>
          </w:tcPr>
          <w:p>
            <w:pPr>
              <w:ind w:left="460"/>
              <w:spacing w:after="0"/>
              <w:rPr>
                <w:sz w:val="20"/>
                <w:szCs w:val="20"/>
                <w:color w:val="auto"/>
              </w:rPr>
            </w:pPr>
            <w:r>
              <w:rPr>
                <w:rFonts w:ascii="Arial" w:cs="Arial" w:eastAsia="Arial" w:hAnsi="Arial"/>
                <w:sz w:val="11"/>
                <w:szCs w:val="11"/>
                <w:color w:val="auto"/>
                <w:w w:val="94"/>
              </w:rPr>
              <w:t>(8)(13)(14)(18)</w:t>
            </w:r>
          </w:p>
        </w:tc>
        <w:tc>
          <w:tcPr>
            <w:tcW w:w="2980" w:type="dxa"/>
            <w:vAlign w:val="bottom"/>
            <w:gridSpan w:val="5"/>
            <w:shd w:val="clear" w:color="auto" w:fill="CFF0FC"/>
          </w:tcPr>
          <w:p>
            <w:pPr>
              <w:ind w:left="20"/>
              <w:spacing w:after="0" w:line="126" w:lineRule="exact"/>
              <w:rPr>
                <w:sz w:val="20"/>
                <w:szCs w:val="20"/>
                <w:color w:val="auto"/>
              </w:rPr>
            </w:pPr>
            <w:r>
              <w:rPr>
                <w:rFonts w:ascii="Arial" w:cs="Arial" w:eastAsia="Arial" w:hAnsi="Arial"/>
                <w:sz w:val="13"/>
                <w:szCs w:val="13"/>
                <w:color w:val="auto"/>
              </w:rPr>
              <w:t>Junior Secured Loan — Initial Term Loan (Second</w:t>
            </w:r>
          </w:p>
        </w:tc>
        <w:tc>
          <w:tcPr>
            <w:tcW w:w="10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1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r>
      <w:tr>
        <w:trPr>
          <w:trHeight w:val="143"/>
        </w:trPr>
        <w:tc>
          <w:tcPr>
            <w:tcW w:w="2480" w:type="dxa"/>
            <w:vAlign w:val="bottom"/>
            <w:shd w:val="clear" w:color="auto" w:fill="CFF0FC"/>
          </w:tcPr>
          <w:p>
            <w:pPr>
              <w:ind w:left="160"/>
              <w:spacing w:after="0" w:line="143" w:lineRule="exact"/>
              <w:rPr>
                <w:sz w:val="20"/>
                <w:szCs w:val="20"/>
                <w:color w:val="auto"/>
              </w:rPr>
            </w:pPr>
            <w:r>
              <w:rPr>
                <w:rFonts w:ascii="Arial" w:cs="Arial" w:eastAsia="Arial" w:hAnsi="Arial"/>
                <w:sz w:val="13"/>
                <w:szCs w:val="13"/>
                <w:color w:val="auto"/>
              </w:rPr>
              <w:t>Electronics</w:t>
            </w:r>
          </w:p>
        </w:tc>
        <w:tc>
          <w:tcPr>
            <w:tcW w:w="1160" w:type="dxa"/>
            <w:vAlign w:val="bottom"/>
            <w:gridSpan w:val="2"/>
            <w:shd w:val="clear" w:color="auto" w:fill="CFF0FC"/>
          </w:tcPr>
          <w:p>
            <w:pPr>
              <w:ind w:left="460"/>
              <w:spacing w:after="0"/>
              <w:rPr>
                <w:sz w:val="20"/>
                <w:szCs w:val="20"/>
                <w:color w:val="auto"/>
              </w:rPr>
            </w:pPr>
            <w:r>
              <w:rPr>
                <w:rFonts w:ascii="Arial" w:cs="Arial" w:eastAsia="Arial" w:hAnsi="Arial"/>
                <w:sz w:val="11"/>
                <w:szCs w:val="11"/>
                <w:color w:val="auto"/>
              </w:rPr>
              <w:t>(21)</w:t>
            </w:r>
          </w:p>
        </w:tc>
        <w:tc>
          <w:tcPr>
            <w:tcW w:w="300" w:type="dxa"/>
            <w:vAlign w:val="bottom"/>
            <w:gridSpan w:val="2"/>
            <w:shd w:val="clear" w:color="auto" w:fill="CFF0FC"/>
          </w:tcPr>
          <w:p>
            <w:pPr>
              <w:ind w:left="20"/>
              <w:spacing w:after="0" w:line="143" w:lineRule="exact"/>
              <w:rPr>
                <w:sz w:val="20"/>
                <w:szCs w:val="20"/>
                <w:color w:val="auto"/>
              </w:rPr>
            </w:pPr>
            <w:r>
              <w:rPr>
                <w:rFonts w:ascii="Arial" w:cs="Arial" w:eastAsia="Arial" w:hAnsi="Arial"/>
                <w:sz w:val="13"/>
                <w:szCs w:val="13"/>
                <w:color w:val="auto"/>
                <w:w w:val="89"/>
              </w:rPr>
              <w:t>Lien)</w:t>
            </w:r>
          </w:p>
        </w:tc>
        <w:tc>
          <w:tcPr>
            <w:tcW w:w="320" w:type="dxa"/>
            <w:vAlign w:val="bottom"/>
            <w:shd w:val="clear" w:color="auto" w:fill="CFF0FC"/>
          </w:tcPr>
          <w:p>
            <w:pPr>
              <w:spacing w:after="0"/>
              <w:rPr>
                <w:sz w:val="12"/>
                <w:szCs w:val="12"/>
                <w:color w:val="auto"/>
              </w:rPr>
            </w:pPr>
          </w:p>
        </w:tc>
        <w:tc>
          <w:tcPr>
            <w:tcW w:w="2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9"/>
        </w:trPr>
        <w:tc>
          <w:tcPr>
            <w:tcW w:w="24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0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w w:val="87"/>
              </w:rPr>
              <w:t>7.2%</w:t>
            </w:r>
          </w:p>
        </w:tc>
        <w:tc>
          <w:tcPr>
            <w:tcW w:w="320" w:type="dxa"/>
            <w:vAlign w:val="bottom"/>
            <w:shd w:val="clear" w:color="auto" w:fill="CFF0FC"/>
          </w:tcPr>
          <w:p>
            <w:pPr>
              <w:ind w:left="20"/>
              <w:spacing w:after="0"/>
              <w:rPr>
                <w:sz w:val="20"/>
                <w:szCs w:val="20"/>
                <w:color w:val="auto"/>
              </w:rPr>
            </w:pPr>
            <w:r>
              <w:rPr>
                <w:rFonts w:ascii="Arial" w:cs="Arial" w:eastAsia="Arial" w:hAnsi="Arial"/>
                <w:sz w:val="13"/>
                <w:szCs w:val="13"/>
                <w:color w:val="auto"/>
                <w:w w:val="82"/>
              </w:rPr>
              <w:t>Cash,</w:t>
            </w:r>
          </w:p>
        </w:tc>
        <w:tc>
          <w:tcPr>
            <w:tcW w:w="236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w w:val="95"/>
              </w:rPr>
              <w:t>1 Month Libor (0.15%) + 7.00% , Due 9/26</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12/4/2018</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7,700,000</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7,222,712</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7,488,250</w:t>
            </w:r>
          </w:p>
        </w:tc>
        <w:tc>
          <w:tcPr>
            <w:tcW w:w="120" w:type="dxa"/>
            <w:vAlign w:val="bottom"/>
            <w:shd w:val="clear" w:color="auto" w:fill="CFF0FC"/>
          </w:tcPr>
          <w:p>
            <w:pPr>
              <w:spacing w:after="0"/>
              <w:rPr>
                <w:sz w:val="12"/>
                <w:szCs w:val="12"/>
                <w:color w:val="auto"/>
              </w:rPr>
            </w:pPr>
          </w:p>
        </w:tc>
      </w:tr>
      <w:tr>
        <w:trPr>
          <w:trHeight w:val="148"/>
        </w:trPr>
        <w:tc>
          <w:tcPr>
            <w:tcW w:w="2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3"/>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48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Naviga Inc.</w:t>
            </w:r>
          </w:p>
        </w:tc>
        <w:tc>
          <w:tcPr>
            <w:tcW w:w="1160" w:type="dxa"/>
            <w:vAlign w:val="bottom"/>
            <w:gridSpan w:val="2"/>
            <w:shd w:val="clear" w:color="auto" w:fill="CFF0FC"/>
          </w:tcPr>
          <w:p>
            <w:pPr>
              <w:ind w:left="460"/>
              <w:spacing w:after="0"/>
              <w:rPr>
                <w:sz w:val="20"/>
                <w:szCs w:val="20"/>
                <w:color w:val="auto"/>
              </w:rPr>
            </w:pPr>
            <w:r>
              <w:rPr>
                <w:rFonts w:ascii="Arial" w:cs="Arial" w:eastAsia="Arial" w:hAnsi="Arial"/>
                <w:sz w:val="11"/>
                <w:szCs w:val="11"/>
                <w:color w:val="auto"/>
              </w:rPr>
              <w:t>(8)(13)(14)</w:t>
            </w:r>
          </w:p>
        </w:tc>
        <w:tc>
          <w:tcPr>
            <w:tcW w:w="2980" w:type="dxa"/>
            <w:vAlign w:val="bottom"/>
            <w:gridSpan w:val="5"/>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Delayed Draw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48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Services: Business</w:t>
            </w:r>
          </w:p>
        </w:tc>
        <w:tc>
          <w:tcPr>
            <w:tcW w:w="46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7"/>
              </w:rPr>
              <w:t>8.0%</w:t>
            </w:r>
          </w:p>
        </w:tc>
        <w:tc>
          <w:tcPr>
            <w:tcW w:w="320" w:type="dxa"/>
            <w:vAlign w:val="bottom"/>
            <w:shd w:val="clear" w:color="auto" w:fill="CFF0FC"/>
          </w:tcPr>
          <w:p>
            <w:pPr>
              <w:ind w:left="20"/>
              <w:spacing w:after="0" w:line="135" w:lineRule="exact"/>
              <w:rPr>
                <w:sz w:val="20"/>
                <w:szCs w:val="20"/>
                <w:color w:val="auto"/>
              </w:rPr>
            </w:pPr>
            <w:r>
              <w:rPr>
                <w:rFonts w:ascii="Arial" w:cs="Arial" w:eastAsia="Arial" w:hAnsi="Arial"/>
                <w:sz w:val="13"/>
                <w:szCs w:val="13"/>
                <w:color w:val="auto"/>
                <w:w w:val="82"/>
              </w:rPr>
              <w:t>Cash,</w:t>
            </w:r>
          </w:p>
        </w:tc>
        <w:tc>
          <w:tcPr>
            <w:tcW w:w="236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3 Month Libor (1.00%) + 7.00%;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4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5"/>
            <w:shd w:val="clear" w:color="auto" w:fill="CFF0FC"/>
          </w:tcPr>
          <w:p>
            <w:pPr>
              <w:ind w:left="20"/>
              <w:spacing w:after="0"/>
              <w:rPr>
                <w:sz w:val="20"/>
                <w:szCs w:val="20"/>
                <w:color w:val="auto"/>
              </w:rPr>
            </w:pPr>
            <w:r>
              <w:rPr>
                <w:rFonts w:ascii="Arial" w:cs="Arial" w:eastAsia="Arial" w:hAnsi="Arial"/>
                <w:sz w:val="13"/>
                <w:szCs w:val="13"/>
                <w:color w:val="auto"/>
              </w:rPr>
              <w:t>Floor 1.00% , Due 12/22</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461,859</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401,461</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455,532</w:t>
            </w:r>
          </w:p>
        </w:tc>
        <w:tc>
          <w:tcPr>
            <w:tcW w:w="120" w:type="dxa"/>
            <w:vAlign w:val="bottom"/>
            <w:shd w:val="clear" w:color="auto" w:fill="CFF0FC"/>
          </w:tcPr>
          <w:p>
            <w:pPr>
              <w:spacing w:after="0"/>
              <w:rPr>
                <w:sz w:val="12"/>
                <w:szCs w:val="12"/>
                <w:color w:val="auto"/>
              </w:rPr>
            </w:pPr>
          </w:p>
        </w:tc>
      </w:tr>
      <w:tr>
        <w:trPr>
          <w:trHeight w:val="149"/>
        </w:trPr>
        <w:tc>
          <w:tcPr>
            <w:tcW w:w="2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3"/>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48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Naviga Inc.</w:t>
            </w:r>
          </w:p>
        </w:tc>
        <w:tc>
          <w:tcPr>
            <w:tcW w:w="1160" w:type="dxa"/>
            <w:vAlign w:val="bottom"/>
            <w:gridSpan w:val="2"/>
            <w:shd w:val="clear" w:color="auto" w:fill="CFF0FC"/>
          </w:tcPr>
          <w:p>
            <w:pPr>
              <w:ind w:left="460"/>
              <w:spacing w:after="0"/>
              <w:rPr>
                <w:sz w:val="20"/>
                <w:szCs w:val="20"/>
                <w:color w:val="auto"/>
              </w:rPr>
            </w:pPr>
            <w:r>
              <w:rPr>
                <w:rFonts w:ascii="Arial" w:cs="Arial" w:eastAsia="Arial" w:hAnsi="Arial"/>
                <w:sz w:val="11"/>
                <w:szCs w:val="11"/>
                <w:color w:val="auto"/>
              </w:rPr>
              <w:t>(8)(13)(14)</w:t>
            </w:r>
          </w:p>
        </w:tc>
        <w:tc>
          <w:tcPr>
            <w:tcW w:w="2980" w:type="dxa"/>
            <w:vAlign w:val="bottom"/>
            <w:gridSpan w:val="5"/>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First Lien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48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Services: Business</w:t>
            </w:r>
          </w:p>
        </w:tc>
        <w:tc>
          <w:tcPr>
            <w:tcW w:w="46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7"/>
              </w:rPr>
              <w:t>8.0%</w:t>
            </w:r>
          </w:p>
        </w:tc>
        <w:tc>
          <w:tcPr>
            <w:tcW w:w="320" w:type="dxa"/>
            <w:vAlign w:val="bottom"/>
            <w:shd w:val="clear" w:color="auto" w:fill="CFF0FC"/>
          </w:tcPr>
          <w:p>
            <w:pPr>
              <w:ind w:left="20"/>
              <w:spacing w:after="0" w:line="135" w:lineRule="exact"/>
              <w:rPr>
                <w:sz w:val="20"/>
                <w:szCs w:val="20"/>
                <w:color w:val="auto"/>
              </w:rPr>
            </w:pPr>
            <w:r>
              <w:rPr>
                <w:rFonts w:ascii="Arial" w:cs="Arial" w:eastAsia="Arial" w:hAnsi="Arial"/>
                <w:sz w:val="13"/>
                <w:szCs w:val="13"/>
                <w:color w:val="auto"/>
                <w:w w:val="82"/>
              </w:rPr>
              <w:t>Cash,</w:t>
            </w:r>
          </w:p>
        </w:tc>
        <w:tc>
          <w:tcPr>
            <w:tcW w:w="236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3 Month Libor (1.00%) + 7.00%;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48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5"/>
            <w:shd w:val="clear" w:color="auto" w:fill="CFF0FC"/>
          </w:tcPr>
          <w:p>
            <w:pPr>
              <w:ind w:left="20"/>
              <w:spacing w:after="0"/>
              <w:rPr>
                <w:sz w:val="20"/>
                <w:szCs w:val="20"/>
                <w:color w:val="auto"/>
              </w:rPr>
            </w:pPr>
            <w:r>
              <w:rPr>
                <w:rFonts w:ascii="Arial" w:cs="Arial" w:eastAsia="Arial" w:hAnsi="Arial"/>
                <w:sz w:val="13"/>
                <w:szCs w:val="13"/>
                <w:color w:val="auto"/>
              </w:rPr>
              <w:t>Floor 1.00% , Due 12/22</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411,227</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321,598</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401,837</w:t>
            </w:r>
          </w:p>
        </w:tc>
        <w:tc>
          <w:tcPr>
            <w:tcW w:w="120" w:type="dxa"/>
            <w:vAlign w:val="bottom"/>
            <w:shd w:val="clear" w:color="auto" w:fill="CFF0FC"/>
          </w:tcPr>
          <w:p>
            <w:pPr>
              <w:spacing w:after="0"/>
              <w:rPr>
                <w:sz w:val="12"/>
                <w:szCs w:val="12"/>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49"/>
        </w:trPr>
        <w:tc>
          <w:tcPr>
            <w:tcW w:w="2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Initial</w:t>
            </w: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35"/>
        </w:trPr>
        <w:tc>
          <w:tcPr>
            <w:tcW w:w="2640" w:type="dxa"/>
            <w:vAlign w:val="bottom"/>
          </w:tcPr>
          <w:p>
            <w:pPr>
              <w:spacing w:after="0" w:line="135" w:lineRule="exact"/>
              <w:rPr>
                <w:sz w:val="20"/>
                <w:szCs w:val="20"/>
                <w:color w:val="auto"/>
              </w:rPr>
            </w:pPr>
            <w:r>
              <w:rPr>
                <w:rFonts w:ascii="Arial" w:cs="Arial" w:eastAsia="Arial" w:hAnsi="Arial"/>
                <w:sz w:val="13"/>
                <w:szCs w:val="13"/>
                <w:b w:val="1"/>
                <w:bCs w:val="1"/>
                <w:color w:val="auto"/>
              </w:rPr>
              <w:t>Portfolio Company /</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80" w:type="dxa"/>
            <w:vAlign w:val="bottom"/>
            <w:gridSpan w:val="2"/>
          </w:tcPr>
          <w:p>
            <w:pPr>
              <w:ind w:left="840"/>
              <w:spacing w:after="0" w:line="135" w:lineRule="exact"/>
              <w:rPr>
                <w:sz w:val="20"/>
                <w:szCs w:val="20"/>
                <w:color w:val="auto"/>
              </w:rPr>
            </w:pPr>
            <w:r>
              <w:rPr>
                <w:rFonts w:ascii="Arial" w:cs="Arial" w:eastAsia="Arial" w:hAnsi="Arial"/>
                <w:sz w:val="13"/>
                <w:szCs w:val="13"/>
                <w:b w:val="1"/>
                <w:bCs w:val="1"/>
                <w:color w:val="auto"/>
              </w:rPr>
              <w:t>Investment</w:t>
            </w:r>
          </w:p>
        </w:tc>
        <w:tc>
          <w:tcPr>
            <w:tcW w:w="11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gridSpan w:val="2"/>
          </w:tcPr>
          <w:p>
            <w:pPr>
              <w:jc w:val="right"/>
              <w:ind w:right="500"/>
              <w:spacing w:after="0" w:line="135" w:lineRule="exact"/>
              <w:rPr>
                <w:sz w:val="20"/>
                <w:szCs w:val="20"/>
                <w:color w:val="auto"/>
              </w:rPr>
            </w:pPr>
            <w:r>
              <w:rPr>
                <w:rFonts w:ascii="Arial" w:cs="Arial" w:eastAsia="Arial" w:hAnsi="Arial"/>
                <w:sz w:val="13"/>
                <w:szCs w:val="13"/>
                <w:b w:val="1"/>
                <w:bCs w:val="1"/>
                <w:color w:val="auto"/>
              </w:rPr>
              <w:t>Amortized</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3"/>
        </w:trPr>
        <w:tc>
          <w:tcPr>
            <w:tcW w:w="26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Principal Business</w:t>
            </w:r>
          </w:p>
        </w:tc>
        <w:tc>
          <w:tcPr>
            <w:tcW w:w="300" w:type="dxa"/>
            <w:vAlign w:val="bottom"/>
            <w:tcBorders>
              <w:bottom w:val="single" w:sz="8" w:color="auto"/>
            </w:tcBorders>
          </w:tcPr>
          <w:p>
            <w:pPr>
              <w:spacing w:after="0"/>
              <w:rPr>
                <w:sz w:val="13"/>
                <w:szCs w:val="13"/>
                <w:color w:val="auto"/>
              </w:rPr>
            </w:pPr>
          </w:p>
        </w:tc>
        <w:tc>
          <w:tcPr>
            <w:tcW w:w="7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560" w:type="dxa"/>
            <w:vAlign w:val="bottom"/>
            <w:tcBorders>
              <w:bottom w:val="single" w:sz="8" w:color="auto"/>
            </w:tcBorders>
          </w:tcPr>
          <w:p>
            <w:pPr>
              <w:ind w:left="420"/>
              <w:spacing w:after="0"/>
              <w:rPr>
                <w:sz w:val="20"/>
                <w:szCs w:val="20"/>
                <w:color w:val="auto"/>
              </w:rPr>
            </w:pPr>
            <w:r>
              <w:rPr>
                <w:rFonts w:ascii="Arial" w:cs="Arial" w:eastAsia="Arial" w:hAnsi="Arial"/>
                <w:sz w:val="13"/>
                <w:szCs w:val="13"/>
                <w:b w:val="1"/>
                <w:bCs w:val="1"/>
                <w:color w:val="auto"/>
              </w:rPr>
              <w:t>Interest Rate¹ / Maturity</w:t>
            </w:r>
            <w:r>
              <w:rPr>
                <w:rFonts w:ascii="Arial" w:cs="Arial" w:eastAsia="Arial" w:hAnsi="Arial"/>
                <w:sz w:val="10"/>
                <w:szCs w:val="10"/>
                <w:b w:val="1"/>
                <w:bCs w:val="1"/>
                <w:color w:val="auto"/>
              </w:rPr>
              <w:t>15</w:t>
            </w:r>
          </w:p>
        </w:tc>
        <w:tc>
          <w:tcPr>
            <w:tcW w:w="12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Date</w:t>
            </w:r>
          </w:p>
        </w:tc>
        <w:tc>
          <w:tcPr>
            <w:tcW w:w="120" w:type="dxa"/>
            <w:vAlign w:val="bottom"/>
            <w:tcBorders>
              <w:bottom w:val="single" w:sz="8" w:color="CFF0FC"/>
            </w:tcBorders>
          </w:tcPr>
          <w:p>
            <w:pPr>
              <w:spacing w:after="0"/>
              <w:rPr>
                <w:sz w:val="13"/>
                <w:szCs w:val="13"/>
                <w:color w:val="auto"/>
              </w:rPr>
            </w:pPr>
          </w:p>
        </w:tc>
        <w:tc>
          <w:tcPr>
            <w:tcW w:w="8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Principal</w:t>
            </w:r>
          </w:p>
        </w:tc>
        <w:tc>
          <w:tcPr>
            <w:tcW w:w="220" w:type="dxa"/>
            <w:vAlign w:val="bottom"/>
            <w:tcBorders>
              <w:bottom w:val="single" w:sz="8" w:color="CFF0FC"/>
            </w:tcBorders>
          </w:tcPr>
          <w:p>
            <w:pPr>
              <w:spacing w:after="0"/>
              <w:rPr>
                <w:sz w:val="13"/>
                <w:szCs w:val="13"/>
                <w:color w:val="auto"/>
              </w:rPr>
            </w:pPr>
          </w:p>
        </w:tc>
        <w:tc>
          <w:tcPr>
            <w:tcW w:w="1140" w:type="dxa"/>
            <w:vAlign w:val="bottom"/>
            <w:tcBorders>
              <w:bottom w:val="single" w:sz="8" w:color="auto"/>
            </w:tcBorders>
          </w:tcPr>
          <w:p>
            <w:pPr>
              <w:jc w:val="right"/>
              <w:ind w:right="397"/>
              <w:spacing w:after="0"/>
              <w:rPr>
                <w:sz w:val="20"/>
                <w:szCs w:val="20"/>
                <w:color w:val="auto"/>
              </w:rPr>
            </w:pPr>
            <w:r>
              <w:rPr>
                <w:rFonts w:ascii="Arial" w:cs="Arial" w:eastAsia="Arial" w:hAnsi="Arial"/>
                <w:sz w:val="13"/>
                <w:szCs w:val="13"/>
                <w:b w:val="1"/>
                <w:bCs w:val="1"/>
                <w:color w:val="auto"/>
              </w:rPr>
              <w:t>Cost</w:t>
            </w:r>
          </w:p>
        </w:tc>
        <w:tc>
          <w:tcPr>
            <w:tcW w:w="22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0"/>
                <w:szCs w:val="10"/>
                <w:b w:val="1"/>
                <w:bCs w:val="1"/>
                <w:color w:val="auto"/>
              </w:rPr>
              <w:t>2</w:t>
            </w:r>
          </w:p>
        </w:tc>
        <w:tc>
          <w:tcPr>
            <w:tcW w:w="120" w:type="dxa"/>
            <w:vAlign w:val="bottom"/>
            <w:tcBorders>
              <w:bottom w:val="single" w:sz="8" w:color="CFF0FC"/>
            </w:tcBorders>
          </w:tcPr>
          <w:p>
            <w:pPr>
              <w:spacing w:after="0"/>
              <w:rPr>
                <w:sz w:val="13"/>
                <w:szCs w:val="13"/>
                <w:color w:val="auto"/>
              </w:rPr>
            </w:pPr>
          </w:p>
        </w:tc>
      </w:tr>
      <w:tr>
        <w:trPr>
          <w:trHeight w:val="128"/>
        </w:trPr>
        <w:tc>
          <w:tcPr>
            <w:tcW w:w="2640" w:type="dxa"/>
            <w:vAlign w:val="bottom"/>
            <w:shd w:val="clear" w:color="auto" w:fill="CFF0FC"/>
          </w:tcPr>
          <w:p>
            <w:pPr>
              <w:spacing w:after="0" w:line="128" w:lineRule="exact"/>
              <w:rPr>
                <w:sz w:val="20"/>
                <w:szCs w:val="20"/>
                <w:color w:val="auto"/>
              </w:rPr>
            </w:pPr>
            <w:r>
              <w:rPr>
                <w:rFonts w:ascii="Arial" w:cs="Arial" w:eastAsia="Arial" w:hAnsi="Arial"/>
                <w:sz w:val="13"/>
                <w:szCs w:val="13"/>
                <w:color w:val="auto"/>
              </w:rPr>
              <w:t>Naviga Inc.</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rPr>
              <w:t>(8)(13)(14)</w:t>
            </w:r>
          </w:p>
        </w:tc>
        <w:tc>
          <w:tcPr>
            <w:tcW w:w="20" w:type="dxa"/>
            <w:vAlign w:val="bottom"/>
            <w:shd w:val="clear" w:color="auto" w:fill="CFF0FC"/>
          </w:tcPr>
          <w:p>
            <w:pPr>
              <w:spacing w:after="0"/>
              <w:rPr>
                <w:sz w:val="11"/>
                <w:szCs w:val="11"/>
                <w:color w:val="auto"/>
              </w:rPr>
            </w:pPr>
          </w:p>
        </w:tc>
        <w:tc>
          <w:tcPr>
            <w:tcW w:w="2840" w:type="dxa"/>
            <w:vAlign w:val="bottom"/>
            <w:gridSpan w:val="2"/>
            <w:shd w:val="clear" w:color="auto" w:fill="CFF0FC"/>
          </w:tcPr>
          <w:p>
            <w:pPr>
              <w:spacing w:after="0" w:line="128" w:lineRule="exact"/>
              <w:rPr>
                <w:sz w:val="20"/>
                <w:szCs w:val="20"/>
                <w:color w:val="auto"/>
              </w:rPr>
            </w:pPr>
            <w:r>
              <w:rPr>
                <w:rFonts w:ascii="Arial" w:cs="Arial" w:eastAsia="Arial" w:hAnsi="Arial"/>
                <w:sz w:val="13"/>
                <w:szCs w:val="13"/>
                <w:color w:val="auto"/>
              </w:rPr>
              <w:t>Senior Secured Loan — First Lien Term Loan</w:t>
            </w: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6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Services: Business</w:t>
            </w: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7"/>
              </w:rPr>
              <w:t>8.0%</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3 Month Libor (1.00%) + 7.00%;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Floor 1.00% , Due 12/22</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5,050,283</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4,389,994</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4,981,094</w:t>
            </w:r>
          </w:p>
        </w:tc>
        <w:tc>
          <w:tcPr>
            <w:tcW w:w="120" w:type="dxa"/>
            <w:vAlign w:val="bottom"/>
            <w:shd w:val="clear" w:color="auto" w:fill="CFF0FC"/>
          </w:tcPr>
          <w:p>
            <w:pPr>
              <w:spacing w:after="0"/>
              <w:rPr>
                <w:sz w:val="12"/>
                <w:szCs w:val="12"/>
                <w:color w:val="auto"/>
              </w:rPr>
            </w:pPr>
          </w:p>
        </w:tc>
      </w:tr>
      <w:tr>
        <w:trPr>
          <w:trHeight w:val="148"/>
        </w:trPr>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Novetta Solutions, LLC</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rPr>
              <w:t>(8)(14)</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First Lien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6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High Tech Industries</w:t>
            </w: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7"/>
              </w:rPr>
              <w:t>6.0%</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3 Month Libor (1.00%) + 5.00%;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Floor 1.00% , Due 10/22</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1,943,730</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1,677,869</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1,939,678</w:t>
            </w:r>
          </w:p>
        </w:tc>
        <w:tc>
          <w:tcPr>
            <w:tcW w:w="120" w:type="dxa"/>
            <w:vAlign w:val="bottom"/>
            <w:shd w:val="clear" w:color="auto" w:fill="CFF0FC"/>
          </w:tcPr>
          <w:p>
            <w:pPr>
              <w:spacing w:after="0"/>
              <w:rPr>
                <w:sz w:val="12"/>
                <w:szCs w:val="12"/>
                <w:color w:val="auto"/>
              </w:rPr>
            </w:pPr>
          </w:p>
        </w:tc>
      </w:tr>
      <w:tr>
        <w:trPr>
          <w:trHeight w:val="148"/>
        </w:trPr>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Orbit Purchaser LLC</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rPr>
              <w:t>(8)(13)(14)</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w w:val="97"/>
              </w:rPr>
              <w:t>Senior Secured Loan — Incremental First Lien Term</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6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w w:val="99"/>
              </w:rPr>
              <w:t>Banking, Finance, Insurance &amp; Real Estate</w:t>
            </w: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9"/>
              </w:rPr>
              <w:t>Loan</w:t>
            </w:r>
          </w:p>
        </w:tc>
        <w:tc>
          <w:tcPr>
            <w:tcW w:w="25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6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7"/>
              </w:rPr>
              <w:t>5.5%</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3 Month Libor (1.00%) + 4.50%;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Floor 1.00% , Due 10/24</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1,539,869</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1,339,929</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1,527,242</w:t>
            </w:r>
          </w:p>
        </w:tc>
        <w:tc>
          <w:tcPr>
            <w:tcW w:w="120" w:type="dxa"/>
            <w:vAlign w:val="bottom"/>
            <w:shd w:val="clear" w:color="auto" w:fill="CFF0FC"/>
          </w:tcPr>
          <w:p>
            <w:pPr>
              <w:spacing w:after="0"/>
              <w:rPr>
                <w:sz w:val="12"/>
                <w:szCs w:val="12"/>
                <w:color w:val="auto"/>
              </w:rPr>
            </w:pPr>
          </w:p>
        </w:tc>
      </w:tr>
      <w:tr>
        <w:trPr>
          <w:trHeight w:val="149"/>
        </w:trPr>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Orbit Purchaser LLC</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rPr>
              <w:t>(8)(13)(14)</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First Lien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6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w w:val="99"/>
              </w:rPr>
              <w:t>Banking, Finance, Insurance &amp; Real Estate</w:t>
            </w: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7"/>
              </w:rPr>
              <w:t>5.5%</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3 Month Libor (1.00%) + 4.50%;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Floor 1.00% , Due 10/24</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2,548,122</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2,211,950</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2,527,227</w:t>
            </w:r>
          </w:p>
        </w:tc>
        <w:tc>
          <w:tcPr>
            <w:tcW w:w="120" w:type="dxa"/>
            <w:vAlign w:val="bottom"/>
            <w:shd w:val="clear" w:color="auto" w:fill="CFF0FC"/>
          </w:tcPr>
          <w:p>
            <w:pPr>
              <w:spacing w:after="0"/>
              <w:rPr>
                <w:sz w:val="12"/>
                <w:szCs w:val="12"/>
                <w:color w:val="auto"/>
              </w:rPr>
            </w:pPr>
          </w:p>
        </w:tc>
      </w:tr>
      <w:tr>
        <w:trPr>
          <w:trHeight w:val="148"/>
        </w:trPr>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Orbit Purchaser LLC</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rPr>
              <w:t>(8)(13)(14)</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Delayed Draw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6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w w:val="99"/>
              </w:rPr>
              <w:t>Banking, Finance, Insurance &amp; Real Estate</w:t>
            </w: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7"/>
              </w:rPr>
              <w:t>5.5%</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3 Month Libor (1.00%) + 4.50%;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Floor 1.00% , Due 10/24</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745,098</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648,353</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738,988</w:t>
            </w:r>
          </w:p>
        </w:tc>
        <w:tc>
          <w:tcPr>
            <w:tcW w:w="120" w:type="dxa"/>
            <w:vAlign w:val="bottom"/>
            <w:shd w:val="clear" w:color="auto" w:fill="CFF0FC"/>
          </w:tcPr>
          <w:p>
            <w:pPr>
              <w:spacing w:after="0"/>
              <w:rPr>
                <w:sz w:val="12"/>
                <w:szCs w:val="12"/>
                <w:color w:val="auto"/>
              </w:rPr>
            </w:pPr>
          </w:p>
        </w:tc>
      </w:tr>
      <w:tr>
        <w:trPr>
          <w:trHeight w:val="148"/>
        </w:trPr>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Phoenix Guarantor Inc.</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rPr>
              <w:t>(8)(13)(14)</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Junior Secured Loan — Term Loan Second Lien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6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Healthcare &amp; Pharmaceuticals</w:t>
            </w: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7"/>
              </w:rPr>
              <w:t>9.3%</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1 Month Libor (1.00%) + 8.25%;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Floor 1.00% , Due 3/27</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12/18/2019</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1,200,000</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1,100,239</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1,179,480</w:t>
            </w:r>
          </w:p>
        </w:tc>
        <w:tc>
          <w:tcPr>
            <w:tcW w:w="120" w:type="dxa"/>
            <w:vAlign w:val="bottom"/>
            <w:shd w:val="clear" w:color="auto" w:fill="CFF0FC"/>
          </w:tcPr>
          <w:p>
            <w:pPr>
              <w:spacing w:after="0"/>
              <w:rPr>
                <w:sz w:val="12"/>
                <w:szCs w:val="12"/>
                <w:color w:val="auto"/>
              </w:rPr>
            </w:pPr>
          </w:p>
        </w:tc>
      </w:tr>
      <w:tr>
        <w:trPr>
          <w:trHeight w:val="148"/>
        </w:trPr>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Pinstripe Holdings, LLC</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rPr>
              <w:t>(8)(13)(14)</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Initial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640" w:type="dxa"/>
            <w:vAlign w:val="bottom"/>
            <w:shd w:val="clear" w:color="auto" w:fill="CFF0FC"/>
          </w:tcPr>
          <w:p>
            <w:pPr>
              <w:ind w:left="160"/>
              <w:spacing w:after="0"/>
              <w:rPr>
                <w:sz w:val="20"/>
                <w:szCs w:val="20"/>
                <w:color w:val="auto"/>
              </w:rPr>
            </w:pPr>
            <w:r>
              <w:rPr>
                <w:rFonts w:ascii="Arial" w:cs="Arial" w:eastAsia="Arial" w:hAnsi="Arial"/>
                <w:sz w:val="13"/>
                <w:szCs w:val="13"/>
                <w:color w:val="auto"/>
              </w:rPr>
              <w:t>Services: Business</w:t>
            </w: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0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w w:val="87"/>
              </w:rPr>
              <w:t>6.3%</w:t>
            </w:r>
          </w:p>
        </w:tc>
        <w:tc>
          <w:tcPr>
            <w:tcW w:w="268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w w:val="93"/>
              </w:rPr>
              <w:t>Cash, 6 month Libor (0.27%) + 6.00% , Due 1/25</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1/17/2019</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4,912,500</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4,845,938</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4,620,206</w:t>
            </w:r>
          </w:p>
        </w:tc>
        <w:tc>
          <w:tcPr>
            <w:tcW w:w="120" w:type="dxa"/>
            <w:vAlign w:val="bottom"/>
            <w:shd w:val="clear" w:color="auto" w:fill="CFF0FC"/>
          </w:tcPr>
          <w:p>
            <w:pPr>
              <w:spacing w:after="0"/>
              <w:rPr>
                <w:sz w:val="12"/>
                <w:szCs w:val="12"/>
                <w:color w:val="auto"/>
              </w:rPr>
            </w:pPr>
          </w:p>
        </w:tc>
      </w:tr>
      <w:tr>
        <w:trPr>
          <w:trHeight w:val="148"/>
        </w:trPr>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PromptCare Companies, The</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w w:val="94"/>
              </w:rPr>
              <w:t>(8)(13)(14)(21)</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w w:val="96"/>
              </w:rPr>
              <w:t>Senior Secured Loan — Second Delayed Draw Term</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6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Healthcare &amp; Pharmaceuticals</w:t>
            </w: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9"/>
              </w:rPr>
              <w:t>Loan</w:t>
            </w:r>
          </w:p>
        </w:tc>
        <w:tc>
          <w:tcPr>
            <w:tcW w:w="25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0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w w:val="87"/>
              </w:rPr>
              <w:t>1.0%</w:t>
            </w:r>
          </w:p>
        </w:tc>
        <w:tc>
          <w:tcPr>
            <w:tcW w:w="268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Cash, Due 12/25</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2/20/2020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(2,326)</w:t>
            </w: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(4,091)</w:t>
            </w:r>
          </w:p>
        </w:tc>
      </w:tr>
      <w:tr>
        <w:trPr>
          <w:trHeight w:val="148"/>
        </w:trPr>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PromptCare Companies, The</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w w:val="94"/>
              </w:rPr>
              <w:t>(8)(13)(14)(21)</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6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Healthcare &amp; Pharmaceuticals</w:t>
            </w: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7"/>
              </w:rPr>
              <w:t>6.3%</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1 Month Libor (1.00%) + 5.25%;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Floor 1.00% , Due 12/25</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2/20/2020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3,870,000</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3,837,015</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3,840,975</w:t>
            </w:r>
          </w:p>
        </w:tc>
        <w:tc>
          <w:tcPr>
            <w:tcW w:w="120" w:type="dxa"/>
            <w:vAlign w:val="bottom"/>
            <w:shd w:val="clear" w:color="auto" w:fill="CFF0FC"/>
          </w:tcPr>
          <w:p>
            <w:pPr>
              <w:spacing w:after="0"/>
              <w:rPr>
                <w:sz w:val="12"/>
                <w:szCs w:val="12"/>
                <w:color w:val="auto"/>
              </w:rPr>
            </w:pPr>
          </w:p>
        </w:tc>
      </w:tr>
      <w:tr>
        <w:trPr>
          <w:trHeight w:val="148"/>
        </w:trPr>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PromptCare Companies, The</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rPr>
              <w:t>(8)(13)(14)</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First Delayed Draw Term</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6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Healthcare &amp; Pharmaceuticals</w:t>
            </w: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9"/>
              </w:rPr>
              <w:t>Loan</w:t>
            </w:r>
          </w:p>
        </w:tc>
        <w:tc>
          <w:tcPr>
            <w:tcW w:w="25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6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7"/>
              </w:rPr>
              <w:t>6.3%</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1 Month Libor (1.00%) + 5.25%;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Floor 1.00% , Due 12/25</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2/20/2020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540,000</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535,398</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535,950</w:t>
            </w:r>
          </w:p>
        </w:tc>
        <w:tc>
          <w:tcPr>
            <w:tcW w:w="120" w:type="dxa"/>
            <w:vAlign w:val="bottom"/>
            <w:shd w:val="clear" w:color="auto" w:fill="CFF0FC"/>
          </w:tcPr>
          <w:p>
            <w:pPr>
              <w:spacing w:after="0"/>
              <w:rPr>
                <w:sz w:val="12"/>
                <w:szCs w:val="12"/>
                <w:color w:val="auto"/>
              </w:rPr>
            </w:pPr>
          </w:p>
        </w:tc>
      </w:tr>
      <w:tr>
        <w:trPr>
          <w:trHeight w:val="148"/>
        </w:trPr>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PSC Industrial Holdings Corp.</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rPr>
              <w:t>(8)(14)</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Junior Secured Loan — Initial Term Loan (Second</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6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Environmental Industries</w:t>
            </w: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980" w:type="dxa"/>
            <w:vAlign w:val="bottom"/>
            <w:gridSpan w:val="4"/>
            <w:shd w:val="clear" w:color="auto" w:fill="CFF0FC"/>
          </w:tcPr>
          <w:p>
            <w:pPr>
              <w:ind w:left="20"/>
              <w:spacing w:after="0" w:line="135" w:lineRule="exact"/>
              <w:rPr>
                <w:sz w:val="20"/>
                <w:szCs w:val="20"/>
                <w:color w:val="auto"/>
              </w:rPr>
            </w:pPr>
            <w:r>
              <w:rPr>
                <w:rFonts w:ascii="Arial" w:cs="Arial" w:eastAsia="Arial" w:hAnsi="Arial"/>
                <w:sz w:val="13"/>
                <w:szCs w:val="13"/>
                <w:color w:val="auto"/>
              </w:rPr>
              <w:t>Lien)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6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7"/>
              </w:rPr>
              <w:t>9.5%</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1 Month Libor (1.00%) + 8.50%;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Floor 1.00% , Due 10/25</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10/5/2017</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3,000,000</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2,962,901</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2,622,495</w:t>
            </w:r>
          </w:p>
        </w:tc>
        <w:tc>
          <w:tcPr>
            <w:tcW w:w="120" w:type="dxa"/>
            <w:vAlign w:val="bottom"/>
            <w:shd w:val="clear" w:color="auto" w:fill="CFF0FC"/>
          </w:tcPr>
          <w:p>
            <w:pPr>
              <w:spacing w:after="0"/>
              <w:rPr>
                <w:sz w:val="12"/>
                <w:szCs w:val="12"/>
                <w:color w:val="auto"/>
              </w:rPr>
            </w:pPr>
          </w:p>
        </w:tc>
      </w:tr>
      <w:tr>
        <w:trPr>
          <w:trHeight w:val="149"/>
        </w:trPr>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PVHC Holding Corp</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rPr>
              <w:t>(8)(13)(14)</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Initial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6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Containers, Packaging and Glass</w:t>
            </w: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7"/>
              </w:rPr>
              <w:t>5.8%</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3 Month Libor (1.00%) + 4.75%;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Floor 1.00% , Due 8/24</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8/10/2018</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2,815,200</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2,806,740</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2,502,994</w:t>
            </w:r>
          </w:p>
        </w:tc>
        <w:tc>
          <w:tcPr>
            <w:tcW w:w="120" w:type="dxa"/>
            <w:vAlign w:val="bottom"/>
            <w:shd w:val="clear" w:color="auto" w:fill="CFF0FC"/>
          </w:tcPr>
          <w:p>
            <w:pPr>
              <w:spacing w:after="0"/>
              <w:rPr>
                <w:sz w:val="12"/>
                <w:szCs w:val="12"/>
                <w:color w:val="auto"/>
              </w:rPr>
            </w:pPr>
          </w:p>
        </w:tc>
      </w:tr>
      <w:tr>
        <w:trPr>
          <w:trHeight w:val="149"/>
        </w:trPr>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Q Holding Company (fka Lex Precision Corp)</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rPr>
              <w:t>(8)(13)(14)</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First Lien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6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Chemicals, Plastics &amp; Rubber</w:t>
            </w: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7"/>
              </w:rPr>
              <w:t>6.0%</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3 Month Libor (1.00%) + 5.00%;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Floor 1.00% , Due 12/23</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2,379,005</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1,917,038</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2,234,599</w:t>
            </w:r>
          </w:p>
        </w:tc>
        <w:tc>
          <w:tcPr>
            <w:tcW w:w="120" w:type="dxa"/>
            <w:vAlign w:val="bottom"/>
            <w:shd w:val="clear" w:color="auto" w:fill="CFF0FC"/>
          </w:tcPr>
          <w:p>
            <w:pPr>
              <w:spacing w:after="0"/>
              <w:rPr>
                <w:sz w:val="12"/>
                <w:szCs w:val="1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49"/>
        </w:trPr>
        <w:tc>
          <w:tcPr>
            <w:tcW w:w="2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Initial</w:t>
            </w: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35"/>
        </w:trPr>
        <w:tc>
          <w:tcPr>
            <w:tcW w:w="2640" w:type="dxa"/>
            <w:vAlign w:val="bottom"/>
          </w:tcPr>
          <w:p>
            <w:pPr>
              <w:spacing w:after="0" w:line="135" w:lineRule="exact"/>
              <w:rPr>
                <w:sz w:val="20"/>
                <w:szCs w:val="20"/>
                <w:color w:val="auto"/>
              </w:rPr>
            </w:pPr>
            <w:r>
              <w:rPr>
                <w:rFonts w:ascii="Arial" w:cs="Arial" w:eastAsia="Arial" w:hAnsi="Arial"/>
                <w:sz w:val="13"/>
                <w:szCs w:val="13"/>
                <w:b w:val="1"/>
                <w:bCs w:val="1"/>
                <w:color w:val="auto"/>
              </w:rPr>
              <w:t>Portfolio Company /</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80" w:type="dxa"/>
            <w:vAlign w:val="bottom"/>
            <w:gridSpan w:val="2"/>
          </w:tcPr>
          <w:p>
            <w:pPr>
              <w:ind w:left="840"/>
              <w:spacing w:after="0" w:line="135" w:lineRule="exact"/>
              <w:rPr>
                <w:sz w:val="20"/>
                <w:szCs w:val="20"/>
                <w:color w:val="auto"/>
              </w:rPr>
            </w:pPr>
            <w:r>
              <w:rPr>
                <w:rFonts w:ascii="Arial" w:cs="Arial" w:eastAsia="Arial" w:hAnsi="Arial"/>
                <w:sz w:val="13"/>
                <w:szCs w:val="13"/>
                <w:b w:val="1"/>
                <w:bCs w:val="1"/>
                <w:color w:val="auto"/>
              </w:rPr>
              <w:t>Investment</w:t>
            </w:r>
          </w:p>
        </w:tc>
        <w:tc>
          <w:tcPr>
            <w:tcW w:w="11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gridSpan w:val="2"/>
          </w:tcPr>
          <w:p>
            <w:pPr>
              <w:jc w:val="right"/>
              <w:ind w:right="500"/>
              <w:spacing w:after="0" w:line="135" w:lineRule="exact"/>
              <w:rPr>
                <w:sz w:val="20"/>
                <w:szCs w:val="20"/>
                <w:color w:val="auto"/>
              </w:rPr>
            </w:pPr>
            <w:r>
              <w:rPr>
                <w:rFonts w:ascii="Arial" w:cs="Arial" w:eastAsia="Arial" w:hAnsi="Arial"/>
                <w:sz w:val="13"/>
                <w:szCs w:val="13"/>
                <w:b w:val="1"/>
                <w:bCs w:val="1"/>
                <w:color w:val="auto"/>
              </w:rPr>
              <w:t>Amortized</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3"/>
        </w:trPr>
        <w:tc>
          <w:tcPr>
            <w:tcW w:w="26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Principal Business</w:t>
            </w:r>
          </w:p>
        </w:tc>
        <w:tc>
          <w:tcPr>
            <w:tcW w:w="300" w:type="dxa"/>
            <w:vAlign w:val="bottom"/>
            <w:tcBorders>
              <w:bottom w:val="single" w:sz="8" w:color="auto"/>
            </w:tcBorders>
          </w:tcPr>
          <w:p>
            <w:pPr>
              <w:spacing w:after="0"/>
              <w:rPr>
                <w:sz w:val="13"/>
                <w:szCs w:val="13"/>
                <w:color w:val="auto"/>
              </w:rPr>
            </w:pPr>
          </w:p>
        </w:tc>
        <w:tc>
          <w:tcPr>
            <w:tcW w:w="7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560" w:type="dxa"/>
            <w:vAlign w:val="bottom"/>
            <w:tcBorders>
              <w:bottom w:val="single" w:sz="8" w:color="auto"/>
            </w:tcBorders>
          </w:tcPr>
          <w:p>
            <w:pPr>
              <w:ind w:left="420"/>
              <w:spacing w:after="0"/>
              <w:rPr>
                <w:sz w:val="20"/>
                <w:szCs w:val="20"/>
                <w:color w:val="auto"/>
              </w:rPr>
            </w:pPr>
            <w:r>
              <w:rPr>
                <w:rFonts w:ascii="Arial" w:cs="Arial" w:eastAsia="Arial" w:hAnsi="Arial"/>
                <w:sz w:val="13"/>
                <w:szCs w:val="13"/>
                <w:b w:val="1"/>
                <w:bCs w:val="1"/>
                <w:color w:val="auto"/>
              </w:rPr>
              <w:t>Interest Rate¹ / Maturity</w:t>
            </w:r>
            <w:r>
              <w:rPr>
                <w:rFonts w:ascii="Arial" w:cs="Arial" w:eastAsia="Arial" w:hAnsi="Arial"/>
                <w:sz w:val="10"/>
                <w:szCs w:val="10"/>
                <w:b w:val="1"/>
                <w:bCs w:val="1"/>
                <w:color w:val="auto"/>
              </w:rPr>
              <w:t>15</w:t>
            </w:r>
          </w:p>
        </w:tc>
        <w:tc>
          <w:tcPr>
            <w:tcW w:w="12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Date</w:t>
            </w:r>
          </w:p>
        </w:tc>
        <w:tc>
          <w:tcPr>
            <w:tcW w:w="120" w:type="dxa"/>
            <w:vAlign w:val="bottom"/>
            <w:tcBorders>
              <w:bottom w:val="single" w:sz="8" w:color="CFF0FC"/>
            </w:tcBorders>
          </w:tcPr>
          <w:p>
            <w:pPr>
              <w:spacing w:after="0"/>
              <w:rPr>
                <w:sz w:val="13"/>
                <w:szCs w:val="13"/>
                <w:color w:val="auto"/>
              </w:rPr>
            </w:pPr>
          </w:p>
        </w:tc>
        <w:tc>
          <w:tcPr>
            <w:tcW w:w="8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Principal</w:t>
            </w:r>
          </w:p>
        </w:tc>
        <w:tc>
          <w:tcPr>
            <w:tcW w:w="220" w:type="dxa"/>
            <w:vAlign w:val="bottom"/>
            <w:tcBorders>
              <w:bottom w:val="single" w:sz="8" w:color="CFF0FC"/>
            </w:tcBorders>
          </w:tcPr>
          <w:p>
            <w:pPr>
              <w:spacing w:after="0"/>
              <w:rPr>
                <w:sz w:val="13"/>
                <w:szCs w:val="13"/>
                <w:color w:val="auto"/>
              </w:rPr>
            </w:pPr>
          </w:p>
        </w:tc>
        <w:tc>
          <w:tcPr>
            <w:tcW w:w="1140" w:type="dxa"/>
            <w:vAlign w:val="bottom"/>
            <w:tcBorders>
              <w:bottom w:val="single" w:sz="8" w:color="auto"/>
            </w:tcBorders>
          </w:tcPr>
          <w:p>
            <w:pPr>
              <w:jc w:val="right"/>
              <w:ind w:right="397"/>
              <w:spacing w:after="0"/>
              <w:rPr>
                <w:sz w:val="20"/>
                <w:szCs w:val="20"/>
                <w:color w:val="auto"/>
              </w:rPr>
            </w:pPr>
            <w:r>
              <w:rPr>
                <w:rFonts w:ascii="Arial" w:cs="Arial" w:eastAsia="Arial" w:hAnsi="Arial"/>
                <w:sz w:val="13"/>
                <w:szCs w:val="13"/>
                <w:b w:val="1"/>
                <w:bCs w:val="1"/>
                <w:color w:val="auto"/>
              </w:rPr>
              <w:t>Cost</w:t>
            </w:r>
          </w:p>
        </w:tc>
        <w:tc>
          <w:tcPr>
            <w:tcW w:w="22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0"/>
                <w:szCs w:val="10"/>
                <w:b w:val="1"/>
                <w:bCs w:val="1"/>
                <w:color w:val="auto"/>
              </w:rPr>
              <w:t>2</w:t>
            </w:r>
          </w:p>
        </w:tc>
        <w:tc>
          <w:tcPr>
            <w:tcW w:w="120" w:type="dxa"/>
            <w:vAlign w:val="bottom"/>
            <w:tcBorders>
              <w:bottom w:val="single" w:sz="8" w:color="CFF0FC"/>
            </w:tcBorders>
          </w:tcPr>
          <w:p>
            <w:pPr>
              <w:spacing w:after="0"/>
              <w:rPr>
                <w:sz w:val="13"/>
                <w:szCs w:val="13"/>
                <w:color w:val="auto"/>
              </w:rPr>
            </w:pPr>
          </w:p>
        </w:tc>
      </w:tr>
      <w:tr>
        <w:trPr>
          <w:trHeight w:val="128"/>
        </w:trPr>
        <w:tc>
          <w:tcPr>
            <w:tcW w:w="2640" w:type="dxa"/>
            <w:vAlign w:val="bottom"/>
            <w:shd w:val="clear" w:color="auto" w:fill="CFF0FC"/>
          </w:tcPr>
          <w:p>
            <w:pPr>
              <w:spacing w:after="0" w:line="128" w:lineRule="exact"/>
              <w:rPr>
                <w:sz w:val="20"/>
                <w:szCs w:val="20"/>
                <w:color w:val="auto"/>
              </w:rPr>
            </w:pPr>
            <w:r>
              <w:rPr>
                <w:rFonts w:ascii="Arial" w:cs="Arial" w:eastAsia="Arial" w:hAnsi="Arial"/>
                <w:sz w:val="13"/>
                <w:szCs w:val="13"/>
                <w:color w:val="auto"/>
              </w:rPr>
              <w:t>Qualtek USA, LLC</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rPr>
              <w:t>(8)(14)</w:t>
            </w:r>
          </w:p>
        </w:tc>
        <w:tc>
          <w:tcPr>
            <w:tcW w:w="20" w:type="dxa"/>
            <w:vAlign w:val="bottom"/>
            <w:shd w:val="clear" w:color="auto" w:fill="CFF0FC"/>
          </w:tcPr>
          <w:p>
            <w:pPr>
              <w:spacing w:after="0"/>
              <w:rPr>
                <w:sz w:val="11"/>
                <w:szCs w:val="11"/>
                <w:color w:val="auto"/>
              </w:rPr>
            </w:pPr>
          </w:p>
        </w:tc>
        <w:tc>
          <w:tcPr>
            <w:tcW w:w="2840" w:type="dxa"/>
            <w:vAlign w:val="bottom"/>
            <w:gridSpan w:val="2"/>
            <w:shd w:val="clear" w:color="auto" w:fill="CFF0FC"/>
          </w:tcPr>
          <w:p>
            <w:pPr>
              <w:spacing w:after="0" w:line="128" w:lineRule="exact"/>
              <w:rPr>
                <w:sz w:val="20"/>
                <w:szCs w:val="20"/>
                <w:color w:val="auto"/>
              </w:rPr>
            </w:pPr>
            <w:r>
              <w:rPr>
                <w:rFonts w:ascii="Arial" w:cs="Arial" w:eastAsia="Arial" w:hAnsi="Arial"/>
                <w:sz w:val="13"/>
                <w:szCs w:val="13"/>
                <w:color w:val="auto"/>
              </w:rPr>
              <w:t>Senior Secured Loan — First Lien Term Loan</w:t>
            </w: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6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High Tech Industries</w:t>
            </w: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7"/>
              </w:rPr>
              <w:t>7.3%</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3 Month Libor (1.00%) + 6.25%;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Floor 1.00% , Due 7/25</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5,660,358</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4,507,974</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5,358,491</w:t>
            </w:r>
          </w:p>
        </w:tc>
        <w:tc>
          <w:tcPr>
            <w:tcW w:w="120" w:type="dxa"/>
            <w:vAlign w:val="bottom"/>
            <w:shd w:val="clear" w:color="auto" w:fill="CFF0FC"/>
          </w:tcPr>
          <w:p>
            <w:pPr>
              <w:spacing w:after="0"/>
              <w:rPr>
                <w:sz w:val="12"/>
                <w:szCs w:val="12"/>
                <w:color w:val="auto"/>
              </w:rPr>
            </w:pPr>
          </w:p>
        </w:tc>
      </w:tr>
      <w:tr>
        <w:trPr>
          <w:trHeight w:val="148"/>
        </w:trPr>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RA Outdoors, LLC</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rPr>
              <w:t>(8)(13)(14)</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First Lien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6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Services: Business</w:t>
            </w: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7"/>
              </w:rPr>
              <w:t>5.8%</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3 Month Libor (1.00%) + 4.75%;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Floor 1.00% , Due 9/24</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7,206,556</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6,272,077</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7,139,535</w:t>
            </w:r>
          </w:p>
        </w:tc>
        <w:tc>
          <w:tcPr>
            <w:tcW w:w="120" w:type="dxa"/>
            <w:vAlign w:val="bottom"/>
            <w:shd w:val="clear" w:color="auto" w:fill="CFF0FC"/>
          </w:tcPr>
          <w:p>
            <w:pPr>
              <w:spacing w:after="0"/>
              <w:rPr>
                <w:sz w:val="12"/>
                <w:szCs w:val="12"/>
                <w:color w:val="auto"/>
              </w:rPr>
            </w:pPr>
          </w:p>
        </w:tc>
      </w:tr>
      <w:tr>
        <w:trPr>
          <w:trHeight w:val="148"/>
        </w:trPr>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Radiology Partners, Inc</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rPr>
              <w:t>(8)(14)(21)</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Term B Loan (First Lien)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6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Healthcare &amp; Pharmaceuticals</w:t>
            </w: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7"/>
              </w:rPr>
              <w:t>5.3%</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12 Month Libor (1.04%) + 4.25% , Due</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0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7/25</w:t>
            </w:r>
          </w:p>
        </w:tc>
        <w:tc>
          <w:tcPr>
            <w:tcW w:w="2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3/24/2020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7,000,000</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5,845,451</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6,900,845</w:t>
            </w:r>
          </w:p>
        </w:tc>
        <w:tc>
          <w:tcPr>
            <w:tcW w:w="120" w:type="dxa"/>
            <w:vAlign w:val="bottom"/>
            <w:shd w:val="clear" w:color="auto" w:fill="CFF0FC"/>
          </w:tcPr>
          <w:p>
            <w:pPr>
              <w:spacing w:after="0"/>
              <w:rPr>
                <w:sz w:val="12"/>
                <w:szCs w:val="12"/>
                <w:color w:val="auto"/>
              </w:rPr>
            </w:pPr>
          </w:p>
        </w:tc>
      </w:tr>
      <w:tr>
        <w:trPr>
          <w:trHeight w:val="148"/>
        </w:trPr>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Radius Aerospace, Inc.</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rPr>
              <w:t>(8)(13)(14)</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Initial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6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Aerospace and Defense</w:t>
            </w: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7"/>
              </w:rPr>
              <w:t>6.8%</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3 Month Libor (1.00%) + 5.75%;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Floor 1.00% , Due 3/25</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6/27/2019</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6,877,500</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6,801,385</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6,351,371</w:t>
            </w:r>
          </w:p>
        </w:tc>
        <w:tc>
          <w:tcPr>
            <w:tcW w:w="120" w:type="dxa"/>
            <w:vAlign w:val="bottom"/>
            <w:shd w:val="clear" w:color="auto" w:fill="CFF0FC"/>
          </w:tcPr>
          <w:p>
            <w:pPr>
              <w:spacing w:after="0"/>
              <w:rPr>
                <w:sz w:val="12"/>
                <w:szCs w:val="12"/>
                <w:color w:val="auto"/>
              </w:rPr>
            </w:pPr>
          </w:p>
        </w:tc>
      </w:tr>
      <w:tr>
        <w:trPr>
          <w:trHeight w:val="148"/>
        </w:trPr>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Ravn Air Group, Inc.</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rPr>
              <w:t>(5)(8)(13)</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Initial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640" w:type="dxa"/>
            <w:vAlign w:val="bottom"/>
            <w:shd w:val="clear" w:color="auto" w:fill="CFF0FC"/>
          </w:tcPr>
          <w:p>
            <w:pPr>
              <w:ind w:left="160"/>
              <w:spacing w:after="0"/>
              <w:rPr>
                <w:sz w:val="20"/>
                <w:szCs w:val="20"/>
                <w:color w:val="auto"/>
              </w:rPr>
            </w:pPr>
            <w:r>
              <w:rPr>
                <w:rFonts w:ascii="Arial" w:cs="Arial" w:eastAsia="Arial" w:hAnsi="Arial"/>
                <w:sz w:val="13"/>
                <w:szCs w:val="13"/>
                <w:color w:val="auto"/>
              </w:rPr>
              <w:t>Aerospace and Defense</w:t>
            </w: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0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w w:val="87"/>
              </w:rPr>
              <w:t>6.0%</w:t>
            </w:r>
          </w:p>
        </w:tc>
        <w:tc>
          <w:tcPr>
            <w:tcW w:w="268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Cash, Due 7/21</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7/29/2015</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1,015,351</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247,543</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225,306</w:t>
            </w:r>
          </w:p>
        </w:tc>
        <w:tc>
          <w:tcPr>
            <w:tcW w:w="120" w:type="dxa"/>
            <w:vAlign w:val="bottom"/>
            <w:shd w:val="clear" w:color="auto" w:fill="CFF0FC"/>
          </w:tcPr>
          <w:p>
            <w:pPr>
              <w:spacing w:after="0"/>
              <w:rPr>
                <w:sz w:val="12"/>
                <w:szCs w:val="12"/>
                <w:color w:val="auto"/>
              </w:rPr>
            </w:pPr>
          </w:p>
        </w:tc>
      </w:tr>
      <w:tr>
        <w:trPr>
          <w:trHeight w:val="148"/>
        </w:trPr>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Ritedose Holdings I, Inc</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rPr>
              <w:t>(8)(13)(14)</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Revolver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640" w:type="dxa"/>
            <w:vAlign w:val="bottom"/>
            <w:shd w:val="clear" w:color="auto" w:fill="CFF0FC"/>
          </w:tcPr>
          <w:p>
            <w:pPr>
              <w:ind w:left="160"/>
              <w:spacing w:after="0"/>
              <w:rPr>
                <w:sz w:val="20"/>
                <w:szCs w:val="20"/>
                <w:color w:val="auto"/>
              </w:rPr>
            </w:pPr>
            <w:r>
              <w:rPr>
                <w:rFonts w:ascii="Arial" w:cs="Arial" w:eastAsia="Arial" w:hAnsi="Arial"/>
                <w:sz w:val="13"/>
                <w:szCs w:val="13"/>
                <w:color w:val="auto"/>
              </w:rPr>
              <w:t>Healthcare &amp; Pharmaceuticals</w:t>
            </w: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0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w w:val="87"/>
              </w:rPr>
              <w:t>0.5%</w:t>
            </w:r>
          </w:p>
        </w:tc>
        <w:tc>
          <w:tcPr>
            <w:tcW w:w="268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Cash, Due 9/23</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(0)</w:t>
            </w: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(1,988)</w:t>
            </w:r>
          </w:p>
        </w:tc>
      </w:tr>
      <w:tr>
        <w:trPr>
          <w:trHeight w:val="149"/>
        </w:trPr>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Ritedose Holdings I, Inc</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rPr>
              <w:t>(8)(13)(14)</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First Lien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6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Healthcare &amp; Pharmaceuticals</w:t>
            </w: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7"/>
              </w:rPr>
              <w:t>7.5%</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3 Month Libor (1.00%) + 6.50%;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Floor 1.00% , Due 9/23</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7,457,779</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6,506,876</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7,430,185</w:t>
            </w:r>
          </w:p>
        </w:tc>
        <w:tc>
          <w:tcPr>
            <w:tcW w:w="120" w:type="dxa"/>
            <w:vAlign w:val="bottom"/>
            <w:shd w:val="clear" w:color="auto" w:fill="CFF0FC"/>
          </w:tcPr>
          <w:p>
            <w:pPr>
              <w:spacing w:after="0"/>
              <w:rPr>
                <w:sz w:val="12"/>
                <w:szCs w:val="12"/>
                <w:color w:val="auto"/>
              </w:rPr>
            </w:pPr>
          </w:p>
        </w:tc>
      </w:tr>
      <w:tr>
        <w:trPr>
          <w:trHeight w:val="148"/>
        </w:trPr>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Riverside Fund V, L.P.</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rPr>
              <w:t>(13)(21)</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640" w:type="dxa"/>
            <w:vAlign w:val="bottom"/>
            <w:shd w:val="clear" w:color="auto" w:fill="CFF0FC"/>
          </w:tcPr>
          <w:p>
            <w:pPr>
              <w:ind w:left="160"/>
              <w:spacing w:after="0"/>
              <w:rPr>
                <w:sz w:val="20"/>
                <w:szCs w:val="20"/>
                <w:color w:val="auto"/>
              </w:rPr>
            </w:pPr>
            <w:r>
              <w:rPr>
                <w:rFonts w:ascii="Arial" w:cs="Arial" w:eastAsia="Arial" w:hAnsi="Arial"/>
                <w:sz w:val="13"/>
                <w:szCs w:val="13"/>
                <w:color w:val="auto"/>
                <w:w w:val="99"/>
              </w:rPr>
              <w:t>Banking, Finance, Insurance &amp; Real Estate</w:t>
            </w: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0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w w:val="87"/>
              </w:rPr>
              <w:t>9.5%</w:t>
            </w:r>
          </w:p>
        </w:tc>
        <w:tc>
          <w:tcPr>
            <w:tcW w:w="268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Cash, Due 3/21</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2,500,000</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2,475,000</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2,475,000</w:t>
            </w:r>
          </w:p>
        </w:tc>
        <w:tc>
          <w:tcPr>
            <w:tcW w:w="120" w:type="dxa"/>
            <w:vAlign w:val="bottom"/>
            <w:shd w:val="clear" w:color="auto" w:fill="CFF0FC"/>
          </w:tcPr>
          <w:p>
            <w:pPr>
              <w:spacing w:after="0"/>
              <w:rPr>
                <w:sz w:val="12"/>
                <w:szCs w:val="12"/>
                <w:color w:val="auto"/>
              </w:rPr>
            </w:pPr>
          </w:p>
        </w:tc>
      </w:tr>
      <w:tr>
        <w:trPr>
          <w:trHeight w:val="148"/>
        </w:trPr>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Robertshaw US Holding Corp.</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rPr>
              <w:t>(8)(13)</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Junior Secured Loan — Initial Term Loan (Second</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6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Capital Equipment</w:t>
            </w: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9"/>
              </w:rPr>
              <w:t>Lien)</w:t>
            </w:r>
          </w:p>
        </w:tc>
        <w:tc>
          <w:tcPr>
            <w:tcW w:w="25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6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7"/>
              </w:rPr>
              <w:t>9.0%</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1 Month Libor (1.00%) + 8.00%;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Floor 1.00% , Due 2/26</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2/15/2018</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3,000,000</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2,980,618</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2,393,100</w:t>
            </w:r>
          </w:p>
        </w:tc>
        <w:tc>
          <w:tcPr>
            <w:tcW w:w="120" w:type="dxa"/>
            <w:vAlign w:val="bottom"/>
            <w:shd w:val="clear" w:color="auto" w:fill="CFF0FC"/>
          </w:tcPr>
          <w:p>
            <w:pPr>
              <w:spacing w:after="0"/>
              <w:rPr>
                <w:sz w:val="12"/>
                <w:szCs w:val="12"/>
                <w:color w:val="auto"/>
              </w:rPr>
            </w:pPr>
          </w:p>
        </w:tc>
      </w:tr>
      <w:tr>
        <w:trPr>
          <w:trHeight w:val="149"/>
        </w:trPr>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Roscoe Medical, Inc.</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rPr>
              <w:t>(8)(13)</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Junior Secured Loan — Term Loan (Second Lien)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640" w:type="dxa"/>
            <w:vAlign w:val="bottom"/>
            <w:shd w:val="clear" w:color="auto" w:fill="CFF0FC"/>
          </w:tcPr>
          <w:p>
            <w:pPr>
              <w:ind w:left="160"/>
              <w:spacing w:after="0"/>
              <w:rPr>
                <w:sz w:val="20"/>
                <w:szCs w:val="20"/>
                <w:color w:val="auto"/>
              </w:rPr>
            </w:pPr>
            <w:r>
              <w:rPr>
                <w:rFonts w:ascii="Arial" w:cs="Arial" w:eastAsia="Arial" w:hAnsi="Arial"/>
                <w:sz w:val="13"/>
                <w:szCs w:val="13"/>
                <w:color w:val="auto"/>
              </w:rPr>
              <w:t>Healthcare &amp; Pharmaceuticals</w:t>
            </w: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11.3% Cash, Due 3/21</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3/26/2014</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8,201,777</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8,199,552</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7,894,210</w:t>
            </w:r>
          </w:p>
        </w:tc>
        <w:tc>
          <w:tcPr>
            <w:tcW w:w="120" w:type="dxa"/>
            <w:vAlign w:val="bottom"/>
            <w:shd w:val="clear" w:color="auto" w:fill="CFF0FC"/>
          </w:tcPr>
          <w:p>
            <w:pPr>
              <w:spacing w:after="0"/>
              <w:rPr>
                <w:sz w:val="12"/>
                <w:szCs w:val="12"/>
                <w:color w:val="auto"/>
              </w:rPr>
            </w:pPr>
          </w:p>
        </w:tc>
      </w:tr>
      <w:tr>
        <w:trPr>
          <w:trHeight w:val="148"/>
        </w:trPr>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Safe Fleet Holdings LLC</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rPr>
              <w:t>(8)(14)</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Junior Secured Loan — Initial Term Loan (Second</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6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Automotive</w:t>
            </w: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9"/>
              </w:rPr>
              <w:t>Lien)</w:t>
            </w:r>
          </w:p>
        </w:tc>
        <w:tc>
          <w:tcPr>
            <w:tcW w:w="25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6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7"/>
              </w:rPr>
              <w:t>7.8%</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6 month Libor (1.00%) + 6.75%;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Floor 1.00% , Due 2/26</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12/18/2019</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700,000</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624,061</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616,875</w:t>
            </w:r>
          </w:p>
        </w:tc>
        <w:tc>
          <w:tcPr>
            <w:tcW w:w="120" w:type="dxa"/>
            <w:vAlign w:val="bottom"/>
            <w:shd w:val="clear" w:color="auto" w:fill="CFF0FC"/>
          </w:tcPr>
          <w:p>
            <w:pPr>
              <w:spacing w:after="0"/>
              <w:rPr>
                <w:sz w:val="12"/>
                <w:szCs w:val="12"/>
                <w:color w:val="auto"/>
              </w:rPr>
            </w:pPr>
          </w:p>
        </w:tc>
      </w:tr>
      <w:tr>
        <w:trPr>
          <w:trHeight w:val="149"/>
        </w:trPr>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San Vicente Capital LLC</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w w:val="94"/>
              </w:rPr>
              <w:t>(8)(13)(14)(21)</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6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Telecommunications</w:t>
            </w: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7"/>
              </w:rPr>
              <w:t>9.5%</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3 Month Libor (1.50%) + 8.00%;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Floor 1.50% , Due 6/25</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6/10/2020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3,000,000</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2,960,051</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3,003,900</w:t>
            </w:r>
          </w:p>
        </w:tc>
        <w:tc>
          <w:tcPr>
            <w:tcW w:w="120" w:type="dxa"/>
            <w:vAlign w:val="bottom"/>
            <w:shd w:val="clear" w:color="auto" w:fill="CFF0FC"/>
          </w:tcPr>
          <w:p>
            <w:pPr>
              <w:spacing w:after="0"/>
              <w:rPr>
                <w:sz w:val="12"/>
                <w:szCs w:val="1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25"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49"/>
        </w:trPr>
        <w:tc>
          <w:tcPr>
            <w:tcW w:w="2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Initial</w:t>
            </w: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35"/>
        </w:trPr>
        <w:tc>
          <w:tcPr>
            <w:tcW w:w="2640" w:type="dxa"/>
            <w:vAlign w:val="bottom"/>
          </w:tcPr>
          <w:p>
            <w:pPr>
              <w:spacing w:after="0" w:line="135" w:lineRule="exact"/>
              <w:rPr>
                <w:sz w:val="20"/>
                <w:szCs w:val="20"/>
                <w:color w:val="auto"/>
              </w:rPr>
            </w:pPr>
            <w:r>
              <w:rPr>
                <w:rFonts w:ascii="Arial" w:cs="Arial" w:eastAsia="Arial" w:hAnsi="Arial"/>
                <w:sz w:val="13"/>
                <w:szCs w:val="13"/>
                <w:b w:val="1"/>
                <w:bCs w:val="1"/>
                <w:color w:val="auto"/>
              </w:rPr>
              <w:t>Portfolio Company /</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80" w:type="dxa"/>
            <w:vAlign w:val="bottom"/>
            <w:gridSpan w:val="2"/>
          </w:tcPr>
          <w:p>
            <w:pPr>
              <w:ind w:left="840"/>
              <w:spacing w:after="0" w:line="135" w:lineRule="exact"/>
              <w:rPr>
                <w:sz w:val="20"/>
                <w:szCs w:val="20"/>
                <w:color w:val="auto"/>
              </w:rPr>
            </w:pPr>
            <w:r>
              <w:rPr>
                <w:rFonts w:ascii="Arial" w:cs="Arial" w:eastAsia="Arial" w:hAnsi="Arial"/>
                <w:sz w:val="13"/>
                <w:szCs w:val="13"/>
                <w:b w:val="1"/>
                <w:bCs w:val="1"/>
                <w:color w:val="auto"/>
              </w:rPr>
              <w:t>Investment</w:t>
            </w:r>
          </w:p>
        </w:tc>
        <w:tc>
          <w:tcPr>
            <w:tcW w:w="11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gridSpan w:val="2"/>
          </w:tcPr>
          <w:p>
            <w:pPr>
              <w:ind w:left="280"/>
              <w:spacing w:after="0" w:line="135" w:lineRule="exact"/>
              <w:rPr>
                <w:sz w:val="20"/>
                <w:szCs w:val="20"/>
                <w:color w:val="auto"/>
              </w:rPr>
            </w:pPr>
            <w:r>
              <w:rPr>
                <w:rFonts w:ascii="Arial" w:cs="Arial" w:eastAsia="Arial" w:hAnsi="Arial"/>
                <w:sz w:val="13"/>
                <w:szCs w:val="13"/>
                <w:b w:val="1"/>
                <w:bCs w:val="1"/>
                <w:color w:val="auto"/>
              </w:rPr>
              <w:t>Amortized</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3"/>
        </w:trPr>
        <w:tc>
          <w:tcPr>
            <w:tcW w:w="26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Principal Business</w:t>
            </w:r>
          </w:p>
        </w:tc>
        <w:tc>
          <w:tcPr>
            <w:tcW w:w="300" w:type="dxa"/>
            <w:vAlign w:val="bottom"/>
            <w:tcBorders>
              <w:bottom w:val="single" w:sz="8" w:color="auto"/>
            </w:tcBorders>
          </w:tcPr>
          <w:p>
            <w:pPr>
              <w:spacing w:after="0"/>
              <w:rPr>
                <w:sz w:val="13"/>
                <w:szCs w:val="13"/>
                <w:color w:val="auto"/>
              </w:rPr>
            </w:pPr>
          </w:p>
        </w:tc>
        <w:tc>
          <w:tcPr>
            <w:tcW w:w="7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560" w:type="dxa"/>
            <w:vAlign w:val="bottom"/>
            <w:tcBorders>
              <w:bottom w:val="single" w:sz="8" w:color="auto"/>
            </w:tcBorders>
          </w:tcPr>
          <w:p>
            <w:pPr>
              <w:ind w:left="420"/>
              <w:spacing w:after="0"/>
              <w:rPr>
                <w:sz w:val="20"/>
                <w:szCs w:val="20"/>
                <w:color w:val="auto"/>
              </w:rPr>
            </w:pPr>
            <w:r>
              <w:rPr>
                <w:rFonts w:ascii="Arial" w:cs="Arial" w:eastAsia="Arial" w:hAnsi="Arial"/>
                <w:sz w:val="13"/>
                <w:szCs w:val="13"/>
                <w:b w:val="1"/>
                <w:bCs w:val="1"/>
                <w:color w:val="auto"/>
              </w:rPr>
              <w:t>Interest Rate¹ / Maturity</w:t>
            </w:r>
            <w:r>
              <w:rPr>
                <w:rFonts w:ascii="Arial" w:cs="Arial" w:eastAsia="Arial" w:hAnsi="Arial"/>
                <w:sz w:val="10"/>
                <w:szCs w:val="10"/>
                <w:b w:val="1"/>
                <w:bCs w:val="1"/>
                <w:color w:val="auto"/>
              </w:rPr>
              <w:t>15</w:t>
            </w:r>
          </w:p>
        </w:tc>
        <w:tc>
          <w:tcPr>
            <w:tcW w:w="12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Date</w:t>
            </w:r>
          </w:p>
        </w:tc>
        <w:tc>
          <w:tcPr>
            <w:tcW w:w="120" w:type="dxa"/>
            <w:vAlign w:val="bottom"/>
            <w:tcBorders>
              <w:bottom w:val="single" w:sz="8" w:color="CFF0FC"/>
            </w:tcBorders>
          </w:tcPr>
          <w:p>
            <w:pPr>
              <w:spacing w:after="0"/>
              <w:rPr>
                <w:sz w:val="13"/>
                <w:szCs w:val="13"/>
                <w:color w:val="auto"/>
              </w:rPr>
            </w:pPr>
          </w:p>
        </w:tc>
        <w:tc>
          <w:tcPr>
            <w:tcW w:w="8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Principal</w:t>
            </w:r>
          </w:p>
        </w:tc>
        <w:tc>
          <w:tcPr>
            <w:tcW w:w="220" w:type="dxa"/>
            <w:vAlign w:val="bottom"/>
            <w:tcBorders>
              <w:bottom w:val="single" w:sz="8" w:color="CFF0FC"/>
            </w:tcBorders>
          </w:tcPr>
          <w:p>
            <w:pPr>
              <w:spacing w:after="0"/>
              <w:rPr>
                <w:sz w:val="13"/>
                <w:szCs w:val="13"/>
                <w:color w:val="auto"/>
              </w:rPr>
            </w:pPr>
          </w:p>
        </w:tc>
        <w:tc>
          <w:tcPr>
            <w:tcW w:w="1140" w:type="dxa"/>
            <w:vAlign w:val="bottom"/>
            <w:tcBorders>
              <w:bottom w:val="single" w:sz="8" w:color="auto"/>
            </w:tcBorders>
          </w:tcPr>
          <w:p>
            <w:pPr>
              <w:jc w:val="right"/>
              <w:ind w:right="397"/>
              <w:spacing w:after="0"/>
              <w:rPr>
                <w:sz w:val="20"/>
                <w:szCs w:val="20"/>
                <w:color w:val="auto"/>
              </w:rPr>
            </w:pPr>
            <w:r>
              <w:rPr>
                <w:rFonts w:ascii="Arial" w:cs="Arial" w:eastAsia="Arial" w:hAnsi="Arial"/>
                <w:sz w:val="13"/>
                <w:szCs w:val="13"/>
                <w:b w:val="1"/>
                <w:bCs w:val="1"/>
                <w:color w:val="auto"/>
              </w:rPr>
              <w:t>Cost</w:t>
            </w:r>
          </w:p>
        </w:tc>
        <w:tc>
          <w:tcPr>
            <w:tcW w:w="22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0"/>
                <w:szCs w:val="10"/>
                <w:b w:val="1"/>
                <w:bCs w:val="1"/>
                <w:color w:val="auto"/>
              </w:rPr>
              <w:t>2</w:t>
            </w:r>
          </w:p>
        </w:tc>
        <w:tc>
          <w:tcPr>
            <w:tcW w:w="120" w:type="dxa"/>
            <w:vAlign w:val="bottom"/>
            <w:tcBorders>
              <w:bottom w:val="single" w:sz="8" w:color="CFF0FC"/>
            </w:tcBorders>
          </w:tcPr>
          <w:p>
            <w:pPr>
              <w:spacing w:after="0"/>
              <w:rPr>
                <w:sz w:val="13"/>
                <w:szCs w:val="13"/>
                <w:color w:val="auto"/>
              </w:rPr>
            </w:pPr>
          </w:p>
        </w:tc>
      </w:tr>
      <w:tr>
        <w:trPr>
          <w:trHeight w:val="128"/>
        </w:trPr>
        <w:tc>
          <w:tcPr>
            <w:tcW w:w="2640" w:type="dxa"/>
            <w:vAlign w:val="bottom"/>
            <w:shd w:val="clear" w:color="auto" w:fill="CFF0FC"/>
          </w:tcPr>
          <w:p>
            <w:pPr>
              <w:spacing w:after="0" w:line="128" w:lineRule="exact"/>
              <w:rPr>
                <w:sz w:val="20"/>
                <w:szCs w:val="20"/>
                <w:color w:val="auto"/>
              </w:rPr>
            </w:pPr>
            <w:r>
              <w:rPr>
                <w:rFonts w:ascii="Arial" w:cs="Arial" w:eastAsia="Arial" w:hAnsi="Arial"/>
                <w:sz w:val="13"/>
                <w:szCs w:val="13"/>
                <w:color w:val="auto"/>
              </w:rPr>
              <w:t>SCSG EA Acquisition Company, Inc.</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rPr>
              <w:t>(8)(13)(14)</w:t>
            </w:r>
          </w:p>
        </w:tc>
        <w:tc>
          <w:tcPr>
            <w:tcW w:w="20" w:type="dxa"/>
            <w:vAlign w:val="bottom"/>
            <w:shd w:val="clear" w:color="auto" w:fill="CFF0FC"/>
          </w:tcPr>
          <w:p>
            <w:pPr>
              <w:spacing w:after="0"/>
              <w:rPr>
                <w:sz w:val="11"/>
                <w:szCs w:val="11"/>
                <w:color w:val="auto"/>
              </w:rPr>
            </w:pPr>
          </w:p>
        </w:tc>
        <w:tc>
          <w:tcPr>
            <w:tcW w:w="2840" w:type="dxa"/>
            <w:vAlign w:val="bottom"/>
            <w:gridSpan w:val="2"/>
            <w:shd w:val="clear" w:color="auto" w:fill="CFF0FC"/>
          </w:tcPr>
          <w:p>
            <w:pPr>
              <w:spacing w:after="0" w:line="128" w:lineRule="exact"/>
              <w:rPr>
                <w:sz w:val="20"/>
                <w:szCs w:val="20"/>
                <w:color w:val="auto"/>
              </w:rPr>
            </w:pPr>
            <w:r>
              <w:rPr>
                <w:rFonts w:ascii="Arial" w:cs="Arial" w:eastAsia="Arial" w:hAnsi="Arial"/>
                <w:sz w:val="13"/>
                <w:szCs w:val="13"/>
                <w:color w:val="auto"/>
                <w:w w:val="97"/>
              </w:rPr>
              <w:t>Junior Secured Loan — Initial Term Loan (Second</w:t>
            </w: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6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Healthcare &amp; Pharmaceuticals</w:t>
            </w: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9"/>
              </w:rPr>
              <w:t>Lien)</w:t>
            </w:r>
          </w:p>
        </w:tc>
        <w:tc>
          <w:tcPr>
            <w:tcW w:w="25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6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7"/>
              </w:rPr>
              <w:t>9.3%</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3 Month Libor (1.00%) + 8.25%;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Floor 1.00% , Due 9/24</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8/18/2017</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6,000,000</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5,968,089</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5,761,200</w:t>
            </w:r>
          </w:p>
        </w:tc>
        <w:tc>
          <w:tcPr>
            <w:tcW w:w="120" w:type="dxa"/>
            <w:vAlign w:val="bottom"/>
            <w:shd w:val="clear" w:color="auto" w:fill="CFF0FC"/>
          </w:tcPr>
          <w:p>
            <w:pPr>
              <w:spacing w:after="0"/>
              <w:rPr>
                <w:sz w:val="12"/>
                <w:szCs w:val="12"/>
                <w:color w:val="auto"/>
              </w:rPr>
            </w:pPr>
          </w:p>
        </w:tc>
      </w:tr>
      <w:tr>
        <w:trPr>
          <w:trHeight w:val="148"/>
        </w:trPr>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Shipston Group, U.S., Inc.</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w w:val="94"/>
              </w:rPr>
              <w:t>(8)(13)(14)(20)</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First Lien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6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Automotive</w:t>
            </w: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7"/>
              </w:rPr>
              <w:t>7.5%</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2.4% PIK, 1 Month Libor (1.25%) +</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8.65%; Libor Floor 1.25% , Due 9/23</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6,299,241</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5,355,206</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6,124,122</w:t>
            </w:r>
          </w:p>
        </w:tc>
        <w:tc>
          <w:tcPr>
            <w:tcW w:w="120" w:type="dxa"/>
            <w:vAlign w:val="bottom"/>
            <w:shd w:val="clear" w:color="auto" w:fill="CFF0FC"/>
          </w:tcPr>
          <w:p>
            <w:pPr>
              <w:spacing w:after="0"/>
              <w:rPr>
                <w:sz w:val="12"/>
                <w:szCs w:val="12"/>
                <w:color w:val="auto"/>
              </w:rPr>
            </w:pPr>
          </w:p>
        </w:tc>
      </w:tr>
      <w:tr>
        <w:trPr>
          <w:trHeight w:val="149"/>
        </w:trPr>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Smartronix, Inc,</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w w:val="94"/>
              </w:rPr>
              <w:t>(8)(13)(14)(21)</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Initial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6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Services: Business</w:t>
            </w: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7"/>
              </w:rPr>
              <w:t>7.5%</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3 Month Libor (1.50%) + 6.00%;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Floor 1.50% , Due 12/25</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4,962,406</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4,742,756</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4,815,519</w:t>
            </w:r>
          </w:p>
        </w:tc>
        <w:tc>
          <w:tcPr>
            <w:tcW w:w="120" w:type="dxa"/>
            <w:vAlign w:val="bottom"/>
            <w:shd w:val="clear" w:color="auto" w:fill="CFF0FC"/>
          </w:tcPr>
          <w:p>
            <w:pPr>
              <w:spacing w:after="0"/>
              <w:rPr>
                <w:sz w:val="12"/>
                <w:szCs w:val="12"/>
                <w:color w:val="auto"/>
              </w:rPr>
            </w:pPr>
          </w:p>
        </w:tc>
      </w:tr>
      <w:tr>
        <w:trPr>
          <w:trHeight w:val="148"/>
        </w:trPr>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Sundance Holdings Group, LLC</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w w:val="94"/>
              </w:rPr>
              <w:t>(8)(13)(14)(20)</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First Lien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6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Retail</w:t>
            </w: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7"/>
              </w:rPr>
              <w:t>7.2%</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2.0% PIK, 3 Month Libor (1.00%) +</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6.23%; Libor Floor 1.00% , Due 5/24</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6,768,583</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5,790,208</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6,597,338</w:t>
            </w:r>
          </w:p>
        </w:tc>
        <w:tc>
          <w:tcPr>
            <w:tcW w:w="120" w:type="dxa"/>
            <w:vAlign w:val="bottom"/>
            <w:shd w:val="clear" w:color="auto" w:fill="CFF0FC"/>
          </w:tcPr>
          <w:p>
            <w:pPr>
              <w:spacing w:after="0"/>
              <w:rPr>
                <w:sz w:val="12"/>
                <w:szCs w:val="12"/>
                <w:color w:val="auto"/>
              </w:rPr>
            </w:pPr>
          </w:p>
        </w:tc>
      </w:tr>
      <w:tr>
        <w:trPr>
          <w:trHeight w:val="148"/>
        </w:trPr>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Surgical Specialties Corporation (Us), Inc.</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rPr>
              <w:t>(3)(13)(14)</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First Lien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640" w:type="dxa"/>
            <w:vAlign w:val="bottom"/>
            <w:shd w:val="clear" w:color="auto" w:fill="CFF0FC"/>
          </w:tcPr>
          <w:p>
            <w:pPr>
              <w:ind w:left="160"/>
              <w:spacing w:after="0"/>
              <w:rPr>
                <w:sz w:val="20"/>
                <w:szCs w:val="20"/>
                <w:color w:val="auto"/>
              </w:rPr>
            </w:pPr>
            <w:r>
              <w:rPr>
                <w:rFonts w:ascii="Arial" w:cs="Arial" w:eastAsia="Arial" w:hAnsi="Arial"/>
                <w:sz w:val="13"/>
                <w:szCs w:val="13"/>
                <w:color w:val="auto"/>
              </w:rPr>
              <w:t>Healthcare &amp; Pharmaceuticals</w:t>
            </w: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0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w w:val="87"/>
              </w:rPr>
              <w:t>5.2%</w:t>
            </w:r>
          </w:p>
        </w:tc>
        <w:tc>
          <w:tcPr>
            <w:tcW w:w="268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w w:val="93"/>
              </w:rPr>
              <w:t>Cash, 1 Month Libor (0.15%) + 5.00% , Due 5/25</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4,341,432</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3,483,355</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3,963,727</w:t>
            </w:r>
          </w:p>
        </w:tc>
        <w:tc>
          <w:tcPr>
            <w:tcW w:w="120" w:type="dxa"/>
            <w:vAlign w:val="bottom"/>
            <w:shd w:val="clear" w:color="auto" w:fill="CFF0FC"/>
          </w:tcPr>
          <w:p>
            <w:pPr>
              <w:spacing w:after="0"/>
              <w:rPr>
                <w:sz w:val="12"/>
                <w:szCs w:val="12"/>
                <w:color w:val="auto"/>
              </w:rPr>
            </w:pPr>
          </w:p>
        </w:tc>
      </w:tr>
      <w:tr>
        <w:trPr>
          <w:trHeight w:val="149"/>
        </w:trPr>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Tailwind Randys, LLC</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rPr>
              <w:t>(8)(13)(14)</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Initial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6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Automotive</w:t>
            </w: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7"/>
              </w:rPr>
              <w:t>6.0%</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3 Month Libor (1.00%) + 5.00%;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Floor 1.00% , Due 5/25</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6/27/2019</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4,925,000</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4,860,904</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4,910,717</w:t>
            </w:r>
          </w:p>
        </w:tc>
        <w:tc>
          <w:tcPr>
            <w:tcW w:w="120" w:type="dxa"/>
            <w:vAlign w:val="bottom"/>
            <w:shd w:val="clear" w:color="auto" w:fill="CFF0FC"/>
          </w:tcPr>
          <w:p>
            <w:pPr>
              <w:spacing w:after="0"/>
              <w:rPr>
                <w:sz w:val="12"/>
                <w:szCs w:val="12"/>
                <w:color w:val="auto"/>
              </w:rPr>
            </w:pPr>
          </w:p>
        </w:tc>
      </w:tr>
      <w:tr>
        <w:trPr>
          <w:trHeight w:val="148"/>
        </w:trPr>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Tank Partners Equipment Holdings LLC</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rPr>
              <w:t>(5)(8)(13)</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Unsecured Bond — 10.000% - 02/2022 -</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6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Energy: Oil &amp; Gas</w:t>
            </w: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980" w:type="dxa"/>
            <w:vAlign w:val="bottom"/>
            <w:gridSpan w:val="4"/>
            <w:shd w:val="clear" w:color="auto" w:fill="CFF0FC"/>
          </w:tcPr>
          <w:p>
            <w:pPr>
              <w:ind w:left="20"/>
              <w:spacing w:after="0" w:line="135" w:lineRule="exact"/>
              <w:rPr>
                <w:sz w:val="20"/>
                <w:szCs w:val="20"/>
                <w:color w:val="auto"/>
              </w:rPr>
            </w:pPr>
            <w:r>
              <w:rPr>
                <w:rFonts w:ascii="Arial" w:cs="Arial" w:eastAsia="Arial" w:hAnsi="Arial"/>
                <w:sz w:val="13"/>
                <w:szCs w:val="13"/>
                <w:color w:val="auto"/>
              </w:rPr>
              <w:t>TankConvert</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0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w w:val="87"/>
              </w:rPr>
              <w:t>0.0%</w:t>
            </w:r>
          </w:p>
        </w:tc>
        <w:tc>
          <w:tcPr>
            <w:tcW w:w="268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Cash, 10.0% PIK, Due 2/22</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2/15/2019</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481,051</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416,170</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207,766</w:t>
            </w:r>
          </w:p>
        </w:tc>
        <w:tc>
          <w:tcPr>
            <w:tcW w:w="120" w:type="dxa"/>
            <w:vAlign w:val="bottom"/>
            <w:shd w:val="clear" w:color="auto" w:fill="CFF0FC"/>
          </w:tcPr>
          <w:p>
            <w:pPr>
              <w:spacing w:after="0"/>
              <w:rPr>
                <w:sz w:val="12"/>
                <w:szCs w:val="12"/>
                <w:color w:val="auto"/>
              </w:rPr>
            </w:pPr>
          </w:p>
        </w:tc>
      </w:tr>
      <w:tr>
        <w:trPr>
          <w:trHeight w:val="148"/>
        </w:trPr>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Tex-Tech Industries, Inc.</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rPr>
              <w:t>(8)(13)(14)</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Junior Secured Loan — Term Loan (Second Lien)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6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Textiles and Leather</w:t>
            </w: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980" w:type="dxa"/>
            <w:vAlign w:val="bottom"/>
            <w:gridSpan w:val="4"/>
            <w:shd w:val="clear" w:color="auto" w:fill="CFF0FC"/>
          </w:tcPr>
          <w:p>
            <w:pPr>
              <w:ind w:left="20"/>
              <w:spacing w:after="0" w:line="135" w:lineRule="exact"/>
              <w:rPr>
                <w:sz w:val="20"/>
                <w:szCs w:val="20"/>
                <w:color w:val="auto"/>
              </w:rPr>
            </w:pPr>
            <w:r>
              <w:rPr>
                <w:rFonts w:ascii="Arial" w:cs="Arial" w:eastAsia="Arial" w:hAnsi="Arial"/>
                <w:sz w:val="13"/>
                <w:szCs w:val="13"/>
                <w:color w:val="auto"/>
                <w:w w:val="99"/>
              </w:rPr>
              <w:t>10.0% Cash, 1 Month Libor (1.00%) + 9.00%;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Floor 1.00% , Due 8/24</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8/24/2017</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12,508,000</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12,415,194</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10,860,696</w:t>
            </w:r>
          </w:p>
        </w:tc>
        <w:tc>
          <w:tcPr>
            <w:tcW w:w="120" w:type="dxa"/>
            <w:vAlign w:val="bottom"/>
            <w:shd w:val="clear" w:color="auto" w:fill="CFF0FC"/>
          </w:tcPr>
          <w:p>
            <w:pPr>
              <w:spacing w:after="0"/>
              <w:rPr>
                <w:sz w:val="12"/>
                <w:szCs w:val="12"/>
                <w:color w:val="auto"/>
              </w:rPr>
            </w:pPr>
          </w:p>
        </w:tc>
      </w:tr>
      <w:tr>
        <w:trPr>
          <w:trHeight w:val="149"/>
        </w:trPr>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The Cook &amp; Boardman Group, LLC</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rPr>
              <w:t>(8)(14)</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First Lien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6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Construction &amp; Building</w:t>
            </w: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7"/>
              </w:rPr>
              <w:t>6.8%</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3 Month Libor (1.00%) + 5.75%;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Floor 1.00% , Due 10/25</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1,635,880</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1,377,740</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1,564,311</w:t>
            </w:r>
          </w:p>
        </w:tc>
        <w:tc>
          <w:tcPr>
            <w:tcW w:w="120" w:type="dxa"/>
            <w:vAlign w:val="bottom"/>
            <w:shd w:val="clear" w:color="auto" w:fill="CFF0FC"/>
          </w:tcPr>
          <w:p>
            <w:pPr>
              <w:spacing w:after="0"/>
              <w:rPr>
                <w:sz w:val="12"/>
                <w:szCs w:val="12"/>
                <w:color w:val="auto"/>
              </w:rPr>
            </w:pPr>
          </w:p>
        </w:tc>
      </w:tr>
      <w:tr>
        <w:trPr>
          <w:trHeight w:val="148"/>
        </w:trPr>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The Edelman Financial Center, LLC</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rPr>
              <w:t>(8)(14)</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Junior Secured Loan — Initial Term Loan (Second</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6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w w:val="99"/>
              </w:rPr>
              <w:t>Banking, Finance, Insurance &amp; Real Estate</w:t>
            </w: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9"/>
              </w:rPr>
              <w:t>Lien)</w:t>
            </w:r>
          </w:p>
        </w:tc>
        <w:tc>
          <w:tcPr>
            <w:tcW w:w="25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0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w w:val="87"/>
              </w:rPr>
              <w:t>6.9%</w:t>
            </w:r>
          </w:p>
        </w:tc>
        <w:tc>
          <w:tcPr>
            <w:tcW w:w="268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w w:val="93"/>
              </w:rPr>
              <w:t>Cash, 1 Month Libor (0.11%) + 6.75% , Due 7/26</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12/18/2019</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300,000</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272,637</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302,250</w:t>
            </w:r>
          </w:p>
        </w:tc>
        <w:tc>
          <w:tcPr>
            <w:tcW w:w="120" w:type="dxa"/>
            <w:vAlign w:val="bottom"/>
            <w:shd w:val="clear" w:color="auto" w:fill="CFF0FC"/>
          </w:tcPr>
          <w:p>
            <w:pPr>
              <w:spacing w:after="0"/>
              <w:rPr>
                <w:sz w:val="12"/>
                <w:szCs w:val="12"/>
                <w:color w:val="auto"/>
              </w:rPr>
            </w:pPr>
          </w:p>
        </w:tc>
      </w:tr>
      <w:tr>
        <w:trPr>
          <w:trHeight w:val="149"/>
        </w:trPr>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Theragenics Corp</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rPr>
              <w:t>(8)(13)(14)</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First Lien Term Loan B</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6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Healthcare &amp; Pharmaceuticals</w:t>
            </w: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7"/>
              </w:rPr>
              <w:t>9.0%</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3 Month Libor (1.00%) + 8.00%;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Floor 1.00% , Due 5/24</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8,212,500</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7,015,358</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7,971,052</w:t>
            </w:r>
          </w:p>
        </w:tc>
        <w:tc>
          <w:tcPr>
            <w:tcW w:w="120" w:type="dxa"/>
            <w:vAlign w:val="bottom"/>
            <w:shd w:val="clear" w:color="auto" w:fill="CFF0FC"/>
          </w:tcPr>
          <w:p>
            <w:pPr>
              <w:spacing w:after="0"/>
              <w:rPr>
                <w:sz w:val="12"/>
                <w:szCs w:val="12"/>
                <w:color w:val="auto"/>
              </w:rPr>
            </w:pPr>
          </w:p>
        </w:tc>
      </w:tr>
      <w:tr>
        <w:trPr>
          <w:trHeight w:val="148"/>
        </w:trPr>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TLE Holdings, LLC</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w w:val="94"/>
              </w:rPr>
              <w:t>(8)(13)(14)(21)</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Initial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6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Healthcare, Education and Childcare</w:t>
            </w: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7"/>
              </w:rPr>
              <w:t>7.0%</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6 month Libor (1.00%) + 6.00%;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Floor 1.00% , Due 6/24</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6/27/2019</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5,631,157</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5,612,790</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5,490,378</w:t>
            </w:r>
          </w:p>
        </w:tc>
        <w:tc>
          <w:tcPr>
            <w:tcW w:w="120" w:type="dxa"/>
            <w:vAlign w:val="bottom"/>
            <w:shd w:val="clear" w:color="auto" w:fill="CFF0FC"/>
          </w:tcPr>
          <w:p>
            <w:pPr>
              <w:spacing w:after="0"/>
              <w:rPr>
                <w:sz w:val="12"/>
                <w:szCs w:val="12"/>
                <w:color w:val="auto"/>
              </w:rPr>
            </w:pPr>
          </w:p>
        </w:tc>
      </w:tr>
      <w:tr>
        <w:trPr>
          <w:trHeight w:val="148"/>
        </w:trPr>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6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TLE Holdings, LLC</w:t>
            </w:r>
          </w:p>
        </w:tc>
        <w:tc>
          <w:tcPr>
            <w:tcW w:w="100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w w:val="94"/>
              </w:rPr>
              <w:t>(8)(13)(14)(21)</w:t>
            </w:r>
          </w:p>
        </w:tc>
        <w:tc>
          <w:tcPr>
            <w:tcW w:w="2980" w:type="dxa"/>
            <w:vAlign w:val="bottom"/>
            <w:gridSpan w:val="4"/>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Delayed Draw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6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Healthcare, Education and Childcare</w:t>
            </w:r>
          </w:p>
        </w:tc>
        <w:tc>
          <w:tcPr>
            <w:tcW w:w="3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w w:val="87"/>
              </w:rPr>
              <w:t>7.0%</w:t>
            </w:r>
          </w:p>
        </w:tc>
        <w:tc>
          <w:tcPr>
            <w:tcW w:w="2680" w:type="dxa"/>
            <w:vAlign w:val="bottom"/>
            <w:gridSpan w:val="2"/>
            <w:shd w:val="clear" w:color="auto" w:fill="CFF0FC"/>
          </w:tcPr>
          <w:p>
            <w:pPr>
              <w:ind w:left="20"/>
              <w:spacing w:after="0" w:line="135" w:lineRule="exact"/>
              <w:rPr>
                <w:sz w:val="20"/>
                <w:szCs w:val="20"/>
                <w:color w:val="auto"/>
              </w:rPr>
            </w:pPr>
            <w:r>
              <w:rPr>
                <w:rFonts w:ascii="Arial" w:cs="Arial" w:eastAsia="Arial" w:hAnsi="Arial"/>
                <w:sz w:val="13"/>
                <w:szCs w:val="13"/>
                <w:color w:val="auto"/>
              </w:rPr>
              <w:t>Cash, 6 month Libor (1.00%) + 6.00%;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6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Floor 1.00% , Due 6/24</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6/27/2019</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742,874</w:t>
            </w:r>
          </w:p>
        </w:tc>
        <w:tc>
          <w:tcPr>
            <w:tcW w:w="22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741,666</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724,255</w:t>
            </w:r>
          </w:p>
        </w:tc>
        <w:tc>
          <w:tcPr>
            <w:tcW w:w="120" w:type="dxa"/>
            <w:vAlign w:val="bottom"/>
            <w:shd w:val="clear" w:color="auto" w:fill="CFF0FC"/>
          </w:tcPr>
          <w:p>
            <w:pPr>
              <w:spacing w:after="0"/>
              <w:rPr>
                <w:sz w:val="12"/>
                <w:szCs w:val="1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49"/>
        </w:trPr>
        <w:tc>
          <w:tcPr>
            <w:tcW w:w="2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w w:val="94"/>
              </w:rPr>
              <w:t>Initial</w:t>
            </w: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35"/>
        </w:trPr>
        <w:tc>
          <w:tcPr>
            <w:tcW w:w="2540" w:type="dxa"/>
            <w:vAlign w:val="bottom"/>
          </w:tcPr>
          <w:p>
            <w:pPr>
              <w:spacing w:after="0" w:line="135" w:lineRule="exact"/>
              <w:rPr>
                <w:sz w:val="20"/>
                <w:szCs w:val="20"/>
                <w:color w:val="auto"/>
              </w:rPr>
            </w:pPr>
            <w:r>
              <w:rPr>
                <w:rFonts w:ascii="Arial" w:cs="Arial" w:eastAsia="Arial" w:hAnsi="Arial"/>
                <w:sz w:val="13"/>
                <w:szCs w:val="13"/>
                <w:b w:val="1"/>
                <w:bCs w:val="1"/>
                <w:color w:val="auto"/>
              </w:rPr>
              <w:t>Portfolio Company /</w:t>
            </w: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9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Investment</w:t>
            </w:r>
          </w:p>
        </w:tc>
        <w:tc>
          <w:tcPr>
            <w:tcW w:w="1260" w:type="dxa"/>
            <w:vAlign w:val="bottom"/>
            <w:gridSpan w:val="3"/>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jc w:val="right"/>
              <w:ind w:right="217"/>
              <w:spacing w:after="0" w:line="135" w:lineRule="exact"/>
              <w:rPr>
                <w:sz w:val="20"/>
                <w:szCs w:val="20"/>
                <w:color w:val="auto"/>
              </w:rPr>
            </w:pPr>
            <w:r>
              <w:rPr>
                <w:rFonts w:ascii="Arial" w:cs="Arial" w:eastAsia="Arial" w:hAnsi="Arial"/>
                <w:sz w:val="13"/>
                <w:szCs w:val="13"/>
                <w:b w:val="1"/>
                <w:bCs w:val="1"/>
                <w:color w:val="auto"/>
              </w:rPr>
              <w:t>Amortized</w:t>
            </w: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3"/>
        </w:trPr>
        <w:tc>
          <w:tcPr>
            <w:tcW w:w="25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Principal Business</w:t>
            </w:r>
          </w:p>
        </w:tc>
        <w:tc>
          <w:tcPr>
            <w:tcW w:w="400" w:type="dxa"/>
            <w:vAlign w:val="bottom"/>
            <w:tcBorders>
              <w:bottom w:val="single" w:sz="8" w:color="auto"/>
            </w:tcBorders>
          </w:tcPr>
          <w:p>
            <w:pPr>
              <w:spacing w:after="0"/>
              <w:rPr>
                <w:sz w:val="13"/>
                <w:szCs w:val="13"/>
                <w:color w:val="auto"/>
              </w:rPr>
            </w:pPr>
          </w:p>
        </w:tc>
        <w:tc>
          <w:tcPr>
            <w:tcW w:w="7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Interest Rate¹ / Maturity</w:t>
            </w:r>
            <w:r>
              <w:rPr>
                <w:rFonts w:ascii="Arial" w:cs="Arial" w:eastAsia="Arial" w:hAnsi="Arial"/>
                <w:sz w:val="10"/>
                <w:szCs w:val="10"/>
                <w:b w:val="1"/>
                <w:bCs w:val="1"/>
                <w:color w:val="auto"/>
                <w:w w:val="92"/>
              </w:rPr>
              <w:t>15</w:t>
            </w:r>
          </w:p>
        </w:tc>
        <w:tc>
          <w:tcPr>
            <w:tcW w:w="12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Date</w:t>
            </w:r>
          </w:p>
        </w:tc>
        <w:tc>
          <w:tcPr>
            <w:tcW w:w="1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w w:val="98"/>
              </w:rPr>
              <w:t>Principal</w:t>
            </w:r>
          </w:p>
        </w:tc>
        <w:tc>
          <w:tcPr>
            <w:tcW w:w="2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7"/>
              <w:spacing w:after="0"/>
              <w:rPr>
                <w:sz w:val="20"/>
                <w:szCs w:val="20"/>
                <w:color w:val="auto"/>
              </w:rPr>
            </w:pPr>
            <w:r>
              <w:rPr>
                <w:rFonts w:ascii="Arial" w:cs="Arial" w:eastAsia="Arial" w:hAnsi="Arial"/>
                <w:sz w:val="13"/>
                <w:szCs w:val="13"/>
                <w:b w:val="1"/>
                <w:bCs w:val="1"/>
                <w:color w:val="auto"/>
              </w:rPr>
              <w:t>Cost</w:t>
            </w:r>
          </w:p>
        </w:tc>
        <w:tc>
          <w:tcPr>
            <w:tcW w:w="22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0"/>
                <w:szCs w:val="10"/>
                <w:b w:val="1"/>
                <w:bCs w:val="1"/>
                <w:color w:val="auto"/>
              </w:rPr>
              <w:t>2</w:t>
            </w:r>
          </w:p>
        </w:tc>
        <w:tc>
          <w:tcPr>
            <w:tcW w:w="120" w:type="dxa"/>
            <w:vAlign w:val="bottom"/>
            <w:tcBorders>
              <w:bottom w:val="single" w:sz="8" w:color="CFF0FC"/>
            </w:tcBorders>
          </w:tcPr>
          <w:p>
            <w:pPr>
              <w:spacing w:after="0"/>
              <w:rPr>
                <w:sz w:val="13"/>
                <w:szCs w:val="13"/>
                <w:color w:val="auto"/>
              </w:rPr>
            </w:pPr>
          </w:p>
        </w:tc>
      </w:tr>
      <w:tr>
        <w:trPr>
          <w:trHeight w:val="128"/>
        </w:trPr>
        <w:tc>
          <w:tcPr>
            <w:tcW w:w="2540" w:type="dxa"/>
            <w:vAlign w:val="bottom"/>
            <w:shd w:val="clear" w:color="auto" w:fill="CFF0FC"/>
          </w:tcPr>
          <w:p>
            <w:pPr>
              <w:spacing w:after="0" w:line="128" w:lineRule="exact"/>
              <w:rPr>
                <w:sz w:val="20"/>
                <w:szCs w:val="20"/>
                <w:color w:val="auto"/>
              </w:rPr>
            </w:pPr>
            <w:r>
              <w:rPr>
                <w:rFonts w:ascii="Arial" w:cs="Arial" w:eastAsia="Arial" w:hAnsi="Arial"/>
                <w:sz w:val="13"/>
                <w:szCs w:val="13"/>
                <w:color w:val="auto"/>
              </w:rPr>
              <w:t>Triangle Home Fashions LLC</w:t>
            </w:r>
          </w:p>
        </w:tc>
        <w:tc>
          <w:tcPr>
            <w:tcW w:w="1100" w:type="dxa"/>
            <w:vAlign w:val="bottom"/>
            <w:gridSpan w:val="2"/>
            <w:shd w:val="clear" w:color="auto" w:fill="CFF0FC"/>
          </w:tcPr>
          <w:p>
            <w:pPr>
              <w:ind w:left="400"/>
              <w:spacing w:after="0"/>
              <w:rPr>
                <w:sz w:val="20"/>
                <w:szCs w:val="20"/>
                <w:color w:val="auto"/>
              </w:rPr>
            </w:pPr>
            <w:r>
              <w:rPr>
                <w:rFonts w:ascii="Arial" w:cs="Arial" w:eastAsia="Arial" w:hAnsi="Arial"/>
                <w:sz w:val="11"/>
                <w:szCs w:val="11"/>
                <w:color w:val="auto"/>
                <w:w w:val="94"/>
              </w:rPr>
              <w:t>(8)(13)(14)(20)</w:t>
            </w:r>
          </w:p>
        </w:tc>
        <w:tc>
          <w:tcPr>
            <w:tcW w:w="20" w:type="dxa"/>
            <w:vAlign w:val="bottom"/>
            <w:shd w:val="clear" w:color="auto" w:fill="CFF0FC"/>
          </w:tcPr>
          <w:p>
            <w:pPr>
              <w:spacing w:after="0"/>
              <w:rPr>
                <w:sz w:val="11"/>
                <w:szCs w:val="11"/>
                <w:color w:val="auto"/>
              </w:rPr>
            </w:pPr>
          </w:p>
        </w:tc>
        <w:tc>
          <w:tcPr>
            <w:tcW w:w="2840" w:type="dxa"/>
            <w:vAlign w:val="bottom"/>
            <w:shd w:val="clear" w:color="auto" w:fill="CFF0FC"/>
          </w:tcPr>
          <w:p>
            <w:pPr>
              <w:spacing w:after="0" w:line="128" w:lineRule="exact"/>
              <w:rPr>
                <w:sz w:val="20"/>
                <w:szCs w:val="20"/>
                <w:color w:val="auto"/>
              </w:rPr>
            </w:pPr>
            <w:r>
              <w:rPr>
                <w:rFonts w:ascii="Arial" w:cs="Arial" w:eastAsia="Arial" w:hAnsi="Arial"/>
                <w:sz w:val="13"/>
                <w:szCs w:val="13"/>
                <w:color w:val="auto"/>
              </w:rPr>
              <w:t>Senior Secured Loan — First Lien Term Loan</w:t>
            </w: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5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Consumer goods: Durable</w:t>
            </w:r>
          </w:p>
        </w:tc>
        <w:tc>
          <w:tcPr>
            <w:tcW w:w="4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980" w:type="dxa"/>
            <w:vAlign w:val="bottom"/>
            <w:gridSpan w:val="3"/>
            <w:shd w:val="clear" w:color="auto" w:fill="CFF0FC"/>
          </w:tcPr>
          <w:p>
            <w:pPr>
              <w:ind w:left="20"/>
              <w:spacing w:after="0" w:line="135" w:lineRule="exact"/>
              <w:rPr>
                <w:sz w:val="20"/>
                <w:szCs w:val="20"/>
                <w:color w:val="auto"/>
              </w:rPr>
            </w:pPr>
            <w:r>
              <w:rPr>
                <w:rFonts w:ascii="Arial" w:cs="Arial" w:eastAsia="Arial" w:hAnsi="Arial"/>
                <w:sz w:val="13"/>
                <w:szCs w:val="13"/>
                <w:color w:val="auto"/>
              </w:rPr>
              <w:t>7.7% Cash, 1 Month Libor (1.00%) + 6.72%;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5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rPr>
              <w:t>Floor 1.00% , Due 3/23</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10,500,000</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9,222,836</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10,447,500</w:t>
            </w:r>
          </w:p>
        </w:tc>
        <w:tc>
          <w:tcPr>
            <w:tcW w:w="120" w:type="dxa"/>
            <w:vAlign w:val="bottom"/>
            <w:shd w:val="clear" w:color="auto" w:fill="CFF0FC"/>
          </w:tcPr>
          <w:p>
            <w:pPr>
              <w:spacing w:after="0"/>
              <w:rPr>
                <w:sz w:val="12"/>
                <w:szCs w:val="12"/>
                <w:color w:val="auto"/>
              </w:rPr>
            </w:pPr>
          </w:p>
        </w:tc>
      </w:tr>
      <w:tr>
        <w:trPr>
          <w:trHeight w:val="148"/>
        </w:trPr>
        <w:tc>
          <w:tcPr>
            <w:tcW w:w="2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5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TronAir Parent Inc.</w:t>
            </w:r>
          </w:p>
        </w:tc>
        <w:tc>
          <w:tcPr>
            <w:tcW w:w="1100" w:type="dxa"/>
            <w:vAlign w:val="bottom"/>
            <w:gridSpan w:val="2"/>
            <w:shd w:val="clear" w:color="auto" w:fill="CFF0FC"/>
          </w:tcPr>
          <w:p>
            <w:pPr>
              <w:ind w:left="400"/>
              <w:spacing w:after="0"/>
              <w:rPr>
                <w:sz w:val="20"/>
                <w:szCs w:val="20"/>
                <w:color w:val="auto"/>
              </w:rPr>
            </w:pPr>
            <w:r>
              <w:rPr>
                <w:rFonts w:ascii="Arial" w:cs="Arial" w:eastAsia="Arial" w:hAnsi="Arial"/>
                <w:sz w:val="11"/>
                <w:szCs w:val="11"/>
                <w:color w:val="auto"/>
              </w:rPr>
              <w:t>(8)(13)(14)</w:t>
            </w:r>
          </w:p>
        </w:tc>
        <w:tc>
          <w:tcPr>
            <w:tcW w:w="2980" w:type="dxa"/>
            <w:vAlign w:val="bottom"/>
            <w:gridSpan w:val="3"/>
            <w:shd w:val="clear" w:color="auto" w:fill="CFF0FC"/>
          </w:tcPr>
          <w:p>
            <w:pPr>
              <w:ind w:left="20"/>
              <w:spacing w:after="0" w:line="134" w:lineRule="exact"/>
              <w:rPr>
                <w:sz w:val="20"/>
                <w:szCs w:val="20"/>
                <w:color w:val="auto"/>
              </w:rPr>
            </w:pPr>
            <w:r>
              <w:rPr>
                <w:rFonts w:ascii="Arial" w:cs="Arial" w:eastAsia="Arial" w:hAnsi="Arial"/>
                <w:sz w:val="13"/>
                <w:szCs w:val="13"/>
                <w:color w:val="auto"/>
                <w:w w:val="96"/>
              </w:rPr>
              <w:t>Senior Secured Loan — Initial Term Loan (First Lien)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5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Aerospace and Defense</w:t>
            </w:r>
          </w:p>
        </w:tc>
        <w:tc>
          <w:tcPr>
            <w:tcW w:w="4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980" w:type="dxa"/>
            <w:vAlign w:val="bottom"/>
            <w:gridSpan w:val="3"/>
            <w:shd w:val="clear" w:color="auto" w:fill="CFF0FC"/>
          </w:tcPr>
          <w:p>
            <w:pPr>
              <w:ind w:left="20"/>
              <w:spacing w:after="0" w:line="135" w:lineRule="exact"/>
              <w:rPr>
                <w:sz w:val="20"/>
                <w:szCs w:val="20"/>
                <w:color w:val="auto"/>
              </w:rPr>
            </w:pPr>
            <w:r>
              <w:rPr>
                <w:rFonts w:ascii="Arial" w:cs="Arial" w:eastAsia="Arial" w:hAnsi="Arial"/>
                <w:sz w:val="13"/>
                <w:szCs w:val="13"/>
                <w:color w:val="auto"/>
                <w:w w:val="99"/>
              </w:rPr>
              <w:t>5.8% Cash, 12 Month Libor (1.00%) + 4.75%;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5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rPr>
              <w:t>Floor 1.00% , Due 9/23</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9/30/2016</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967,172</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966,030</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838,248</w:t>
            </w:r>
          </w:p>
        </w:tc>
        <w:tc>
          <w:tcPr>
            <w:tcW w:w="120" w:type="dxa"/>
            <w:vAlign w:val="bottom"/>
            <w:shd w:val="clear" w:color="auto" w:fill="CFF0FC"/>
          </w:tcPr>
          <w:p>
            <w:pPr>
              <w:spacing w:after="0"/>
              <w:rPr>
                <w:sz w:val="12"/>
                <w:szCs w:val="12"/>
                <w:color w:val="auto"/>
              </w:rPr>
            </w:pPr>
          </w:p>
        </w:tc>
      </w:tr>
      <w:tr>
        <w:trPr>
          <w:trHeight w:val="149"/>
        </w:trPr>
        <w:tc>
          <w:tcPr>
            <w:tcW w:w="2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5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TRSO I, Inc.</w:t>
            </w:r>
          </w:p>
        </w:tc>
        <w:tc>
          <w:tcPr>
            <w:tcW w:w="1100" w:type="dxa"/>
            <w:vAlign w:val="bottom"/>
            <w:gridSpan w:val="2"/>
            <w:shd w:val="clear" w:color="auto" w:fill="CFF0FC"/>
          </w:tcPr>
          <w:p>
            <w:pPr>
              <w:ind w:left="400"/>
              <w:spacing w:after="0"/>
              <w:rPr>
                <w:sz w:val="20"/>
                <w:szCs w:val="20"/>
                <w:color w:val="auto"/>
              </w:rPr>
            </w:pPr>
            <w:r>
              <w:rPr>
                <w:rFonts w:ascii="Arial" w:cs="Arial" w:eastAsia="Arial" w:hAnsi="Arial"/>
                <w:sz w:val="11"/>
                <w:szCs w:val="11"/>
                <w:color w:val="auto"/>
              </w:rPr>
              <w:t>(8)(13)(14)</w:t>
            </w:r>
          </w:p>
        </w:tc>
        <w:tc>
          <w:tcPr>
            <w:tcW w:w="2980" w:type="dxa"/>
            <w:vAlign w:val="bottom"/>
            <w:gridSpan w:val="3"/>
            <w:shd w:val="clear" w:color="auto" w:fill="CFF0FC"/>
          </w:tcPr>
          <w:p>
            <w:pPr>
              <w:ind w:left="20"/>
              <w:spacing w:after="0" w:line="134" w:lineRule="exact"/>
              <w:rPr>
                <w:sz w:val="20"/>
                <w:szCs w:val="20"/>
                <w:color w:val="auto"/>
              </w:rPr>
            </w:pPr>
            <w:r>
              <w:rPr>
                <w:rFonts w:ascii="Arial" w:cs="Arial" w:eastAsia="Arial" w:hAnsi="Arial"/>
                <w:sz w:val="13"/>
                <w:szCs w:val="13"/>
                <w:color w:val="auto"/>
              </w:rPr>
              <w:t>Junior Secured Loan — Term Loan (Second Lien)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5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Energy: Oil &amp; Gas</w:t>
            </w:r>
          </w:p>
        </w:tc>
        <w:tc>
          <w:tcPr>
            <w:tcW w:w="4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980" w:type="dxa"/>
            <w:vAlign w:val="bottom"/>
            <w:gridSpan w:val="3"/>
            <w:shd w:val="clear" w:color="auto" w:fill="CFF0FC"/>
          </w:tcPr>
          <w:p>
            <w:pPr>
              <w:ind w:left="20"/>
              <w:spacing w:after="0" w:line="135" w:lineRule="exact"/>
              <w:rPr>
                <w:sz w:val="20"/>
                <w:szCs w:val="20"/>
                <w:color w:val="auto"/>
              </w:rPr>
            </w:pPr>
            <w:r>
              <w:rPr>
                <w:rFonts w:ascii="Arial" w:cs="Arial" w:eastAsia="Arial" w:hAnsi="Arial"/>
                <w:sz w:val="13"/>
                <w:szCs w:val="13"/>
                <w:color w:val="auto"/>
                <w:w w:val="97"/>
              </w:rPr>
              <w:t>14.0% Cash, 3 Month Libor (1.00%) + 13.00%;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5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rPr>
              <w:t>Floor 1.00% , Due 12/20</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12/24/2012</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1,000,000</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999,999</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1,000,000</w:t>
            </w:r>
          </w:p>
        </w:tc>
        <w:tc>
          <w:tcPr>
            <w:tcW w:w="120" w:type="dxa"/>
            <w:vAlign w:val="bottom"/>
            <w:shd w:val="clear" w:color="auto" w:fill="CFF0FC"/>
          </w:tcPr>
          <w:p>
            <w:pPr>
              <w:spacing w:after="0"/>
              <w:rPr>
                <w:sz w:val="12"/>
                <w:szCs w:val="12"/>
                <w:color w:val="auto"/>
              </w:rPr>
            </w:pPr>
          </w:p>
        </w:tc>
      </w:tr>
      <w:tr>
        <w:trPr>
          <w:trHeight w:val="148"/>
        </w:trPr>
        <w:tc>
          <w:tcPr>
            <w:tcW w:w="2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5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TRSO II, Inc.</w:t>
            </w:r>
          </w:p>
        </w:tc>
        <w:tc>
          <w:tcPr>
            <w:tcW w:w="1100" w:type="dxa"/>
            <w:vAlign w:val="bottom"/>
            <w:gridSpan w:val="2"/>
            <w:shd w:val="clear" w:color="auto" w:fill="CFF0FC"/>
          </w:tcPr>
          <w:p>
            <w:pPr>
              <w:ind w:left="400"/>
              <w:spacing w:after="0"/>
              <w:rPr>
                <w:sz w:val="20"/>
                <w:szCs w:val="20"/>
                <w:color w:val="auto"/>
              </w:rPr>
            </w:pPr>
            <w:r>
              <w:rPr>
                <w:rFonts w:ascii="Arial" w:cs="Arial" w:eastAsia="Arial" w:hAnsi="Arial"/>
                <w:sz w:val="11"/>
                <w:szCs w:val="11"/>
                <w:color w:val="auto"/>
              </w:rPr>
              <w:t>(5)(8)(13)</w:t>
            </w:r>
          </w:p>
        </w:tc>
        <w:tc>
          <w:tcPr>
            <w:tcW w:w="2980" w:type="dxa"/>
            <w:vAlign w:val="bottom"/>
            <w:gridSpan w:val="3"/>
            <w:shd w:val="clear" w:color="auto" w:fill="CFF0FC"/>
          </w:tcPr>
          <w:p>
            <w:pPr>
              <w:ind w:left="20"/>
              <w:spacing w:after="0" w:line="134" w:lineRule="exact"/>
              <w:rPr>
                <w:sz w:val="20"/>
                <w:szCs w:val="20"/>
                <w:color w:val="auto"/>
              </w:rPr>
            </w:pPr>
            <w:r>
              <w:rPr>
                <w:rFonts w:ascii="Arial" w:cs="Arial" w:eastAsia="Arial" w:hAnsi="Arial"/>
                <w:sz w:val="13"/>
                <w:szCs w:val="13"/>
                <w:color w:val="auto"/>
                <w:w w:val="97"/>
              </w:rPr>
              <w:t>Junior Secured Loan — Promissory Note, 1.7% PIK,</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540" w:type="dxa"/>
            <w:vAlign w:val="bottom"/>
            <w:shd w:val="clear" w:color="auto" w:fill="CFF0FC"/>
          </w:tcPr>
          <w:p>
            <w:pPr>
              <w:ind w:left="160"/>
              <w:spacing w:after="0"/>
              <w:rPr>
                <w:sz w:val="20"/>
                <w:szCs w:val="20"/>
                <w:color w:val="auto"/>
              </w:rPr>
            </w:pPr>
            <w:r>
              <w:rPr>
                <w:rFonts w:ascii="Arial" w:cs="Arial" w:eastAsia="Arial" w:hAnsi="Arial"/>
                <w:sz w:val="13"/>
                <w:szCs w:val="13"/>
                <w:color w:val="auto"/>
              </w:rPr>
              <w:t>Energy: Oil &amp; Gas</w:t>
            </w:r>
          </w:p>
        </w:tc>
        <w:tc>
          <w:tcPr>
            <w:tcW w:w="4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rPr>
              <w:t>Due 1/25</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1/24/2020</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71,626</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71,626</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r>
      <w:tr>
        <w:trPr>
          <w:trHeight w:val="148"/>
        </w:trPr>
        <w:tc>
          <w:tcPr>
            <w:tcW w:w="2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5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Vectra Co.</w:t>
            </w:r>
          </w:p>
        </w:tc>
        <w:tc>
          <w:tcPr>
            <w:tcW w:w="1100" w:type="dxa"/>
            <w:vAlign w:val="bottom"/>
            <w:gridSpan w:val="2"/>
            <w:shd w:val="clear" w:color="auto" w:fill="CFF0FC"/>
          </w:tcPr>
          <w:p>
            <w:pPr>
              <w:ind w:left="400"/>
              <w:spacing w:after="0"/>
              <w:rPr>
                <w:sz w:val="20"/>
                <w:szCs w:val="20"/>
                <w:color w:val="auto"/>
              </w:rPr>
            </w:pPr>
            <w:r>
              <w:rPr>
                <w:rFonts w:ascii="Arial" w:cs="Arial" w:eastAsia="Arial" w:hAnsi="Arial"/>
                <w:sz w:val="11"/>
                <w:szCs w:val="11"/>
                <w:color w:val="auto"/>
              </w:rPr>
              <w:t>(8)(14)</w:t>
            </w:r>
          </w:p>
        </w:tc>
        <w:tc>
          <w:tcPr>
            <w:tcW w:w="2980" w:type="dxa"/>
            <w:vAlign w:val="bottom"/>
            <w:gridSpan w:val="3"/>
            <w:shd w:val="clear" w:color="auto" w:fill="CFF0FC"/>
          </w:tcPr>
          <w:p>
            <w:pPr>
              <w:ind w:left="20"/>
              <w:spacing w:after="0" w:line="134" w:lineRule="exact"/>
              <w:rPr>
                <w:sz w:val="20"/>
                <w:szCs w:val="20"/>
                <w:color w:val="auto"/>
              </w:rPr>
            </w:pPr>
            <w:r>
              <w:rPr>
                <w:rFonts w:ascii="Arial" w:cs="Arial" w:eastAsia="Arial" w:hAnsi="Arial"/>
                <w:sz w:val="13"/>
                <w:szCs w:val="13"/>
                <w:color w:val="auto"/>
              </w:rPr>
              <w:t>Junior Secured Loan — Initial Loan (Second Lien)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540" w:type="dxa"/>
            <w:vAlign w:val="bottom"/>
            <w:shd w:val="clear" w:color="auto" w:fill="CFF0FC"/>
          </w:tcPr>
          <w:p>
            <w:pPr>
              <w:ind w:left="160"/>
              <w:spacing w:after="0"/>
              <w:rPr>
                <w:sz w:val="20"/>
                <w:szCs w:val="20"/>
                <w:color w:val="auto"/>
              </w:rPr>
            </w:pPr>
            <w:r>
              <w:rPr>
                <w:rFonts w:ascii="Arial" w:cs="Arial" w:eastAsia="Arial" w:hAnsi="Arial"/>
                <w:sz w:val="13"/>
                <w:szCs w:val="13"/>
                <w:color w:val="auto"/>
              </w:rPr>
              <w:t>Chemicals, Plastics &amp; Rubber</w:t>
            </w:r>
          </w:p>
        </w:tc>
        <w:tc>
          <w:tcPr>
            <w:tcW w:w="4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w w:val="93"/>
              </w:rPr>
              <w:t>7.4% Cash, 1 Month Libor (0.15%) + 7.25% , Due 3/26</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12/18/2019</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400,000</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354,613</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380,334</w:t>
            </w:r>
          </w:p>
        </w:tc>
        <w:tc>
          <w:tcPr>
            <w:tcW w:w="120" w:type="dxa"/>
            <w:vAlign w:val="bottom"/>
            <w:shd w:val="clear" w:color="auto" w:fill="CFF0FC"/>
          </w:tcPr>
          <w:p>
            <w:pPr>
              <w:spacing w:after="0"/>
              <w:rPr>
                <w:sz w:val="12"/>
                <w:szCs w:val="12"/>
                <w:color w:val="auto"/>
              </w:rPr>
            </w:pPr>
          </w:p>
        </w:tc>
      </w:tr>
      <w:tr>
        <w:trPr>
          <w:trHeight w:val="149"/>
        </w:trPr>
        <w:tc>
          <w:tcPr>
            <w:tcW w:w="2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5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Vero Parent, Inc.</w:t>
            </w:r>
          </w:p>
        </w:tc>
        <w:tc>
          <w:tcPr>
            <w:tcW w:w="1100" w:type="dxa"/>
            <w:vAlign w:val="bottom"/>
            <w:gridSpan w:val="2"/>
            <w:shd w:val="clear" w:color="auto" w:fill="CFF0FC"/>
          </w:tcPr>
          <w:p>
            <w:pPr>
              <w:ind w:left="400"/>
              <w:spacing w:after="0"/>
              <w:rPr>
                <w:sz w:val="20"/>
                <w:szCs w:val="20"/>
                <w:color w:val="auto"/>
              </w:rPr>
            </w:pPr>
            <w:r>
              <w:rPr>
                <w:rFonts w:ascii="Arial" w:cs="Arial" w:eastAsia="Arial" w:hAnsi="Arial"/>
                <w:sz w:val="11"/>
                <w:szCs w:val="11"/>
                <w:color w:val="auto"/>
              </w:rPr>
              <w:t>(8)(14)</w:t>
            </w:r>
          </w:p>
        </w:tc>
        <w:tc>
          <w:tcPr>
            <w:tcW w:w="2980" w:type="dxa"/>
            <w:vAlign w:val="bottom"/>
            <w:gridSpan w:val="3"/>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First Lien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540" w:type="dxa"/>
            <w:vAlign w:val="bottom"/>
            <w:shd w:val="clear" w:color="auto" w:fill="CFF0FC"/>
          </w:tcPr>
          <w:p>
            <w:pPr>
              <w:ind w:left="160"/>
              <w:spacing w:after="0"/>
              <w:rPr>
                <w:sz w:val="20"/>
                <w:szCs w:val="20"/>
                <w:color w:val="auto"/>
              </w:rPr>
            </w:pPr>
            <w:r>
              <w:rPr>
                <w:rFonts w:ascii="Arial" w:cs="Arial" w:eastAsia="Arial" w:hAnsi="Arial"/>
                <w:sz w:val="13"/>
                <w:szCs w:val="13"/>
                <w:color w:val="auto"/>
              </w:rPr>
              <w:t>Services: Business</w:t>
            </w:r>
          </w:p>
        </w:tc>
        <w:tc>
          <w:tcPr>
            <w:tcW w:w="4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w w:val="93"/>
              </w:rPr>
              <w:t>6.5% Cash, 3 Month Libor (0.23%) + 6.25% , Due 8/24</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2,790,055</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2,417,526</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2,789,009</w:t>
            </w:r>
          </w:p>
        </w:tc>
        <w:tc>
          <w:tcPr>
            <w:tcW w:w="120" w:type="dxa"/>
            <w:vAlign w:val="bottom"/>
            <w:shd w:val="clear" w:color="auto" w:fill="CFF0FC"/>
          </w:tcPr>
          <w:p>
            <w:pPr>
              <w:spacing w:after="0"/>
              <w:rPr>
                <w:sz w:val="12"/>
                <w:szCs w:val="12"/>
                <w:color w:val="auto"/>
              </w:rPr>
            </w:pPr>
          </w:p>
        </w:tc>
      </w:tr>
      <w:tr>
        <w:trPr>
          <w:trHeight w:val="148"/>
        </w:trPr>
        <w:tc>
          <w:tcPr>
            <w:tcW w:w="2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5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Wash MultiFamily Acquisition Inc.</w:t>
            </w:r>
          </w:p>
        </w:tc>
        <w:tc>
          <w:tcPr>
            <w:tcW w:w="1100" w:type="dxa"/>
            <w:vAlign w:val="bottom"/>
            <w:gridSpan w:val="2"/>
            <w:shd w:val="clear" w:color="auto" w:fill="CFF0FC"/>
          </w:tcPr>
          <w:p>
            <w:pPr>
              <w:ind w:left="400"/>
              <w:spacing w:after="0"/>
              <w:rPr>
                <w:sz w:val="20"/>
                <w:szCs w:val="20"/>
                <w:color w:val="auto"/>
              </w:rPr>
            </w:pPr>
            <w:r>
              <w:rPr>
                <w:rFonts w:ascii="Arial" w:cs="Arial" w:eastAsia="Arial" w:hAnsi="Arial"/>
                <w:sz w:val="11"/>
                <w:szCs w:val="11"/>
                <w:color w:val="auto"/>
              </w:rPr>
              <w:t>(8)(13)(14)</w:t>
            </w:r>
          </w:p>
        </w:tc>
        <w:tc>
          <w:tcPr>
            <w:tcW w:w="2980" w:type="dxa"/>
            <w:vAlign w:val="bottom"/>
            <w:gridSpan w:val="3"/>
            <w:shd w:val="clear" w:color="auto" w:fill="CFF0FC"/>
          </w:tcPr>
          <w:p>
            <w:pPr>
              <w:ind w:left="20"/>
              <w:spacing w:after="0" w:line="134" w:lineRule="exact"/>
              <w:rPr>
                <w:sz w:val="20"/>
                <w:szCs w:val="20"/>
                <w:color w:val="auto"/>
              </w:rPr>
            </w:pPr>
            <w:r>
              <w:rPr>
                <w:rFonts w:ascii="Arial" w:cs="Arial" w:eastAsia="Arial" w:hAnsi="Arial"/>
                <w:sz w:val="13"/>
                <w:szCs w:val="13"/>
                <w:color w:val="auto"/>
                <w:w w:val="94"/>
              </w:rPr>
              <w:t>Junior Secured Loan — Initial US Term Loan (Second</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5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Consumer goods: Durable</w:t>
            </w:r>
          </w:p>
        </w:tc>
        <w:tc>
          <w:tcPr>
            <w:tcW w:w="4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980" w:type="dxa"/>
            <w:vAlign w:val="bottom"/>
            <w:gridSpan w:val="3"/>
            <w:shd w:val="clear" w:color="auto" w:fill="CFF0FC"/>
          </w:tcPr>
          <w:p>
            <w:pPr>
              <w:ind w:left="20"/>
              <w:spacing w:after="0" w:line="135" w:lineRule="exact"/>
              <w:rPr>
                <w:sz w:val="20"/>
                <w:szCs w:val="20"/>
                <w:color w:val="auto"/>
              </w:rPr>
            </w:pPr>
            <w:r>
              <w:rPr>
                <w:rFonts w:ascii="Arial" w:cs="Arial" w:eastAsia="Arial" w:hAnsi="Arial"/>
                <w:sz w:val="13"/>
                <w:szCs w:val="13"/>
                <w:color w:val="auto"/>
              </w:rPr>
              <w:t>Lien)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54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980" w:type="dxa"/>
            <w:vAlign w:val="bottom"/>
            <w:gridSpan w:val="3"/>
            <w:shd w:val="clear" w:color="auto" w:fill="CFF0FC"/>
          </w:tcPr>
          <w:p>
            <w:pPr>
              <w:ind w:left="20"/>
              <w:spacing w:after="0" w:line="135" w:lineRule="exact"/>
              <w:rPr>
                <w:sz w:val="20"/>
                <w:szCs w:val="20"/>
                <w:color w:val="auto"/>
              </w:rPr>
            </w:pPr>
            <w:r>
              <w:rPr>
                <w:rFonts w:ascii="Arial" w:cs="Arial" w:eastAsia="Arial" w:hAnsi="Arial"/>
                <w:sz w:val="13"/>
                <w:szCs w:val="13"/>
                <w:color w:val="auto"/>
              </w:rPr>
              <w:t>8.0% Cash, 1 Month Libor (1.00%) + 7.00%;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5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rPr>
              <w:t>Floor 1.00% , Due 5/23</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12/18/2019</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2,978,354</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2,666,444</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2,781,783</w:t>
            </w:r>
          </w:p>
        </w:tc>
        <w:tc>
          <w:tcPr>
            <w:tcW w:w="120" w:type="dxa"/>
            <w:vAlign w:val="bottom"/>
            <w:shd w:val="clear" w:color="auto" w:fill="CFF0FC"/>
          </w:tcPr>
          <w:p>
            <w:pPr>
              <w:spacing w:after="0"/>
              <w:rPr>
                <w:sz w:val="12"/>
                <w:szCs w:val="12"/>
                <w:color w:val="auto"/>
              </w:rPr>
            </w:pPr>
          </w:p>
        </w:tc>
      </w:tr>
      <w:tr>
        <w:trPr>
          <w:trHeight w:val="148"/>
        </w:trPr>
        <w:tc>
          <w:tcPr>
            <w:tcW w:w="2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5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WireCo WorldGroup Inc.</w:t>
            </w:r>
          </w:p>
        </w:tc>
        <w:tc>
          <w:tcPr>
            <w:tcW w:w="1100" w:type="dxa"/>
            <w:vAlign w:val="bottom"/>
            <w:gridSpan w:val="2"/>
            <w:shd w:val="clear" w:color="auto" w:fill="CFF0FC"/>
          </w:tcPr>
          <w:p>
            <w:pPr>
              <w:ind w:left="400"/>
              <w:spacing w:after="0"/>
              <w:rPr>
                <w:sz w:val="20"/>
                <w:szCs w:val="20"/>
                <w:color w:val="auto"/>
              </w:rPr>
            </w:pPr>
            <w:r>
              <w:rPr>
                <w:rFonts w:ascii="Arial" w:cs="Arial" w:eastAsia="Arial" w:hAnsi="Arial"/>
                <w:sz w:val="11"/>
                <w:szCs w:val="11"/>
                <w:color w:val="auto"/>
              </w:rPr>
              <w:t>(8)(13)(14)</w:t>
            </w:r>
          </w:p>
        </w:tc>
        <w:tc>
          <w:tcPr>
            <w:tcW w:w="2980" w:type="dxa"/>
            <w:vAlign w:val="bottom"/>
            <w:gridSpan w:val="3"/>
            <w:shd w:val="clear" w:color="auto" w:fill="CFF0FC"/>
          </w:tcPr>
          <w:p>
            <w:pPr>
              <w:ind w:left="20"/>
              <w:spacing w:after="0" w:line="134" w:lineRule="exact"/>
              <w:rPr>
                <w:sz w:val="20"/>
                <w:szCs w:val="20"/>
                <w:color w:val="auto"/>
              </w:rPr>
            </w:pPr>
            <w:r>
              <w:rPr>
                <w:rFonts w:ascii="Arial" w:cs="Arial" w:eastAsia="Arial" w:hAnsi="Arial"/>
                <w:sz w:val="13"/>
                <w:szCs w:val="13"/>
                <w:color w:val="auto"/>
              </w:rPr>
              <w:t>Junior Secured Loan — Initial Term Loan (Second</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5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Capital Equipment</w:t>
            </w:r>
          </w:p>
        </w:tc>
        <w:tc>
          <w:tcPr>
            <w:tcW w:w="4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980" w:type="dxa"/>
            <w:vAlign w:val="bottom"/>
            <w:gridSpan w:val="3"/>
            <w:shd w:val="clear" w:color="auto" w:fill="CFF0FC"/>
          </w:tcPr>
          <w:p>
            <w:pPr>
              <w:ind w:left="20"/>
              <w:spacing w:after="0" w:line="135" w:lineRule="exact"/>
              <w:rPr>
                <w:sz w:val="20"/>
                <w:szCs w:val="20"/>
                <w:color w:val="auto"/>
              </w:rPr>
            </w:pPr>
            <w:r>
              <w:rPr>
                <w:rFonts w:ascii="Arial" w:cs="Arial" w:eastAsia="Arial" w:hAnsi="Arial"/>
                <w:sz w:val="13"/>
                <w:szCs w:val="13"/>
                <w:color w:val="auto"/>
              </w:rPr>
              <w:t>Lien)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54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980" w:type="dxa"/>
            <w:vAlign w:val="bottom"/>
            <w:gridSpan w:val="3"/>
            <w:shd w:val="clear" w:color="auto" w:fill="CFF0FC"/>
          </w:tcPr>
          <w:p>
            <w:pPr>
              <w:ind w:left="20"/>
              <w:spacing w:after="0" w:line="135" w:lineRule="exact"/>
              <w:rPr>
                <w:sz w:val="20"/>
                <w:szCs w:val="20"/>
                <w:color w:val="auto"/>
              </w:rPr>
            </w:pPr>
            <w:r>
              <w:rPr>
                <w:rFonts w:ascii="Arial" w:cs="Arial" w:eastAsia="Arial" w:hAnsi="Arial"/>
                <w:sz w:val="13"/>
                <w:szCs w:val="13"/>
                <w:color w:val="auto"/>
                <w:w w:val="99"/>
              </w:rPr>
              <w:t>10.0% Cash, 6 month Libor (1.00%) + 9.00%;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5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rPr>
              <w:t>Floor 1.00% , Due 9/24</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8/9/2016</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3,000,000</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2,978,909</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2,458,500</w:t>
            </w:r>
          </w:p>
        </w:tc>
        <w:tc>
          <w:tcPr>
            <w:tcW w:w="120" w:type="dxa"/>
            <w:vAlign w:val="bottom"/>
            <w:shd w:val="clear" w:color="auto" w:fill="CFF0FC"/>
          </w:tcPr>
          <w:p>
            <w:pPr>
              <w:spacing w:after="0"/>
              <w:rPr>
                <w:sz w:val="12"/>
                <w:szCs w:val="12"/>
                <w:color w:val="auto"/>
              </w:rPr>
            </w:pPr>
          </w:p>
        </w:tc>
      </w:tr>
      <w:tr>
        <w:trPr>
          <w:trHeight w:val="148"/>
        </w:trPr>
        <w:tc>
          <w:tcPr>
            <w:tcW w:w="2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5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Wonder Love, Inc.</w:t>
            </w:r>
          </w:p>
        </w:tc>
        <w:tc>
          <w:tcPr>
            <w:tcW w:w="1100" w:type="dxa"/>
            <w:vAlign w:val="bottom"/>
            <w:gridSpan w:val="2"/>
            <w:shd w:val="clear" w:color="auto" w:fill="CFF0FC"/>
          </w:tcPr>
          <w:p>
            <w:pPr>
              <w:ind w:left="400"/>
              <w:spacing w:after="0"/>
              <w:rPr>
                <w:sz w:val="20"/>
                <w:szCs w:val="20"/>
                <w:color w:val="auto"/>
              </w:rPr>
            </w:pPr>
            <w:r>
              <w:rPr>
                <w:rFonts w:ascii="Arial" w:cs="Arial" w:eastAsia="Arial" w:hAnsi="Arial"/>
                <w:sz w:val="11"/>
                <w:szCs w:val="11"/>
                <w:color w:val="auto"/>
                <w:w w:val="94"/>
              </w:rPr>
              <w:t>(8)(13)(14)(21)</w:t>
            </w:r>
          </w:p>
        </w:tc>
        <w:tc>
          <w:tcPr>
            <w:tcW w:w="2980" w:type="dxa"/>
            <w:vAlign w:val="bottom"/>
            <w:gridSpan w:val="3"/>
            <w:shd w:val="clear" w:color="auto" w:fill="CFF0FC"/>
          </w:tcPr>
          <w:p>
            <w:pPr>
              <w:ind w:left="20"/>
              <w:spacing w:after="0" w:line="134" w:lineRule="exact"/>
              <w:rPr>
                <w:sz w:val="20"/>
                <w:szCs w:val="20"/>
                <w:color w:val="auto"/>
              </w:rPr>
            </w:pPr>
            <w:r>
              <w:rPr>
                <w:rFonts w:ascii="Arial" w:cs="Arial" w:eastAsia="Arial" w:hAnsi="Arial"/>
                <w:sz w:val="13"/>
                <w:szCs w:val="13"/>
                <w:color w:val="auto"/>
              </w:rPr>
              <w:t>Senior Secured Loan — Term Loan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5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Media: Diversified &amp; Production</w:t>
            </w:r>
          </w:p>
        </w:tc>
        <w:tc>
          <w:tcPr>
            <w:tcW w:w="4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980" w:type="dxa"/>
            <w:vAlign w:val="bottom"/>
            <w:gridSpan w:val="3"/>
            <w:shd w:val="clear" w:color="auto" w:fill="CFF0FC"/>
          </w:tcPr>
          <w:p>
            <w:pPr>
              <w:ind w:left="20"/>
              <w:spacing w:after="0" w:line="135" w:lineRule="exact"/>
              <w:rPr>
                <w:sz w:val="20"/>
                <w:szCs w:val="20"/>
                <w:color w:val="auto"/>
              </w:rPr>
            </w:pPr>
            <w:r>
              <w:rPr>
                <w:rFonts w:ascii="Arial" w:cs="Arial" w:eastAsia="Arial" w:hAnsi="Arial"/>
                <w:sz w:val="13"/>
                <w:szCs w:val="13"/>
                <w:color w:val="auto"/>
              </w:rPr>
              <w:t>6.0% Cash, 3 Month Libor (1.00%) + 5.00%;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5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rPr>
              <w:t>Floor 1.00% , Due 11/24</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11/18/2019</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2,700,000</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2,658,914</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2,612,250</w:t>
            </w:r>
          </w:p>
        </w:tc>
        <w:tc>
          <w:tcPr>
            <w:tcW w:w="120" w:type="dxa"/>
            <w:vAlign w:val="bottom"/>
            <w:shd w:val="clear" w:color="auto" w:fill="CFF0FC"/>
          </w:tcPr>
          <w:p>
            <w:pPr>
              <w:spacing w:after="0"/>
              <w:rPr>
                <w:sz w:val="12"/>
                <w:szCs w:val="12"/>
                <w:color w:val="auto"/>
              </w:rPr>
            </w:pPr>
          </w:p>
        </w:tc>
      </w:tr>
      <w:tr>
        <w:trPr>
          <w:trHeight w:val="148"/>
        </w:trPr>
        <w:tc>
          <w:tcPr>
            <w:tcW w:w="2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25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Zest Acquisition Corp.</w:t>
            </w:r>
          </w:p>
        </w:tc>
        <w:tc>
          <w:tcPr>
            <w:tcW w:w="1100" w:type="dxa"/>
            <w:vAlign w:val="bottom"/>
            <w:gridSpan w:val="2"/>
            <w:shd w:val="clear" w:color="auto" w:fill="CFF0FC"/>
          </w:tcPr>
          <w:p>
            <w:pPr>
              <w:ind w:left="400"/>
              <w:spacing w:after="0"/>
              <w:rPr>
                <w:sz w:val="20"/>
                <w:szCs w:val="20"/>
                <w:color w:val="auto"/>
              </w:rPr>
            </w:pPr>
            <w:r>
              <w:rPr>
                <w:rFonts w:ascii="Arial" w:cs="Arial" w:eastAsia="Arial" w:hAnsi="Arial"/>
                <w:sz w:val="11"/>
                <w:szCs w:val="11"/>
                <w:color w:val="auto"/>
                <w:w w:val="94"/>
              </w:rPr>
              <w:t>(8)(13)(14)(18)</w:t>
            </w:r>
          </w:p>
        </w:tc>
        <w:tc>
          <w:tcPr>
            <w:tcW w:w="2980" w:type="dxa"/>
            <w:vAlign w:val="bottom"/>
            <w:gridSpan w:val="3"/>
            <w:shd w:val="clear" w:color="auto" w:fill="CFF0FC"/>
          </w:tcPr>
          <w:p>
            <w:pPr>
              <w:ind w:left="20"/>
              <w:spacing w:after="0" w:line="134" w:lineRule="exact"/>
              <w:rPr>
                <w:sz w:val="20"/>
                <w:szCs w:val="20"/>
                <w:color w:val="auto"/>
              </w:rPr>
            </w:pPr>
            <w:r>
              <w:rPr>
                <w:rFonts w:ascii="Arial" w:cs="Arial" w:eastAsia="Arial" w:hAnsi="Arial"/>
                <w:sz w:val="13"/>
                <w:szCs w:val="13"/>
                <w:color w:val="auto"/>
              </w:rPr>
              <w:t>Junior Secured Loan — Initial Term Loan (Second</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540" w:type="dxa"/>
            <w:vAlign w:val="bottom"/>
            <w:shd w:val="clear" w:color="auto" w:fill="CFF0FC"/>
          </w:tcPr>
          <w:p>
            <w:pPr>
              <w:ind w:left="160"/>
              <w:spacing w:after="0" w:line="135" w:lineRule="exact"/>
              <w:rPr>
                <w:sz w:val="20"/>
                <w:szCs w:val="20"/>
                <w:color w:val="auto"/>
              </w:rPr>
            </w:pPr>
            <w:r>
              <w:rPr>
                <w:rFonts w:ascii="Arial" w:cs="Arial" w:eastAsia="Arial" w:hAnsi="Arial"/>
                <w:sz w:val="13"/>
                <w:szCs w:val="13"/>
                <w:color w:val="auto"/>
              </w:rPr>
              <w:t>Healthcare, Education and Childcare</w:t>
            </w:r>
          </w:p>
        </w:tc>
        <w:tc>
          <w:tcPr>
            <w:tcW w:w="4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980" w:type="dxa"/>
            <w:vAlign w:val="bottom"/>
            <w:gridSpan w:val="3"/>
            <w:shd w:val="clear" w:color="auto" w:fill="CFF0FC"/>
          </w:tcPr>
          <w:p>
            <w:pPr>
              <w:ind w:left="20"/>
              <w:spacing w:after="0" w:line="135" w:lineRule="exact"/>
              <w:rPr>
                <w:sz w:val="20"/>
                <w:szCs w:val="20"/>
                <w:color w:val="auto"/>
              </w:rPr>
            </w:pPr>
            <w:r>
              <w:rPr>
                <w:rFonts w:ascii="Arial" w:cs="Arial" w:eastAsia="Arial" w:hAnsi="Arial"/>
                <w:sz w:val="13"/>
                <w:szCs w:val="13"/>
                <w:color w:val="auto"/>
              </w:rPr>
              <w:t>Lien)</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254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980" w:type="dxa"/>
            <w:vAlign w:val="bottom"/>
            <w:gridSpan w:val="3"/>
            <w:shd w:val="clear" w:color="auto" w:fill="CFF0FC"/>
          </w:tcPr>
          <w:p>
            <w:pPr>
              <w:ind w:left="20"/>
              <w:spacing w:after="0" w:line="135" w:lineRule="exact"/>
              <w:rPr>
                <w:sz w:val="20"/>
                <w:szCs w:val="20"/>
                <w:color w:val="auto"/>
              </w:rPr>
            </w:pPr>
            <w:r>
              <w:rPr>
                <w:rFonts w:ascii="Arial" w:cs="Arial" w:eastAsia="Arial" w:hAnsi="Arial"/>
                <w:sz w:val="13"/>
                <w:szCs w:val="13"/>
                <w:color w:val="auto"/>
              </w:rPr>
              <w:t>8.5% Cash, 1 Month Libor (1.00%) + 7.50%; Libor</w:t>
            </w: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25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98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rPr>
              <w:t>Floor 1.00% , Due 3/26</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3/8/2018</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3,500,000</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3,485,385</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3,291,400</w:t>
            </w:r>
          </w:p>
        </w:tc>
        <w:tc>
          <w:tcPr>
            <w:tcW w:w="120" w:type="dxa"/>
            <w:vAlign w:val="bottom"/>
            <w:shd w:val="clear" w:color="auto" w:fill="CFF0FC"/>
          </w:tcPr>
          <w:p>
            <w:pPr>
              <w:spacing w:after="0"/>
              <w:rPr>
                <w:sz w:val="12"/>
                <w:szCs w:val="12"/>
                <w:color w:val="auto"/>
              </w:rPr>
            </w:pPr>
          </w:p>
        </w:tc>
      </w:tr>
      <w:tr>
        <w:trPr>
          <w:trHeight w:val="149"/>
        </w:trPr>
        <w:tc>
          <w:tcPr>
            <w:tcW w:w="2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0"/>
        </w:trPr>
        <w:tc>
          <w:tcPr>
            <w:tcW w:w="2540" w:type="dxa"/>
            <w:vAlign w:val="bottom"/>
            <w:shd w:val="clear" w:color="auto" w:fill="CFF0FC"/>
          </w:tcPr>
          <w:p>
            <w:pPr>
              <w:spacing w:after="0" w:line="131" w:lineRule="exact"/>
              <w:rPr>
                <w:sz w:val="20"/>
                <w:szCs w:val="20"/>
                <w:color w:val="auto"/>
              </w:rPr>
            </w:pPr>
            <w:r>
              <w:rPr>
                <w:rFonts w:ascii="Arial" w:cs="Arial" w:eastAsia="Arial" w:hAnsi="Arial"/>
                <w:sz w:val="13"/>
                <w:szCs w:val="13"/>
                <w:b w:val="1"/>
                <w:bCs w:val="1"/>
                <w:color w:val="auto"/>
              </w:rPr>
              <w:t>Total Investment in Debt Securities</w:t>
            </w:r>
          </w:p>
        </w:tc>
        <w:tc>
          <w:tcPr>
            <w:tcW w:w="4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8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53"/>
        </w:trPr>
        <w:tc>
          <w:tcPr>
            <w:tcW w:w="2540" w:type="dxa"/>
            <w:vAlign w:val="bottom"/>
            <w:shd w:val="clear" w:color="auto" w:fill="CFF0FC"/>
          </w:tcPr>
          <w:p>
            <w:pPr>
              <w:ind w:left="100"/>
              <w:spacing w:after="0"/>
              <w:rPr>
                <w:sz w:val="20"/>
                <w:szCs w:val="20"/>
                <w:color w:val="auto"/>
              </w:rPr>
            </w:pPr>
            <w:r>
              <w:rPr>
                <w:rFonts w:ascii="Arial" w:cs="Arial" w:eastAsia="Arial" w:hAnsi="Arial"/>
                <w:sz w:val="13"/>
                <w:szCs w:val="13"/>
                <w:b w:val="1"/>
                <w:bCs w:val="1"/>
                <w:color w:val="auto"/>
              </w:rPr>
              <w:t>(187% of net asset value at fair value)</w:t>
            </w:r>
          </w:p>
        </w:tc>
        <w:tc>
          <w:tcPr>
            <w:tcW w:w="4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8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60" w:type="dxa"/>
            <w:vAlign w:val="bottom"/>
            <w:gridSpan w:val="3"/>
            <w:shd w:val="clear" w:color="auto" w:fill="CFF0FC"/>
          </w:tcPr>
          <w:p>
            <w:pPr>
              <w:jc w:val="right"/>
              <w:ind w:right="60"/>
              <w:spacing w:after="0"/>
              <w:rPr>
                <w:sz w:val="20"/>
                <w:szCs w:val="20"/>
                <w:color w:val="auto"/>
              </w:rPr>
            </w:pPr>
            <w:r>
              <w:rPr>
                <w:rFonts w:ascii="Arial" w:cs="Arial" w:eastAsia="Arial" w:hAnsi="Arial"/>
                <w:sz w:val="13"/>
                <w:szCs w:val="13"/>
                <w:b w:val="1"/>
                <w:bCs w:val="1"/>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w w:val="99"/>
              </w:rPr>
              <w:t>437,751,485</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68"/>
              <w:spacing w:after="0"/>
              <w:rPr>
                <w:sz w:val="20"/>
                <w:szCs w:val="20"/>
                <w:color w:val="auto"/>
              </w:rPr>
            </w:pPr>
            <w:r>
              <w:rPr>
                <w:rFonts w:ascii="Arial" w:cs="Arial" w:eastAsia="Arial" w:hAnsi="Arial"/>
                <w:sz w:val="10"/>
                <w:szCs w:val="10"/>
                <w:b w:val="1"/>
                <w:bCs w:val="1"/>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392,932,411</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3"/>
                <w:szCs w:val="13"/>
                <w:b w:val="1"/>
                <w:bCs w:val="1"/>
                <w:color w:val="auto"/>
              </w:rPr>
              <w:t>$   404,860,855</w:t>
            </w:r>
          </w:p>
        </w:tc>
        <w:tc>
          <w:tcPr>
            <w:tcW w:w="120" w:type="dxa"/>
            <w:vAlign w:val="bottom"/>
            <w:shd w:val="clear" w:color="auto" w:fill="CFF0FC"/>
          </w:tcPr>
          <w:p>
            <w:pPr>
              <w:spacing w:after="0"/>
              <w:rPr>
                <w:sz w:val="13"/>
                <w:szCs w:val="13"/>
                <w:color w:val="auto"/>
              </w:rPr>
            </w:pPr>
          </w:p>
        </w:tc>
      </w:tr>
      <w:tr>
        <w:trPr>
          <w:trHeight w:val="20"/>
        </w:trPr>
        <w:tc>
          <w:tcPr>
            <w:tcW w:w="2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Equity Securities Portfolio</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Initial</w:t>
            </w: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35"/>
        </w:trPr>
        <w:tc>
          <w:tcPr>
            <w:tcW w:w="3900" w:type="dxa"/>
            <w:vAlign w:val="bottom"/>
          </w:tcPr>
          <w:p>
            <w:pPr>
              <w:spacing w:after="0" w:line="135" w:lineRule="exact"/>
              <w:rPr>
                <w:sz w:val="20"/>
                <w:szCs w:val="20"/>
                <w:color w:val="auto"/>
              </w:rPr>
            </w:pPr>
            <w:r>
              <w:rPr>
                <w:rFonts w:ascii="Arial" w:cs="Arial" w:eastAsia="Arial" w:hAnsi="Arial"/>
                <w:sz w:val="13"/>
                <w:szCs w:val="13"/>
                <w:b w:val="1"/>
                <w:bCs w:val="1"/>
                <w:color w:val="auto"/>
              </w:rPr>
              <w:t>Portfolio Company /</w:t>
            </w:r>
          </w:p>
        </w:tc>
        <w:tc>
          <w:tcPr>
            <w:tcW w:w="1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134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0"/>
              </w:rPr>
              <w:t>Quantity/Par</w:t>
            </w:r>
          </w:p>
        </w:tc>
        <w:tc>
          <w:tcPr>
            <w:tcW w:w="1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3"/>
        </w:trPr>
        <w:tc>
          <w:tcPr>
            <w:tcW w:w="3900" w:type="dxa"/>
            <w:vAlign w:val="bottom"/>
          </w:tcPr>
          <w:p>
            <w:pPr>
              <w:spacing w:after="0"/>
              <w:rPr>
                <w:sz w:val="20"/>
                <w:szCs w:val="20"/>
                <w:color w:val="auto"/>
              </w:rPr>
            </w:pPr>
            <w:r>
              <w:rPr>
                <w:rFonts w:ascii="Arial" w:cs="Arial" w:eastAsia="Arial" w:hAnsi="Arial"/>
                <w:sz w:val="13"/>
                <w:szCs w:val="13"/>
                <w:b w:val="1"/>
                <w:bCs w:val="1"/>
                <w:color w:val="auto"/>
              </w:rPr>
              <w:t>Principal Business</w:t>
            </w:r>
          </w:p>
        </w:tc>
        <w:tc>
          <w:tcPr>
            <w:tcW w:w="140" w:type="dxa"/>
            <w:vAlign w:val="bottom"/>
          </w:tcPr>
          <w:p>
            <w:pPr>
              <w:spacing w:after="0"/>
              <w:rPr>
                <w:sz w:val="13"/>
                <w:szCs w:val="13"/>
                <w:color w:val="auto"/>
              </w:rPr>
            </w:pPr>
          </w:p>
        </w:tc>
        <w:tc>
          <w:tcPr>
            <w:tcW w:w="1920" w:type="dxa"/>
            <w:vAlign w:val="bottom"/>
            <w:gridSpan w:val="2"/>
          </w:tcPr>
          <w:p>
            <w:pPr>
              <w:ind w:left="520"/>
              <w:spacing w:after="0"/>
              <w:rPr>
                <w:sz w:val="20"/>
                <w:szCs w:val="20"/>
                <w:color w:val="auto"/>
              </w:rPr>
            </w:pPr>
            <w:r>
              <w:rPr>
                <w:rFonts w:ascii="Arial" w:cs="Arial" w:eastAsia="Arial" w:hAnsi="Arial"/>
                <w:sz w:val="13"/>
                <w:szCs w:val="13"/>
                <w:b w:val="1"/>
                <w:bCs w:val="1"/>
                <w:color w:val="auto"/>
              </w:rPr>
              <w:t>Investment</w:t>
            </w:r>
            <w:r>
              <w:rPr>
                <w:rFonts w:ascii="Arial" w:cs="Arial" w:eastAsia="Arial" w:hAnsi="Arial"/>
                <w:sz w:val="10"/>
                <w:szCs w:val="10"/>
                <w:b w:val="1"/>
                <w:bCs w:val="1"/>
                <w:color w:val="auto"/>
              </w:rPr>
              <w:t>15</w:t>
            </w:r>
          </w:p>
        </w:tc>
        <w:tc>
          <w:tcPr>
            <w:tcW w:w="13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2"/>
              </w:rPr>
              <w:t>Date</w:t>
            </w:r>
          </w:p>
        </w:tc>
        <w:tc>
          <w:tcPr>
            <w:tcW w:w="13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0"/>
              </w:rPr>
              <w:t>/Shares</w:t>
            </w:r>
          </w:p>
        </w:tc>
        <w:tc>
          <w:tcPr>
            <w:tcW w:w="1360" w:type="dxa"/>
            <w:vAlign w:val="bottom"/>
            <w:gridSpan w:val="2"/>
          </w:tcPr>
          <w:p>
            <w:pPr>
              <w:ind w:left="420"/>
              <w:spacing w:after="0"/>
              <w:rPr>
                <w:sz w:val="20"/>
                <w:szCs w:val="20"/>
                <w:color w:val="auto"/>
              </w:rPr>
            </w:pPr>
            <w:r>
              <w:rPr>
                <w:rFonts w:ascii="Arial" w:cs="Arial" w:eastAsia="Arial" w:hAnsi="Arial"/>
                <w:sz w:val="13"/>
                <w:szCs w:val="13"/>
                <w:b w:val="1"/>
                <w:bCs w:val="1"/>
                <w:color w:val="auto"/>
              </w:rPr>
              <w:t>Cost</w:t>
            </w:r>
          </w:p>
        </w:tc>
        <w:tc>
          <w:tcPr>
            <w:tcW w:w="1220" w:type="dxa"/>
            <w:vAlign w:val="bottom"/>
            <w:gridSpan w:val="2"/>
          </w:tcPr>
          <w:p>
            <w:pPr>
              <w:ind w:left="240"/>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0"/>
                <w:szCs w:val="10"/>
                <w:b w:val="1"/>
                <w:bCs w:val="1"/>
                <w:color w:val="auto"/>
              </w:rPr>
              <w:t>2</w:t>
            </w:r>
          </w:p>
        </w:tc>
      </w:tr>
      <w:tr>
        <w:trPr>
          <w:trHeight w:val="128"/>
        </w:trPr>
        <w:tc>
          <w:tcPr>
            <w:tcW w:w="390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4L Technologies Inc.</w:t>
            </w:r>
            <w:r>
              <w:rPr>
                <w:rFonts w:ascii="Arial" w:cs="Arial" w:eastAsia="Arial" w:hAnsi="Arial"/>
                <w:sz w:val="10"/>
                <w:szCs w:val="10"/>
                <w:color w:val="auto"/>
              </w:rPr>
              <w:t>(8)(13)(19)</w:t>
            </w:r>
          </w:p>
        </w:tc>
        <w:tc>
          <w:tcPr>
            <w:tcW w:w="140" w:type="dxa"/>
            <w:vAlign w:val="bottom"/>
            <w:tcBorders>
              <w:top w:val="single" w:sz="8" w:color="CFF0FC"/>
            </w:tcBorders>
            <w:shd w:val="clear" w:color="auto" w:fill="CFF0FC"/>
          </w:tcPr>
          <w:p>
            <w:pPr>
              <w:spacing w:after="0"/>
              <w:rPr>
                <w:sz w:val="11"/>
                <w:szCs w:val="11"/>
                <w:color w:val="auto"/>
              </w:rPr>
            </w:pPr>
          </w:p>
        </w:tc>
        <w:tc>
          <w:tcPr>
            <w:tcW w:w="178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Class A Preferred Units</w:t>
            </w:r>
          </w:p>
        </w:tc>
        <w:tc>
          <w:tcPr>
            <w:tcW w:w="140" w:type="dxa"/>
            <w:vAlign w:val="bottom"/>
            <w:tcBorders>
              <w:top w:val="single" w:sz="8" w:color="CFF0FC"/>
            </w:tcBorders>
            <w:shd w:val="clear" w:color="auto" w:fill="CFF0FC"/>
          </w:tcPr>
          <w:p>
            <w:pPr>
              <w:spacing w:after="0"/>
              <w:rPr>
                <w:sz w:val="11"/>
                <w:szCs w:val="11"/>
                <w:color w:val="auto"/>
              </w:rPr>
            </w:pPr>
          </w:p>
        </w:tc>
        <w:tc>
          <w:tcPr>
            <w:tcW w:w="120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08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110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112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r>
      <w:tr>
        <w:trPr>
          <w:trHeight w:val="149"/>
        </w:trPr>
        <w:tc>
          <w:tcPr>
            <w:tcW w:w="3900" w:type="dxa"/>
            <w:vAlign w:val="bottom"/>
            <w:shd w:val="clear" w:color="auto" w:fill="CFF0FC"/>
          </w:tcPr>
          <w:p>
            <w:pPr>
              <w:ind w:left="80"/>
              <w:spacing w:after="0"/>
              <w:rPr>
                <w:sz w:val="20"/>
                <w:szCs w:val="20"/>
                <w:color w:val="auto"/>
              </w:rPr>
            </w:pPr>
            <w:r>
              <w:rPr>
                <w:rFonts w:ascii="Arial" w:cs="Arial" w:eastAsia="Arial" w:hAnsi="Arial"/>
                <w:sz w:val="13"/>
                <w:szCs w:val="13"/>
                <w:color w:val="auto"/>
              </w:rPr>
              <w:t>Healthcare &amp; Pharmaceuticals</w:t>
            </w:r>
          </w:p>
        </w:tc>
        <w:tc>
          <w:tcPr>
            <w:tcW w:w="140" w:type="dxa"/>
            <w:vAlign w:val="bottom"/>
            <w:shd w:val="clear" w:color="auto" w:fill="CFF0FC"/>
          </w:tcPr>
          <w:p>
            <w:pPr>
              <w:spacing w:after="0"/>
              <w:rPr>
                <w:sz w:val="12"/>
                <w:szCs w:val="12"/>
                <w:color w:val="auto"/>
              </w:rPr>
            </w:pPr>
          </w:p>
        </w:tc>
        <w:tc>
          <w:tcPr>
            <w:tcW w:w="1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5/29/2020</w:t>
            </w:r>
          </w:p>
        </w:tc>
        <w:tc>
          <w:tcPr>
            <w:tcW w:w="16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321</w:t>
            </w:r>
          </w:p>
        </w:tc>
        <w:tc>
          <w:tcPr>
            <w:tcW w:w="26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29,277</w:t>
            </w:r>
          </w:p>
        </w:tc>
        <w:tc>
          <w:tcPr>
            <w:tcW w:w="2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29,275</w:t>
            </w:r>
          </w:p>
        </w:tc>
        <w:tc>
          <w:tcPr>
            <w:tcW w:w="100" w:type="dxa"/>
            <w:vAlign w:val="bottom"/>
            <w:shd w:val="clear" w:color="auto" w:fill="CFF0FC"/>
          </w:tcPr>
          <w:p>
            <w:pPr>
              <w:spacing w:after="0"/>
              <w:rPr>
                <w:sz w:val="12"/>
                <w:szCs w:val="12"/>
                <w:color w:val="auto"/>
              </w:rPr>
            </w:pPr>
          </w:p>
        </w:tc>
      </w:tr>
      <w:tr>
        <w:trPr>
          <w:trHeight w:val="149"/>
        </w:trPr>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9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AAPC Holdings LLC.</w:t>
            </w:r>
            <w:r>
              <w:rPr>
                <w:rFonts w:ascii="Arial" w:cs="Arial" w:eastAsia="Arial" w:hAnsi="Arial"/>
                <w:sz w:val="10"/>
                <w:szCs w:val="10"/>
                <w:color w:val="auto"/>
              </w:rPr>
              <w:t>(8)(13)(21)(22)</w:t>
            </w:r>
          </w:p>
        </w:tc>
        <w:tc>
          <w:tcPr>
            <w:tcW w:w="2060" w:type="dxa"/>
            <w:vAlign w:val="bottom"/>
            <w:gridSpan w:val="3"/>
            <w:shd w:val="clear" w:color="auto" w:fill="CFF0FC"/>
          </w:tcPr>
          <w:p>
            <w:pPr>
              <w:ind w:left="140"/>
              <w:spacing w:after="0" w:line="134" w:lineRule="exact"/>
              <w:rPr>
                <w:sz w:val="20"/>
                <w:szCs w:val="20"/>
                <w:color w:val="auto"/>
              </w:rPr>
            </w:pPr>
            <w:r>
              <w:rPr>
                <w:rFonts w:ascii="Arial" w:cs="Arial" w:eastAsia="Arial" w:hAnsi="Arial"/>
                <w:sz w:val="13"/>
                <w:szCs w:val="13"/>
                <w:color w:val="auto"/>
              </w:rPr>
              <w:t>Class A Preferred Units; 18%</w:t>
            </w:r>
          </w:p>
        </w:tc>
        <w:tc>
          <w:tcPr>
            <w:tcW w:w="1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900" w:type="dxa"/>
            <w:vAlign w:val="bottom"/>
            <w:shd w:val="clear" w:color="auto" w:fill="CFF0FC"/>
          </w:tcPr>
          <w:p>
            <w:pPr>
              <w:ind w:left="80"/>
              <w:spacing w:after="0"/>
              <w:rPr>
                <w:sz w:val="20"/>
                <w:szCs w:val="20"/>
                <w:color w:val="auto"/>
              </w:rPr>
            </w:pPr>
            <w:r>
              <w:rPr>
                <w:rFonts w:ascii="Arial" w:cs="Arial" w:eastAsia="Arial" w:hAnsi="Arial"/>
                <w:sz w:val="13"/>
                <w:szCs w:val="13"/>
                <w:color w:val="auto"/>
              </w:rPr>
              <w:t>Healthcare &amp; Pharmaceuticals</w:t>
            </w:r>
          </w:p>
        </w:tc>
        <w:tc>
          <w:tcPr>
            <w:tcW w:w="2060" w:type="dxa"/>
            <w:vAlign w:val="bottom"/>
            <w:gridSpan w:val="3"/>
            <w:shd w:val="clear" w:color="auto" w:fill="CFF0FC"/>
          </w:tcPr>
          <w:p>
            <w:pPr>
              <w:ind w:left="140"/>
              <w:spacing w:after="0"/>
              <w:rPr>
                <w:sz w:val="20"/>
                <w:szCs w:val="20"/>
                <w:color w:val="auto"/>
              </w:rPr>
            </w:pPr>
            <w:r>
              <w:rPr>
                <w:rFonts w:ascii="Arial" w:cs="Arial" w:eastAsia="Arial" w:hAnsi="Arial"/>
                <w:sz w:val="13"/>
                <w:szCs w:val="13"/>
                <w:color w:val="auto"/>
              </w:rPr>
              <w:t>PIK; No maturity</w:t>
            </w: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6/27/2019</w:t>
            </w:r>
          </w:p>
        </w:tc>
        <w:tc>
          <w:tcPr>
            <w:tcW w:w="16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5,500,000</w:t>
            </w:r>
          </w:p>
        </w:tc>
        <w:tc>
          <w:tcPr>
            <w:tcW w:w="26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5,500,000</w:t>
            </w:r>
          </w:p>
        </w:tc>
        <w:tc>
          <w:tcPr>
            <w:tcW w:w="2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5,500,000</w:t>
            </w:r>
          </w:p>
        </w:tc>
        <w:tc>
          <w:tcPr>
            <w:tcW w:w="100" w:type="dxa"/>
            <w:vAlign w:val="bottom"/>
            <w:shd w:val="clear" w:color="auto" w:fill="CFF0FC"/>
          </w:tcPr>
          <w:p>
            <w:pPr>
              <w:spacing w:after="0"/>
              <w:rPr>
                <w:sz w:val="12"/>
                <w:szCs w:val="12"/>
                <w:color w:val="auto"/>
              </w:rPr>
            </w:pPr>
          </w:p>
        </w:tc>
      </w:tr>
      <w:tr>
        <w:trPr>
          <w:trHeight w:val="148"/>
        </w:trPr>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9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Advanced Lighting Technologies, Inc.</w:t>
            </w:r>
            <w:r>
              <w:rPr>
                <w:rFonts w:ascii="Arial" w:cs="Arial" w:eastAsia="Arial" w:hAnsi="Arial"/>
                <w:sz w:val="10"/>
                <w:szCs w:val="10"/>
                <w:color w:val="auto"/>
              </w:rPr>
              <w:t>(8)(13)(19)</w:t>
            </w:r>
          </w:p>
        </w:tc>
        <w:tc>
          <w:tcPr>
            <w:tcW w:w="2060" w:type="dxa"/>
            <w:vAlign w:val="bottom"/>
            <w:gridSpan w:val="3"/>
            <w:shd w:val="clear" w:color="auto" w:fill="CFF0FC"/>
          </w:tcPr>
          <w:p>
            <w:pPr>
              <w:ind w:left="140"/>
              <w:spacing w:after="0" w:line="134" w:lineRule="exact"/>
              <w:rPr>
                <w:sz w:val="20"/>
                <w:szCs w:val="20"/>
                <w:color w:val="auto"/>
              </w:rPr>
            </w:pPr>
            <w:r>
              <w:rPr>
                <w:rFonts w:ascii="Arial" w:cs="Arial" w:eastAsia="Arial" w:hAnsi="Arial"/>
                <w:sz w:val="13"/>
                <w:szCs w:val="13"/>
                <w:color w:val="auto"/>
              </w:rPr>
              <w:t>Warrant</w:t>
            </w:r>
          </w:p>
        </w:tc>
        <w:tc>
          <w:tcPr>
            <w:tcW w:w="1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900" w:type="dxa"/>
            <w:vAlign w:val="bottom"/>
            <w:shd w:val="clear" w:color="auto" w:fill="CFF0FC"/>
          </w:tcPr>
          <w:p>
            <w:pPr>
              <w:spacing w:after="0"/>
              <w:rPr>
                <w:sz w:val="20"/>
                <w:szCs w:val="20"/>
                <w:color w:val="auto"/>
              </w:rPr>
            </w:pPr>
            <w:r>
              <w:rPr>
                <w:rFonts w:ascii="Arial" w:cs="Arial" w:eastAsia="Arial" w:hAnsi="Arial"/>
                <w:sz w:val="13"/>
                <w:szCs w:val="13"/>
                <w:color w:val="auto"/>
              </w:rPr>
              <w:t>Consumer goods: Durable</w:t>
            </w:r>
          </w:p>
        </w:tc>
        <w:tc>
          <w:tcPr>
            <w:tcW w:w="140" w:type="dxa"/>
            <w:vAlign w:val="bottom"/>
            <w:shd w:val="clear" w:color="auto" w:fill="CFF0FC"/>
          </w:tcPr>
          <w:p>
            <w:pPr>
              <w:spacing w:after="0"/>
              <w:rPr>
                <w:sz w:val="12"/>
                <w:szCs w:val="12"/>
                <w:color w:val="auto"/>
              </w:rPr>
            </w:pPr>
          </w:p>
        </w:tc>
        <w:tc>
          <w:tcPr>
            <w:tcW w:w="1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6/13/2012</w:t>
            </w:r>
          </w:p>
        </w:tc>
        <w:tc>
          <w:tcPr>
            <w:tcW w:w="16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354</w:t>
            </w:r>
          </w:p>
        </w:tc>
        <w:tc>
          <w:tcPr>
            <w:tcW w:w="26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48"/>
        </w:trPr>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9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Advanced Lighting Technologies, Inc.</w:t>
            </w:r>
            <w:r>
              <w:rPr>
                <w:rFonts w:ascii="Arial" w:cs="Arial" w:eastAsia="Arial" w:hAnsi="Arial"/>
                <w:sz w:val="10"/>
                <w:szCs w:val="10"/>
                <w:color w:val="auto"/>
              </w:rPr>
              <w:t>(8)(13)(19)</w:t>
            </w:r>
          </w:p>
        </w:tc>
        <w:tc>
          <w:tcPr>
            <w:tcW w:w="2060" w:type="dxa"/>
            <w:vAlign w:val="bottom"/>
            <w:gridSpan w:val="3"/>
            <w:shd w:val="clear" w:color="auto" w:fill="CFF0FC"/>
          </w:tcPr>
          <w:p>
            <w:pPr>
              <w:ind w:left="140"/>
              <w:spacing w:after="0" w:line="134" w:lineRule="exact"/>
              <w:rPr>
                <w:sz w:val="20"/>
                <w:szCs w:val="20"/>
                <w:color w:val="auto"/>
              </w:rPr>
            </w:pPr>
            <w:r>
              <w:rPr>
                <w:rFonts w:ascii="Arial" w:cs="Arial" w:eastAsia="Arial" w:hAnsi="Arial"/>
                <w:sz w:val="13"/>
                <w:szCs w:val="13"/>
                <w:color w:val="auto"/>
              </w:rPr>
              <w:t>Membership Interests</w:t>
            </w:r>
          </w:p>
        </w:tc>
        <w:tc>
          <w:tcPr>
            <w:tcW w:w="1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900" w:type="dxa"/>
            <w:vAlign w:val="bottom"/>
            <w:shd w:val="clear" w:color="auto" w:fill="CFF0FC"/>
          </w:tcPr>
          <w:p>
            <w:pPr>
              <w:spacing w:after="0"/>
              <w:rPr>
                <w:sz w:val="20"/>
                <w:szCs w:val="20"/>
                <w:color w:val="auto"/>
              </w:rPr>
            </w:pPr>
            <w:r>
              <w:rPr>
                <w:rFonts w:ascii="Arial" w:cs="Arial" w:eastAsia="Arial" w:hAnsi="Arial"/>
                <w:sz w:val="13"/>
                <w:szCs w:val="13"/>
                <w:color w:val="auto"/>
              </w:rPr>
              <w:t>Consumer goods: Durable</w:t>
            </w:r>
          </w:p>
        </w:tc>
        <w:tc>
          <w:tcPr>
            <w:tcW w:w="140" w:type="dxa"/>
            <w:vAlign w:val="bottom"/>
            <w:shd w:val="clear" w:color="auto" w:fill="CFF0FC"/>
          </w:tcPr>
          <w:p>
            <w:pPr>
              <w:spacing w:after="0"/>
              <w:rPr>
                <w:sz w:val="12"/>
                <w:szCs w:val="12"/>
                <w:color w:val="auto"/>
              </w:rPr>
            </w:pPr>
          </w:p>
        </w:tc>
        <w:tc>
          <w:tcPr>
            <w:tcW w:w="1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6/13/2012</w:t>
            </w:r>
          </w:p>
        </w:tc>
        <w:tc>
          <w:tcPr>
            <w:tcW w:w="16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18,520</w:t>
            </w:r>
          </w:p>
        </w:tc>
        <w:tc>
          <w:tcPr>
            <w:tcW w:w="26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182,000</w:t>
            </w:r>
          </w:p>
        </w:tc>
        <w:tc>
          <w:tcPr>
            <w:tcW w:w="26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48"/>
        </w:trPr>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9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Advantage Capital Holdings LLC</w:t>
            </w:r>
            <w:r>
              <w:rPr>
                <w:rFonts w:ascii="Arial" w:cs="Arial" w:eastAsia="Arial" w:hAnsi="Arial"/>
                <w:sz w:val="10"/>
                <w:szCs w:val="10"/>
                <w:color w:val="auto"/>
              </w:rPr>
              <w:t>(8)(13)(19)(22)</w:t>
            </w:r>
          </w:p>
        </w:tc>
        <w:tc>
          <w:tcPr>
            <w:tcW w:w="2060" w:type="dxa"/>
            <w:vAlign w:val="bottom"/>
            <w:gridSpan w:val="3"/>
            <w:shd w:val="clear" w:color="auto" w:fill="CFF0FC"/>
          </w:tcPr>
          <w:p>
            <w:pPr>
              <w:ind w:left="140"/>
              <w:spacing w:after="0" w:line="134" w:lineRule="exact"/>
              <w:rPr>
                <w:sz w:val="20"/>
                <w:szCs w:val="20"/>
                <w:color w:val="auto"/>
              </w:rPr>
            </w:pPr>
            <w:r>
              <w:rPr>
                <w:rFonts w:ascii="Arial" w:cs="Arial" w:eastAsia="Arial" w:hAnsi="Arial"/>
                <w:sz w:val="13"/>
                <w:szCs w:val="13"/>
                <w:color w:val="auto"/>
              </w:rPr>
              <w:t>Class A Membership Units</w:t>
            </w:r>
          </w:p>
        </w:tc>
        <w:tc>
          <w:tcPr>
            <w:tcW w:w="1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900" w:type="dxa"/>
            <w:vAlign w:val="bottom"/>
            <w:shd w:val="clear" w:color="auto" w:fill="CFF0FC"/>
          </w:tcPr>
          <w:p>
            <w:pPr>
              <w:spacing w:after="0"/>
              <w:rPr>
                <w:sz w:val="20"/>
                <w:szCs w:val="20"/>
                <w:color w:val="auto"/>
              </w:rPr>
            </w:pPr>
            <w:r>
              <w:rPr>
                <w:rFonts w:ascii="Arial" w:cs="Arial" w:eastAsia="Arial" w:hAnsi="Arial"/>
                <w:sz w:val="13"/>
                <w:szCs w:val="13"/>
                <w:color w:val="auto"/>
              </w:rPr>
              <w:t>Banking, Finance, Insurance &amp; Real Estate</w:t>
            </w:r>
          </w:p>
        </w:tc>
        <w:tc>
          <w:tcPr>
            <w:tcW w:w="140" w:type="dxa"/>
            <w:vAlign w:val="bottom"/>
            <w:shd w:val="clear" w:color="auto" w:fill="CFF0FC"/>
          </w:tcPr>
          <w:p>
            <w:pPr>
              <w:spacing w:after="0"/>
              <w:rPr>
                <w:sz w:val="12"/>
                <w:szCs w:val="12"/>
                <w:color w:val="auto"/>
              </w:rPr>
            </w:pPr>
          </w:p>
        </w:tc>
        <w:tc>
          <w:tcPr>
            <w:tcW w:w="1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2/14/2020</w:t>
            </w:r>
          </w:p>
        </w:tc>
        <w:tc>
          <w:tcPr>
            <w:tcW w:w="16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628</w:t>
            </w:r>
          </w:p>
        </w:tc>
        <w:tc>
          <w:tcPr>
            <w:tcW w:w="26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48"/>
        </w:trPr>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9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 xml:space="preserve">Anthem Sports &amp; Entertainment Inc. </w:t>
            </w:r>
            <w:r>
              <w:rPr>
                <w:rFonts w:ascii="Arial" w:cs="Arial" w:eastAsia="Arial" w:hAnsi="Arial"/>
                <w:sz w:val="10"/>
                <w:szCs w:val="10"/>
                <w:color w:val="auto"/>
              </w:rPr>
              <w:t>(8)(13)(19)(21)</w:t>
            </w:r>
          </w:p>
        </w:tc>
        <w:tc>
          <w:tcPr>
            <w:tcW w:w="2060" w:type="dxa"/>
            <w:vAlign w:val="bottom"/>
            <w:gridSpan w:val="3"/>
            <w:shd w:val="clear" w:color="auto" w:fill="CFF0FC"/>
          </w:tcPr>
          <w:p>
            <w:pPr>
              <w:ind w:left="140"/>
              <w:spacing w:after="0" w:line="134" w:lineRule="exact"/>
              <w:rPr>
                <w:sz w:val="20"/>
                <w:szCs w:val="20"/>
                <w:color w:val="auto"/>
              </w:rPr>
            </w:pPr>
            <w:r>
              <w:rPr>
                <w:rFonts w:ascii="Arial" w:cs="Arial" w:eastAsia="Arial" w:hAnsi="Arial"/>
                <w:sz w:val="13"/>
                <w:szCs w:val="13"/>
                <w:color w:val="auto"/>
              </w:rPr>
              <w:t>Warrant Class A, 9/29 maturity</w:t>
            </w:r>
          </w:p>
        </w:tc>
        <w:tc>
          <w:tcPr>
            <w:tcW w:w="1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900" w:type="dxa"/>
            <w:vAlign w:val="bottom"/>
            <w:shd w:val="clear" w:color="auto" w:fill="CFF0FC"/>
          </w:tcPr>
          <w:p>
            <w:pPr>
              <w:spacing w:after="0"/>
              <w:rPr>
                <w:sz w:val="20"/>
                <w:szCs w:val="20"/>
                <w:color w:val="auto"/>
              </w:rPr>
            </w:pPr>
            <w:r>
              <w:rPr>
                <w:rFonts w:ascii="Arial" w:cs="Arial" w:eastAsia="Arial" w:hAnsi="Arial"/>
                <w:sz w:val="13"/>
                <w:szCs w:val="13"/>
                <w:color w:val="auto"/>
              </w:rPr>
              <w:t>Media: Broadcasting &amp; Subscription</w:t>
            </w:r>
          </w:p>
        </w:tc>
        <w:tc>
          <w:tcPr>
            <w:tcW w:w="140" w:type="dxa"/>
            <w:vAlign w:val="bottom"/>
            <w:shd w:val="clear" w:color="auto" w:fill="CFF0FC"/>
          </w:tcPr>
          <w:p>
            <w:pPr>
              <w:spacing w:after="0"/>
              <w:rPr>
                <w:sz w:val="12"/>
                <w:szCs w:val="12"/>
                <w:color w:val="auto"/>
              </w:rPr>
            </w:pPr>
          </w:p>
        </w:tc>
        <w:tc>
          <w:tcPr>
            <w:tcW w:w="1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9/9/2019</w:t>
            </w:r>
          </w:p>
        </w:tc>
        <w:tc>
          <w:tcPr>
            <w:tcW w:w="16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221</w:t>
            </w:r>
          </w:p>
        </w:tc>
        <w:tc>
          <w:tcPr>
            <w:tcW w:w="26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43,887</w:t>
            </w:r>
          </w:p>
        </w:tc>
        <w:tc>
          <w:tcPr>
            <w:tcW w:w="2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17,315</w:t>
            </w:r>
          </w:p>
        </w:tc>
        <w:tc>
          <w:tcPr>
            <w:tcW w:w="100" w:type="dxa"/>
            <w:vAlign w:val="bottom"/>
            <w:shd w:val="clear" w:color="auto" w:fill="CFF0FC"/>
          </w:tcPr>
          <w:p>
            <w:pPr>
              <w:spacing w:after="0"/>
              <w:rPr>
                <w:sz w:val="12"/>
                <w:szCs w:val="12"/>
                <w:color w:val="auto"/>
              </w:rPr>
            </w:pPr>
          </w:p>
        </w:tc>
      </w:tr>
      <w:tr>
        <w:trPr>
          <w:trHeight w:val="148"/>
        </w:trPr>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9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 xml:space="preserve">Anthem Sports &amp; Entertainment Inc. </w:t>
            </w:r>
            <w:r>
              <w:rPr>
                <w:rFonts w:ascii="Arial" w:cs="Arial" w:eastAsia="Arial" w:hAnsi="Arial"/>
                <w:sz w:val="10"/>
                <w:szCs w:val="10"/>
                <w:color w:val="auto"/>
              </w:rPr>
              <w:t>(8)(13)(19)(21)</w:t>
            </w:r>
          </w:p>
        </w:tc>
        <w:tc>
          <w:tcPr>
            <w:tcW w:w="2060" w:type="dxa"/>
            <w:vAlign w:val="bottom"/>
            <w:gridSpan w:val="3"/>
            <w:shd w:val="clear" w:color="auto" w:fill="CFF0FC"/>
          </w:tcPr>
          <w:p>
            <w:pPr>
              <w:ind w:left="140"/>
              <w:spacing w:after="0" w:line="134" w:lineRule="exact"/>
              <w:rPr>
                <w:sz w:val="20"/>
                <w:szCs w:val="20"/>
                <w:color w:val="auto"/>
              </w:rPr>
            </w:pPr>
            <w:r>
              <w:rPr>
                <w:rFonts w:ascii="Arial" w:cs="Arial" w:eastAsia="Arial" w:hAnsi="Arial"/>
                <w:sz w:val="13"/>
                <w:szCs w:val="13"/>
                <w:color w:val="auto"/>
              </w:rPr>
              <w:t>Warrant Class B, 9/29 maturity</w:t>
            </w:r>
          </w:p>
        </w:tc>
        <w:tc>
          <w:tcPr>
            <w:tcW w:w="1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900" w:type="dxa"/>
            <w:vAlign w:val="bottom"/>
            <w:shd w:val="clear" w:color="auto" w:fill="CFF0FC"/>
          </w:tcPr>
          <w:p>
            <w:pPr>
              <w:spacing w:after="0"/>
              <w:rPr>
                <w:sz w:val="20"/>
                <w:szCs w:val="20"/>
                <w:color w:val="auto"/>
              </w:rPr>
            </w:pPr>
            <w:r>
              <w:rPr>
                <w:rFonts w:ascii="Arial" w:cs="Arial" w:eastAsia="Arial" w:hAnsi="Arial"/>
                <w:sz w:val="13"/>
                <w:szCs w:val="13"/>
                <w:color w:val="auto"/>
              </w:rPr>
              <w:t>Media: Broadcasting &amp; Subscription</w:t>
            </w:r>
          </w:p>
        </w:tc>
        <w:tc>
          <w:tcPr>
            <w:tcW w:w="140" w:type="dxa"/>
            <w:vAlign w:val="bottom"/>
            <w:shd w:val="clear" w:color="auto" w:fill="CFF0FC"/>
          </w:tcPr>
          <w:p>
            <w:pPr>
              <w:spacing w:after="0"/>
              <w:rPr>
                <w:sz w:val="12"/>
                <w:szCs w:val="12"/>
                <w:color w:val="auto"/>
              </w:rPr>
            </w:pPr>
          </w:p>
        </w:tc>
        <w:tc>
          <w:tcPr>
            <w:tcW w:w="1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9/9/2019</w:t>
            </w:r>
          </w:p>
        </w:tc>
        <w:tc>
          <w:tcPr>
            <w:tcW w:w="16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w:t>
            </w:r>
          </w:p>
        </w:tc>
        <w:tc>
          <w:tcPr>
            <w:tcW w:w="26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48"/>
        </w:trPr>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9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 xml:space="preserve">Anthem Sports &amp; Entertainment Inc. </w:t>
            </w:r>
            <w:r>
              <w:rPr>
                <w:rFonts w:ascii="Arial" w:cs="Arial" w:eastAsia="Arial" w:hAnsi="Arial"/>
                <w:sz w:val="10"/>
                <w:szCs w:val="10"/>
                <w:color w:val="auto"/>
              </w:rPr>
              <w:t>(8)(13)(19)(21)</w:t>
            </w:r>
          </w:p>
        </w:tc>
        <w:tc>
          <w:tcPr>
            <w:tcW w:w="2060" w:type="dxa"/>
            <w:vAlign w:val="bottom"/>
            <w:gridSpan w:val="3"/>
            <w:shd w:val="clear" w:color="auto" w:fill="CFF0FC"/>
          </w:tcPr>
          <w:p>
            <w:pPr>
              <w:ind w:left="140"/>
              <w:spacing w:after="0" w:line="134" w:lineRule="exact"/>
              <w:rPr>
                <w:sz w:val="20"/>
                <w:szCs w:val="20"/>
                <w:color w:val="auto"/>
              </w:rPr>
            </w:pPr>
            <w:r>
              <w:rPr>
                <w:rFonts w:ascii="Arial" w:cs="Arial" w:eastAsia="Arial" w:hAnsi="Arial"/>
                <w:sz w:val="13"/>
                <w:szCs w:val="13"/>
                <w:color w:val="auto"/>
              </w:rPr>
              <w:t>Warrant Common Stock, 9/29</w:t>
            </w:r>
          </w:p>
        </w:tc>
        <w:tc>
          <w:tcPr>
            <w:tcW w:w="1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900" w:type="dxa"/>
            <w:vAlign w:val="bottom"/>
            <w:shd w:val="clear" w:color="auto" w:fill="CFF0FC"/>
          </w:tcPr>
          <w:p>
            <w:pPr>
              <w:spacing w:after="0"/>
              <w:rPr>
                <w:sz w:val="20"/>
                <w:szCs w:val="20"/>
                <w:color w:val="auto"/>
              </w:rPr>
            </w:pPr>
            <w:r>
              <w:rPr>
                <w:rFonts w:ascii="Arial" w:cs="Arial" w:eastAsia="Arial" w:hAnsi="Arial"/>
                <w:sz w:val="13"/>
                <w:szCs w:val="13"/>
                <w:color w:val="auto"/>
              </w:rPr>
              <w:t>Media: Broadcasting &amp; Subscription</w:t>
            </w:r>
          </w:p>
        </w:tc>
        <w:tc>
          <w:tcPr>
            <w:tcW w:w="2060" w:type="dxa"/>
            <w:vAlign w:val="bottom"/>
            <w:gridSpan w:val="3"/>
            <w:shd w:val="clear" w:color="auto" w:fill="CFF0FC"/>
          </w:tcPr>
          <w:p>
            <w:pPr>
              <w:ind w:left="140"/>
              <w:spacing w:after="0"/>
              <w:rPr>
                <w:sz w:val="20"/>
                <w:szCs w:val="20"/>
                <w:color w:val="auto"/>
              </w:rPr>
            </w:pPr>
            <w:r>
              <w:rPr>
                <w:rFonts w:ascii="Arial" w:cs="Arial" w:eastAsia="Arial" w:hAnsi="Arial"/>
                <w:sz w:val="13"/>
                <w:szCs w:val="13"/>
                <w:color w:val="auto"/>
              </w:rPr>
              <w:t>maturity</w:t>
            </w: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9/9/2019</w:t>
            </w:r>
          </w:p>
        </w:tc>
        <w:tc>
          <w:tcPr>
            <w:tcW w:w="16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721</w:t>
            </w:r>
          </w:p>
        </w:tc>
        <w:tc>
          <w:tcPr>
            <w:tcW w:w="26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48"/>
        </w:trPr>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9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ATP Oil &amp; Gas Corporation</w:t>
            </w:r>
            <w:r>
              <w:rPr>
                <w:rFonts w:ascii="Arial" w:cs="Arial" w:eastAsia="Arial" w:hAnsi="Arial"/>
                <w:sz w:val="10"/>
                <w:szCs w:val="10"/>
                <w:color w:val="auto"/>
              </w:rPr>
              <w:t>(8)(12)(19)</w:t>
            </w:r>
          </w:p>
        </w:tc>
        <w:tc>
          <w:tcPr>
            <w:tcW w:w="2060" w:type="dxa"/>
            <w:vAlign w:val="bottom"/>
            <w:gridSpan w:val="3"/>
            <w:shd w:val="clear" w:color="auto" w:fill="CFF0FC"/>
          </w:tcPr>
          <w:p>
            <w:pPr>
              <w:ind w:left="140"/>
              <w:spacing w:after="0" w:line="134" w:lineRule="exact"/>
              <w:rPr>
                <w:sz w:val="20"/>
                <w:szCs w:val="20"/>
                <w:color w:val="auto"/>
              </w:rPr>
            </w:pPr>
            <w:r>
              <w:rPr>
                <w:rFonts w:ascii="Arial" w:cs="Arial" w:eastAsia="Arial" w:hAnsi="Arial"/>
                <w:sz w:val="13"/>
                <w:szCs w:val="13"/>
                <w:color w:val="auto"/>
              </w:rPr>
              <w:t>Limited Term Royalty Interest</w:t>
            </w:r>
          </w:p>
        </w:tc>
        <w:tc>
          <w:tcPr>
            <w:tcW w:w="1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900" w:type="dxa"/>
            <w:vAlign w:val="bottom"/>
            <w:shd w:val="clear" w:color="auto" w:fill="CFF0FC"/>
          </w:tcPr>
          <w:p>
            <w:pPr>
              <w:spacing w:after="0"/>
              <w:rPr>
                <w:sz w:val="20"/>
                <w:szCs w:val="20"/>
                <w:color w:val="auto"/>
              </w:rPr>
            </w:pPr>
            <w:r>
              <w:rPr>
                <w:rFonts w:ascii="Arial" w:cs="Arial" w:eastAsia="Arial" w:hAnsi="Arial"/>
                <w:sz w:val="13"/>
                <w:szCs w:val="13"/>
                <w:color w:val="auto"/>
              </w:rPr>
              <w:t>Energy: Oil &amp; Gas</w:t>
            </w:r>
          </w:p>
        </w:tc>
        <w:tc>
          <w:tcPr>
            <w:tcW w:w="140" w:type="dxa"/>
            <w:vAlign w:val="bottom"/>
            <w:shd w:val="clear" w:color="auto" w:fill="CFF0FC"/>
          </w:tcPr>
          <w:p>
            <w:pPr>
              <w:spacing w:after="0"/>
              <w:rPr>
                <w:sz w:val="12"/>
                <w:szCs w:val="12"/>
                <w:color w:val="auto"/>
              </w:rPr>
            </w:pPr>
          </w:p>
        </w:tc>
        <w:tc>
          <w:tcPr>
            <w:tcW w:w="1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12/18/2019</w:t>
            </w:r>
          </w:p>
        </w:tc>
        <w:tc>
          <w:tcPr>
            <w:tcW w:w="16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2,271,449</w:t>
            </w:r>
          </w:p>
        </w:tc>
        <w:tc>
          <w:tcPr>
            <w:tcW w:w="26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2,271,449</w:t>
            </w:r>
          </w:p>
        </w:tc>
        <w:tc>
          <w:tcPr>
            <w:tcW w:w="2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2,006,598</w:t>
            </w:r>
          </w:p>
        </w:tc>
        <w:tc>
          <w:tcPr>
            <w:tcW w:w="100" w:type="dxa"/>
            <w:vAlign w:val="bottom"/>
            <w:shd w:val="clear" w:color="auto" w:fill="CFF0FC"/>
          </w:tcPr>
          <w:p>
            <w:pPr>
              <w:spacing w:after="0"/>
              <w:rPr>
                <w:sz w:val="12"/>
                <w:szCs w:val="12"/>
                <w:color w:val="auto"/>
              </w:rPr>
            </w:pPr>
          </w:p>
        </w:tc>
      </w:tr>
      <w:tr>
        <w:trPr>
          <w:trHeight w:val="149"/>
        </w:trPr>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9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 xml:space="preserve">Carestream Health Inc. </w:t>
            </w:r>
            <w:r>
              <w:rPr>
                <w:rFonts w:ascii="Arial" w:cs="Arial" w:eastAsia="Arial" w:hAnsi="Arial"/>
                <w:sz w:val="10"/>
                <w:szCs w:val="10"/>
                <w:color w:val="auto"/>
              </w:rPr>
              <w:t>(8)(13)(19)</w:t>
            </w:r>
          </w:p>
        </w:tc>
        <w:tc>
          <w:tcPr>
            <w:tcW w:w="2060" w:type="dxa"/>
            <w:vAlign w:val="bottom"/>
            <w:gridSpan w:val="3"/>
            <w:shd w:val="clear" w:color="auto" w:fill="CFF0FC"/>
          </w:tcPr>
          <w:p>
            <w:pPr>
              <w:ind w:left="140"/>
              <w:spacing w:after="0" w:line="134" w:lineRule="exact"/>
              <w:rPr>
                <w:sz w:val="20"/>
                <w:szCs w:val="20"/>
                <w:color w:val="auto"/>
              </w:rPr>
            </w:pPr>
            <w:r>
              <w:rPr>
                <w:rFonts w:ascii="Arial" w:cs="Arial" w:eastAsia="Arial" w:hAnsi="Arial"/>
                <w:sz w:val="13"/>
                <w:szCs w:val="13"/>
                <w:color w:val="auto"/>
              </w:rPr>
              <w:t>Warrants</w:t>
            </w:r>
          </w:p>
        </w:tc>
        <w:tc>
          <w:tcPr>
            <w:tcW w:w="1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900" w:type="dxa"/>
            <w:vAlign w:val="bottom"/>
            <w:shd w:val="clear" w:color="auto" w:fill="CFF0FC"/>
          </w:tcPr>
          <w:p>
            <w:pPr>
              <w:ind w:left="100"/>
              <w:spacing w:after="0"/>
              <w:rPr>
                <w:sz w:val="20"/>
                <w:szCs w:val="20"/>
                <w:color w:val="auto"/>
              </w:rPr>
            </w:pPr>
            <w:r>
              <w:rPr>
                <w:rFonts w:ascii="Arial" w:cs="Arial" w:eastAsia="Arial" w:hAnsi="Arial"/>
                <w:sz w:val="13"/>
                <w:szCs w:val="13"/>
                <w:color w:val="auto"/>
              </w:rPr>
              <w:t>Healthcare &amp; Pharmaceuticals</w:t>
            </w:r>
          </w:p>
        </w:tc>
        <w:tc>
          <w:tcPr>
            <w:tcW w:w="140" w:type="dxa"/>
            <w:vAlign w:val="bottom"/>
            <w:shd w:val="clear" w:color="auto" w:fill="CFF0FC"/>
          </w:tcPr>
          <w:p>
            <w:pPr>
              <w:spacing w:after="0"/>
              <w:rPr>
                <w:sz w:val="12"/>
                <w:szCs w:val="12"/>
                <w:color w:val="auto"/>
              </w:rPr>
            </w:pPr>
          </w:p>
        </w:tc>
        <w:tc>
          <w:tcPr>
            <w:tcW w:w="1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3/13/2019</w:t>
            </w:r>
          </w:p>
        </w:tc>
        <w:tc>
          <w:tcPr>
            <w:tcW w:w="16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36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48"/>
        </w:trPr>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9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 xml:space="preserve">Centric Brands Inc. </w:t>
            </w:r>
            <w:r>
              <w:rPr>
                <w:rFonts w:ascii="Arial" w:cs="Arial" w:eastAsia="Arial" w:hAnsi="Arial"/>
                <w:sz w:val="10"/>
                <w:szCs w:val="10"/>
                <w:color w:val="auto"/>
              </w:rPr>
              <w:t>(8)(13)(19)</w:t>
            </w:r>
          </w:p>
        </w:tc>
        <w:tc>
          <w:tcPr>
            <w:tcW w:w="2060" w:type="dxa"/>
            <w:vAlign w:val="bottom"/>
            <w:gridSpan w:val="3"/>
            <w:shd w:val="clear" w:color="auto" w:fill="CFF0FC"/>
          </w:tcPr>
          <w:p>
            <w:pPr>
              <w:ind w:left="140"/>
              <w:spacing w:after="0" w:line="134" w:lineRule="exact"/>
              <w:rPr>
                <w:sz w:val="20"/>
                <w:szCs w:val="20"/>
                <w:color w:val="auto"/>
              </w:rPr>
            </w:pPr>
            <w:r>
              <w:rPr>
                <w:rFonts w:ascii="Arial" w:cs="Arial" w:eastAsia="Arial" w:hAnsi="Arial"/>
                <w:sz w:val="13"/>
                <w:szCs w:val="13"/>
                <w:color w:val="auto"/>
              </w:rPr>
              <w:t>Common</w:t>
            </w:r>
          </w:p>
        </w:tc>
        <w:tc>
          <w:tcPr>
            <w:tcW w:w="1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900" w:type="dxa"/>
            <w:vAlign w:val="bottom"/>
            <w:shd w:val="clear" w:color="auto" w:fill="CFF0FC"/>
          </w:tcPr>
          <w:p>
            <w:pPr>
              <w:spacing w:after="0"/>
              <w:rPr>
                <w:sz w:val="20"/>
                <w:szCs w:val="20"/>
                <w:color w:val="auto"/>
              </w:rPr>
            </w:pPr>
            <w:r>
              <w:rPr>
                <w:rFonts w:ascii="Arial" w:cs="Arial" w:eastAsia="Arial" w:hAnsi="Arial"/>
                <w:sz w:val="13"/>
                <w:szCs w:val="13"/>
                <w:color w:val="auto"/>
              </w:rPr>
              <w:t>Machinery (Non-Agrclt/Constr/Electr)</w:t>
            </w:r>
          </w:p>
        </w:tc>
        <w:tc>
          <w:tcPr>
            <w:tcW w:w="140" w:type="dxa"/>
            <w:vAlign w:val="bottom"/>
            <w:shd w:val="clear" w:color="auto" w:fill="CFF0FC"/>
          </w:tcPr>
          <w:p>
            <w:pPr>
              <w:spacing w:after="0"/>
              <w:rPr>
                <w:sz w:val="12"/>
                <w:szCs w:val="12"/>
                <w:color w:val="auto"/>
              </w:rPr>
            </w:pPr>
          </w:p>
        </w:tc>
        <w:tc>
          <w:tcPr>
            <w:tcW w:w="1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6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36,342</w:t>
            </w:r>
          </w:p>
        </w:tc>
        <w:tc>
          <w:tcPr>
            <w:tcW w:w="26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34,525</w:t>
            </w:r>
          </w:p>
        </w:tc>
        <w:tc>
          <w:tcPr>
            <w:tcW w:w="100" w:type="dxa"/>
            <w:vAlign w:val="bottom"/>
            <w:shd w:val="clear" w:color="auto" w:fill="CFF0FC"/>
          </w:tcPr>
          <w:p>
            <w:pPr>
              <w:spacing w:after="0"/>
              <w:rPr>
                <w:sz w:val="12"/>
                <w:szCs w:val="12"/>
                <w:color w:val="auto"/>
              </w:rPr>
            </w:pPr>
          </w:p>
        </w:tc>
      </w:tr>
      <w:tr>
        <w:trPr>
          <w:trHeight w:val="148"/>
        </w:trPr>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9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eInstruction Acquisition, LLC</w:t>
            </w:r>
            <w:r>
              <w:rPr>
                <w:rFonts w:ascii="Arial" w:cs="Arial" w:eastAsia="Arial" w:hAnsi="Arial"/>
                <w:sz w:val="10"/>
                <w:szCs w:val="10"/>
                <w:color w:val="auto"/>
              </w:rPr>
              <w:t>(8)(13)(19)</w:t>
            </w:r>
          </w:p>
        </w:tc>
        <w:tc>
          <w:tcPr>
            <w:tcW w:w="2060" w:type="dxa"/>
            <w:vAlign w:val="bottom"/>
            <w:gridSpan w:val="3"/>
            <w:shd w:val="clear" w:color="auto" w:fill="CFF0FC"/>
          </w:tcPr>
          <w:p>
            <w:pPr>
              <w:ind w:left="140"/>
              <w:spacing w:after="0" w:line="134" w:lineRule="exact"/>
              <w:rPr>
                <w:sz w:val="20"/>
                <w:szCs w:val="20"/>
                <w:color w:val="auto"/>
              </w:rPr>
            </w:pPr>
            <w:r>
              <w:rPr>
                <w:rFonts w:ascii="Arial" w:cs="Arial" w:eastAsia="Arial" w:hAnsi="Arial"/>
                <w:sz w:val="13"/>
                <w:szCs w:val="13"/>
                <w:color w:val="auto"/>
              </w:rPr>
              <w:t>Membership Units</w:t>
            </w:r>
          </w:p>
        </w:tc>
        <w:tc>
          <w:tcPr>
            <w:tcW w:w="1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900" w:type="dxa"/>
            <w:vAlign w:val="bottom"/>
            <w:shd w:val="clear" w:color="auto" w:fill="CFF0FC"/>
          </w:tcPr>
          <w:p>
            <w:pPr>
              <w:spacing w:after="0"/>
              <w:rPr>
                <w:sz w:val="20"/>
                <w:szCs w:val="20"/>
                <w:color w:val="auto"/>
              </w:rPr>
            </w:pPr>
            <w:r>
              <w:rPr>
                <w:rFonts w:ascii="Arial" w:cs="Arial" w:eastAsia="Arial" w:hAnsi="Arial"/>
                <w:sz w:val="13"/>
                <w:szCs w:val="13"/>
                <w:color w:val="auto"/>
              </w:rPr>
              <w:t>Services: Business</w:t>
            </w:r>
          </w:p>
        </w:tc>
        <w:tc>
          <w:tcPr>
            <w:tcW w:w="140" w:type="dxa"/>
            <w:vAlign w:val="bottom"/>
            <w:shd w:val="clear" w:color="auto" w:fill="CFF0FC"/>
          </w:tcPr>
          <w:p>
            <w:pPr>
              <w:spacing w:after="0"/>
              <w:rPr>
                <w:sz w:val="12"/>
                <w:szCs w:val="12"/>
                <w:color w:val="auto"/>
              </w:rPr>
            </w:pPr>
          </w:p>
        </w:tc>
        <w:tc>
          <w:tcPr>
            <w:tcW w:w="1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7/2/2007</w:t>
            </w:r>
          </w:p>
        </w:tc>
        <w:tc>
          <w:tcPr>
            <w:tcW w:w="16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1,076</w:t>
            </w:r>
          </w:p>
        </w:tc>
        <w:tc>
          <w:tcPr>
            <w:tcW w:w="26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1,079,617</w:t>
            </w:r>
          </w:p>
        </w:tc>
        <w:tc>
          <w:tcPr>
            <w:tcW w:w="2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FF0FC"/>
          </w:tcPr>
          <w:p>
            <w:pPr>
              <w:spacing w:after="0"/>
              <w:rPr>
                <w:sz w:val="12"/>
                <w:szCs w:val="12"/>
                <w:color w:val="auto"/>
              </w:rPr>
            </w:pPr>
          </w:p>
        </w:tc>
      </w:tr>
      <w:tr>
        <w:trPr>
          <w:trHeight w:val="149"/>
        </w:trPr>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9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EJF Investments Ltd.</w:t>
            </w:r>
            <w:r>
              <w:rPr>
                <w:rFonts w:ascii="Arial" w:cs="Arial" w:eastAsia="Arial" w:hAnsi="Arial"/>
                <w:sz w:val="10"/>
                <w:szCs w:val="10"/>
                <w:color w:val="auto"/>
              </w:rPr>
              <w:t>(3)(19)</w:t>
            </w:r>
          </w:p>
        </w:tc>
        <w:tc>
          <w:tcPr>
            <w:tcW w:w="2060" w:type="dxa"/>
            <w:vAlign w:val="bottom"/>
            <w:gridSpan w:val="3"/>
            <w:shd w:val="clear" w:color="auto" w:fill="CFF0FC"/>
          </w:tcPr>
          <w:p>
            <w:pPr>
              <w:ind w:left="140"/>
              <w:spacing w:after="0" w:line="134" w:lineRule="exact"/>
              <w:rPr>
                <w:sz w:val="20"/>
                <w:szCs w:val="20"/>
                <w:color w:val="auto"/>
              </w:rPr>
            </w:pPr>
            <w:r>
              <w:rPr>
                <w:rFonts w:ascii="Arial" w:cs="Arial" w:eastAsia="Arial" w:hAnsi="Arial"/>
                <w:sz w:val="13"/>
                <w:szCs w:val="13"/>
                <w:color w:val="auto"/>
              </w:rPr>
              <w:t>Preferred Equity, 0%; 6/25</w:t>
            </w:r>
          </w:p>
        </w:tc>
        <w:tc>
          <w:tcPr>
            <w:tcW w:w="1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900" w:type="dxa"/>
            <w:vAlign w:val="bottom"/>
            <w:shd w:val="clear" w:color="auto" w:fill="CFF0FC"/>
          </w:tcPr>
          <w:p>
            <w:pPr>
              <w:spacing w:after="0"/>
              <w:rPr>
                <w:sz w:val="20"/>
                <w:szCs w:val="20"/>
                <w:color w:val="auto"/>
              </w:rPr>
            </w:pPr>
            <w:r>
              <w:rPr>
                <w:rFonts w:ascii="Arial" w:cs="Arial" w:eastAsia="Arial" w:hAnsi="Arial"/>
                <w:sz w:val="13"/>
                <w:szCs w:val="13"/>
                <w:color w:val="auto"/>
              </w:rPr>
              <w:t>Services: Business</w:t>
            </w:r>
          </w:p>
        </w:tc>
        <w:tc>
          <w:tcPr>
            <w:tcW w:w="2060" w:type="dxa"/>
            <w:vAlign w:val="bottom"/>
            <w:gridSpan w:val="3"/>
            <w:shd w:val="clear" w:color="auto" w:fill="CFF0FC"/>
          </w:tcPr>
          <w:p>
            <w:pPr>
              <w:ind w:left="140"/>
              <w:spacing w:after="0"/>
              <w:rPr>
                <w:sz w:val="20"/>
                <w:szCs w:val="20"/>
                <w:color w:val="auto"/>
              </w:rPr>
            </w:pPr>
            <w:r>
              <w:rPr>
                <w:rFonts w:ascii="Arial" w:cs="Arial" w:eastAsia="Arial" w:hAnsi="Arial"/>
                <w:sz w:val="13"/>
                <w:szCs w:val="13"/>
                <w:color w:val="auto"/>
              </w:rPr>
              <w:t>maturity</w:t>
            </w: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6/17/2020</w:t>
            </w:r>
          </w:p>
        </w:tc>
        <w:tc>
          <w:tcPr>
            <w:tcW w:w="16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1,366,900</w:t>
            </w:r>
          </w:p>
        </w:tc>
        <w:tc>
          <w:tcPr>
            <w:tcW w:w="26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1,256,485</w:t>
            </w:r>
          </w:p>
        </w:tc>
        <w:tc>
          <w:tcPr>
            <w:tcW w:w="2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1,407,907</w:t>
            </w:r>
          </w:p>
        </w:tc>
        <w:tc>
          <w:tcPr>
            <w:tcW w:w="100" w:type="dxa"/>
            <w:vAlign w:val="bottom"/>
            <w:shd w:val="clear" w:color="auto" w:fill="CFF0FC"/>
          </w:tcPr>
          <w:p>
            <w:pPr>
              <w:spacing w:after="0"/>
              <w:rPr>
                <w:sz w:val="12"/>
                <w:szCs w:val="1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49"/>
        </w:trPr>
        <w:tc>
          <w:tcPr>
            <w:tcW w:w="2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gridSpan w:val="3"/>
          </w:tcPr>
          <w:p>
            <w:pPr>
              <w:jc w:val="center"/>
              <w:ind w:right="500"/>
              <w:spacing w:after="0"/>
              <w:rPr>
                <w:sz w:val="20"/>
                <w:szCs w:val="20"/>
                <w:color w:val="auto"/>
              </w:rPr>
            </w:pPr>
            <w:r>
              <w:rPr>
                <w:rFonts w:ascii="Arial" w:cs="Arial" w:eastAsia="Arial" w:hAnsi="Arial"/>
                <w:sz w:val="13"/>
                <w:szCs w:val="13"/>
                <w:b w:val="1"/>
                <w:bCs w:val="1"/>
                <w:color w:val="auto"/>
                <w:w w:val="94"/>
              </w:rPr>
              <w:t>Initial</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78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Portfolio Company /</w:t>
            </w:r>
          </w:p>
        </w:tc>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gridSpan w:val="4"/>
          </w:tcPr>
          <w:p>
            <w:pPr>
              <w:jc w:val="center"/>
              <w:ind w:right="16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20" w:type="dxa"/>
            <w:vAlign w:val="bottom"/>
          </w:tcPr>
          <w:p>
            <w:pPr>
              <w:spacing w:after="0"/>
              <w:rPr>
                <w:sz w:val="11"/>
                <w:szCs w:val="11"/>
                <w:color w:val="auto"/>
              </w:rPr>
            </w:pPr>
          </w:p>
        </w:tc>
        <w:tc>
          <w:tcPr>
            <w:tcW w:w="1140" w:type="dxa"/>
            <w:vAlign w:val="bottom"/>
            <w:gridSpan w:val="4"/>
          </w:tcPr>
          <w:p>
            <w:pPr>
              <w:jc w:val="center"/>
              <w:ind w:right="80"/>
              <w:spacing w:after="0" w:line="135" w:lineRule="exact"/>
              <w:rPr>
                <w:sz w:val="20"/>
                <w:szCs w:val="20"/>
                <w:color w:val="auto"/>
              </w:rPr>
            </w:pPr>
            <w:r>
              <w:rPr>
                <w:rFonts w:ascii="Arial" w:cs="Arial" w:eastAsia="Arial" w:hAnsi="Arial"/>
                <w:sz w:val="13"/>
                <w:szCs w:val="13"/>
                <w:b w:val="1"/>
                <w:bCs w:val="1"/>
                <w:color w:val="auto"/>
                <w:w w:val="90"/>
              </w:rPr>
              <w:t>Quantity/Par</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780" w:type="dxa"/>
            <w:vAlign w:val="bottom"/>
            <w:gridSpan w:val="2"/>
          </w:tcPr>
          <w:p>
            <w:pPr>
              <w:spacing w:after="0"/>
              <w:rPr>
                <w:sz w:val="20"/>
                <w:szCs w:val="20"/>
                <w:color w:val="auto"/>
              </w:rPr>
            </w:pPr>
            <w:r>
              <w:rPr>
                <w:rFonts w:ascii="Arial" w:cs="Arial" w:eastAsia="Arial" w:hAnsi="Arial"/>
                <w:sz w:val="13"/>
                <w:szCs w:val="13"/>
                <w:b w:val="1"/>
                <w:bCs w:val="1"/>
                <w:color w:val="auto"/>
              </w:rPr>
              <w:t>Principal Business</w:t>
            </w:r>
          </w:p>
        </w:tc>
        <w:tc>
          <w:tcPr>
            <w:tcW w:w="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20" w:type="dxa"/>
            <w:vAlign w:val="bottom"/>
            <w:gridSpan w:val="2"/>
          </w:tcPr>
          <w:p>
            <w:pPr>
              <w:ind w:left="520"/>
              <w:spacing w:after="0"/>
              <w:rPr>
                <w:sz w:val="20"/>
                <w:szCs w:val="20"/>
                <w:color w:val="auto"/>
              </w:rPr>
            </w:pPr>
            <w:r>
              <w:rPr>
                <w:rFonts w:ascii="Arial" w:cs="Arial" w:eastAsia="Arial" w:hAnsi="Arial"/>
                <w:sz w:val="13"/>
                <w:szCs w:val="13"/>
                <w:b w:val="1"/>
                <w:bCs w:val="1"/>
                <w:color w:val="auto"/>
              </w:rPr>
              <w:t>Investment</w:t>
            </w:r>
            <w:r>
              <w:rPr>
                <w:rFonts w:ascii="Arial" w:cs="Arial" w:eastAsia="Arial" w:hAnsi="Arial"/>
                <w:sz w:val="10"/>
                <w:szCs w:val="10"/>
                <w:b w:val="1"/>
                <w:bCs w:val="1"/>
                <w:color w:val="auto"/>
              </w:rPr>
              <w:t>15</w:t>
            </w:r>
          </w:p>
        </w:tc>
        <w:tc>
          <w:tcPr>
            <w:tcW w:w="360" w:type="dxa"/>
            <w:vAlign w:val="bottom"/>
          </w:tcPr>
          <w:p>
            <w:pPr>
              <w:spacing w:after="0"/>
              <w:rPr>
                <w:sz w:val="13"/>
                <w:szCs w:val="13"/>
                <w:color w:val="auto"/>
              </w:rPr>
            </w:pPr>
          </w:p>
        </w:tc>
        <w:tc>
          <w:tcPr>
            <w:tcW w:w="980" w:type="dxa"/>
            <w:vAlign w:val="bottom"/>
            <w:gridSpan w:val="3"/>
          </w:tcPr>
          <w:p>
            <w:pPr>
              <w:jc w:val="center"/>
              <w:ind w:right="520"/>
              <w:spacing w:after="0"/>
              <w:rPr>
                <w:sz w:val="20"/>
                <w:szCs w:val="20"/>
                <w:color w:val="auto"/>
              </w:rPr>
            </w:pPr>
            <w:r>
              <w:rPr>
                <w:rFonts w:ascii="Arial" w:cs="Arial" w:eastAsia="Arial" w:hAnsi="Arial"/>
                <w:sz w:val="13"/>
                <w:szCs w:val="13"/>
                <w:b w:val="1"/>
                <w:bCs w:val="1"/>
                <w:color w:val="auto"/>
                <w:w w:val="92"/>
              </w:rPr>
              <w:t>Date</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3"/>
          </w:tcPr>
          <w:p>
            <w:pPr>
              <w:jc w:val="center"/>
              <w:ind w:right="280"/>
              <w:spacing w:after="0"/>
              <w:rPr>
                <w:sz w:val="20"/>
                <w:szCs w:val="20"/>
                <w:color w:val="auto"/>
              </w:rPr>
            </w:pPr>
            <w:r>
              <w:rPr>
                <w:rFonts w:ascii="Arial" w:cs="Arial" w:eastAsia="Arial" w:hAnsi="Arial"/>
                <w:sz w:val="13"/>
                <w:szCs w:val="13"/>
                <w:b w:val="1"/>
                <w:bCs w:val="1"/>
                <w:color w:val="auto"/>
                <w:w w:val="80"/>
              </w:rPr>
              <w:t>/Shares</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ind w:left="40"/>
              <w:spacing w:after="0"/>
              <w:rPr>
                <w:sz w:val="20"/>
                <w:szCs w:val="20"/>
                <w:color w:val="auto"/>
              </w:rPr>
            </w:pPr>
            <w:r>
              <w:rPr>
                <w:rFonts w:ascii="Arial" w:cs="Arial" w:eastAsia="Arial" w:hAnsi="Arial"/>
                <w:sz w:val="13"/>
                <w:szCs w:val="13"/>
                <w:b w:val="1"/>
                <w:bCs w:val="1"/>
                <w:color w:val="auto"/>
              </w:rPr>
              <w:t>Cost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ind w:left="20"/>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10"/>
                <w:szCs w:val="10"/>
                <w:b w:val="1"/>
                <w:bCs w:val="1"/>
                <w:color w:val="auto"/>
              </w:rPr>
              <w:t>2</w:t>
            </w:r>
          </w:p>
        </w:tc>
        <w:tc>
          <w:tcPr>
            <w:tcW w:w="0" w:type="dxa"/>
            <w:vAlign w:val="bottom"/>
          </w:tcPr>
          <w:p>
            <w:pPr>
              <w:spacing w:after="0"/>
              <w:rPr>
                <w:sz w:val="1"/>
                <w:szCs w:val="1"/>
                <w:color w:val="auto"/>
              </w:rPr>
            </w:pPr>
          </w:p>
        </w:tc>
      </w:tr>
      <w:tr>
        <w:trPr>
          <w:trHeight w:val="128"/>
        </w:trPr>
        <w:tc>
          <w:tcPr>
            <w:tcW w:w="2780" w:type="dxa"/>
            <w:vAlign w:val="bottom"/>
            <w:tcBorders>
              <w:top w:val="single" w:sz="8" w:color="auto"/>
            </w:tcBorders>
            <w:gridSpan w:val="2"/>
            <w:shd w:val="clear" w:color="auto" w:fill="CFF0FC"/>
          </w:tcPr>
          <w:p>
            <w:pPr>
              <w:spacing w:after="0" w:line="128" w:lineRule="exact"/>
              <w:rPr>
                <w:sz w:val="20"/>
                <w:szCs w:val="20"/>
                <w:color w:val="auto"/>
              </w:rPr>
            </w:pPr>
            <w:r>
              <w:rPr>
                <w:rFonts w:ascii="Arial" w:cs="Arial" w:eastAsia="Arial" w:hAnsi="Arial"/>
                <w:sz w:val="13"/>
                <w:szCs w:val="13"/>
                <w:color w:val="auto"/>
              </w:rPr>
              <w:t>Emtec, Inc.</w:t>
            </w:r>
            <w:r>
              <w:rPr>
                <w:rFonts w:ascii="Arial" w:cs="Arial" w:eastAsia="Arial" w:hAnsi="Arial"/>
                <w:sz w:val="10"/>
                <w:szCs w:val="10"/>
                <w:color w:val="auto"/>
              </w:rPr>
              <w:t>(8)(13)(19)</w:t>
            </w:r>
          </w:p>
        </w:tc>
        <w:tc>
          <w:tcPr>
            <w:tcW w:w="20" w:type="dxa"/>
            <w:vAlign w:val="bottom"/>
            <w:tcBorders>
              <w:top w:val="single" w:sz="8" w:color="auto"/>
            </w:tcBorders>
            <w:shd w:val="clear" w:color="auto" w:fill="CFF0FC"/>
          </w:tcPr>
          <w:p>
            <w:pPr>
              <w:spacing w:after="0"/>
              <w:rPr>
                <w:sz w:val="11"/>
                <w:szCs w:val="11"/>
                <w:color w:val="auto"/>
              </w:rPr>
            </w:pPr>
          </w:p>
        </w:tc>
        <w:tc>
          <w:tcPr>
            <w:tcW w:w="110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178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Preferred Equity</w:t>
            </w:r>
          </w:p>
        </w:tc>
        <w:tc>
          <w:tcPr>
            <w:tcW w:w="140" w:type="dxa"/>
            <w:vAlign w:val="bottom"/>
            <w:tcBorders>
              <w:top w:val="single" w:sz="8" w:color="CFF0FC"/>
            </w:tcBorders>
            <w:shd w:val="clear" w:color="auto" w:fill="CFF0FC"/>
          </w:tcPr>
          <w:p>
            <w:pPr>
              <w:spacing w:after="0"/>
              <w:rPr>
                <w:sz w:val="11"/>
                <w:szCs w:val="11"/>
                <w:color w:val="auto"/>
              </w:rPr>
            </w:pPr>
          </w:p>
        </w:tc>
        <w:tc>
          <w:tcPr>
            <w:tcW w:w="36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20" w:type="dxa"/>
            <w:vAlign w:val="bottom"/>
            <w:tcBorders>
              <w:top w:val="single" w:sz="8" w:color="CFF0FC"/>
            </w:tcBorders>
            <w:shd w:val="clear" w:color="auto" w:fill="CFF0FC"/>
          </w:tcPr>
          <w:p>
            <w:pPr>
              <w:spacing w:after="0"/>
              <w:rPr>
                <w:sz w:val="11"/>
                <w:szCs w:val="11"/>
                <w:color w:val="auto"/>
              </w:rPr>
            </w:pPr>
          </w:p>
        </w:tc>
        <w:tc>
          <w:tcPr>
            <w:tcW w:w="20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CFF0FC"/>
            </w:tcBorders>
            <w:shd w:val="clear" w:color="auto" w:fill="CFF0FC"/>
          </w:tcPr>
          <w:p>
            <w:pPr>
              <w:spacing w:after="0"/>
              <w:rPr>
                <w:sz w:val="11"/>
                <w:szCs w:val="11"/>
                <w:color w:val="auto"/>
              </w:rPr>
            </w:pPr>
          </w:p>
        </w:tc>
        <w:tc>
          <w:tcPr>
            <w:tcW w:w="20" w:type="dxa"/>
            <w:vAlign w:val="bottom"/>
            <w:tcBorders>
              <w:top w:val="single" w:sz="8" w:color="CFF0FC"/>
            </w:tcBorders>
            <w:shd w:val="clear" w:color="auto" w:fill="CFF0FC"/>
          </w:tcPr>
          <w:p>
            <w:pPr>
              <w:spacing w:after="0"/>
              <w:rPr>
                <w:sz w:val="11"/>
                <w:szCs w:val="11"/>
                <w:color w:val="auto"/>
              </w:rPr>
            </w:pPr>
          </w:p>
        </w:tc>
        <w:tc>
          <w:tcPr>
            <w:tcW w:w="26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78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Services: Business</w:t>
            </w:r>
          </w:p>
        </w:tc>
        <w:tc>
          <w:tcPr>
            <w:tcW w:w="2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319,357</w:t>
            </w: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7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Oneida Group, Inc.</w:t>
            </w:r>
            <w:r>
              <w:rPr>
                <w:rFonts w:ascii="Arial" w:cs="Arial" w:eastAsia="Arial" w:hAnsi="Arial"/>
                <w:sz w:val="10"/>
                <w:szCs w:val="10"/>
                <w:color w:val="auto"/>
              </w:rPr>
              <w:t>(8)(13)(19)</w:t>
            </w:r>
          </w:p>
        </w:tc>
        <w:tc>
          <w:tcPr>
            <w:tcW w:w="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060" w:type="dxa"/>
            <w:vAlign w:val="bottom"/>
            <w:gridSpan w:val="3"/>
            <w:shd w:val="clear" w:color="auto" w:fill="CFF0FC"/>
          </w:tcPr>
          <w:p>
            <w:pPr>
              <w:ind w:left="140"/>
              <w:spacing w:after="0" w:line="134" w:lineRule="exact"/>
              <w:rPr>
                <w:sz w:val="20"/>
                <w:szCs w:val="20"/>
                <w:color w:val="auto"/>
              </w:rPr>
            </w:pPr>
            <w:r>
              <w:rPr>
                <w:rFonts w:ascii="Arial" w:cs="Arial" w:eastAsia="Arial" w:hAnsi="Arial"/>
                <w:sz w:val="13"/>
                <w:szCs w:val="13"/>
                <w:color w:val="auto"/>
              </w:rPr>
              <w:t>Common</w:t>
            </w:r>
          </w:p>
        </w:tc>
        <w:tc>
          <w:tcPr>
            <w:tcW w:w="3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78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Consumer goods: Durable</w:t>
            </w:r>
          </w:p>
        </w:tc>
        <w:tc>
          <w:tcPr>
            <w:tcW w:w="2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1,085,565</w:t>
            </w: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345,834</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347,381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7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Faraday Holdings LLC.</w:t>
            </w:r>
            <w:r>
              <w:rPr>
                <w:rFonts w:ascii="Arial" w:cs="Arial" w:eastAsia="Arial" w:hAnsi="Arial"/>
                <w:sz w:val="10"/>
                <w:szCs w:val="10"/>
                <w:color w:val="auto"/>
              </w:rPr>
              <w:t>(8)(13)(19)</w:t>
            </w:r>
          </w:p>
        </w:tc>
        <w:tc>
          <w:tcPr>
            <w:tcW w:w="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060" w:type="dxa"/>
            <w:vAlign w:val="bottom"/>
            <w:gridSpan w:val="3"/>
            <w:shd w:val="clear" w:color="auto" w:fill="CFF0FC"/>
          </w:tcPr>
          <w:p>
            <w:pPr>
              <w:ind w:left="140"/>
              <w:spacing w:after="0" w:line="134" w:lineRule="exact"/>
              <w:rPr>
                <w:sz w:val="20"/>
                <w:szCs w:val="20"/>
                <w:color w:val="auto"/>
              </w:rPr>
            </w:pPr>
            <w:r>
              <w:rPr>
                <w:rFonts w:ascii="Arial" w:cs="Arial" w:eastAsia="Arial" w:hAnsi="Arial"/>
                <w:sz w:val="13"/>
                <w:szCs w:val="13"/>
                <w:color w:val="auto"/>
              </w:rPr>
              <w:t>Class D Shares</w:t>
            </w:r>
          </w:p>
        </w:tc>
        <w:tc>
          <w:tcPr>
            <w:tcW w:w="3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78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Consumer goods: Durable</w:t>
            </w:r>
          </w:p>
        </w:tc>
        <w:tc>
          <w:tcPr>
            <w:tcW w:w="2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2,752</w:t>
            </w: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548,377</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865,493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7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FP WRCA Coinvestment Fund VII, Ltd.</w:t>
            </w:r>
            <w:r>
              <w:rPr>
                <w:rFonts w:ascii="Arial" w:cs="Arial" w:eastAsia="Arial" w:hAnsi="Arial"/>
                <w:sz w:val="10"/>
                <w:szCs w:val="10"/>
                <w:color w:val="auto"/>
              </w:rPr>
              <w:t>(3)(13)(19)</w:t>
            </w:r>
          </w:p>
        </w:tc>
        <w:tc>
          <w:tcPr>
            <w:tcW w:w="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060" w:type="dxa"/>
            <w:vAlign w:val="bottom"/>
            <w:gridSpan w:val="3"/>
            <w:shd w:val="clear" w:color="auto" w:fill="CFF0FC"/>
          </w:tcPr>
          <w:p>
            <w:pPr>
              <w:ind w:left="140"/>
              <w:spacing w:after="0" w:line="134" w:lineRule="exact"/>
              <w:rPr>
                <w:sz w:val="20"/>
                <w:szCs w:val="20"/>
                <w:color w:val="auto"/>
              </w:rPr>
            </w:pPr>
            <w:r>
              <w:rPr>
                <w:rFonts w:ascii="Arial" w:cs="Arial" w:eastAsia="Arial" w:hAnsi="Arial"/>
                <w:sz w:val="13"/>
                <w:szCs w:val="13"/>
                <w:color w:val="auto"/>
              </w:rPr>
              <w:t>Class A Shares</w:t>
            </w:r>
          </w:p>
        </w:tc>
        <w:tc>
          <w:tcPr>
            <w:tcW w:w="3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78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Capital Equipment</w:t>
            </w:r>
          </w:p>
        </w:tc>
        <w:tc>
          <w:tcPr>
            <w:tcW w:w="2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2/2/2007</w:t>
            </w:r>
          </w:p>
        </w:tc>
        <w:tc>
          <w:tcPr>
            <w:tcW w:w="1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1,500,000</w:t>
            </w: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1,500,000</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480,300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7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 xml:space="preserve">Fusion Connect, Inc. </w:t>
            </w:r>
            <w:r>
              <w:rPr>
                <w:rFonts w:ascii="Arial" w:cs="Arial" w:eastAsia="Arial" w:hAnsi="Arial"/>
                <w:sz w:val="10"/>
                <w:szCs w:val="10"/>
                <w:color w:val="auto"/>
              </w:rPr>
              <w:t>(8)(13)(19)</w:t>
            </w:r>
          </w:p>
        </w:tc>
        <w:tc>
          <w:tcPr>
            <w:tcW w:w="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060" w:type="dxa"/>
            <w:vAlign w:val="bottom"/>
            <w:gridSpan w:val="3"/>
            <w:shd w:val="clear" w:color="auto" w:fill="CFF0FC"/>
          </w:tcPr>
          <w:p>
            <w:pPr>
              <w:ind w:left="140"/>
              <w:spacing w:after="0" w:line="134" w:lineRule="exact"/>
              <w:rPr>
                <w:sz w:val="20"/>
                <w:szCs w:val="20"/>
                <w:color w:val="auto"/>
              </w:rPr>
            </w:pPr>
            <w:r>
              <w:rPr>
                <w:rFonts w:ascii="Arial" w:cs="Arial" w:eastAsia="Arial" w:hAnsi="Arial"/>
                <w:sz w:val="13"/>
                <w:szCs w:val="13"/>
                <w:color w:val="auto"/>
              </w:rPr>
              <w:t>Common</w:t>
            </w:r>
          </w:p>
        </w:tc>
        <w:tc>
          <w:tcPr>
            <w:tcW w:w="3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78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Telecommunications</w:t>
            </w:r>
          </w:p>
        </w:tc>
        <w:tc>
          <w:tcPr>
            <w:tcW w:w="2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121,871</w:t>
            </w: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865,854</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1,039,560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7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 xml:space="preserve">GIG Rooster Holdings I, LLC </w:t>
            </w:r>
            <w:r>
              <w:rPr>
                <w:rFonts w:ascii="Arial" w:cs="Arial" w:eastAsia="Arial" w:hAnsi="Arial"/>
                <w:sz w:val="10"/>
                <w:szCs w:val="10"/>
                <w:color w:val="auto"/>
              </w:rPr>
              <w:t>(8)(13)(18)(19)</w:t>
            </w:r>
          </w:p>
        </w:tc>
        <w:tc>
          <w:tcPr>
            <w:tcW w:w="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060" w:type="dxa"/>
            <w:vAlign w:val="bottom"/>
            <w:gridSpan w:val="3"/>
            <w:shd w:val="clear" w:color="auto" w:fill="CFF0FC"/>
          </w:tcPr>
          <w:p>
            <w:pPr>
              <w:ind w:left="140"/>
              <w:spacing w:after="0" w:line="134" w:lineRule="exact"/>
              <w:rPr>
                <w:sz w:val="20"/>
                <w:szCs w:val="20"/>
                <w:color w:val="auto"/>
              </w:rPr>
            </w:pPr>
            <w:r>
              <w:rPr>
                <w:rFonts w:ascii="Arial" w:cs="Arial" w:eastAsia="Arial" w:hAnsi="Arial"/>
                <w:sz w:val="13"/>
                <w:szCs w:val="13"/>
                <w:color w:val="auto"/>
              </w:rPr>
              <w:t>Common</w:t>
            </w:r>
          </w:p>
        </w:tc>
        <w:tc>
          <w:tcPr>
            <w:tcW w:w="3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78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Energy: Oil &amp; Gas</w:t>
            </w:r>
          </w:p>
        </w:tc>
        <w:tc>
          <w:tcPr>
            <w:tcW w:w="2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99</w:t>
            </w: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123,354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6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900" w:type="dxa"/>
            <w:vAlign w:val="bottom"/>
            <w:gridSpan w:val="4"/>
            <w:shd w:val="clear" w:color="auto" w:fill="CFF0FC"/>
          </w:tcPr>
          <w:p>
            <w:pPr>
              <w:spacing w:after="0" w:line="134" w:lineRule="exact"/>
              <w:rPr>
                <w:sz w:val="20"/>
                <w:szCs w:val="20"/>
                <w:color w:val="auto"/>
              </w:rPr>
            </w:pPr>
            <w:r>
              <w:rPr>
                <w:rFonts w:ascii="Arial" w:cs="Arial" w:eastAsia="Arial" w:hAnsi="Arial"/>
                <w:sz w:val="13"/>
                <w:szCs w:val="13"/>
                <w:color w:val="auto"/>
              </w:rPr>
              <w:t>New Millennium Holdco, Inc. (Millennium Health, LLC)</w:t>
            </w:r>
            <w:r>
              <w:rPr>
                <w:rFonts w:ascii="Arial" w:cs="Arial" w:eastAsia="Arial" w:hAnsi="Arial"/>
                <w:sz w:val="10"/>
                <w:szCs w:val="10"/>
                <w:color w:val="auto"/>
              </w:rPr>
              <w:t>(8)(13)(19)</w:t>
            </w:r>
          </w:p>
        </w:tc>
        <w:tc>
          <w:tcPr>
            <w:tcW w:w="2060" w:type="dxa"/>
            <w:vAlign w:val="bottom"/>
            <w:gridSpan w:val="3"/>
            <w:shd w:val="clear" w:color="auto" w:fill="CFF0FC"/>
          </w:tcPr>
          <w:p>
            <w:pPr>
              <w:ind w:left="140"/>
              <w:spacing w:after="0" w:line="134" w:lineRule="exact"/>
              <w:rPr>
                <w:sz w:val="20"/>
                <w:szCs w:val="20"/>
                <w:color w:val="auto"/>
              </w:rPr>
            </w:pPr>
            <w:r>
              <w:rPr>
                <w:rFonts w:ascii="Arial" w:cs="Arial" w:eastAsia="Arial" w:hAnsi="Arial"/>
                <w:sz w:val="13"/>
                <w:szCs w:val="13"/>
                <w:color w:val="auto"/>
              </w:rPr>
              <w:t>Common</w:t>
            </w:r>
          </w:p>
        </w:tc>
        <w:tc>
          <w:tcPr>
            <w:tcW w:w="3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78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Healthcare &amp; Pharmaceuticals</w:t>
            </w:r>
          </w:p>
        </w:tc>
        <w:tc>
          <w:tcPr>
            <w:tcW w:w="2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10/7/2014</w:t>
            </w:r>
          </w:p>
        </w:tc>
        <w:tc>
          <w:tcPr>
            <w:tcW w:w="1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29,699</w:t>
            </w: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1,953,300</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7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Ohene Holdings B.V.</w:t>
            </w:r>
            <w:r>
              <w:rPr>
                <w:rFonts w:ascii="Arial" w:cs="Arial" w:eastAsia="Arial" w:hAnsi="Arial"/>
                <w:sz w:val="10"/>
                <w:szCs w:val="10"/>
                <w:color w:val="auto"/>
              </w:rPr>
              <w:t>(3)(13)(19)</w:t>
            </w:r>
          </w:p>
        </w:tc>
        <w:tc>
          <w:tcPr>
            <w:tcW w:w="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060" w:type="dxa"/>
            <w:vAlign w:val="bottom"/>
            <w:gridSpan w:val="3"/>
            <w:shd w:val="clear" w:color="auto" w:fill="CFF0FC"/>
          </w:tcPr>
          <w:p>
            <w:pPr>
              <w:ind w:left="140"/>
              <w:spacing w:after="0" w:line="134" w:lineRule="exact"/>
              <w:rPr>
                <w:sz w:val="20"/>
                <w:szCs w:val="20"/>
                <w:color w:val="auto"/>
              </w:rPr>
            </w:pPr>
            <w:r>
              <w:rPr>
                <w:rFonts w:ascii="Arial" w:cs="Arial" w:eastAsia="Arial" w:hAnsi="Arial"/>
                <w:sz w:val="13"/>
                <w:szCs w:val="13"/>
                <w:color w:val="auto"/>
              </w:rPr>
              <w:t>Warrants</w:t>
            </w:r>
          </w:p>
        </w:tc>
        <w:tc>
          <w:tcPr>
            <w:tcW w:w="3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78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Services: Business</w:t>
            </w:r>
          </w:p>
        </w:tc>
        <w:tc>
          <w:tcPr>
            <w:tcW w:w="2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3/31/2019</w:t>
            </w:r>
          </w:p>
        </w:tc>
        <w:tc>
          <w:tcPr>
            <w:tcW w:w="1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4</w:t>
            </w: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7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 xml:space="preserve">Prosper Marketplace </w:t>
            </w:r>
            <w:r>
              <w:rPr>
                <w:rFonts w:ascii="Arial" w:cs="Arial" w:eastAsia="Arial" w:hAnsi="Arial"/>
                <w:sz w:val="10"/>
                <w:szCs w:val="10"/>
                <w:color w:val="auto"/>
              </w:rPr>
              <w:t>(6)(13)(19)</w:t>
            </w:r>
          </w:p>
        </w:tc>
        <w:tc>
          <w:tcPr>
            <w:tcW w:w="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060" w:type="dxa"/>
            <w:vAlign w:val="bottom"/>
            <w:gridSpan w:val="3"/>
            <w:shd w:val="clear" w:color="auto" w:fill="CFF0FC"/>
          </w:tcPr>
          <w:p>
            <w:pPr>
              <w:ind w:left="140"/>
              <w:spacing w:after="0" w:line="134" w:lineRule="exact"/>
              <w:rPr>
                <w:sz w:val="20"/>
                <w:szCs w:val="20"/>
                <w:color w:val="auto"/>
              </w:rPr>
            </w:pPr>
            <w:r>
              <w:rPr>
                <w:rFonts w:ascii="Arial" w:cs="Arial" w:eastAsia="Arial" w:hAnsi="Arial"/>
                <w:sz w:val="13"/>
                <w:szCs w:val="13"/>
                <w:color w:val="auto"/>
              </w:rPr>
              <w:t>Class B Preferred Units</w:t>
            </w:r>
          </w:p>
        </w:tc>
        <w:tc>
          <w:tcPr>
            <w:tcW w:w="3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78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Consumer goods: Durable</w:t>
            </w:r>
          </w:p>
        </w:tc>
        <w:tc>
          <w:tcPr>
            <w:tcW w:w="2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912,865</w:t>
            </w: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278,865</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365,146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7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Roscoe Investors, LLC</w:t>
            </w:r>
            <w:r>
              <w:rPr>
                <w:rFonts w:ascii="Arial" w:cs="Arial" w:eastAsia="Arial" w:hAnsi="Arial"/>
                <w:sz w:val="10"/>
                <w:szCs w:val="10"/>
                <w:color w:val="auto"/>
              </w:rPr>
              <w:t>(8)(13)(19)</w:t>
            </w:r>
          </w:p>
        </w:tc>
        <w:tc>
          <w:tcPr>
            <w:tcW w:w="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060" w:type="dxa"/>
            <w:vAlign w:val="bottom"/>
            <w:gridSpan w:val="3"/>
            <w:shd w:val="clear" w:color="auto" w:fill="CFF0FC"/>
          </w:tcPr>
          <w:p>
            <w:pPr>
              <w:ind w:left="140"/>
              <w:spacing w:after="0" w:line="134" w:lineRule="exact"/>
              <w:rPr>
                <w:sz w:val="20"/>
                <w:szCs w:val="20"/>
                <w:color w:val="auto"/>
              </w:rPr>
            </w:pPr>
            <w:r>
              <w:rPr>
                <w:rFonts w:ascii="Arial" w:cs="Arial" w:eastAsia="Arial" w:hAnsi="Arial"/>
                <w:sz w:val="13"/>
                <w:szCs w:val="13"/>
                <w:color w:val="auto"/>
              </w:rPr>
              <w:t>Class A Units</w:t>
            </w:r>
          </w:p>
        </w:tc>
        <w:tc>
          <w:tcPr>
            <w:tcW w:w="3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78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Healthcare &amp; Pharmaceuticals</w:t>
            </w:r>
          </w:p>
        </w:tc>
        <w:tc>
          <w:tcPr>
            <w:tcW w:w="2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3/26/2014</w:t>
            </w:r>
          </w:p>
        </w:tc>
        <w:tc>
          <w:tcPr>
            <w:tcW w:w="1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10,000</w:t>
            </w: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1,000,000</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454,000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6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900" w:type="dxa"/>
            <w:vAlign w:val="bottom"/>
            <w:gridSpan w:val="4"/>
            <w:shd w:val="clear" w:color="auto" w:fill="CFF0FC"/>
          </w:tcPr>
          <w:p>
            <w:pPr>
              <w:spacing w:after="0" w:line="134" w:lineRule="exact"/>
              <w:rPr>
                <w:sz w:val="20"/>
                <w:szCs w:val="20"/>
                <w:color w:val="auto"/>
              </w:rPr>
            </w:pPr>
            <w:r>
              <w:rPr>
                <w:rFonts w:ascii="Arial" w:cs="Arial" w:eastAsia="Arial" w:hAnsi="Arial"/>
                <w:sz w:val="13"/>
                <w:szCs w:val="13"/>
                <w:color w:val="auto"/>
              </w:rPr>
              <w:t>Tank Partners Equipment Holdings, LLC</w:t>
            </w:r>
            <w:r>
              <w:rPr>
                <w:rFonts w:ascii="Arial" w:cs="Arial" w:eastAsia="Arial" w:hAnsi="Arial"/>
                <w:sz w:val="10"/>
                <w:szCs w:val="10"/>
                <w:color w:val="auto"/>
              </w:rPr>
              <w:t>(8)(9)(13)(16)(19)</w:t>
            </w:r>
          </w:p>
        </w:tc>
        <w:tc>
          <w:tcPr>
            <w:tcW w:w="2060" w:type="dxa"/>
            <w:vAlign w:val="bottom"/>
            <w:gridSpan w:val="3"/>
            <w:shd w:val="clear" w:color="auto" w:fill="CFF0FC"/>
          </w:tcPr>
          <w:p>
            <w:pPr>
              <w:ind w:left="140"/>
              <w:spacing w:after="0" w:line="134" w:lineRule="exact"/>
              <w:rPr>
                <w:sz w:val="20"/>
                <w:szCs w:val="20"/>
                <w:color w:val="auto"/>
              </w:rPr>
            </w:pPr>
            <w:r>
              <w:rPr>
                <w:rFonts w:ascii="Arial" w:cs="Arial" w:eastAsia="Arial" w:hAnsi="Arial"/>
                <w:sz w:val="13"/>
                <w:szCs w:val="13"/>
                <w:color w:val="auto"/>
              </w:rPr>
              <w:t>Class A Units</w:t>
            </w:r>
          </w:p>
        </w:tc>
        <w:tc>
          <w:tcPr>
            <w:tcW w:w="3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78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Energy: Oil &amp; Gas</w:t>
            </w:r>
          </w:p>
        </w:tc>
        <w:tc>
          <w:tcPr>
            <w:tcW w:w="2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8/28/2014</w:t>
            </w:r>
          </w:p>
        </w:tc>
        <w:tc>
          <w:tcPr>
            <w:tcW w:w="1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49,000</w:t>
            </w: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6,228,000</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7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TRSO II, Inc.</w:t>
            </w:r>
            <w:r>
              <w:rPr>
                <w:rFonts w:ascii="Arial" w:cs="Arial" w:eastAsia="Arial" w:hAnsi="Arial"/>
                <w:sz w:val="10"/>
                <w:szCs w:val="10"/>
                <w:color w:val="auto"/>
              </w:rPr>
              <w:t>(8)(13)(19)</w:t>
            </w:r>
          </w:p>
        </w:tc>
        <w:tc>
          <w:tcPr>
            <w:tcW w:w="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060" w:type="dxa"/>
            <w:vAlign w:val="bottom"/>
            <w:gridSpan w:val="3"/>
            <w:shd w:val="clear" w:color="auto" w:fill="CFF0FC"/>
          </w:tcPr>
          <w:p>
            <w:pPr>
              <w:ind w:left="140"/>
              <w:spacing w:after="0" w:line="134" w:lineRule="exact"/>
              <w:rPr>
                <w:sz w:val="20"/>
                <w:szCs w:val="20"/>
                <w:color w:val="auto"/>
              </w:rPr>
            </w:pPr>
            <w:r>
              <w:rPr>
                <w:rFonts w:ascii="Arial" w:cs="Arial" w:eastAsia="Arial" w:hAnsi="Arial"/>
                <w:sz w:val="13"/>
                <w:szCs w:val="13"/>
                <w:color w:val="auto"/>
              </w:rPr>
              <w:t>Common Stock</w:t>
            </w:r>
          </w:p>
        </w:tc>
        <w:tc>
          <w:tcPr>
            <w:tcW w:w="3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78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Energy: Oil &amp; Gas</w:t>
            </w:r>
          </w:p>
        </w:tc>
        <w:tc>
          <w:tcPr>
            <w:tcW w:w="2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12/24/2012</w:t>
            </w:r>
          </w:p>
        </w:tc>
        <w:tc>
          <w:tcPr>
            <w:tcW w:w="1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1,228</w:t>
            </w: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420,289</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7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Valterra Products Holdings, LLC</w:t>
            </w:r>
            <w:r>
              <w:rPr>
                <w:rFonts w:ascii="Arial" w:cs="Arial" w:eastAsia="Arial" w:hAnsi="Arial"/>
                <w:sz w:val="10"/>
                <w:szCs w:val="10"/>
                <w:color w:val="auto"/>
              </w:rPr>
              <w:t>(8)(13)(19)</w:t>
            </w:r>
          </w:p>
        </w:tc>
        <w:tc>
          <w:tcPr>
            <w:tcW w:w="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060" w:type="dxa"/>
            <w:vAlign w:val="bottom"/>
            <w:gridSpan w:val="3"/>
            <w:shd w:val="clear" w:color="auto" w:fill="CFF0FC"/>
          </w:tcPr>
          <w:p>
            <w:pPr>
              <w:ind w:left="140"/>
              <w:spacing w:after="0" w:line="134" w:lineRule="exact"/>
              <w:rPr>
                <w:sz w:val="20"/>
                <w:szCs w:val="20"/>
                <w:color w:val="auto"/>
              </w:rPr>
            </w:pPr>
            <w:r>
              <w:rPr>
                <w:rFonts w:ascii="Arial" w:cs="Arial" w:eastAsia="Arial" w:hAnsi="Arial"/>
                <w:sz w:val="13"/>
                <w:szCs w:val="13"/>
                <w:color w:val="auto"/>
              </w:rPr>
              <w:t>Class A Units</w:t>
            </w:r>
          </w:p>
        </w:tc>
        <w:tc>
          <w:tcPr>
            <w:tcW w:w="3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78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Consumer goods: Durable</w:t>
            </w:r>
          </w:p>
        </w:tc>
        <w:tc>
          <w:tcPr>
            <w:tcW w:w="2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185,847</w:t>
            </w: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981,365</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1,144,818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7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Valterra Products Holdings, LLC</w:t>
            </w:r>
            <w:r>
              <w:rPr>
                <w:rFonts w:ascii="Arial" w:cs="Arial" w:eastAsia="Arial" w:hAnsi="Arial"/>
                <w:sz w:val="10"/>
                <w:szCs w:val="10"/>
                <w:color w:val="auto"/>
              </w:rPr>
              <w:t>(8)(13)(19)</w:t>
            </w:r>
          </w:p>
        </w:tc>
        <w:tc>
          <w:tcPr>
            <w:tcW w:w="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060" w:type="dxa"/>
            <w:vAlign w:val="bottom"/>
            <w:gridSpan w:val="3"/>
            <w:shd w:val="clear" w:color="auto" w:fill="CFF0FC"/>
          </w:tcPr>
          <w:p>
            <w:pPr>
              <w:ind w:left="140"/>
              <w:spacing w:after="0" w:line="134" w:lineRule="exact"/>
              <w:rPr>
                <w:sz w:val="20"/>
                <w:szCs w:val="20"/>
                <w:color w:val="auto"/>
              </w:rPr>
            </w:pPr>
            <w:r>
              <w:rPr>
                <w:rFonts w:ascii="Arial" w:cs="Arial" w:eastAsia="Arial" w:hAnsi="Arial"/>
                <w:sz w:val="13"/>
                <w:szCs w:val="13"/>
                <w:color w:val="auto"/>
              </w:rPr>
              <w:t>Class B Units</w:t>
            </w:r>
          </w:p>
        </w:tc>
        <w:tc>
          <w:tcPr>
            <w:tcW w:w="3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78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Consumer goods: Durable</w:t>
            </w:r>
          </w:p>
        </w:tc>
        <w:tc>
          <w:tcPr>
            <w:tcW w:w="2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10/28/2020</w:t>
            </w:r>
          </w:p>
        </w:tc>
        <w:tc>
          <w:tcPr>
            <w:tcW w:w="1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8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3"/>
                <w:szCs w:val="13"/>
                <w:color w:val="auto"/>
              </w:rPr>
              <w:t>20,650</w:t>
            </w: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109,040</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127,205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780" w:type="dxa"/>
            <w:vAlign w:val="bottom"/>
            <w:gridSpan w:val="2"/>
            <w:shd w:val="clear" w:color="auto" w:fill="CFF0FC"/>
          </w:tcPr>
          <w:p>
            <w:pPr>
              <w:spacing w:after="0" w:line="131" w:lineRule="exact"/>
              <w:rPr>
                <w:sz w:val="20"/>
                <w:szCs w:val="20"/>
                <w:color w:val="auto"/>
              </w:rPr>
            </w:pPr>
            <w:r>
              <w:rPr>
                <w:rFonts w:ascii="Arial" w:cs="Arial" w:eastAsia="Arial" w:hAnsi="Arial"/>
                <w:sz w:val="13"/>
                <w:szCs w:val="13"/>
                <w:b w:val="1"/>
                <w:bCs w:val="1"/>
                <w:color w:val="auto"/>
              </w:rPr>
              <w:t>Total Investment in Equity Securities</w:t>
            </w:r>
          </w:p>
        </w:tc>
        <w:tc>
          <w:tcPr>
            <w:tcW w:w="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7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780" w:type="dxa"/>
            <w:vAlign w:val="bottom"/>
            <w:gridSpan w:val="2"/>
            <w:shd w:val="clear" w:color="auto" w:fill="CFF0FC"/>
          </w:tcPr>
          <w:p>
            <w:pPr>
              <w:ind w:left="100"/>
              <w:spacing w:after="0"/>
              <w:rPr>
                <w:sz w:val="20"/>
                <w:szCs w:val="20"/>
                <w:color w:val="auto"/>
              </w:rPr>
            </w:pPr>
            <w:r>
              <w:rPr>
                <w:rFonts w:ascii="Arial" w:cs="Arial" w:eastAsia="Arial" w:hAnsi="Arial"/>
                <w:sz w:val="13"/>
                <w:szCs w:val="13"/>
                <w:b w:val="1"/>
                <w:bCs w:val="1"/>
                <w:color w:val="auto"/>
              </w:rPr>
              <w:t>(6% of net asset value at fair value)</w:t>
            </w:r>
          </w:p>
        </w:tc>
        <w:tc>
          <w:tcPr>
            <w:tcW w:w="2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7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20" w:type="dxa"/>
            <w:vAlign w:val="bottom"/>
            <w:gridSpan w:val="2"/>
            <w:shd w:val="clear" w:color="auto" w:fill="CFF0FC"/>
          </w:tcPr>
          <w:p>
            <w:pPr>
              <w:jc w:val="right"/>
              <w:ind w:right="77"/>
              <w:spacing w:after="0"/>
              <w:rPr>
                <w:sz w:val="20"/>
                <w:szCs w:val="20"/>
                <w:color w:val="auto"/>
              </w:rPr>
            </w:pPr>
            <w:r>
              <w:rPr>
                <w:rFonts w:ascii="Arial" w:cs="Arial" w:eastAsia="Arial" w:hAnsi="Arial"/>
                <w:sz w:val="13"/>
                <w:szCs w:val="13"/>
                <w:b w:val="1"/>
                <w:bCs w:val="1"/>
                <w:color w:val="auto"/>
                <w:w w:val="82"/>
              </w:rPr>
              <w:t>$</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3"/>
                <w:szCs w:val="13"/>
                <w:b w:val="1"/>
                <w:bCs w:val="1"/>
                <w:color w:val="auto"/>
              </w:rPr>
              <w:t>13,435,508</w:t>
            </w:r>
          </w:p>
        </w:tc>
        <w:tc>
          <w:tcPr>
            <w:tcW w:w="60" w:type="dxa"/>
            <w:vAlign w:val="bottom"/>
            <w:shd w:val="clear" w:color="auto" w:fill="CFF0FC"/>
          </w:tcPr>
          <w:p>
            <w:pPr>
              <w:spacing w:after="0"/>
              <w:rPr>
                <w:sz w:val="13"/>
                <w:szCs w:val="13"/>
                <w:color w:val="auto"/>
              </w:rPr>
            </w:pPr>
          </w:p>
        </w:tc>
        <w:tc>
          <w:tcPr>
            <w:tcW w:w="460" w:type="dxa"/>
            <w:vAlign w:val="bottom"/>
            <w:gridSpan w:val="3"/>
            <w:shd w:val="clear" w:color="auto" w:fill="CFF0FC"/>
          </w:tcPr>
          <w:p>
            <w:pPr>
              <w:jc w:val="right"/>
              <w:ind w:right="200"/>
              <w:spacing w:after="0"/>
              <w:rPr>
                <w:sz w:val="20"/>
                <w:szCs w:val="20"/>
                <w:color w:val="auto"/>
              </w:rPr>
            </w:pPr>
            <w:r>
              <w:rPr>
                <w:rFonts w:ascii="Arial" w:cs="Arial" w:eastAsia="Arial" w:hAnsi="Arial"/>
                <w:sz w:val="13"/>
                <w:szCs w:val="13"/>
                <w:b w:val="1"/>
                <w:bCs w:val="1"/>
                <w:color w:val="auto"/>
              </w:rPr>
              <w:t>$</w:t>
            </w: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24,593,639</w:t>
            </w:r>
          </w:p>
        </w:tc>
        <w:tc>
          <w:tcPr>
            <w:tcW w:w="140" w:type="dxa"/>
            <w:vAlign w:val="bottom"/>
            <w:shd w:val="clear" w:color="auto" w:fill="CFF0FC"/>
          </w:tcPr>
          <w:p>
            <w:pPr>
              <w:spacing w:after="0"/>
              <w:rPr>
                <w:sz w:val="13"/>
                <w:szCs w:val="13"/>
                <w:color w:val="auto"/>
              </w:rPr>
            </w:pP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b w:val="1"/>
                <w:bCs w:val="1"/>
                <w:color w:val="auto"/>
              </w:rPr>
              <w:t>$</w:t>
            </w: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13,944,876</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399"/>
        </w:trPr>
        <w:tc>
          <w:tcPr>
            <w:tcW w:w="2780" w:type="dxa"/>
            <w:vAlign w:val="bottom"/>
            <w:gridSpan w:val="2"/>
          </w:tcPr>
          <w:p>
            <w:pPr>
              <w:spacing w:after="0"/>
              <w:rPr>
                <w:sz w:val="20"/>
                <w:szCs w:val="20"/>
                <w:color w:val="auto"/>
              </w:rPr>
            </w:pPr>
            <w:r>
              <w:rPr>
                <w:rFonts w:ascii="Arial" w:cs="Arial" w:eastAsia="Arial" w:hAnsi="Arial"/>
                <w:sz w:val="18"/>
                <w:szCs w:val="18"/>
                <w:b w:val="1"/>
                <w:bCs w:val="1"/>
                <w:color w:val="auto"/>
              </w:rPr>
              <w:t>CLO Subordinated Investments</w:t>
            </w: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2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jc w:val="center"/>
              <w:ind w:left="157"/>
              <w:spacing w:after="0"/>
              <w:rPr>
                <w:sz w:val="20"/>
                <w:szCs w:val="20"/>
                <w:color w:val="auto"/>
              </w:rPr>
            </w:pPr>
            <w:r>
              <w:rPr>
                <w:rFonts w:ascii="Arial" w:cs="Arial" w:eastAsia="Arial" w:hAnsi="Arial"/>
                <w:sz w:val="13"/>
                <w:szCs w:val="13"/>
                <w:b w:val="1"/>
                <w:bCs w:val="1"/>
                <w:color w:val="auto"/>
                <w:w w:val="94"/>
              </w:rPr>
              <w:t>Initial</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Amortized</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26"/>
        </w:trPr>
        <w:tc>
          <w:tcPr>
            <w:tcW w:w="2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center"/>
              <w:ind w:left="157"/>
              <w:spacing w:after="0" w:line="126" w:lineRule="exact"/>
              <w:rPr>
                <w:sz w:val="20"/>
                <w:szCs w:val="20"/>
                <w:color w:val="auto"/>
              </w:rPr>
            </w:pPr>
            <w:r>
              <w:rPr>
                <w:rFonts w:ascii="Arial" w:cs="Arial" w:eastAsia="Arial" w:hAnsi="Arial"/>
                <w:sz w:val="13"/>
                <w:szCs w:val="13"/>
                <w:b w:val="1"/>
                <w:bCs w:val="1"/>
                <w:color w:val="auto"/>
                <w:w w:val="84"/>
              </w:rPr>
              <w:t>Acquisition</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tcPr>
          <w:p>
            <w:pPr>
              <w:ind w:left="200"/>
              <w:spacing w:after="0" w:line="126" w:lineRule="exact"/>
              <w:rPr>
                <w:sz w:val="20"/>
                <w:szCs w:val="20"/>
                <w:color w:val="auto"/>
              </w:rPr>
            </w:pPr>
            <w:r>
              <w:rPr>
                <w:rFonts w:ascii="Arial" w:cs="Arial" w:eastAsia="Arial" w:hAnsi="Arial"/>
                <w:sz w:val="13"/>
                <w:szCs w:val="13"/>
                <w:b w:val="1"/>
                <w:bCs w:val="1"/>
                <w:color w:val="auto"/>
                <w:w w:val="82"/>
              </w:rPr>
              <w:t>Percentage</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780" w:type="dxa"/>
            <w:vAlign w:val="bottom"/>
            <w:gridSpan w:val="2"/>
          </w:tcPr>
          <w:p>
            <w:pPr>
              <w:ind w:left="820"/>
              <w:spacing w:after="0"/>
              <w:rPr>
                <w:sz w:val="20"/>
                <w:szCs w:val="20"/>
                <w:color w:val="auto"/>
              </w:rPr>
            </w:pPr>
            <w:r>
              <w:rPr>
                <w:rFonts w:ascii="Arial" w:cs="Arial" w:eastAsia="Arial" w:hAnsi="Arial"/>
                <w:sz w:val="13"/>
                <w:szCs w:val="13"/>
                <w:b w:val="1"/>
                <w:bCs w:val="1"/>
                <w:color w:val="auto"/>
              </w:rPr>
              <w:t>Portfolio Company</w:t>
            </w:r>
          </w:p>
        </w:tc>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20" w:type="dxa"/>
            <w:vAlign w:val="bottom"/>
            <w:gridSpan w:val="2"/>
          </w:tcPr>
          <w:p>
            <w:pPr>
              <w:ind w:left="100"/>
              <w:spacing w:after="0"/>
              <w:rPr>
                <w:sz w:val="20"/>
                <w:szCs w:val="20"/>
                <w:color w:val="auto"/>
              </w:rPr>
            </w:pPr>
            <w:r>
              <w:rPr>
                <w:rFonts w:ascii="Arial" w:cs="Arial" w:eastAsia="Arial" w:hAnsi="Arial"/>
                <w:sz w:val="13"/>
                <w:szCs w:val="13"/>
                <w:b w:val="1"/>
                <w:bCs w:val="1"/>
                <w:color w:val="auto"/>
              </w:rPr>
              <w:t>Investment</w:t>
            </w:r>
            <w:r>
              <w:rPr>
                <w:rFonts w:ascii="Arial" w:cs="Arial" w:eastAsia="Arial" w:hAnsi="Arial"/>
                <w:sz w:val="10"/>
                <w:szCs w:val="10"/>
                <w:b w:val="1"/>
                <w:bCs w:val="1"/>
                <w:color w:val="auto"/>
              </w:rPr>
              <w:t>15,11</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left="157"/>
              <w:spacing w:after="0"/>
              <w:rPr>
                <w:sz w:val="20"/>
                <w:szCs w:val="20"/>
                <w:color w:val="auto"/>
              </w:rPr>
            </w:pPr>
            <w:r>
              <w:rPr>
                <w:rFonts w:ascii="Arial" w:cs="Arial" w:eastAsia="Arial" w:hAnsi="Arial"/>
                <w:sz w:val="13"/>
                <w:szCs w:val="13"/>
                <w:b w:val="1"/>
                <w:bCs w:val="1"/>
                <w:color w:val="auto"/>
                <w:w w:val="85"/>
              </w:rPr>
              <w:t>Date</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ind w:left="200"/>
              <w:spacing w:after="0"/>
              <w:rPr>
                <w:sz w:val="20"/>
                <w:szCs w:val="20"/>
                <w:color w:val="auto"/>
              </w:rPr>
            </w:pPr>
            <w:r>
              <w:rPr>
                <w:rFonts w:ascii="Arial" w:cs="Arial" w:eastAsia="Arial" w:hAnsi="Arial"/>
                <w:sz w:val="13"/>
                <w:szCs w:val="13"/>
                <w:b w:val="1"/>
                <w:bCs w:val="1"/>
                <w:color w:val="auto"/>
                <w:w w:val="86"/>
              </w:rPr>
              <w:t>Ownership</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Value</w:t>
            </w:r>
            <w:r>
              <w:rPr>
                <w:rFonts w:ascii="Arial" w:cs="Arial" w:eastAsia="Arial" w:hAnsi="Arial"/>
                <w:sz w:val="12"/>
                <w:szCs w:val="12"/>
                <w:b w:val="1"/>
                <w:bCs w:val="1"/>
                <w:color w:val="auto"/>
                <w:w w:val="95"/>
              </w:rPr>
              <w:t>2</w:t>
            </w:r>
          </w:p>
        </w:tc>
        <w:tc>
          <w:tcPr>
            <w:tcW w:w="0" w:type="dxa"/>
            <w:vAlign w:val="bottom"/>
          </w:tcPr>
          <w:p>
            <w:pPr>
              <w:spacing w:after="0"/>
              <w:rPr>
                <w:sz w:val="1"/>
                <w:szCs w:val="1"/>
                <w:color w:val="auto"/>
              </w:rPr>
            </w:pPr>
          </w:p>
        </w:tc>
      </w:tr>
      <w:tr>
        <w:trPr>
          <w:trHeight w:val="137"/>
        </w:trPr>
        <w:tc>
          <w:tcPr>
            <w:tcW w:w="2660" w:type="dxa"/>
            <w:vAlign w:val="bottom"/>
            <w:tcBorders>
              <w:top w:val="single" w:sz="8" w:color="auto"/>
            </w:tcBorders>
            <w:shd w:val="clear" w:color="auto" w:fill="CFF0FC"/>
          </w:tcPr>
          <w:p>
            <w:pPr>
              <w:spacing w:after="0" w:line="137" w:lineRule="exact"/>
              <w:rPr>
                <w:sz w:val="20"/>
                <w:szCs w:val="20"/>
                <w:color w:val="auto"/>
              </w:rPr>
            </w:pPr>
            <w:r>
              <w:rPr>
                <w:rFonts w:ascii="Arial" w:cs="Arial" w:eastAsia="Arial" w:hAnsi="Arial"/>
                <w:sz w:val="14"/>
                <w:szCs w:val="14"/>
                <w:color w:val="auto"/>
              </w:rPr>
              <w:t>Catamaran CLO 2013- 1 Ltd.</w:t>
            </w:r>
            <w:r>
              <w:rPr>
                <w:rFonts w:ascii="Arial" w:cs="Arial" w:eastAsia="Arial" w:hAnsi="Arial"/>
                <w:sz w:val="12"/>
                <w:szCs w:val="12"/>
                <w:color w:val="auto"/>
              </w:rPr>
              <w:t>(3)(13)(21)</w:t>
            </w:r>
          </w:p>
        </w:tc>
        <w:tc>
          <w:tcPr>
            <w:tcW w:w="120" w:type="dxa"/>
            <w:vAlign w:val="bottom"/>
            <w:tcBorders>
              <w:top w:val="single" w:sz="8" w:color="CFF0FC"/>
            </w:tcBorders>
            <w:shd w:val="clear" w:color="auto" w:fill="CFF0FC"/>
          </w:tcPr>
          <w:p>
            <w:pPr>
              <w:spacing w:after="0"/>
              <w:rPr>
                <w:sz w:val="11"/>
                <w:szCs w:val="11"/>
                <w:color w:val="auto"/>
              </w:rPr>
            </w:pPr>
          </w:p>
        </w:tc>
        <w:tc>
          <w:tcPr>
            <w:tcW w:w="20" w:type="dxa"/>
            <w:vAlign w:val="bottom"/>
            <w:tcBorders>
              <w:top w:val="single" w:sz="8" w:color="CFF0FC"/>
            </w:tcBorders>
            <w:shd w:val="clear" w:color="auto" w:fill="CFF0FC"/>
          </w:tcPr>
          <w:p>
            <w:pPr>
              <w:spacing w:after="0"/>
              <w:rPr>
                <w:sz w:val="11"/>
                <w:szCs w:val="11"/>
                <w:color w:val="auto"/>
              </w:rPr>
            </w:pPr>
          </w:p>
        </w:tc>
        <w:tc>
          <w:tcPr>
            <w:tcW w:w="3160" w:type="dxa"/>
            <w:vAlign w:val="bottom"/>
            <w:tcBorders>
              <w:top w:val="single" w:sz="8" w:color="auto"/>
            </w:tcBorders>
            <w:gridSpan w:val="4"/>
            <w:shd w:val="clear" w:color="auto" w:fill="CFF0FC"/>
          </w:tcPr>
          <w:p>
            <w:pPr>
              <w:spacing w:after="0" w:line="137" w:lineRule="exact"/>
              <w:rPr>
                <w:sz w:val="20"/>
                <w:szCs w:val="20"/>
                <w:color w:val="auto"/>
              </w:rPr>
            </w:pPr>
            <w:r>
              <w:rPr>
                <w:rFonts w:ascii="Arial" w:cs="Arial" w:eastAsia="Arial" w:hAnsi="Arial"/>
                <w:sz w:val="14"/>
                <w:szCs w:val="14"/>
                <w:color w:val="auto"/>
              </w:rPr>
              <w:t>Subordinated Securities, effective interest 10.7%,</w:t>
            </w:r>
          </w:p>
        </w:tc>
        <w:tc>
          <w:tcPr>
            <w:tcW w:w="36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20" w:type="dxa"/>
            <w:vAlign w:val="bottom"/>
            <w:tcBorders>
              <w:top w:val="single" w:sz="8" w:color="auto"/>
            </w:tcBorders>
            <w:shd w:val="clear" w:color="auto" w:fill="CFF0FC"/>
          </w:tcPr>
          <w:p>
            <w:pPr>
              <w:spacing w:after="0"/>
              <w:rPr>
                <w:sz w:val="11"/>
                <w:szCs w:val="11"/>
                <w:color w:val="auto"/>
              </w:rPr>
            </w:pPr>
          </w:p>
        </w:tc>
        <w:tc>
          <w:tcPr>
            <w:tcW w:w="20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20" w:type="dxa"/>
            <w:vAlign w:val="bottom"/>
            <w:tcBorders>
              <w:top w:val="single" w:sz="8" w:color="CFF0FC"/>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1/28 maturity</w:t>
            </w:r>
          </w:p>
        </w:tc>
        <w:tc>
          <w:tcPr>
            <w:tcW w:w="140" w:type="dxa"/>
            <w:vAlign w:val="bottom"/>
            <w:shd w:val="clear" w:color="auto" w:fill="CFF0FC"/>
          </w:tcPr>
          <w:p>
            <w:pPr>
              <w:spacing w:after="0"/>
              <w:rPr>
                <w:sz w:val="14"/>
                <w:szCs w:val="14"/>
                <w:color w:val="auto"/>
              </w:rPr>
            </w:pPr>
          </w:p>
        </w:tc>
        <w:tc>
          <w:tcPr>
            <w:tcW w:w="17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560" w:type="dxa"/>
            <w:vAlign w:val="bottom"/>
            <w:gridSpan w:val="6"/>
            <w:shd w:val="clear" w:color="auto" w:fill="CFF0FC"/>
          </w:tcPr>
          <w:p>
            <w:pPr>
              <w:jc w:val="right"/>
              <w:spacing w:after="0"/>
              <w:rPr>
                <w:sz w:val="20"/>
                <w:szCs w:val="20"/>
                <w:color w:val="auto"/>
              </w:rPr>
            </w:pPr>
            <w:r>
              <w:rPr>
                <w:rFonts w:ascii="Arial" w:cs="Arial" w:eastAsia="Arial" w:hAnsi="Arial"/>
                <w:sz w:val="14"/>
                <w:szCs w:val="14"/>
                <w:color w:val="auto"/>
              </w:rPr>
              <w:t>6/4/2013</w:t>
            </w:r>
          </w:p>
        </w:tc>
        <w:tc>
          <w:tcPr>
            <w:tcW w:w="1400" w:type="dxa"/>
            <w:vAlign w:val="bottom"/>
            <w:gridSpan w:val="6"/>
            <w:shd w:val="clear" w:color="auto" w:fill="CFF0FC"/>
          </w:tcPr>
          <w:p>
            <w:pPr>
              <w:jc w:val="right"/>
              <w:ind w:right="160"/>
              <w:spacing w:after="0"/>
              <w:rPr>
                <w:sz w:val="20"/>
                <w:szCs w:val="20"/>
                <w:color w:val="auto"/>
              </w:rPr>
            </w:pPr>
            <w:r>
              <w:rPr>
                <w:rFonts w:ascii="Arial" w:cs="Arial" w:eastAsia="Arial" w:hAnsi="Arial"/>
                <w:sz w:val="14"/>
                <w:szCs w:val="14"/>
                <w:color w:val="auto"/>
              </w:rPr>
              <w:t>23.3%</w:t>
            </w:r>
          </w:p>
        </w:tc>
        <w:tc>
          <w:tcPr>
            <w:tcW w:w="12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6,219,310</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2,611,423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780" w:type="dxa"/>
            <w:vAlign w:val="bottom"/>
            <w:gridSpan w:val="2"/>
          </w:tcPr>
          <w:p>
            <w:pPr>
              <w:spacing w:after="0" w:line="143" w:lineRule="exact"/>
              <w:rPr>
                <w:sz w:val="20"/>
                <w:szCs w:val="20"/>
                <w:color w:val="auto"/>
              </w:rPr>
            </w:pPr>
            <w:r>
              <w:rPr>
                <w:rFonts w:ascii="Arial" w:cs="Arial" w:eastAsia="Arial" w:hAnsi="Arial"/>
                <w:sz w:val="14"/>
                <w:szCs w:val="14"/>
                <w:color w:val="auto"/>
              </w:rPr>
              <w:t>Catamaran CLO 2014-1 Ltd.</w:t>
            </w:r>
            <w:r>
              <w:rPr>
                <w:rFonts w:ascii="Arial" w:cs="Arial" w:eastAsia="Arial" w:hAnsi="Arial"/>
                <w:sz w:val="12"/>
                <w:szCs w:val="12"/>
                <w:color w:val="auto"/>
              </w:rPr>
              <w:t>(3)(13)</w:t>
            </w:r>
          </w:p>
        </w:tc>
        <w:tc>
          <w:tcPr>
            <w:tcW w:w="3180" w:type="dxa"/>
            <w:vAlign w:val="bottom"/>
            <w:gridSpan w:val="5"/>
          </w:tcPr>
          <w:p>
            <w:pPr>
              <w:ind w:left="20"/>
              <w:spacing w:after="0" w:line="143" w:lineRule="exact"/>
              <w:rPr>
                <w:sz w:val="20"/>
                <w:szCs w:val="20"/>
                <w:color w:val="auto"/>
              </w:rPr>
            </w:pPr>
            <w:r>
              <w:rPr>
                <w:rFonts w:ascii="Arial" w:cs="Arial" w:eastAsia="Arial" w:hAnsi="Arial"/>
                <w:sz w:val="14"/>
                <w:szCs w:val="14"/>
                <w:color w:val="auto"/>
              </w:rPr>
              <w:t>Subordinated Securities, effective interest 2.4%,</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color w:val="auto"/>
              </w:rPr>
              <w:t>4/30 maturity</w:t>
            </w:r>
          </w:p>
        </w:tc>
        <w:tc>
          <w:tcPr>
            <w:tcW w:w="1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6"/>
          </w:tcPr>
          <w:p>
            <w:pPr>
              <w:jc w:val="right"/>
              <w:spacing w:after="0"/>
              <w:rPr>
                <w:sz w:val="20"/>
                <w:szCs w:val="20"/>
                <w:color w:val="auto"/>
              </w:rPr>
            </w:pPr>
            <w:r>
              <w:rPr>
                <w:rFonts w:ascii="Arial" w:cs="Arial" w:eastAsia="Arial" w:hAnsi="Arial"/>
                <w:sz w:val="14"/>
                <w:szCs w:val="14"/>
                <w:color w:val="auto"/>
              </w:rPr>
              <w:t>5/6/2014</w:t>
            </w:r>
          </w:p>
        </w:tc>
        <w:tc>
          <w:tcPr>
            <w:tcW w:w="1400" w:type="dxa"/>
            <w:vAlign w:val="bottom"/>
            <w:gridSpan w:val="6"/>
          </w:tcPr>
          <w:p>
            <w:pPr>
              <w:jc w:val="right"/>
              <w:ind w:right="160"/>
              <w:spacing w:after="0"/>
              <w:rPr>
                <w:sz w:val="20"/>
                <w:szCs w:val="20"/>
                <w:color w:val="auto"/>
              </w:rPr>
            </w:pPr>
            <w:r>
              <w:rPr>
                <w:rFonts w:ascii="Arial" w:cs="Arial" w:eastAsia="Arial" w:hAnsi="Arial"/>
                <w:sz w:val="14"/>
                <w:szCs w:val="14"/>
                <w:color w:val="auto"/>
              </w:rPr>
              <w:t>22.2%</w:t>
            </w:r>
          </w:p>
        </w:tc>
        <w:tc>
          <w:tcPr>
            <w:tcW w:w="12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9,998,258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3,835,632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780" w:type="dxa"/>
            <w:vAlign w:val="bottom"/>
            <w:gridSpan w:val="2"/>
            <w:shd w:val="clear" w:color="auto" w:fill="CFF0FC"/>
          </w:tcPr>
          <w:p>
            <w:pPr>
              <w:spacing w:after="0" w:line="143" w:lineRule="exact"/>
              <w:rPr>
                <w:sz w:val="20"/>
                <w:szCs w:val="20"/>
                <w:color w:val="auto"/>
              </w:rPr>
            </w:pPr>
            <w:r>
              <w:rPr>
                <w:rFonts w:ascii="Arial" w:cs="Arial" w:eastAsia="Arial" w:hAnsi="Arial"/>
                <w:sz w:val="14"/>
                <w:szCs w:val="14"/>
                <w:color w:val="auto"/>
              </w:rPr>
              <w:t>Dryden 30 Senior Loan Fund</w:t>
            </w:r>
            <w:r>
              <w:rPr>
                <w:rFonts w:ascii="Arial" w:cs="Arial" w:eastAsia="Arial" w:hAnsi="Arial"/>
                <w:sz w:val="12"/>
                <w:szCs w:val="12"/>
                <w:color w:val="auto"/>
              </w:rPr>
              <w:t>(3)(13)</w:t>
            </w:r>
          </w:p>
        </w:tc>
        <w:tc>
          <w:tcPr>
            <w:tcW w:w="3180" w:type="dxa"/>
            <w:vAlign w:val="bottom"/>
            <w:gridSpan w:val="5"/>
            <w:shd w:val="clear" w:color="auto" w:fill="CFF0FC"/>
          </w:tcPr>
          <w:p>
            <w:pPr>
              <w:ind w:left="20"/>
              <w:spacing w:after="0" w:line="143" w:lineRule="exact"/>
              <w:rPr>
                <w:sz w:val="20"/>
                <w:szCs w:val="20"/>
                <w:color w:val="auto"/>
              </w:rPr>
            </w:pPr>
            <w:r>
              <w:rPr>
                <w:rFonts w:ascii="Arial" w:cs="Arial" w:eastAsia="Arial" w:hAnsi="Arial"/>
                <w:sz w:val="14"/>
                <w:szCs w:val="14"/>
                <w:color w:val="auto"/>
              </w:rPr>
              <w:t>Subordinated Securities, effective interest 21.2%,</w:t>
            </w:r>
          </w:p>
        </w:tc>
        <w:tc>
          <w:tcPr>
            <w:tcW w:w="3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11/28 maturity</w:t>
            </w:r>
          </w:p>
        </w:tc>
        <w:tc>
          <w:tcPr>
            <w:tcW w:w="140" w:type="dxa"/>
            <w:vAlign w:val="bottom"/>
            <w:shd w:val="clear" w:color="auto" w:fill="CFF0FC"/>
          </w:tcPr>
          <w:p>
            <w:pPr>
              <w:spacing w:after="0"/>
              <w:rPr>
                <w:sz w:val="14"/>
                <w:szCs w:val="14"/>
                <w:color w:val="auto"/>
              </w:rPr>
            </w:pPr>
          </w:p>
        </w:tc>
        <w:tc>
          <w:tcPr>
            <w:tcW w:w="17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560" w:type="dxa"/>
            <w:vAlign w:val="bottom"/>
            <w:gridSpan w:val="6"/>
            <w:shd w:val="clear" w:color="auto" w:fill="CFF0FC"/>
          </w:tcPr>
          <w:p>
            <w:pPr>
              <w:jc w:val="right"/>
              <w:spacing w:after="0"/>
              <w:rPr>
                <w:sz w:val="20"/>
                <w:szCs w:val="20"/>
                <w:color w:val="auto"/>
              </w:rPr>
            </w:pPr>
            <w:r>
              <w:rPr>
                <w:rFonts w:ascii="Arial" w:cs="Arial" w:eastAsia="Arial" w:hAnsi="Arial"/>
                <w:sz w:val="14"/>
                <w:szCs w:val="14"/>
                <w:color w:val="auto"/>
              </w:rPr>
              <w:t>10/10/2013</w:t>
            </w: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460" w:type="dxa"/>
            <w:vAlign w:val="bottom"/>
            <w:gridSpan w:val="3"/>
            <w:shd w:val="clear" w:color="auto" w:fill="CFF0FC"/>
          </w:tcPr>
          <w:p>
            <w:pPr>
              <w:jc w:val="right"/>
              <w:ind w:right="160"/>
              <w:spacing w:after="0"/>
              <w:rPr>
                <w:sz w:val="20"/>
                <w:szCs w:val="20"/>
                <w:color w:val="auto"/>
              </w:rPr>
            </w:pPr>
            <w:r>
              <w:rPr>
                <w:rFonts w:ascii="Arial" w:cs="Arial" w:eastAsia="Arial" w:hAnsi="Arial"/>
                <w:sz w:val="14"/>
                <w:szCs w:val="14"/>
                <w:color w:val="auto"/>
                <w:w w:val="87"/>
              </w:rPr>
              <w:t>6.8%</w:t>
            </w:r>
          </w:p>
        </w:tc>
        <w:tc>
          <w:tcPr>
            <w:tcW w:w="12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1,272,501</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1,322,100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780" w:type="dxa"/>
            <w:vAlign w:val="bottom"/>
            <w:gridSpan w:val="2"/>
          </w:tcPr>
          <w:p>
            <w:pPr>
              <w:spacing w:after="0" w:line="143" w:lineRule="exact"/>
              <w:rPr>
                <w:sz w:val="20"/>
                <w:szCs w:val="20"/>
                <w:color w:val="auto"/>
              </w:rPr>
            </w:pPr>
            <w:r>
              <w:rPr>
                <w:rFonts w:ascii="Arial" w:cs="Arial" w:eastAsia="Arial" w:hAnsi="Arial"/>
                <w:sz w:val="14"/>
                <w:szCs w:val="14"/>
                <w:color w:val="auto"/>
              </w:rPr>
              <w:t>Catamaran CLO 2014-2 Ltd.</w:t>
            </w:r>
            <w:r>
              <w:rPr>
                <w:rFonts w:ascii="Arial" w:cs="Arial" w:eastAsia="Arial" w:hAnsi="Arial"/>
                <w:sz w:val="12"/>
                <w:szCs w:val="12"/>
                <w:color w:val="auto"/>
              </w:rPr>
              <w:t>(3)(13)(21)</w:t>
            </w:r>
          </w:p>
        </w:tc>
        <w:tc>
          <w:tcPr>
            <w:tcW w:w="3180" w:type="dxa"/>
            <w:vAlign w:val="bottom"/>
            <w:gridSpan w:val="5"/>
          </w:tcPr>
          <w:p>
            <w:pPr>
              <w:ind w:left="20"/>
              <w:spacing w:after="0" w:line="143" w:lineRule="exact"/>
              <w:rPr>
                <w:sz w:val="20"/>
                <w:szCs w:val="20"/>
                <w:color w:val="auto"/>
              </w:rPr>
            </w:pPr>
            <w:r>
              <w:rPr>
                <w:rFonts w:ascii="Arial" w:cs="Arial" w:eastAsia="Arial" w:hAnsi="Arial"/>
                <w:sz w:val="14"/>
                <w:szCs w:val="14"/>
                <w:color w:val="auto"/>
              </w:rPr>
              <w:t>Subordinated Securities, effective interest 0.0%,</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color w:val="auto"/>
              </w:rPr>
              <w:t>10/26 maturity</w:t>
            </w:r>
          </w:p>
        </w:tc>
        <w:tc>
          <w:tcPr>
            <w:tcW w:w="1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6"/>
          </w:tcPr>
          <w:p>
            <w:pPr>
              <w:jc w:val="right"/>
              <w:spacing w:after="0"/>
              <w:rPr>
                <w:sz w:val="20"/>
                <w:szCs w:val="20"/>
                <w:color w:val="auto"/>
              </w:rPr>
            </w:pPr>
            <w:r>
              <w:rPr>
                <w:rFonts w:ascii="Arial" w:cs="Arial" w:eastAsia="Arial" w:hAnsi="Arial"/>
                <w:sz w:val="14"/>
                <w:szCs w:val="14"/>
                <w:color w:val="auto"/>
              </w:rPr>
              <w:t>8/15/2014</w:t>
            </w:r>
          </w:p>
        </w:tc>
        <w:tc>
          <w:tcPr>
            <w:tcW w:w="1400" w:type="dxa"/>
            <w:vAlign w:val="bottom"/>
            <w:gridSpan w:val="6"/>
          </w:tcPr>
          <w:p>
            <w:pPr>
              <w:jc w:val="right"/>
              <w:ind w:right="160"/>
              <w:spacing w:after="0"/>
              <w:rPr>
                <w:sz w:val="20"/>
                <w:szCs w:val="20"/>
                <w:color w:val="auto"/>
              </w:rPr>
            </w:pPr>
            <w:r>
              <w:rPr>
                <w:rFonts w:ascii="Arial" w:cs="Arial" w:eastAsia="Arial" w:hAnsi="Arial"/>
                <w:sz w:val="14"/>
                <w:szCs w:val="14"/>
                <w:color w:val="auto"/>
              </w:rPr>
              <w:t>24.9%</w:t>
            </w:r>
          </w:p>
        </w:tc>
        <w:tc>
          <w:tcPr>
            <w:tcW w:w="12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6,065,598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780" w:type="dxa"/>
            <w:vAlign w:val="bottom"/>
            <w:gridSpan w:val="2"/>
            <w:shd w:val="clear" w:color="auto" w:fill="CFF0FC"/>
          </w:tcPr>
          <w:p>
            <w:pPr>
              <w:spacing w:after="0" w:line="143" w:lineRule="exact"/>
              <w:rPr>
                <w:sz w:val="20"/>
                <w:szCs w:val="20"/>
                <w:color w:val="auto"/>
              </w:rPr>
            </w:pPr>
            <w:r>
              <w:rPr>
                <w:rFonts w:ascii="Arial" w:cs="Arial" w:eastAsia="Arial" w:hAnsi="Arial"/>
                <w:sz w:val="14"/>
                <w:szCs w:val="14"/>
                <w:color w:val="auto"/>
              </w:rPr>
              <w:t>Catamaran CLO 2015-1 Ltd.</w:t>
            </w:r>
            <w:r>
              <w:rPr>
                <w:rFonts w:ascii="Arial" w:cs="Arial" w:eastAsia="Arial" w:hAnsi="Arial"/>
                <w:sz w:val="12"/>
                <w:szCs w:val="12"/>
                <w:color w:val="auto"/>
              </w:rPr>
              <w:t>(3)(6)(13)(21)</w:t>
            </w:r>
          </w:p>
        </w:tc>
        <w:tc>
          <w:tcPr>
            <w:tcW w:w="3180" w:type="dxa"/>
            <w:vAlign w:val="bottom"/>
            <w:gridSpan w:val="5"/>
            <w:shd w:val="clear" w:color="auto" w:fill="CFF0FC"/>
          </w:tcPr>
          <w:p>
            <w:pPr>
              <w:ind w:left="20"/>
              <w:spacing w:after="0" w:line="143" w:lineRule="exact"/>
              <w:rPr>
                <w:sz w:val="20"/>
                <w:szCs w:val="20"/>
                <w:color w:val="auto"/>
              </w:rPr>
            </w:pPr>
            <w:r>
              <w:rPr>
                <w:rFonts w:ascii="Arial" w:cs="Arial" w:eastAsia="Arial" w:hAnsi="Arial"/>
                <w:sz w:val="14"/>
                <w:szCs w:val="14"/>
                <w:color w:val="auto"/>
              </w:rPr>
              <w:t>Subordinated Securities, effective interest 9.0%,</w:t>
            </w:r>
          </w:p>
        </w:tc>
        <w:tc>
          <w:tcPr>
            <w:tcW w:w="3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4/27 maturity</w:t>
            </w:r>
          </w:p>
        </w:tc>
        <w:tc>
          <w:tcPr>
            <w:tcW w:w="140" w:type="dxa"/>
            <w:vAlign w:val="bottom"/>
            <w:shd w:val="clear" w:color="auto" w:fill="CFF0FC"/>
          </w:tcPr>
          <w:p>
            <w:pPr>
              <w:spacing w:after="0"/>
              <w:rPr>
                <w:sz w:val="14"/>
                <w:szCs w:val="14"/>
                <w:color w:val="auto"/>
              </w:rPr>
            </w:pPr>
          </w:p>
        </w:tc>
        <w:tc>
          <w:tcPr>
            <w:tcW w:w="17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560" w:type="dxa"/>
            <w:vAlign w:val="bottom"/>
            <w:gridSpan w:val="6"/>
            <w:shd w:val="clear" w:color="auto" w:fill="CFF0FC"/>
          </w:tcPr>
          <w:p>
            <w:pPr>
              <w:jc w:val="right"/>
              <w:spacing w:after="0"/>
              <w:rPr>
                <w:sz w:val="20"/>
                <w:szCs w:val="20"/>
                <w:color w:val="auto"/>
              </w:rPr>
            </w:pPr>
            <w:r>
              <w:rPr>
                <w:rFonts w:ascii="Arial" w:cs="Arial" w:eastAsia="Arial" w:hAnsi="Arial"/>
                <w:sz w:val="14"/>
                <w:szCs w:val="14"/>
                <w:color w:val="auto"/>
              </w:rPr>
              <w:t>5/5/2015</w:t>
            </w: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460" w:type="dxa"/>
            <w:vAlign w:val="bottom"/>
            <w:gridSpan w:val="3"/>
            <w:shd w:val="clear" w:color="auto" w:fill="CFF0FC"/>
          </w:tcPr>
          <w:p>
            <w:pPr>
              <w:jc w:val="right"/>
              <w:ind w:right="160"/>
              <w:spacing w:after="0"/>
              <w:rPr>
                <w:sz w:val="20"/>
                <w:szCs w:val="20"/>
                <w:color w:val="auto"/>
              </w:rPr>
            </w:pPr>
            <w:r>
              <w:rPr>
                <w:rFonts w:ascii="Arial" w:cs="Arial" w:eastAsia="Arial" w:hAnsi="Arial"/>
                <w:sz w:val="14"/>
                <w:szCs w:val="14"/>
                <w:color w:val="auto"/>
                <w:w w:val="87"/>
              </w:rPr>
              <w:t>9.9%</w:t>
            </w:r>
          </w:p>
        </w:tc>
        <w:tc>
          <w:tcPr>
            <w:tcW w:w="12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4,141,981</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1,609,400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780" w:type="dxa"/>
            <w:vAlign w:val="bottom"/>
            <w:gridSpan w:val="2"/>
          </w:tcPr>
          <w:p>
            <w:pPr>
              <w:spacing w:after="0" w:line="143" w:lineRule="exact"/>
              <w:rPr>
                <w:sz w:val="20"/>
                <w:szCs w:val="20"/>
                <w:color w:val="auto"/>
              </w:rPr>
            </w:pPr>
            <w:r>
              <w:rPr>
                <w:rFonts w:ascii="Arial" w:cs="Arial" w:eastAsia="Arial" w:hAnsi="Arial"/>
                <w:sz w:val="14"/>
                <w:szCs w:val="14"/>
                <w:color w:val="auto"/>
              </w:rPr>
              <w:t>Catamaran CLO 2016-1 Ltd.</w:t>
            </w:r>
            <w:r>
              <w:rPr>
                <w:rFonts w:ascii="Arial" w:cs="Arial" w:eastAsia="Arial" w:hAnsi="Arial"/>
                <w:sz w:val="12"/>
                <w:szCs w:val="12"/>
                <w:color w:val="auto"/>
              </w:rPr>
              <w:t>(3)(13)</w:t>
            </w:r>
          </w:p>
        </w:tc>
        <w:tc>
          <w:tcPr>
            <w:tcW w:w="3180" w:type="dxa"/>
            <w:vAlign w:val="bottom"/>
            <w:gridSpan w:val="5"/>
          </w:tcPr>
          <w:p>
            <w:pPr>
              <w:ind w:left="20"/>
              <w:spacing w:after="0" w:line="143" w:lineRule="exact"/>
              <w:rPr>
                <w:sz w:val="20"/>
                <w:szCs w:val="20"/>
                <w:color w:val="auto"/>
              </w:rPr>
            </w:pPr>
            <w:r>
              <w:rPr>
                <w:rFonts w:ascii="Arial" w:cs="Arial" w:eastAsia="Arial" w:hAnsi="Arial"/>
                <w:sz w:val="14"/>
                <w:szCs w:val="14"/>
                <w:color w:val="auto"/>
              </w:rPr>
              <w:t>Subordinated Securities, effective interest 8.0%,</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color w:val="auto"/>
              </w:rPr>
              <w:t>1/29 maturity</w:t>
            </w:r>
          </w:p>
        </w:tc>
        <w:tc>
          <w:tcPr>
            <w:tcW w:w="1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6"/>
          </w:tcPr>
          <w:p>
            <w:pPr>
              <w:jc w:val="right"/>
              <w:spacing w:after="0"/>
              <w:rPr>
                <w:sz w:val="20"/>
                <w:szCs w:val="20"/>
                <w:color w:val="auto"/>
              </w:rPr>
            </w:pPr>
            <w:r>
              <w:rPr>
                <w:rFonts w:ascii="Arial" w:cs="Arial" w:eastAsia="Arial" w:hAnsi="Arial"/>
                <w:sz w:val="14"/>
                <w:szCs w:val="14"/>
                <w:color w:val="auto"/>
              </w:rPr>
              <w:t>12/21/2016</w:t>
            </w:r>
          </w:p>
        </w:tc>
        <w:tc>
          <w:tcPr>
            <w:tcW w:w="1400" w:type="dxa"/>
            <w:vAlign w:val="bottom"/>
            <w:gridSpan w:val="6"/>
          </w:tcPr>
          <w:p>
            <w:pPr>
              <w:jc w:val="right"/>
              <w:ind w:right="160"/>
              <w:spacing w:after="0"/>
              <w:rPr>
                <w:sz w:val="20"/>
                <w:szCs w:val="20"/>
                <w:color w:val="auto"/>
              </w:rPr>
            </w:pPr>
            <w:r>
              <w:rPr>
                <w:rFonts w:ascii="Arial" w:cs="Arial" w:eastAsia="Arial" w:hAnsi="Arial"/>
                <w:sz w:val="14"/>
                <w:szCs w:val="14"/>
                <w:color w:val="auto"/>
              </w:rPr>
              <w:t>24.9%</w:t>
            </w:r>
          </w:p>
        </w:tc>
        <w:tc>
          <w:tcPr>
            <w:tcW w:w="12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8,872,484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3,549,000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780" w:type="dxa"/>
            <w:vAlign w:val="bottom"/>
            <w:gridSpan w:val="2"/>
            <w:shd w:val="clear" w:color="auto" w:fill="CFF0FC"/>
          </w:tcPr>
          <w:p>
            <w:pPr>
              <w:spacing w:after="0" w:line="143" w:lineRule="exact"/>
              <w:rPr>
                <w:sz w:val="20"/>
                <w:szCs w:val="20"/>
                <w:color w:val="auto"/>
              </w:rPr>
            </w:pPr>
            <w:r>
              <w:rPr>
                <w:rFonts w:ascii="Arial" w:cs="Arial" w:eastAsia="Arial" w:hAnsi="Arial"/>
                <w:sz w:val="14"/>
                <w:szCs w:val="14"/>
                <w:color w:val="auto"/>
              </w:rPr>
              <w:t>Catamaran CLO 2018-1 Ltd</w:t>
            </w:r>
            <w:r>
              <w:rPr>
                <w:rFonts w:ascii="Arial" w:cs="Arial" w:eastAsia="Arial" w:hAnsi="Arial"/>
                <w:sz w:val="12"/>
                <w:szCs w:val="12"/>
                <w:color w:val="auto"/>
              </w:rPr>
              <w:t>(3)(13)</w:t>
            </w:r>
          </w:p>
        </w:tc>
        <w:tc>
          <w:tcPr>
            <w:tcW w:w="3180" w:type="dxa"/>
            <w:vAlign w:val="bottom"/>
            <w:gridSpan w:val="5"/>
            <w:shd w:val="clear" w:color="auto" w:fill="CFF0FC"/>
          </w:tcPr>
          <w:p>
            <w:pPr>
              <w:ind w:left="20"/>
              <w:spacing w:after="0" w:line="143" w:lineRule="exact"/>
              <w:rPr>
                <w:sz w:val="20"/>
                <w:szCs w:val="20"/>
                <w:color w:val="auto"/>
              </w:rPr>
            </w:pPr>
            <w:r>
              <w:rPr>
                <w:rFonts w:ascii="Arial" w:cs="Arial" w:eastAsia="Arial" w:hAnsi="Arial"/>
                <w:sz w:val="14"/>
                <w:szCs w:val="14"/>
                <w:color w:val="auto"/>
              </w:rPr>
              <w:t>Subordinated Securities, effective interest 10.0%,</w:t>
            </w:r>
          </w:p>
        </w:tc>
        <w:tc>
          <w:tcPr>
            <w:tcW w:w="3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10/31 maturity</w:t>
            </w:r>
          </w:p>
        </w:tc>
        <w:tc>
          <w:tcPr>
            <w:tcW w:w="140" w:type="dxa"/>
            <w:vAlign w:val="bottom"/>
            <w:shd w:val="clear" w:color="auto" w:fill="CFF0FC"/>
          </w:tcPr>
          <w:p>
            <w:pPr>
              <w:spacing w:after="0"/>
              <w:rPr>
                <w:sz w:val="14"/>
                <w:szCs w:val="14"/>
                <w:color w:val="auto"/>
              </w:rPr>
            </w:pPr>
          </w:p>
        </w:tc>
        <w:tc>
          <w:tcPr>
            <w:tcW w:w="17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560" w:type="dxa"/>
            <w:vAlign w:val="bottom"/>
            <w:gridSpan w:val="6"/>
            <w:shd w:val="clear" w:color="auto" w:fill="CFF0FC"/>
          </w:tcPr>
          <w:p>
            <w:pPr>
              <w:jc w:val="right"/>
              <w:spacing w:after="0"/>
              <w:rPr>
                <w:sz w:val="20"/>
                <w:szCs w:val="20"/>
                <w:color w:val="auto"/>
              </w:rPr>
            </w:pPr>
            <w:r>
              <w:rPr>
                <w:rFonts w:ascii="Arial" w:cs="Arial" w:eastAsia="Arial" w:hAnsi="Arial"/>
                <w:sz w:val="14"/>
                <w:szCs w:val="14"/>
                <w:color w:val="auto"/>
              </w:rPr>
              <w:t>9/27/2018</w:t>
            </w:r>
          </w:p>
        </w:tc>
        <w:tc>
          <w:tcPr>
            <w:tcW w:w="1400" w:type="dxa"/>
            <w:vAlign w:val="bottom"/>
            <w:gridSpan w:val="6"/>
            <w:shd w:val="clear" w:color="auto" w:fill="CFF0FC"/>
          </w:tcPr>
          <w:p>
            <w:pPr>
              <w:jc w:val="right"/>
              <w:ind w:right="160"/>
              <w:spacing w:after="0"/>
              <w:rPr>
                <w:sz w:val="20"/>
                <w:szCs w:val="20"/>
                <w:color w:val="auto"/>
              </w:rPr>
            </w:pPr>
            <w:r>
              <w:rPr>
                <w:rFonts w:ascii="Arial" w:cs="Arial" w:eastAsia="Arial" w:hAnsi="Arial"/>
                <w:sz w:val="14"/>
                <w:szCs w:val="14"/>
                <w:color w:val="auto"/>
              </w:rPr>
              <w:t>24.8%</w:t>
            </w:r>
          </w:p>
        </w:tc>
        <w:tc>
          <w:tcPr>
            <w:tcW w:w="12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9,157,681</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6,655,000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10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178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3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72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74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780" w:type="dxa"/>
            <w:vAlign w:val="bottom"/>
            <w:gridSpan w:val="2"/>
            <w:shd w:val="clear" w:color="auto" w:fill="CFF0FC"/>
          </w:tcPr>
          <w:p>
            <w:pPr>
              <w:spacing w:after="0" w:line="143" w:lineRule="exact"/>
              <w:rPr>
                <w:sz w:val="20"/>
                <w:szCs w:val="20"/>
                <w:color w:val="auto"/>
              </w:rPr>
            </w:pPr>
            <w:r>
              <w:rPr>
                <w:rFonts w:ascii="Arial" w:cs="Arial" w:eastAsia="Arial" w:hAnsi="Arial"/>
                <w:sz w:val="13"/>
                <w:szCs w:val="13"/>
                <w:b w:val="1"/>
                <w:bCs w:val="1"/>
                <w:color w:val="auto"/>
              </w:rPr>
              <w:t>Total Investment in CLO Fund</w:t>
            </w:r>
          </w:p>
        </w:tc>
        <w:tc>
          <w:tcPr>
            <w:tcW w:w="2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780" w:type="dxa"/>
            <w:vAlign w:val="bottom"/>
            <w:gridSpan w:val="2"/>
            <w:shd w:val="clear" w:color="auto" w:fill="CFF0FC"/>
          </w:tcPr>
          <w:p>
            <w:pPr>
              <w:ind w:left="100"/>
              <w:spacing w:after="0"/>
              <w:rPr>
                <w:sz w:val="20"/>
                <w:szCs w:val="20"/>
                <w:color w:val="auto"/>
              </w:rPr>
            </w:pPr>
            <w:r>
              <w:rPr>
                <w:rFonts w:ascii="Arial" w:cs="Arial" w:eastAsia="Arial" w:hAnsi="Arial"/>
                <w:sz w:val="13"/>
                <w:szCs w:val="13"/>
                <w:b w:val="1"/>
                <w:bCs w:val="1"/>
                <w:color w:val="auto"/>
                <w:w w:val="94"/>
              </w:rPr>
              <w:t>Securities (9% of net asset value at fair value)</w:t>
            </w:r>
          </w:p>
        </w:tc>
        <w:tc>
          <w:tcPr>
            <w:tcW w:w="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7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580" w:type="dxa"/>
            <w:vAlign w:val="bottom"/>
            <w:gridSpan w:val="4"/>
            <w:shd w:val="clear" w:color="auto" w:fill="CFF0FC"/>
          </w:tcPr>
          <w:p>
            <w:pPr>
              <w:jc w:val="right"/>
              <w:ind w:right="60"/>
              <w:spacing w:after="0"/>
              <w:rPr>
                <w:sz w:val="20"/>
                <w:szCs w:val="20"/>
                <w:color w:val="auto"/>
              </w:rPr>
            </w:pPr>
            <w:r>
              <w:rPr>
                <w:rFonts w:ascii="Arial" w:cs="Arial" w:eastAsia="Arial" w:hAnsi="Arial"/>
                <w:sz w:val="13"/>
                <w:szCs w:val="13"/>
                <w:b w:val="1"/>
                <w:bCs w:val="1"/>
                <w:color w:val="auto"/>
              </w:rPr>
              <w:t>$</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3"/>
                <w:szCs w:val="13"/>
                <w:b w:val="1"/>
                <w:bCs w:val="1"/>
                <w:color w:val="auto"/>
              </w:rPr>
              <w:t>45,727,813</w:t>
            </w:r>
          </w:p>
        </w:tc>
        <w:tc>
          <w:tcPr>
            <w:tcW w:w="340" w:type="dxa"/>
            <w:vAlign w:val="bottom"/>
            <w:gridSpan w:val="3"/>
            <w:shd w:val="clear" w:color="auto" w:fill="CFF0FC"/>
          </w:tcPr>
          <w:p>
            <w:pPr>
              <w:jc w:val="right"/>
              <w:ind w:right="20"/>
              <w:spacing w:after="0"/>
              <w:rPr>
                <w:sz w:val="20"/>
                <w:szCs w:val="20"/>
                <w:color w:val="auto"/>
              </w:rPr>
            </w:pPr>
            <w:r>
              <w:rPr>
                <w:rFonts w:ascii="Arial" w:cs="Arial" w:eastAsia="Arial" w:hAnsi="Arial"/>
                <w:sz w:val="13"/>
                <w:szCs w:val="13"/>
                <w:b w:val="1"/>
                <w:bCs w:val="1"/>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19,582,555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28"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Asset Manager Affiliates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Initial</w:t>
            </w: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26"/>
        </w:trPr>
        <w:tc>
          <w:tcPr>
            <w:tcW w:w="2780" w:type="dxa"/>
            <w:vAlign w:val="bottom"/>
            <w:gridSpan w:val="2"/>
          </w:tcPr>
          <w:p>
            <w:pPr>
              <w:jc w:val="center"/>
              <w:ind w:right="120"/>
              <w:spacing w:after="0" w:line="126" w:lineRule="exact"/>
              <w:rPr>
                <w:sz w:val="20"/>
                <w:szCs w:val="20"/>
                <w:color w:val="auto"/>
              </w:rPr>
            </w:pPr>
            <w:r>
              <w:rPr>
                <w:rFonts w:ascii="Arial" w:cs="Arial" w:eastAsia="Arial" w:hAnsi="Arial"/>
                <w:sz w:val="13"/>
                <w:szCs w:val="13"/>
                <w:b w:val="1"/>
                <w:bCs w:val="1"/>
                <w:color w:val="auto"/>
                <w:w w:val="89"/>
              </w:rPr>
              <w:t>Portfolio Company /</w:t>
            </w:r>
          </w:p>
        </w:tc>
        <w:tc>
          <w:tcPr>
            <w:tcW w:w="2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tcPr>
          <w:p>
            <w:pPr>
              <w:jc w:val="center"/>
              <w:ind w:right="120"/>
              <w:spacing w:after="0" w:line="126" w:lineRule="exact"/>
              <w:rPr>
                <w:sz w:val="20"/>
                <w:szCs w:val="20"/>
                <w:color w:val="auto"/>
              </w:rPr>
            </w:pPr>
            <w:r>
              <w:rPr>
                <w:rFonts w:ascii="Arial" w:cs="Arial" w:eastAsia="Arial" w:hAnsi="Arial"/>
                <w:sz w:val="13"/>
                <w:szCs w:val="13"/>
                <w:b w:val="1"/>
                <w:bCs w:val="1"/>
                <w:color w:val="auto"/>
                <w:w w:val="87"/>
              </w:rPr>
              <w:t>Acquisition</w:t>
            </w:r>
          </w:p>
        </w:tc>
        <w:tc>
          <w:tcPr>
            <w:tcW w:w="1240" w:type="dxa"/>
            <w:vAlign w:val="bottom"/>
            <w:gridSpan w:val="2"/>
          </w:tcPr>
          <w:p>
            <w:pPr>
              <w:jc w:val="right"/>
              <w:ind w:right="460"/>
              <w:spacing w:after="0" w:line="126" w:lineRule="exact"/>
              <w:rPr>
                <w:sz w:val="20"/>
                <w:szCs w:val="20"/>
                <w:color w:val="auto"/>
              </w:rPr>
            </w:pPr>
            <w:r>
              <w:rPr>
                <w:rFonts w:ascii="Arial" w:cs="Arial" w:eastAsia="Arial" w:hAnsi="Arial"/>
                <w:sz w:val="13"/>
                <w:szCs w:val="13"/>
                <w:b w:val="1"/>
                <w:bCs w:val="1"/>
                <w:color w:val="auto"/>
              </w:rPr>
              <w:t>Percentage</w:t>
            </w:r>
          </w:p>
        </w:tc>
        <w:tc>
          <w:tcPr>
            <w:tcW w:w="3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Principal Business</w:t>
            </w:r>
          </w:p>
        </w:tc>
        <w:tc>
          <w:tcPr>
            <w:tcW w:w="120" w:type="dxa"/>
            <w:vAlign w:val="bottom"/>
            <w:tcBorders>
              <w:bottom w:val="single" w:sz="8" w:color="CFF0FC"/>
            </w:tcBorders>
          </w:tcPr>
          <w:p>
            <w:pPr>
              <w:spacing w:after="0"/>
              <w:rPr>
                <w:sz w:val="14"/>
                <w:szCs w:val="14"/>
                <w:color w:val="auto"/>
              </w:rPr>
            </w:pPr>
          </w:p>
        </w:tc>
        <w:tc>
          <w:tcPr>
            <w:tcW w:w="2660" w:type="dxa"/>
            <w:vAlign w:val="bottom"/>
            <w:tcBorders>
              <w:bottom w:val="single" w:sz="8" w:color="auto"/>
            </w:tcBorders>
          </w:tcPr>
          <w:p>
            <w:pPr>
              <w:ind w:left="980"/>
              <w:spacing w:after="0"/>
              <w:rPr>
                <w:sz w:val="20"/>
                <w:szCs w:val="20"/>
                <w:color w:val="auto"/>
              </w:rPr>
            </w:pPr>
            <w:r>
              <w:rPr>
                <w:rFonts w:ascii="Arial" w:cs="Arial" w:eastAsia="Arial" w:hAnsi="Arial"/>
                <w:sz w:val="13"/>
                <w:szCs w:val="13"/>
                <w:b w:val="1"/>
                <w:bCs w:val="1"/>
                <w:color w:val="auto"/>
              </w:rPr>
              <w:t>Investment</w:t>
            </w:r>
            <w:r>
              <w:rPr>
                <w:rFonts w:ascii="Arial" w:cs="Arial" w:eastAsia="Arial" w:hAnsi="Arial"/>
                <w:sz w:val="10"/>
                <w:szCs w:val="10"/>
                <w:b w:val="1"/>
                <w:bCs w:val="1"/>
                <w:color w:val="auto"/>
              </w:rPr>
              <w:t>15</w:t>
            </w:r>
          </w:p>
        </w:tc>
        <w:tc>
          <w:tcPr>
            <w:tcW w:w="120" w:type="dxa"/>
            <w:vAlign w:val="bottom"/>
            <w:tcBorders>
              <w:bottom w:val="single" w:sz="8" w:color="CFF0FC"/>
            </w:tcBorders>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Date</w:t>
            </w:r>
          </w:p>
        </w:tc>
        <w:tc>
          <w:tcPr>
            <w:tcW w:w="140" w:type="dxa"/>
            <w:vAlign w:val="bottom"/>
            <w:tcBorders>
              <w:bottom w:val="single" w:sz="8" w:color="CFF0FC"/>
            </w:tcBorders>
          </w:tcPr>
          <w:p>
            <w:pPr>
              <w:spacing w:after="0"/>
              <w:rPr>
                <w:sz w:val="14"/>
                <w:szCs w:val="14"/>
                <w:color w:val="auto"/>
              </w:rPr>
            </w:pPr>
          </w:p>
        </w:tc>
        <w:tc>
          <w:tcPr>
            <w:tcW w:w="100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Ownership</w:t>
            </w:r>
          </w:p>
        </w:tc>
        <w:tc>
          <w:tcPr>
            <w:tcW w:w="24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17"/>
              <w:spacing w:after="0"/>
              <w:rPr>
                <w:sz w:val="20"/>
                <w:szCs w:val="20"/>
                <w:color w:val="auto"/>
              </w:rPr>
            </w:pPr>
            <w:r>
              <w:rPr>
                <w:rFonts w:ascii="Arial" w:cs="Arial" w:eastAsia="Arial" w:hAnsi="Arial"/>
                <w:sz w:val="13"/>
                <w:szCs w:val="13"/>
                <w:b w:val="1"/>
                <w:bCs w:val="1"/>
                <w:color w:val="auto"/>
              </w:rPr>
              <w:t>Cost</w:t>
            </w:r>
          </w:p>
        </w:tc>
        <w:tc>
          <w:tcPr>
            <w:tcW w:w="2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253"/>
              <w:spacing w:after="0"/>
              <w:rPr>
                <w:sz w:val="20"/>
                <w:szCs w:val="20"/>
                <w:color w:val="auto"/>
              </w:rPr>
            </w:pPr>
            <w:r>
              <w:rPr>
                <w:rFonts w:ascii="Arial" w:cs="Arial" w:eastAsia="Arial" w:hAnsi="Arial"/>
                <w:sz w:val="14"/>
                <w:szCs w:val="14"/>
                <w:b w:val="1"/>
                <w:bCs w:val="1"/>
                <w:color w:val="auto"/>
                <w:w w:val="95"/>
              </w:rPr>
              <w:t>Value</w:t>
            </w:r>
            <w:r>
              <w:rPr>
                <w:rFonts w:ascii="Arial" w:cs="Arial" w:eastAsia="Arial" w:hAnsi="Arial"/>
                <w:sz w:val="12"/>
                <w:szCs w:val="12"/>
                <w:b w:val="1"/>
                <w:bCs w:val="1"/>
                <w:color w:val="auto"/>
                <w:w w:val="95"/>
              </w:rPr>
              <w:t>2</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66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Asset Manager Affiliates</w:t>
            </w:r>
            <w:r>
              <w:rPr>
                <w:rFonts w:ascii="Arial" w:cs="Arial" w:eastAsia="Arial" w:hAnsi="Arial"/>
                <w:sz w:val="10"/>
                <w:szCs w:val="10"/>
                <w:color w:val="auto"/>
              </w:rPr>
              <w:t>(8)(9)(13)(16)</w:t>
            </w:r>
          </w:p>
        </w:tc>
        <w:tc>
          <w:tcPr>
            <w:tcW w:w="120" w:type="dxa"/>
            <w:vAlign w:val="bottom"/>
            <w:shd w:val="clear" w:color="auto" w:fill="CFF0FC"/>
          </w:tcPr>
          <w:p>
            <w:pPr>
              <w:spacing w:after="0"/>
              <w:rPr>
                <w:sz w:val="12"/>
                <w:szCs w:val="12"/>
                <w:color w:val="auto"/>
              </w:rPr>
            </w:pPr>
          </w:p>
        </w:tc>
        <w:tc>
          <w:tcPr>
            <w:tcW w:w="266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Asset Management Company</w:t>
            </w: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12/11/2006</w:t>
            </w:r>
          </w:p>
        </w:tc>
        <w:tc>
          <w:tcPr>
            <w:tcW w:w="14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140"/>
              <w:spacing w:after="0" w:line="142" w:lineRule="exact"/>
              <w:rPr>
                <w:sz w:val="20"/>
                <w:szCs w:val="20"/>
                <w:color w:val="auto"/>
              </w:rPr>
            </w:pPr>
            <w:r>
              <w:rPr>
                <w:rFonts w:ascii="Arial" w:cs="Arial" w:eastAsia="Arial" w:hAnsi="Arial"/>
                <w:sz w:val="13"/>
                <w:szCs w:val="13"/>
                <w:color w:val="auto"/>
              </w:rPr>
              <w:t>100%</w:t>
            </w:r>
          </w:p>
        </w:tc>
        <w:tc>
          <w:tcPr>
            <w:tcW w:w="320" w:type="dxa"/>
            <w:vAlign w:val="bottom"/>
            <w:tcBorders>
              <w:bottom w:val="single" w:sz="8" w:color="auto"/>
            </w:tcBorders>
            <w:shd w:val="clear" w:color="auto" w:fill="CFF0FC"/>
          </w:tcPr>
          <w:p>
            <w:pPr>
              <w:jc w:val="right"/>
              <w:ind w:right="176"/>
              <w:spacing w:after="0" w:line="142" w:lineRule="exact"/>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17,791,230</w:t>
            </w:r>
          </w:p>
        </w:tc>
        <w:tc>
          <w:tcPr>
            <w:tcW w:w="240" w:type="dxa"/>
            <w:vAlign w:val="bottom"/>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jc w:val="right"/>
              <w:ind w:right="188"/>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780" w:type="dxa"/>
            <w:vAlign w:val="bottom"/>
            <w:gridSpan w:val="2"/>
            <w:shd w:val="clear" w:color="auto" w:fill="CFF0FC"/>
          </w:tcPr>
          <w:p>
            <w:pPr>
              <w:spacing w:after="0" w:line="131" w:lineRule="exact"/>
              <w:rPr>
                <w:sz w:val="20"/>
                <w:szCs w:val="20"/>
                <w:color w:val="auto"/>
              </w:rPr>
            </w:pPr>
            <w:r>
              <w:rPr>
                <w:rFonts w:ascii="Arial" w:cs="Arial" w:eastAsia="Arial" w:hAnsi="Arial"/>
                <w:sz w:val="13"/>
                <w:szCs w:val="13"/>
                <w:b w:val="1"/>
                <w:bCs w:val="1"/>
                <w:color w:val="auto"/>
              </w:rPr>
              <w:t>Total Investment in Asset Manager</w:t>
            </w:r>
          </w:p>
        </w:tc>
        <w:tc>
          <w:tcPr>
            <w:tcW w:w="2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780" w:type="dxa"/>
            <w:vAlign w:val="bottom"/>
            <w:gridSpan w:val="2"/>
            <w:shd w:val="clear" w:color="auto" w:fill="CFF0FC"/>
          </w:tcPr>
          <w:p>
            <w:pPr>
              <w:jc w:val="center"/>
              <w:ind w:right="160"/>
              <w:spacing w:after="0"/>
              <w:rPr>
                <w:sz w:val="20"/>
                <w:szCs w:val="20"/>
                <w:color w:val="auto"/>
              </w:rPr>
            </w:pPr>
            <w:r>
              <w:rPr>
                <w:rFonts w:ascii="Arial" w:cs="Arial" w:eastAsia="Arial" w:hAnsi="Arial"/>
                <w:sz w:val="13"/>
                <w:szCs w:val="13"/>
                <w:b w:val="1"/>
                <w:bCs w:val="1"/>
                <w:color w:val="auto"/>
                <w:w w:val="88"/>
              </w:rPr>
              <w:t>Affiliates (0% of net asset value at fair value)</w:t>
            </w:r>
          </w:p>
        </w:tc>
        <w:tc>
          <w:tcPr>
            <w:tcW w:w="26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20" w:type="dxa"/>
            <w:vAlign w:val="bottom"/>
            <w:shd w:val="clear" w:color="auto" w:fill="CFF0FC"/>
          </w:tcPr>
          <w:p>
            <w:pPr>
              <w:jc w:val="right"/>
              <w:ind w:right="176"/>
              <w:spacing w:after="0"/>
              <w:rPr>
                <w:sz w:val="20"/>
                <w:szCs w:val="20"/>
                <w:color w:val="auto"/>
              </w:rPr>
            </w:pPr>
            <w:r>
              <w:rPr>
                <w:rFonts w:ascii="Arial" w:cs="Arial" w:eastAsia="Arial" w:hAnsi="Arial"/>
                <w:sz w:val="13"/>
                <w:szCs w:val="13"/>
                <w:b w:val="1"/>
                <w:bCs w:val="1"/>
                <w:color w:val="auto"/>
                <w:w w:val="82"/>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17,791,230</w:t>
            </w:r>
          </w:p>
        </w:tc>
        <w:tc>
          <w:tcPr>
            <w:tcW w:w="540" w:type="dxa"/>
            <w:vAlign w:val="bottom"/>
            <w:gridSpan w:val="2"/>
            <w:shd w:val="clear" w:color="auto" w:fill="CFF0FC"/>
          </w:tcPr>
          <w:p>
            <w:pPr>
              <w:jc w:val="right"/>
              <w:ind w:right="188"/>
              <w:spacing w:after="0"/>
              <w:rPr>
                <w:sz w:val="20"/>
                <w:szCs w:val="20"/>
                <w:color w:val="auto"/>
              </w:rPr>
            </w:pPr>
            <w:r>
              <w:rPr>
                <w:rFonts w:ascii="Arial" w:cs="Arial" w:eastAsia="Arial" w:hAnsi="Arial"/>
                <w:sz w:val="13"/>
                <w:szCs w:val="13"/>
                <w:b w:val="1"/>
                <w:bCs w:val="1"/>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780" w:type="dxa"/>
            <w:vAlign w:val="bottom"/>
            <w:gridSpan w:val="2"/>
          </w:tcPr>
          <w:p>
            <w:pPr>
              <w:spacing w:after="0"/>
              <w:rPr>
                <w:sz w:val="20"/>
                <w:szCs w:val="20"/>
                <w:color w:val="auto"/>
              </w:rPr>
            </w:pPr>
            <w:r>
              <w:rPr>
                <w:rFonts w:ascii="Arial" w:cs="Arial" w:eastAsia="Arial" w:hAnsi="Arial"/>
                <w:sz w:val="18"/>
                <w:szCs w:val="18"/>
                <w:b w:val="1"/>
                <w:bCs w:val="1"/>
                <w:color w:val="auto"/>
              </w:rPr>
              <w:t>Derivatives</w:t>
            </w:r>
          </w:p>
        </w:tc>
        <w:tc>
          <w:tcPr>
            <w:tcW w:w="2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94"/>
              </w:rPr>
              <w:t>Initial</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vMerge w:val="restart"/>
          </w:tcPr>
          <w:p>
            <w:pPr>
              <w:jc w:val="center"/>
              <w:ind w:right="253"/>
              <w:spacing w:after="0"/>
              <w:rPr>
                <w:sz w:val="20"/>
                <w:szCs w:val="20"/>
                <w:color w:val="auto"/>
              </w:rPr>
            </w:pPr>
            <w:r>
              <w:rPr>
                <w:rFonts w:ascii="Arial" w:cs="Arial" w:eastAsia="Arial" w:hAnsi="Arial"/>
                <w:sz w:val="14"/>
                <w:szCs w:val="14"/>
                <w:b w:val="1"/>
                <w:bCs w:val="1"/>
                <w:color w:val="auto"/>
              </w:rPr>
              <w:t>Fair</w:t>
            </w:r>
          </w:p>
        </w:tc>
        <w:tc>
          <w:tcPr>
            <w:tcW w:w="1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780" w:type="dxa"/>
            <w:vAlign w:val="bottom"/>
            <w:gridSpan w:val="2"/>
          </w:tcPr>
          <w:p>
            <w:pPr>
              <w:jc w:val="center"/>
              <w:ind w:right="120"/>
              <w:spacing w:after="0" w:line="126" w:lineRule="exact"/>
              <w:rPr>
                <w:sz w:val="20"/>
                <w:szCs w:val="20"/>
                <w:color w:val="auto"/>
              </w:rPr>
            </w:pPr>
            <w:r>
              <w:rPr>
                <w:rFonts w:ascii="Arial" w:cs="Arial" w:eastAsia="Arial" w:hAnsi="Arial"/>
                <w:sz w:val="13"/>
                <w:szCs w:val="13"/>
                <w:b w:val="1"/>
                <w:bCs w:val="1"/>
                <w:color w:val="auto"/>
                <w:w w:val="89"/>
              </w:rPr>
              <w:t>Portfolio Company /</w:t>
            </w:r>
          </w:p>
        </w:tc>
        <w:tc>
          <w:tcPr>
            <w:tcW w:w="2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tcPr>
          <w:p>
            <w:pPr>
              <w:jc w:val="center"/>
              <w:ind w:right="120"/>
              <w:spacing w:after="0" w:line="126" w:lineRule="exact"/>
              <w:rPr>
                <w:sz w:val="20"/>
                <w:szCs w:val="20"/>
                <w:color w:val="auto"/>
              </w:rPr>
            </w:pPr>
            <w:r>
              <w:rPr>
                <w:rFonts w:ascii="Arial" w:cs="Arial" w:eastAsia="Arial" w:hAnsi="Arial"/>
                <w:sz w:val="13"/>
                <w:szCs w:val="13"/>
                <w:b w:val="1"/>
                <w:bCs w:val="1"/>
                <w:color w:val="auto"/>
                <w:w w:val="87"/>
              </w:rPr>
              <w:t>Acquisition</w:t>
            </w: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7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5"/>
              </w:rPr>
              <w:t>Principal Business</w:t>
            </w:r>
          </w:p>
        </w:tc>
        <w:tc>
          <w:tcPr>
            <w:tcW w:w="2780" w:type="dxa"/>
            <w:vAlign w:val="bottom"/>
            <w:gridSpan w:val="2"/>
          </w:tcPr>
          <w:p>
            <w:pPr>
              <w:ind w:left="980"/>
              <w:spacing w:after="0"/>
              <w:rPr>
                <w:sz w:val="20"/>
                <w:szCs w:val="20"/>
                <w:color w:val="auto"/>
              </w:rPr>
            </w:pPr>
            <w:r>
              <w:rPr>
                <w:rFonts w:ascii="Arial" w:cs="Arial" w:eastAsia="Arial" w:hAnsi="Arial"/>
                <w:sz w:val="13"/>
                <w:szCs w:val="13"/>
                <w:b w:val="1"/>
                <w:bCs w:val="1"/>
                <w:color w:val="auto"/>
              </w:rPr>
              <w:t>Investment</w:t>
            </w:r>
            <w:r>
              <w:rPr>
                <w:rFonts w:ascii="Arial" w:cs="Arial" w:eastAsia="Arial" w:hAnsi="Arial"/>
                <w:sz w:val="10"/>
                <w:szCs w:val="10"/>
                <w:b w:val="1"/>
                <w:bCs w:val="1"/>
                <w:color w:val="auto"/>
              </w:rPr>
              <w:t>15</w:t>
            </w:r>
          </w:p>
        </w:tc>
        <w:tc>
          <w:tcPr>
            <w:tcW w:w="12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5"/>
              </w:rPr>
              <w:t>Date</w:t>
            </w: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ind w:right="517"/>
              <w:spacing w:after="0"/>
              <w:rPr>
                <w:sz w:val="20"/>
                <w:szCs w:val="20"/>
                <w:color w:val="auto"/>
              </w:rPr>
            </w:pPr>
            <w:r>
              <w:rPr>
                <w:rFonts w:ascii="Arial" w:cs="Arial" w:eastAsia="Arial" w:hAnsi="Arial"/>
                <w:sz w:val="13"/>
                <w:szCs w:val="13"/>
                <w:b w:val="1"/>
                <w:bCs w:val="1"/>
                <w:color w:val="auto"/>
              </w:rPr>
              <w:t>Cost</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Value</w:t>
            </w:r>
            <w:r>
              <w:rPr>
                <w:rFonts w:ascii="Arial" w:cs="Arial" w:eastAsia="Arial" w:hAnsi="Arial"/>
                <w:sz w:val="12"/>
                <w:szCs w:val="12"/>
                <w:b w:val="1"/>
                <w:bCs w:val="1"/>
                <w:color w:val="auto"/>
                <w:w w:val="95"/>
              </w:rPr>
              <w:t>2</w:t>
            </w:r>
          </w:p>
        </w:tc>
        <w:tc>
          <w:tcPr>
            <w:tcW w:w="0" w:type="dxa"/>
            <w:vAlign w:val="bottom"/>
          </w:tcPr>
          <w:p>
            <w:pPr>
              <w:spacing w:after="0"/>
              <w:rPr>
                <w:sz w:val="1"/>
                <w:szCs w:val="1"/>
                <w:color w:val="auto"/>
              </w:rPr>
            </w:pPr>
          </w:p>
        </w:tc>
      </w:tr>
      <w:tr>
        <w:trPr>
          <w:trHeight w:val="128"/>
        </w:trPr>
        <w:tc>
          <w:tcPr>
            <w:tcW w:w="266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AAPC Holdings LLC.</w:t>
            </w:r>
            <w:r>
              <w:rPr>
                <w:rFonts w:ascii="Arial" w:cs="Arial" w:eastAsia="Arial" w:hAnsi="Arial"/>
                <w:sz w:val="10"/>
                <w:szCs w:val="10"/>
                <w:color w:val="auto"/>
              </w:rPr>
              <w:t>(13)(21)(22)</w:t>
            </w:r>
          </w:p>
        </w:tc>
        <w:tc>
          <w:tcPr>
            <w:tcW w:w="120" w:type="dxa"/>
            <w:vAlign w:val="bottom"/>
            <w:tcBorders>
              <w:top w:val="single" w:sz="8" w:color="CFF0FC"/>
            </w:tcBorders>
            <w:shd w:val="clear" w:color="auto" w:fill="CFF0FC"/>
          </w:tcPr>
          <w:p>
            <w:pPr>
              <w:spacing w:after="0"/>
              <w:rPr>
                <w:sz w:val="11"/>
                <w:szCs w:val="11"/>
                <w:color w:val="auto"/>
              </w:rPr>
            </w:pPr>
          </w:p>
        </w:tc>
        <w:tc>
          <w:tcPr>
            <w:tcW w:w="266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108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100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320" w:type="dxa"/>
            <w:vAlign w:val="bottom"/>
            <w:tcBorders>
              <w:top w:val="single" w:sz="8" w:color="auto"/>
            </w:tcBorders>
            <w:shd w:val="clear" w:color="auto" w:fill="CFF0FC"/>
          </w:tcPr>
          <w:p>
            <w:pPr>
              <w:spacing w:after="0"/>
              <w:rPr>
                <w:sz w:val="11"/>
                <w:szCs w:val="11"/>
                <w:color w:val="auto"/>
              </w:rPr>
            </w:pPr>
          </w:p>
        </w:tc>
        <w:tc>
          <w:tcPr>
            <w:tcW w:w="106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300" w:type="dxa"/>
            <w:vAlign w:val="bottom"/>
            <w:tcBorders>
              <w:top w:val="single" w:sz="8" w:color="auto"/>
            </w:tcBorders>
            <w:shd w:val="clear" w:color="auto" w:fill="CFF0FC"/>
          </w:tcPr>
          <w:p>
            <w:pPr>
              <w:spacing w:after="0"/>
              <w:rPr>
                <w:sz w:val="11"/>
                <w:szCs w:val="11"/>
                <w:color w:val="auto"/>
              </w:rPr>
            </w:pPr>
          </w:p>
        </w:tc>
        <w:tc>
          <w:tcPr>
            <w:tcW w:w="118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78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Banking, Finance, Insurance &amp; Real Estate</w:t>
            </w:r>
          </w:p>
        </w:tc>
        <w:tc>
          <w:tcPr>
            <w:tcW w:w="278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Securities Swap and Option Agreement</w:t>
            </w: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9/30/2019</w:t>
            </w: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20" w:type="dxa"/>
            <w:vAlign w:val="bottom"/>
            <w:shd w:val="clear" w:color="auto" w:fill="CFF0FC"/>
          </w:tcPr>
          <w:p>
            <w:pPr>
              <w:jc w:val="right"/>
              <w:ind w:right="176"/>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FF0FC"/>
          </w:tcPr>
          <w:p>
            <w:pPr>
              <w:jc w:val="right"/>
              <w:ind w:right="188"/>
              <w:spacing w:after="0"/>
              <w:rPr>
                <w:sz w:val="20"/>
                <w:szCs w:val="20"/>
                <w:color w:val="auto"/>
              </w:rPr>
            </w:pPr>
            <w:r>
              <w:rPr>
                <w:rFonts w:ascii="Arial" w:cs="Arial" w:eastAsia="Arial" w:hAnsi="Arial"/>
                <w:sz w:val="13"/>
                <w:szCs w:val="13"/>
                <w:color w:val="auto"/>
              </w:rPr>
              <w:t>$</w:t>
            </w: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(1,120,695)</w:t>
            </w:r>
          </w:p>
        </w:tc>
        <w:tc>
          <w:tcPr>
            <w:tcW w:w="0" w:type="dxa"/>
            <w:vAlign w:val="bottom"/>
          </w:tcPr>
          <w:p>
            <w:pPr>
              <w:spacing w:after="0"/>
              <w:rPr>
                <w:sz w:val="1"/>
                <w:szCs w:val="1"/>
                <w:color w:val="auto"/>
              </w:rPr>
            </w:pPr>
          </w:p>
        </w:tc>
      </w:tr>
      <w:tr>
        <w:trPr>
          <w:trHeight w:val="148"/>
        </w:trPr>
        <w:tc>
          <w:tcPr>
            <w:tcW w:w="2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78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 xml:space="preserve">HDNet Holdco LLC </w:t>
            </w:r>
            <w:r>
              <w:rPr>
                <w:rFonts w:ascii="Arial" w:cs="Arial" w:eastAsia="Arial" w:hAnsi="Arial"/>
                <w:sz w:val="10"/>
                <w:szCs w:val="10"/>
                <w:color w:val="auto"/>
              </w:rPr>
              <w:t>(13)(21)(22)</w:t>
            </w:r>
          </w:p>
        </w:tc>
        <w:tc>
          <w:tcPr>
            <w:tcW w:w="2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78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Media: Broadcasting &amp; Subscription</w:t>
            </w:r>
          </w:p>
        </w:tc>
        <w:tc>
          <w:tcPr>
            <w:tcW w:w="278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Call Option</w:t>
            </w: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9/9/2019</w:t>
            </w: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20" w:type="dxa"/>
            <w:vAlign w:val="bottom"/>
            <w:tcBorders>
              <w:bottom w:val="single" w:sz="8" w:color="auto"/>
            </w:tcBorders>
            <w:shd w:val="clear" w:color="auto" w:fill="CFF0FC"/>
          </w:tcPr>
          <w:p>
            <w:pPr>
              <w:spacing w:after="0"/>
              <w:rPr>
                <w:sz w:val="12"/>
                <w:szCs w:val="1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30,609</w:t>
            </w:r>
          </w:p>
        </w:tc>
        <w:tc>
          <w:tcPr>
            <w:tcW w:w="240" w:type="dxa"/>
            <w:vAlign w:val="bottom"/>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12,077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780" w:type="dxa"/>
            <w:vAlign w:val="bottom"/>
            <w:gridSpan w:val="2"/>
            <w:shd w:val="clear" w:color="auto" w:fill="CFF0FC"/>
          </w:tcPr>
          <w:p>
            <w:pPr>
              <w:spacing w:after="0" w:line="131" w:lineRule="exact"/>
              <w:rPr>
                <w:sz w:val="20"/>
                <w:szCs w:val="20"/>
                <w:color w:val="auto"/>
              </w:rPr>
            </w:pPr>
            <w:r>
              <w:rPr>
                <w:rFonts w:ascii="Arial" w:cs="Arial" w:eastAsia="Arial" w:hAnsi="Arial"/>
                <w:sz w:val="13"/>
                <w:szCs w:val="13"/>
                <w:b w:val="1"/>
                <w:bCs w:val="1"/>
                <w:color w:val="auto"/>
                <w:w w:val="97"/>
              </w:rPr>
              <w:t>Total Derivatives (0% of net asset value at fair</w:t>
            </w:r>
          </w:p>
        </w:tc>
        <w:tc>
          <w:tcPr>
            <w:tcW w:w="2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780" w:type="dxa"/>
            <w:vAlign w:val="bottom"/>
            <w:gridSpan w:val="2"/>
            <w:shd w:val="clear" w:color="auto" w:fill="CFF0FC"/>
          </w:tcPr>
          <w:p>
            <w:pPr>
              <w:spacing w:after="0"/>
              <w:rPr>
                <w:sz w:val="20"/>
                <w:szCs w:val="20"/>
                <w:color w:val="auto"/>
              </w:rPr>
            </w:pPr>
            <w:r>
              <w:rPr>
                <w:rFonts w:ascii="Arial" w:cs="Arial" w:eastAsia="Arial" w:hAnsi="Arial"/>
                <w:sz w:val="13"/>
                <w:szCs w:val="13"/>
                <w:b w:val="1"/>
                <w:bCs w:val="1"/>
                <w:color w:val="auto"/>
              </w:rPr>
              <w:t>value)</w:t>
            </w:r>
          </w:p>
        </w:tc>
        <w:tc>
          <w:tcPr>
            <w:tcW w:w="26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20" w:type="dxa"/>
            <w:vAlign w:val="bottom"/>
            <w:shd w:val="clear" w:color="auto" w:fill="CFF0FC"/>
          </w:tcPr>
          <w:p>
            <w:pPr>
              <w:jc w:val="right"/>
              <w:ind w:right="176"/>
              <w:spacing w:after="0"/>
              <w:rPr>
                <w:sz w:val="20"/>
                <w:szCs w:val="20"/>
                <w:color w:val="auto"/>
              </w:rPr>
            </w:pPr>
            <w:r>
              <w:rPr>
                <w:rFonts w:ascii="Arial" w:cs="Arial" w:eastAsia="Arial" w:hAnsi="Arial"/>
                <w:sz w:val="13"/>
                <w:szCs w:val="13"/>
                <w:b w:val="1"/>
                <w:bCs w:val="1"/>
                <w:color w:val="auto"/>
                <w:w w:val="82"/>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30,609</w:t>
            </w:r>
          </w:p>
        </w:tc>
        <w:tc>
          <w:tcPr>
            <w:tcW w:w="540" w:type="dxa"/>
            <w:vAlign w:val="bottom"/>
            <w:gridSpan w:val="2"/>
            <w:shd w:val="clear" w:color="auto" w:fill="CFF0FC"/>
          </w:tcPr>
          <w:p>
            <w:pPr>
              <w:jc w:val="right"/>
              <w:ind w:right="188"/>
              <w:spacing w:after="0"/>
              <w:rPr>
                <w:sz w:val="20"/>
                <w:szCs w:val="20"/>
                <w:color w:val="auto"/>
              </w:rPr>
            </w:pPr>
            <w:r>
              <w:rPr>
                <w:rFonts w:ascii="Arial" w:cs="Arial" w:eastAsia="Arial" w:hAnsi="Arial"/>
                <w:sz w:val="13"/>
                <w:szCs w:val="13"/>
                <w:b w:val="1"/>
                <w:bCs w:val="1"/>
                <w:color w:val="auto"/>
              </w:rPr>
              <w:t>$</w:t>
            </w: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b w:val="1"/>
                <w:bCs w:val="1"/>
                <w:color w:val="auto"/>
              </w:rPr>
              <w:t>(1,108,618)</w:t>
            </w:r>
          </w:p>
        </w:tc>
        <w:tc>
          <w:tcPr>
            <w:tcW w:w="0" w:type="dxa"/>
            <w:vAlign w:val="bottom"/>
          </w:tcPr>
          <w:p>
            <w:pPr>
              <w:spacing w:after="0"/>
              <w:rPr>
                <w:sz w:val="1"/>
                <w:szCs w:val="1"/>
                <w:color w:val="auto"/>
              </w:rPr>
            </w:pPr>
          </w:p>
        </w:tc>
      </w:tr>
      <w:tr>
        <w:trPr>
          <w:trHeight w:val="223"/>
        </w:trPr>
        <w:tc>
          <w:tcPr>
            <w:tcW w:w="2780" w:type="dxa"/>
            <w:vAlign w:val="bottom"/>
            <w:gridSpan w:val="2"/>
          </w:tcPr>
          <w:p>
            <w:pPr>
              <w:spacing w:after="0"/>
              <w:rPr>
                <w:sz w:val="20"/>
                <w:szCs w:val="20"/>
                <w:color w:val="auto"/>
              </w:rPr>
            </w:pPr>
            <w:r>
              <w:rPr>
                <w:rFonts w:ascii="Arial" w:cs="Arial" w:eastAsia="Arial" w:hAnsi="Arial"/>
                <w:sz w:val="18"/>
                <w:szCs w:val="18"/>
                <w:b w:val="1"/>
                <w:bCs w:val="1"/>
                <w:color w:val="auto"/>
              </w:rPr>
              <w:t>Joint Ventures</w:t>
            </w:r>
          </w:p>
        </w:tc>
        <w:tc>
          <w:tcPr>
            <w:tcW w:w="2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94"/>
              </w:rPr>
              <w:t>Initial</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vMerge w:val="restart"/>
          </w:tcPr>
          <w:p>
            <w:pPr>
              <w:jc w:val="center"/>
              <w:ind w:right="253"/>
              <w:spacing w:after="0"/>
              <w:rPr>
                <w:sz w:val="20"/>
                <w:szCs w:val="20"/>
                <w:color w:val="auto"/>
              </w:rPr>
            </w:pPr>
            <w:r>
              <w:rPr>
                <w:rFonts w:ascii="Arial" w:cs="Arial" w:eastAsia="Arial" w:hAnsi="Arial"/>
                <w:sz w:val="14"/>
                <w:szCs w:val="14"/>
                <w:b w:val="1"/>
                <w:bCs w:val="1"/>
                <w:color w:val="auto"/>
              </w:rPr>
              <w:t>Fair</w:t>
            </w:r>
          </w:p>
        </w:tc>
        <w:tc>
          <w:tcPr>
            <w:tcW w:w="1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780" w:type="dxa"/>
            <w:vAlign w:val="bottom"/>
            <w:gridSpan w:val="2"/>
          </w:tcPr>
          <w:p>
            <w:pPr>
              <w:jc w:val="center"/>
              <w:ind w:right="120"/>
              <w:spacing w:after="0" w:line="126" w:lineRule="exact"/>
              <w:rPr>
                <w:sz w:val="20"/>
                <w:szCs w:val="20"/>
                <w:color w:val="auto"/>
              </w:rPr>
            </w:pPr>
            <w:r>
              <w:rPr>
                <w:rFonts w:ascii="Arial" w:cs="Arial" w:eastAsia="Arial" w:hAnsi="Arial"/>
                <w:sz w:val="13"/>
                <w:szCs w:val="13"/>
                <w:b w:val="1"/>
                <w:bCs w:val="1"/>
                <w:color w:val="auto"/>
                <w:w w:val="89"/>
              </w:rPr>
              <w:t>Portfolio Company /</w:t>
            </w:r>
          </w:p>
        </w:tc>
        <w:tc>
          <w:tcPr>
            <w:tcW w:w="2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tcPr>
          <w:p>
            <w:pPr>
              <w:jc w:val="center"/>
              <w:ind w:right="120"/>
              <w:spacing w:after="0" w:line="126" w:lineRule="exact"/>
              <w:rPr>
                <w:sz w:val="20"/>
                <w:szCs w:val="20"/>
                <w:color w:val="auto"/>
              </w:rPr>
            </w:pPr>
            <w:r>
              <w:rPr>
                <w:rFonts w:ascii="Arial" w:cs="Arial" w:eastAsia="Arial" w:hAnsi="Arial"/>
                <w:sz w:val="13"/>
                <w:szCs w:val="13"/>
                <w:b w:val="1"/>
                <w:bCs w:val="1"/>
                <w:color w:val="auto"/>
                <w:w w:val="87"/>
              </w:rPr>
              <w:t>Acquisition</w:t>
            </w:r>
          </w:p>
        </w:tc>
        <w:tc>
          <w:tcPr>
            <w:tcW w:w="1240" w:type="dxa"/>
            <w:vAlign w:val="bottom"/>
            <w:gridSpan w:val="2"/>
          </w:tcPr>
          <w:p>
            <w:pPr>
              <w:jc w:val="right"/>
              <w:ind w:right="460"/>
              <w:spacing w:after="0" w:line="126" w:lineRule="exact"/>
              <w:rPr>
                <w:sz w:val="20"/>
                <w:szCs w:val="20"/>
                <w:color w:val="auto"/>
              </w:rPr>
            </w:pPr>
            <w:r>
              <w:rPr>
                <w:rFonts w:ascii="Arial" w:cs="Arial" w:eastAsia="Arial" w:hAnsi="Arial"/>
                <w:sz w:val="13"/>
                <w:szCs w:val="13"/>
                <w:b w:val="1"/>
                <w:bCs w:val="1"/>
                <w:color w:val="auto"/>
              </w:rPr>
              <w:t>Percentage</w:t>
            </w:r>
          </w:p>
        </w:tc>
        <w:tc>
          <w:tcPr>
            <w:tcW w:w="3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Principal Business</w:t>
            </w:r>
          </w:p>
        </w:tc>
        <w:tc>
          <w:tcPr>
            <w:tcW w:w="120" w:type="dxa"/>
            <w:vAlign w:val="bottom"/>
            <w:tcBorders>
              <w:bottom w:val="single" w:sz="8" w:color="CFF0FC"/>
            </w:tcBorders>
          </w:tcPr>
          <w:p>
            <w:pPr>
              <w:spacing w:after="0"/>
              <w:rPr>
                <w:sz w:val="14"/>
                <w:szCs w:val="14"/>
                <w:color w:val="auto"/>
              </w:rPr>
            </w:pPr>
          </w:p>
        </w:tc>
        <w:tc>
          <w:tcPr>
            <w:tcW w:w="2660" w:type="dxa"/>
            <w:vAlign w:val="bottom"/>
            <w:tcBorders>
              <w:bottom w:val="single" w:sz="8" w:color="auto"/>
            </w:tcBorders>
          </w:tcPr>
          <w:p>
            <w:pPr>
              <w:ind w:left="980"/>
              <w:spacing w:after="0"/>
              <w:rPr>
                <w:sz w:val="20"/>
                <w:szCs w:val="20"/>
                <w:color w:val="auto"/>
              </w:rPr>
            </w:pPr>
            <w:r>
              <w:rPr>
                <w:rFonts w:ascii="Arial" w:cs="Arial" w:eastAsia="Arial" w:hAnsi="Arial"/>
                <w:sz w:val="13"/>
                <w:szCs w:val="13"/>
                <w:b w:val="1"/>
                <w:bCs w:val="1"/>
                <w:color w:val="auto"/>
              </w:rPr>
              <w:t>Investment</w:t>
            </w:r>
            <w:r>
              <w:rPr>
                <w:rFonts w:ascii="Arial" w:cs="Arial" w:eastAsia="Arial" w:hAnsi="Arial"/>
                <w:sz w:val="10"/>
                <w:szCs w:val="10"/>
                <w:b w:val="1"/>
                <w:bCs w:val="1"/>
                <w:color w:val="auto"/>
              </w:rPr>
              <w:t>15</w:t>
            </w:r>
          </w:p>
        </w:tc>
        <w:tc>
          <w:tcPr>
            <w:tcW w:w="120" w:type="dxa"/>
            <w:vAlign w:val="bottom"/>
            <w:tcBorders>
              <w:bottom w:val="single" w:sz="8" w:color="CFF0FC"/>
            </w:tcBorders>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Date</w:t>
            </w:r>
          </w:p>
        </w:tc>
        <w:tc>
          <w:tcPr>
            <w:tcW w:w="140" w:type="dxa"/>
            <w:vAlign w:val="bottom"/>
            <w:tcBorders>
              <w:bottom w:val="single" w:sz="8" w:color="CFF0FC"/>
            </w:tcBorders>
          </w:tcPr>
          <w:p>
            <w:pPr>
              <w:spacing w:after="0"/>
              <w:rPr>
                <w:sz w:val="14"/>
                <w:szCs w:val="14"/>
                <w:color w:val="auto"/>
              </w:rPr>
            </w:pPr>
          </w:p>
        </w:tc>
        <w:tc>
          <w:tcPr>
            <w:tcW w:w="100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Ownership</w:t>
            </w:r>
          </w:p>
        </w:tc>
        <w:tc>
          <w:tcPr>
            <w:tcW w:w="24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17"/>
              <w:spacing w:after="0"/>
              <w:rPr>
                <w:sz w:val="20"/>
                <w:szCs w:val="20"/>
                <w:color w:val="auto"/>
              </w:rPr>
            </w:pPr>
            <w:r>
              <w:rPr>
                <w:rFonts w:ascii="Arial" w:cs="Arial" w:eastAsia="Arial" w:hAnsi="Arial"/>
                <w:sz w:val="13"/>
                <w:szCs w:val="13"/>
                <w:b w:val="1"/>
                <w:bCs w:val="1"/>
                <w:color w:val="auto"/>
              </w:rPr>
              <w:t>Cost</w:t>
            </w:r>
          </w:p>
        </w:tc>
        <w:tc>
          <w:tcPr>
            <w:tcW w:w="2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253"/>
              <w:spacing w:after="0"/>
              <w:rPr>
                <w:sz w:val="20"/>
                <w:szCs w:val="20"/>
                <w:color w:val="auto"/>
              </w:rPr>
            </w:pPr>
            <w:r>
              <w:rPr>
                <w:rFonts w:ascii="Arial" w:cs="Arial" w:eastAsia="Arial" w:hAnsi="Arial"/>
                <w:sz w:val="14"/>
                <w:szCs w:val="14"/>
                <w:b w:val="1"/>
                <w:bCs w:val="1"/>
                <w:color w:val="auto"/>
                <w:w w:val="95"/>
              </w:rPr>
              <w:t>Value</w:t>
            </w:r>
            <w:r>
              <w:rPr>
                <w:rFonts w:ascii="Arial" w:cs="Arial" w:eastAsia="Arial" w:hAnsi="Arial"/>
                <w:sz w:val="12"/>
                <w:szCs w:val="12"/>
                <w:b w:val="1"/>
                <w:bCs w:val="1"/>
                <w:color w:val="auto"/>
                <w:w w:val="95"/>
              </w:rPr>
              <w:t>2</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66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KCAP Freedom 3 LLC</w:t>
            </w:r>
            <w:r>
              <w:rPr>
                <w:rFonts w:ascii="Arial" w:cs="Arial" w:eastAsia="Arial" w:hAnsi="Arial"/>
                <w:sz w:val="10"/>
                <w:szCs w:val="10"/>
                <w:color w:val="auto"/>
              </w:rPr>
              <w:t>(9)(13)(16)</w:t>
            </w:r>
          </w:p>
        </w:tc>
        <w:tc>
          <w:tcPr>
            <w:tcW w:w="120" w:type="dxa"/>
            <w:vAlign w:val="bottom"/>
            <w:shd w:val="clear" w:color="auto" w:fill="CFF0FC"/>
          </w:tcPr>
          <w:p>
            <w:pPr>
              <w:spacing w:after="0"/>
              <w:rPr>
                <w:sz w:val="12"/>
                <w:szCs w:val="12"/>
                <w:color w:val="auto"/>
              </w:rPr>
            </w:pPr>
          </w:p>
        </w:tc>
        <w:tc>
          <w:tcPr>
            <w:tcW w:w="266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Joint Venture</w:t>
            </w: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7/19/2017</w:t>
            </w:r>
          </w:p>
        </w:tc>
        <w:tc>
          <w:tcPr>
            <w:tcW w:w="14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140"/>
              <w:spacing w:after="0" w:line="142" w:lineRule="exact"/>
              <w:rPr>
                <w:sz w:val="20"/>
                <w:szCs w:val="20"/>
                <w:color w:val="auto"/>
              </w:rPr>
            </w:pPr>
            <w:r>
              <w:rPr>
                <w:rFonts w:ascii="Arial" w:cs="Arial" w:eastAsia="Arial" w:hAnsi="Arial"/>
                <w:sz w:val="13"/>
                <w:szCs w:val="13"/>
                <w:color w:val="auto"/>
              </w:rPr>
              <w:t>60%</w:t>
            </w:r>
          </w:p>
        </w:tc>
        <w:tc>
          <w:tcPr>
            <w:tcW w:w="320" w:type="dxa"/>
            <w:vAlign w:val="bottom"/>
            <w:shd w:val="clear" w:color="auto" w:fill="CFF0FC"/>
          </w:tcPr>
          <w:p>
            <w:pPr>
              <w:jc w:val="right"/>
              <w:ind w:right="176"/>
              <w:spacing w:after="0" w:line="142" w:lineRule="exact"/>
              <w:rPr>
                <w:sz w:val="20"/>
                <w:szCs w:val="20"/>
                <w:color w:val="auto"/>
              </w:rPr>
            </w:pPr>
            <w:r>
              <w:rPr>
                <w:rFonts w:ascii="Arial" w:cs="Arial" w:eastAsia="Arial" w:hAnsi="Arial"/>
                <w:sz w:val="13"/>
                <w:szCs w:val="13"/>
                <w:color w:val="auto"/>
                <w:w w:val="82"/>
              </w:rPr>
              <w:t>$</w:t>
            </w:r>
          </w:p>
        </w:tc>
        <w:tc>
          <w:tcPr>
            <w:tcW w:w="106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24,914,858</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jc w:val="right"/>
              <w:ind w:right="188"/>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19,748,808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780" w:type="dxa"/>
            <w:vAlign w:val="bottom"/>
            <w:gridSpan w:val="2"/>
          </w:tcPr>
          <w:p>
            <w:pPr>
              <w:spacing w:after="0" w:line="134" w:lineRule="exact"/>
              <w:rPr>
                <w:sz w:val="20"/>
                <w:szCs w:val="20"/>
                <w:color w:val="auto"/>
              </w:rPr>
            </w:pPr>
            <w:r>
              <w:rPr>
                <w:rFonts w:ascii="Arial" w:cs="Arial" w:eastAsia="Arial" w:hAnsi="Arial"/>
                <w:sz w:val="13"/>
                <w:szCs w:val="13"/>
                <w:color w:val="auto"/>
              </w:rPr>
              <w:t>BCP Great Lakes Holdings LP</w:t>
            </w:r>
            <w:r>
              <w:rPr>
                <w:rFonts w:ascii="Arial" w:cs="Arial" w:eastAsia="Arial" w:hAnsi="Arial"/>
                <w:sz w:val="10"/>
                <w:szCs w:val="10"/>
                <w:color w:val="auto"/>
              </w:rPr>
              <w:t>(10)(17)(18)</w:t>
            </w:r>
          </w:p>
        </w:tc>
        <w:tc>
          <w:tcPr>
            <w:tcW w:w="2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780" w:type="dxa"/>
            <w:vAlign w:val="bottom"/>
            <w:tcBorders>
              <w:bottom w:val="single" w:sz="8" w:color="CFF0FC"/>
            </w:tcBorders>
            <w:gridSpan w:val="2"/>
          </w:tcPr>
          <w:p>
            <w:pPr>
              <w:ind w:left="100"/>
              <w:spacing w:after="0"/>
              <w:rPr>
                <w:sz w:val="20"/>
                <w:szCs w:val="20"/>
                <w:color w:val="auto"/>
              </w:rPr>
            </w:pPr>
            <w:r>
              <w:rPr>
                <w:rFonts w:ascii="Arial" w:cs="Arial" w:eastAsia="Arial" w:hAnsi="Arial"/>
                <w:sz w:val="13"/>
                <w:szCs w:val="13"/>
                <w:color w:val="auto"/>
              </w:rPr>
              <w:t>Limited Partnership</w:t>
            </w:r>
          </w:p>
        </w:tc>
        <w:tc>
          <w:tcPr>
            <w:tcW w:w="2780" w:type="dxa"/>
            <w:vAlign w:val="bottom"/>
            <w:tcBorders>
              <w:bottom w:val="single" w:sz="8" w:color="CFF0FC"/>
            </w:tcBorders>
            <w:gridSpan w:val="2"/>
          </w:tcPr>
          <w:p>
            <w:pPr>
              <w:spacing w:after="0"/>
              <w:rPr>
                <w:sz w:val="20"/>
                <w:szCs w:val="20"/>
                <w:color w:val="auto"/>
              </w:rPr>
            </w:pPr>
            <w:r>
              <w:rPr>
                <w:rFonts w:ascii="Arial" w:cs="Arial" w:eastAsia="Arial" w:hAnsi="Arial"/>
                <w:sz w:val="13"/>
                <w:szCs w:val="13"/>
                <w:color w:val="auto"/>
              </w:rPr>
              <w:t>Joint Venture</w:t>
            </w:r>
          </w:p>
        </w:tc>
        <w:tc>
          <w:tcPr>
            <w:tcW w:w="1080" w:type="dxa"/>
            <w:vAlign w:val="bottom"/>
            <w:tcBorders>
              <w:bottom w:val="single" w:sz="8" w:color="CFF0FC"/>
            </w:tcBorders>
          </w:tcPr>
          <w:p>
            <w:pPr>
              <w:jc w:val="right"/>
              <w:spacing w:after="0"/>
              <w:rPr>
                <w:sz w:val="20"/>
                <w:szCs w:val="20"/>
                <w:color w:val="auto"/>
              </w:rPr>
            </w:pPr>
            <w:r>
              <w:rPr>
                <w:rFonts w:ascii="Arial" w:cs="Arial" w:eastAsia="Arial" w:hAnsi="Arial"/>
                <w:sz w:val="13"/>
                <w:szCs w:val="13"/>
                <w:color w:val="auto"/>
              </w:rPr>
              <w:t>12/11/2018</w:t>
            </w:r>
          </w:p>
        </w:tc>
        <w:tc>
          <w:tcPr>
            <w:tcW w:w="140" w:type="dxa"/>
            <w:vAlign w:val="bottom"/>
            <w:tcBorders>
              <w:bottom w:val="single" w:sz="8" w:color="CFF0FC"/>
            </w:tcBorders>
          </w:tcPr>
          <w:p>
            <w:pPr>
              <w:spacing w:after="0"/>
              <w:rPr>
                <w:sz w:val="12"/>
                <w:szCs w:val="12"/>
                <w:color w:val="auto"/>
              </w:rPr>
            </w:pPr>
          </w:p>
        </w:tc>
        <w:tc>
          <w:tcPr>
            <w:tcW w:w="1240" w:type="dxa"/>
            <w:vAlign w:val="bottom"/>
            <w:tcBorders>
              <w:bottom w:val="single" w:sz="8" w:color="CFF0FC"/>
            </w:tcBorders>
            <w:gridSpan w:val="2"/>
          </w:tcPr>
          <w:p>
            <w:pPr>
              <w:jc w:val="right"/>
              <w:ind w:right="140"/>
              <w:spacing w:after="0"/>
              <w:rPr>
                <w:sz w:val="20"/>
                <w:szCs w:val="20"/>
                <w:color w:val="auto"/>
              </w:rPr>
            </w:pPr>
            <w:r>
              <w:rPr>
                <w:rFonts w:ascii="Arial" w:cs="Arial" w:eastAsia="Arial" w:hAnsi="Arial"/>
                <w:sz w:val="13"/>
                <w:szCs w:val="13"/>
                <w:color w:val="auto"/>
              </w:rPr>
              <w:t>27%</w:t>
            </w: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30,017,600</w:t>
            </w:r>
          </w:p>
        </w:tc>
        <w:tc>
          <w:tcPr>
            <w:tcW w:w="24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29,600,355</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6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780" w:type="dxa"/>
            <w:vAlign w:val="bottom"/>
            <w:gridSpan w:val="2"/>
          </w:tcPr>
          <w:p>
            <w:pPr>
              <w:spacing w:after="0" w:line="131" w:lineRule="exact"/>
              <w:rPr>
                <w:sz w:val="20"/>
                <w:szCs w:val="20"/>
                <w:color w:val="auto"/>
              </w:rPr>
            </w:pPr>
            <w:r>
              <w:rPr>
                <w:rFonts w:ascii="Arial" w:cs="Arial" w:eastAsia="Arial" w:hAnsi="Arial"/>
                <w:sz w:val="13"/>
                <w:szCs w:val="13"/>
                <w:b w:val="1"/>
                <w:bCs w:val="1"/>
                <w:color w:val="auto"/>
              </w:rPr>
              <w:t>Total Investment in Joint Ventures</w:t>
            </w:r>
          </w:p>
        </w:tc>
        <w:tc>
          <w:tcPr>
            <w:tcW w:w="2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780" w:type="dxa"/>
            <w:vAlign w:val="bottom"/>
            <w:gridSpan w:val="2"/>
          </w:tcPr>
          <w:p>
            <w:pPr>
              <w:ind w:left="100"/>
              <w:spacing w:after="0"/>
              <w:rPr>
                <w:sz w:val="20"/>
                <w:szCs w:val="20"/>
                <w:color w:val="auto"/>
              </w:rPr>
            </w:pPr>
            <w:r>
              <w:rPr>
                <w:rFonts w:ascii="Arial" w:cs="Arial" w:eastAsia="Arial" w:hAnsi="Arial"/>
                <w:sz w:val="13"/>
                <w:szCs w:val="13"/>
                <w:b w:val="1"/>
                <w:bCs w:val="1"/>
                <w:color w:val="auto"/>
              </w:rPr>
              <w:t>(23% of net asset value at fair value)</w:t>
            </w:r>
          </w:p>
        </w:tc>
        <w:tc>
          <w:tcPr>
            <w:tcW w:w="2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b w:val="1"/>
                <w:bCs w:val="1"/>
                <w:color w:val="auto"/>
                <w:w w:val="82"/>
              </w:rPr>
              <w:t>$</w:t>
            </w:r>
          </w:p>
        </w:tc>
        <w:tc>
          <w:tcPr>
            <w:tcW w:w="1060" w:type="dxa"/>
            <w:vAlign w:val="bottom"/>
          </w:tcPr>
          <w:p>
            <w:pPr>
              <w:jc w:val="right"/>
              <w:spacing w:after="0"/>
              <w:rPr>
                <w:sz w:val="20"/>
                <w:szCs w:val="20"/>
                <w:color w:val="auto"/>
              </w:rPr>
            </w:pPr>
            <w:r>
              <w:rPr>
                <w:rFonts w:ascii="Arial" w:cs="Arial" w:eastAsia="Arial" w:hAnsi="Arial"/>
                <w:sz w:val="13"/>
                <w:szCs w:val="13"/>
                <w:b w:val="1"/>
                <w:bCs w:val="1"/>
                <w:color w:val="auto"/>
              </w:rPr>
              <w:t>54,932,458</w:t>
            </w:r>
          </w:p>
        </w:tc>
        <w:tc>
          <w:tcPr>
            <w:tcW w:w="540" w:type="dxa"/>
            <w:vAlign w:val="bottom"/>
            <w:gridSpan w:val="2"/>
          </w:tcPr>
          <w:p>
            <w:pPr>
              <w:jc w:val="right"/>
              <w:ind w:right="188"/>
              <w:spacing w:after="0"/>
              <w:rPr>
                <w:sz w:val="20"/>
                <w:szCs w:val="20"/>
                <w:color w:val="auto"/>
              </w:rPr>
            </w:pPr>
            <w:r>
              <w:rPr>
                <w:rFonts w:ascii="Arial" w:cs="Arial" w:eastAsia="Arial" w:hAnsi="Arial"/>
                <w:sz w:val="13"/>
                <w:szCs w:val="13"/>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3"/>
                <w:szCs w:val="13"/>
                <w:b w:val="1"/>
                <w:bCs w:val="1"/>
                <w:color w:val="auto"/>
              </w:rPr>
              <w:t>49,349,163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66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266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108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1000" w:type="dxa"/>
            <w:vAlign w:val="bottom"/>
            <w:tcBorders>
              <w:bottom w:val="single" w:sz="8" w:color="CFF0FC"/>
            </w:tcBorders>
          </w:tcPr>
          <w:p>
            <w:pPr>
              <w:spacing w:after="0"/>
              <w:rPr>
                <w:sz w:val="12"/>
                <w:szCs w:val="12"/>
                <w:color w:val="auto"/>
              </w:rPr>
            </w:pPr>
          </w:p>
        </w:tc>
        <w:tc>
          <w:tcPr>
            <w:tcW w:w="240" w:type="dxa"/>
            <w:vAlign w:val="bottom"/>
            <w:tcBorders>
              <w:bottom w:val="single" w:sz="8" w:color="CFF0FC"/>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spacing w:after="0"/>
              <w:rPr>
                <w:sz w:val="12"/>
                <w:szCs w:val="12"/>
                <w:color w:val="auto"/>
              </w:rPr>
            </w:pPr>
          </w:p>
        </w:tc>
        <w:tc>
          <w:tcPr>
            <w:tcW w:w="240" w:type="dxa"/>
            <w:vAlign w:val="bottom"/>
            <w:tcBorders>
              <w:bottom w:val="single" w:sz="8" w:color="CFF0FC"/>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780" w:type="dxa"/>
            <w:vAlign w:val="bottom"/>
            <w:gridSpan w:val="2"/>
            <w:shd w:val="clear" w:color="auto" w:fill="CFF0FC"/>
          </w:tcPr>
          <w:p>
            <w:pPr>
              <w:spacing w:after="0"/>
              <w:rPr>
                <w:sz w:val="20"/>
                <w:szCs w:val="20"/>
                <w:color w:val="auto"/>
              </w:rPr>
            </w:pPr>
            <w:r>
              <w:rPr>
                <w:rFonts w:ascii="Arial" w:cs="Arial" w:eastAsia="Arial" w:hAnsi="Arial"/>
                <w:sz w:val="13"/>
                <w:szCs w:val="13"/>
                <w:b w:val="1"/>
                <w:bCs w:val="1"/>
                <w:color w:val="auto"/>
              </w:rPr>
              <w:t>Total Investments</w:t>
            </w:r>
            <w:r>
              <w:rPr>
                <w:rFonts w:ascii="Arial" w:cs="Arial" w:eastAsia="Arial" w:hAnsi="Arial"/>
                <w:sz w:val="11"/>
                <w:szCs w:val="11"/>
                <w:b w:val="1"/>
                <w:bCs w:val="1"/>
                <w:color w:val="auto"/>
              </w:rPr>
              <w:t>4</w:t>
            </w:r>
          </w:p>
        </w:tc>
        <w:tc>
          <w:tcPr>
            <w:tcW w:w="26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20" w:type="dxa"/>
            <w:vAlign w:val="bottom"/>
            <w:shd w:val="clear" w:color="auto" w:fill="CFF0FC"/>
          </w:tcPr>
          <w:p>
            <w:pPr>
              <w:jc w:val="right"/>
              <w:ind w:right="176"/>
              <w:spacing w:after="0"/>
              <w:rPr>
                <w:sz w:val="20"/>
                <w:szCs w:val="20"/>
                <w:color w:val="auto"/>
              </w:rPr>
            </w:pPr>
            <w:r>
              <w:rPr>
                <w:rFonts w:ascii="Arial" w:cs="Arial" w:eastAsia="Arial" w:hAnsi="Arial"/>
                <w:sz w:val="13"/>
                <w:szCs w:val="13"/>
                <w:b w:val="1"/>
                <w:bCs w:val="1"/>
                <w:color w:val="auto"/>
                <w:w w:val="82"/>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536,008,160</w:t>
            </w:r>
          </w:p>
        </w:tc>
        <w:tc>
          <w:tcPr>
            <w:tcW w:w="540" w:type="dxa"/>
            <w:vAlign w:val="bottom"/>
            <w:gridSpan w:val="2"/>
            <w:shd w:val="clear" w:color="auto" w:fill="CFF0FC"/>
          </w:tcPr>
          <w:p>
            <w:pPr>
              <w:jc w:val="right"/>
              <w:ind w:right="188"/>
              <w:spacing w:after="0"/>
              <w:rPr>
                <w:sz w:val="20"/>
                <w:szCs w:val="20"/>
                <w:color w:val="auto"/>
              </w:rPr>
            </w:pPr>
            <w:r>
              <w:rPr>
                <w:rFonts w:ascii="Arial" w:cs="Arial" w:eastAsia="Arial" w:hAnsi="Arial"/>
                <w:sz w:val="13"/>
                <w:szCs w:val="13"/>
                <w:b w:val="1"/>
                <w:bCs w:val="1"/>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486,628,831</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6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ind w:left="380" w:hanging="372"/>
        <w:spacing w:after="0"/>
        <w:tabs>
          <w:tab w:leader="none" w:pos="380" w:val="left"/>
        </w:tabs>
        <w:numPr>
          <w:ilvl w:val="0"/>
          <w:numId w:val="10"/>
        </w:numPr>
        <w:rPr>
          <w:rFonts w:ascii="Arial" w:cs="Arial" w:eastAsia="Arial" w:hAnsi="Arial"/>
          <w:sz w:val="13"/>
          <w:szCs w:val="13"/>
          <w:color w:val="auto"/>
        </w:rPr>
      </w:pPr>
      <w:r>
        <w:rPr>
          <w:rFonts w:ascii="Arial" w:cs="Arial" w:eastAsia="Arial" w:hAnsi="Arial"/>
          <w:sz w:val="14"/>
          <w:szCs w:val="14"/>
          <w:color w:val="auto"/>
        </w:rPr>
        <w:t>A majority of the variable rate loans in the Company’s investment portfolio bear interest at a rate that may be determined by reference to either LIBOR or an alternate</w:t>
      </w:r>
    </w:p>
    <w:p>
      <w:pPr>
        <w:spacing w:after="0" w:line="45" w:lineRule="exact"/>
        <w:rPr>
          <w:sz w:val="20"/>
          <w:szCs w:val="20"/>
          <w:color w:val="auto"/>
        </w:rPr>
      </w:pPr>
    </w:p>
    <w:p>
      <w:pPr>
        <w:ind w:left="380" w:right="20"/>
        <w:spacing w:after="0" w:line="264" w:lineRule="auto"/>
        <w:rPr>
          <w:sz w:val="20"/>
          <w:szCs w:val="20"/>
          <w:color w:val="auto"/>
        </w:rPr>
      </w:pPr>
      <w:r>
        <w:rPr>
          <w:rFonts w:ascii="Arial" w:cs="Arial" w:eastAsia="Arial" w:hAnsi="Arial"/>
          <w:sz w:val="16"/>
          <w:szCs w:val="16"/>
          <w:color w:val="auto"/>
        </w:rPr>
        <w:t>Base Rate (commonly based on the Federal Funds Rate or the Prime Rate), which typically resets semi-annually, quarterly, or monthly at the borrower’s option. The Borrower may also elect to have multiple interest reset periods for each December 31, 2020 loan. For each such loan, the Company has provided the weighted average annual stated interest rate in effect at December 31, 2020. As noted in the table above, 74% (based on par) of debt securities contain floors which range between 1.00% and 2.00%.</w:t>
      </w:r>
    </w:p>
    <w:p>
      <w:pPr>
        <w:ind w:left="380" w:hanging="372"/>
        <w:spacing w:after="0"/>
        <w:tabs>
          <w:tab w:leader="none" w:pos="380" w:val="left"/>
        </w:tabs>
        <w:numPr>
          <w:ilvl w:val="0"/>
          <w:numId w:val="11"/>
        </w:numPr>
        <w:rPr>
          <w:rFonts w:ascii="Arial" w:cs="Arial" w:eastAsia="Arial" w:hAnsi="Arial"/>
          <w:sz w:val="15"/>
          <w:szCs w:val="15"/>
          <w:color w:val="auto"/>
        </w:rPr>
      </w:pPr>
      <w:r>
        <w:rPr>
          <w:rFonts w:ascii="Arial" w:cs="Arial" w:eastAsia="Arial" w:hAnsi="Arial"/>
          <w:sz w:val="16"/>
          <w:szCs w:val="16"/>
          <w:color w:val="auto"/>
        </w:rPr>
        <w:t>Reflects the fair market value of all investments as of December 31, 2020 as determined by the Company’s Board of Directors.</w:t>
      </w:r>
    </w:p>
    <w:p>
      <w:pPr>
        <w:spacing w:after="0" w:line="18"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5"/>
          <w:szCs w:val="15"/>
          <w:color w:val="auto"/>
        </w:rPr>
        <w:t>3</w:t>
      </w:r>
      <w:r>
        <w:rPr>
          <w:rFonts w:ascii="Arial" w:cs="Arial" w:eastAsia="Arial" w:hAnsi="Arial"/>
          <w:sz w:val="14"/>
          <w:szCs w:val="14"/>
          <w:color w:val="auto"/>
        </w:rPr>
        <w:t>Non-U.S. company or principal place of business outside the U.S.</w:t>
      </w:r>
    </w:p>
    <w:p>
      <w:pPr>
        <w:spacing w:after="0" w:line="30" w:lineRule="exact"/>
        <w:rPr>
          <w:rFonts w:ascii="Arial" w:cs="Arial" w:eastAsia="Arial" w:hAnsi="Arial"/>
          <w:sz w:val="15"/>
          <w:szCs w:val="15"/>
          <w:color w:val="auto"/>
        </w:rPr>
      </w:pPr>
    </w:p>
    <w:p>
      <w:pPr>
        <w:ind w:left="380" w:right="100" w:hanging="364"/>
        <w:spacing w:after="0" w:line="281" w:lineRule="auto"/>
        <w:rPr>
          <w:rFonts w:ascii="Arial" w:cs="Arial" w:eastAsia="Arial" w:hAnsi="Arial"/>
          <w:sz w:val="15"/>
          <w:szCs w:val="15"/>
          <w:color w:val="auto"/>
        </w:rPr>
      </w:pPr>
      <w:r>
        <w:rPr>
          <w:rFonts w:ascii="Arial" w:cs="Arial" w:eastAsia="Arial" w:hAnsi="Arial"/>
          <w:sz w:val="15"/>
          <w:szCs w:val="15"/>
          <w:color w:val="auto"/>
        </w:rPr>
        <w:t>4The aggregate cost of investments for federal income tax purposes is approximately $572 million. The aggregate gross unrealized appreciation is approximately $53.1 million, the aggregate gross unrealized depreciation is approximately $138.6 million, and the net unrealized depreciation is approximately $85.5 million.</w:t>
      </w:r>
    </w:p>
    <w:p>
      <w:pPr>
        <w:spacing w:after="0" w:line="1"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5"/>
          <w:szCs w:val="15"/>
          <w:color w:val="auto"/>
        </w:rPr>
        <w:t>5</w:t>
      </w:r>
      <w:r>
        <w:rPr>
          <w:rFonts w:ascii="Arial" w:cs="Arial" w:eastAsia="Arial" w:hAnsi="Arial"/>
          <w:sz w:val="14"/>
          <w:szCs w:val="14"/>
          <w:color w:val="auto"/>
        </w:rPr>
        <w:t>Loan or debt security is on non-accrual status and therefore is considered non-income producing.</w:t>
      </w:r>
    </w:p>
    <w:p>
      <w:pPr>
        <w:spacing w:after="0" w:line="30" w:lineRule="exact"/>
        <w:rPr>
          <w:rFonts w:ascii="Arial" w:cs="Arial" w:eastAsia="Arial" w:hAnsi="Arial"/>
          <w:sz w:val="15"/>
          <w:szCs w:val="15"/>
          <w:color w:val="auto"/>
        </w:rPr>
      </w:pPr>
    </w:p>
    <w:p>
      <w:pPr>
        <w:ind w:left="380" w:right="20" w:hanging="364"/>
        <w:spacing w:after="0" w:line="264" w:lineRule="auto"/>
        <w:rPr>
          <w:rFonts w:ascii="Arial" w:cs="Arial" w:eastAsia="Arial" w:hAnsi="Arial"/>
          <w:sz w:val="15"/>
          <w:szCs w:val="15"/>
          <w:color w:val="auto"/>
        </w:rPr>
      </w:pPr>
      <w:r>
        <w:rPr>
          <w:rFonts w:ascii="Arial" w:cs="Arial" w:eastAsia="Arial" w:hAnsi="Arial"/>
          <w:sz w:val="15"/>
          <w:szCs w:val="15"/>
          <w:color w:val="auto"/>
        </w:rPr>
        <w:t>6</w:t>
      </w:r>
      <w:r>
        <w:rPr>
          <w:rFonts w:ascii="Arial" w:cs="Arial" w:eastAsia="Arial" w:hAnsi="Arial"/>
          <w:sz w:val="16"/>
          <w:szCs w:val="16"/>
          <w:color w:val="auto"/>
        </w:rPr>
        <w:t>Held through Garrison Capital Equity Holdings II LLC and net of non-controlling member’s interest of 17.5% pursuant to the Amended and Restated Limited Liability Company Agreement of Garrison Capital Equity Holdings II LLC.</w:t>
      </w:r>
    </w:p>
    <w:p>
      <w:pPr>
        <w:ind w:left="380" w:hanging="372"/>
        <w:spacing w:after="0"/>
        <w:tabs>
          <w:tab w:leader="none" w:pos="380" w:val="left"/>
        </w:tabs>
        <w:numPr>
          <w:ilvl w:val="0"/>
          <w:numId w:val="12"/>
        </w:numPr>
        <w:rPr>
          <w:rFonts w:ascii="Arial" w:cs="Arial" w:eastAsia="Arial" w:hAnsi="Arial"/>
          <w:sz w:val="15"/>
          <w:szCs w:val="15"/>
          <w:color w:val="auto"/>
        </w:rPr>
      </w:pPr>
      <w:r>
        <w:rPr>
          <w:rFonts w:ascii="Arial" w:cs="Arial" w:eastAsia="Arial" w:hAnsi="Arial"/>
          <w:sz w:val="16"/>
          <w:szCs w:val="16"/>
          <w:color w:val="auto"/>
        </w:rPr>
        <w:t>Money market account</w:t>
      </w:r>
      <w:r>
        <w:rPr>
          <w:rFonts w:ascii="Arial" w:cs="Arial" w:eastAsia="Arial" w:hAnsi="Arial"/>
          <w:sz w:val="17"/>
          <w:szCs w:val="17"/>
          <w:color w:val="auto"/>
        </w:rPr>
        <w:t>.</w:t>
      </w:r>
    </w:p>
    <w:p>
      <w:pPr>
        <w:spacing w:after="0" w:line="25" w:lineRule="exact"/>
        <w:rPr>
          <w:sz w:val="20"/>
          <w:szCs w:val="20"/>
          <w:color w:val="auto"/>
        </w:rPr>
      </w:pPr>
    </w:p>
    <w:p>
      <w:pPr>
        <w:ind w:left="380" w:right="100" w:hanging="372"/>
        <w:spacing w:after="0" w:line="261" w:lineRule="auto"/>
        <w:tabs>
          <w:tab w:leader="none" w:pos="380" w:val="left"/>
        </w:tabs>
        <w:numPr>
          <w:ilvl w:val="0"/>
          <w:numId w:val="13"/>
        </w:numPr>
        <w:rPr>
          <w:rFonts w:ascii="Arial" w:cs="Arial" w:eastAsia="Arial" w:hAnsi="Arial"/>
          <w:sz w:val="15"/>
          <w:szCs w:val="15"/>
          <w:color w:val="auto"/>
        </w:rPr>
      </w:pPr>
      <w:r>
        <w:rPr>
          <w:rFonts w:ascii="Arial" w:cs="Arial" w:eastAsia="Arial" w:hAnsi="Arial"/>
          <w:sz w:val="16"/>
          <w:szCs w:val="16"/>
          <w:color w:val="auto"/>
        </w:rPr>
        <w:t>Qualified asset for purposes of section 55(a) of the Investment Company Act of 1940, as amended (the “1940 Act”). Qualifying assets represent approximately 86.2% of the total assets at December 31, 2020.</w:t>
      </w:r>
    </w:p>
    <w:p>
      <w:pPr>
        <w:ind w:left="380" w:right="180" w:hanging="372"/>
        <w:spacing w:after="0" w:line="301" w:lineRule="auto"/>
        <w:tabs>
          <w:tab w:leader="none" w:pos="380" w:val="left"/>
        </w:tabs>
        <w:numPr>
          <w:ilvl w:val="0"/>
          <w:numId w:val="14"/>
        </w:numPr>
        <w:rPr>
          <w:rFonts w:ascii="Arial" w:cs="Arial" w:eastAsia="Arial" w:hAnsi="Arial"/>
          <w:sz w:val="13"/>
          <w:szCs w:val="13"/>
          <w:color w:val="auto"/>
        </w:rPr>
      </w:pPr>
      <w:r>
        <w:rPr>
          <w:rFonts w:ascii="Arial" w:cs="Arial" w:eastAsia="Arial" w:hAnsi="Arial"/>
          <w:sz w:val="14"/>
          <w:szCs w:val="14"/>
          <w:color w:val="auto"/>
        </w:rPr>
        <w:t>As defined in the 1940 Act, the Company is deemed to be both an “Affiliated Person” and has “Control” of this portfolio company as the Company owns more than 25% of the portfolio company’s outstanding voting securities or has the power to exercise control over management or policies of such portfolio company (including through a management agreement). Other than for purposes of the 1940 Act, the Company does not believe that it has control over this portfolio company.</w:t>
      </w:r>
    </w:p>
    <w:p>
      <w:pPr>
        <w:spacing w:after="0" w:line="2" w:lineRule="exact"/>
        <w:rPr>
          <w:sz w:val="20"/>
          <w:szCs w:val="20"/>
          <w:color w:val="auto"/>
        </w:rPr>
      </w:pPr>
    </w:p>
    <w:p>
      <w:pPr>
        <w:ind w:left="380" w:hanging="372"/>
        <w:spacing w:after="0"/>
        <w:tabs>
          <w:tab w:leader="none" w:pos="380" w:val="left"/>
        </w:tabs>
        <w:numPr>
          <w:ilvl w:val="0"/>
          <w:numId w:val="15"/>
        </w:numPr>
        <w:rPr>
          <w:rFonts w:ascii="Arial" w:cs="Arial" w:eastAsia="Arial" w:hAnsi="Arial"/>
          <w:sz w:val="15"/>
          <w:szCs w:val="15"/>
          <w:color w:val="auto"/>
        </w:rPr>
      </w:pPr>
      <w:r>
        <w:rPr>
          <w:rFonts w:ascii="Arial" w:cs="Arial" w:eastAsia="Arial" w:hAnsi="Arial"/>
          <w:sz w:val="16"/>
          <w:szCs w:val="16"/>
          <w:color w:val="auto"/>
        </w:rPr>
        <w:t>Non-voting.</w:t>
      </w:r>
    </w:p>
    <w:p>
      <w:pPr>
        <w:spacing w:after="0" w:line="18" w:lineRule="exact"/>
        <w:rPr>
          <w:rFonts w:ascii="Arial" w:cs="Arial" w:eastAsia="Arial" w:hAnsi="Arial"/>
          <w:sz w:val="15"/>
          <w:szCs w:val="15"/>
          <w:color w:val="auto"/>
        </w:rPr>
      </w:pPr>
    </w:p>
    <w:p>
      <w:pPr>
        <w:ind w:left="380" w:right="140" w:hanging="372"/>
        <w:spacing w:after="0" w:line="301" w:lineRule="auto"/>
        <w:tabs>
          <w:tab w:leader="none" w:pos="380" w:val="left"/>
        </w:tabs>
        <w:numPr>
          <w:ilvl w:val="0"/>
          <w:numId w:val="15"/>
        </w:numPr>
        <w:rPr>
          <w:rFonts w:ascii="Arial" w:cs="Arial" w:eastAsia="Arial" w:hAnsi="Arial"/>
          <w:sz w:val="13"/>
          <w:szCs w:val="13"/>
          <w:color w:val="auto"/>
        </w:rPr>
      </w:pPr>
      <w:r>
        <w:rPr>
          <w:rFonts w:ascii="Arial" w:cs="Arial" w:eastAsia="Arial" w:hAnsi="Arial"/>
          <w:sz w:val="14"/>
          <w:szCs w:val="14"/>
          <w:color w:val="auto"/>
        </w:rPr>
        <w:t>CLO Subordinated Investments 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spacing w:after="0" w:line="1" w:lineRule="exact"/>
        <w:rPr>
          <w:rFonts w:ascii="Arial" w:cs="Arial" w:eastAsia="Arial" w:hAnsi="Arial"/>
          <w:sz w:val="13"/>
          <w:szCs w:val="13"/>
          <w:color w:val="auto"/>
        </w:rPr>
      </w:pPr>
    </w:p>
    <w:p>
      <w:pPr>
        <w:ind w:left="380" w:right="60" w:hanging="372"/>
        <w:spacing w:after="0" w:line="264" w:lineRule="auto"/>
        <w:tabs>
          <w:tab w:leader="none" w:pos="380" w:val="left"/>
        </w:tabs>
        <w:numPr>
          <w:ilvl w:val="0"/>
          <w:numId w:val="15"/>
        </w:numPr>
        <w:rPr>
          <w:rFonts w:ascii="Arial" w:cs="Arial" w:eastAsia="Arial" w:hAnsi="Arial"/>
          <w:sz w:val="15"/>
          <w:szCs w:val="15"/>
          <w:color w:val="auto"/>
        </w:rPr>
      </w:pPr>
      <w:r>
        <w:rPr>
          <w:rFonts w:ascii="Arial" w:cs="Arial" w:eastAsia="Arial" w:hAnsi="Arial"/>
          <w:sz w:val="16"/>
          <w:szCs w:val="16"/>
          <w:color w:val="auto"/>
        </w:rPr>
        <w:t>This investment is on non-accrual status and receives a 5% royalty interest on oil being produced on certain fields. All production payments received are being applied to the cost basis and are considered return of capital.</w:t>
      </w:r>
    </w:p>
    <w:p>
      <w:pPr>
        <w:ind w:left="380" w:hanging="372"/>
        <w:spacing w:after="0"/>
        <w:tabs>
          <w:tab w:leader="none" w:pos="380" w:val="left"/>
        </w:tabs>
        <w:numPr>
          <w:ilvl w:val="0"/>
          <w:numId w:val="15"/>
        </w:numPr>
        <w:rPr>
          <w:rFonts w:ascii="Arial" w:cs="Arial" w:eastAsia="Arial" w:hAnsi="Arial"/>
          <w:sz w:val="15"/>
          <w:szCs w:val="15"/>
          <w:color w:val="auto"/>
        </w:rPr>
      </w:pPr>
      <w:r>
        <w:rPr>
          <w:rFonts w:ascii="Arial" w:cs="Arial" w:eastAsia="Arial" w:hAnsi="Arial"/>
          <w:sz w:val="16"/>
          <w:szCs w:val="16"/>
          <w:color w:val="auto"/>
        </w:rPr>
        <w:t>Fair value of this investment was determined using significant unobservable inputs</w:t>
      </w:r>
      <w:r>
        <w:rPr>
          <w:rFonts w:ascii="Arial" w:cs="Arial" w:eastAsia="Arial" w:hAnsi="Arial"/>
          <w:sz w:val="17"/>
          <w:szCs w:val="17"/>
          <w:color w:val="auto"/>
        </w:rPr>
        <w:t>.</w:t>
      </w:r>
    </w:p>
    <w:p>
      <w:pPr>
        <w:spacing w:after="0" w:line="26" w:lineRule="exact"/>
        <w:rPr>
          <w:rFonts w:ascii="Arial" w:cs="Arial" w:eastAsia="Arial" w:hAnsi="Arial"/>
          <w:sz w:val="15"/>
          <w:szCs w:val="15"/>
          <w:color w:val="auto"/>
        </w:rPr>
      </w:pPr>
    </w:p>
    <w:p>
      <w:pPr>
        <w:ind w:left="380" w:hanging="372"/>
        <w:spacing w:after="0"/>
        <w:tabs>
          <w:tab w:leader="none" w:pos="380" w:val="left"/>
        </w:tabs>
        <w:numPr>
          <w:ilvl w:val="0"/>
          <w:numId w:val="15"/>
        </w:numPr>
        <w:rPr>
          <w:rFonts w:ascii="Arial" w:cs="Arial" w:eastAsia="Arial" w:hAnsi="Arial"/>
          <w:sz w:val="15"/>
          <w:szCs w:val="15"/>
          <w:color w:val="auto"/>
        </w:rPr>
      </w:pPr>
      <w:r>
        <w:rPr>
          <w:rFonts w:ascii="Arial" w:cs="Arial" w:eastAsia="Arial" w:hAnsi="Arial"/>
          <w:sz w:val="16"/>
          <w:szCs w:val="16"/>
          <w:color w:val="auto"/>
        </w:rPr>
        <w:t>As of December 31, 2020, this investment is pledged to secure the Company’s debt obligations.</w:t>
      </w:r>
    </w:p>
    <w:p>
      <w:pPr>
        <w:spacing w:after="0" w:line="12" w:lineRule="exact"/>
        <w:rPr>
          <w:rFonts w:ascii="Arial" w:cs="Arial" w:eastAsia="Arial" w:hAnsi="Arial"/>
          <w:sz w:val="15"/>
          <w:szCs w:val="15"/>
          <w:color w:val="auto"/>
        </w:rPr>
      </w:pPr>
    </w:p>
    <w:p>
      <w:pPr>
        <w:ind w:left="380" w:hanging="372"/>
        <w:spacing w:after="0" w:line="281" w:lineRule="auto"/>
        <w:tabs>
          <w:tab w:leader="none" w:pos="380" w:val="left"/>
        </w:tabs>
        <w:numPr>
          <w:ilvl w:val="0"/>
          <w:numId w:val="15"/>
        </w:numPr>
        <w:rPr>
          <w:rFonts w:ascii="Arial" w:cs="Arial" w:eastAsia="Arial" w:hAnsi="Arial"/>
          <w:sz w:val="14"/>
          <w:szCs w:val="14"/>
          <w:color w:val="auto"/>
        </w:rPr>
      </w:pPr>
      <w:r>
        <w:rPr>
          <w:rFonts w:ascii="Arial" w:cs="Arial" w:eastAsia="Arial" w:hAnsi="Arial"/>
          <w:sz w:val="15"/>
          <w:szCs w:val="15"/>
          <w:color w:val="auto"/>
        </w:rPr>
        <w:t>The Company's investments are generally acquired in private transactions exempt from registration under the Securities Act of 1933, as amended (the “Securities Act”) and, therefore, are generally subject to limitations on resale, and may be deemed to be “restricted securities'' under the Securities Act of 1933.</w:t>
      </w:r>
    </w:p>
    <w:p>
      <w:pPr>
        <w:spacing w:after="0" w:line="1" w:lineRule="exact"/>
        <w:rPr>
          <w:rFonts w:ascii="Arial" w:cs="Arial" w:eastAsia="Arial" w:hAnsi="Arial"/>
          <w:sz w:val="14"/>
          <w:szCs w:val="14"/>
          <w:color w:val="auto"/>
        </w:rPr>
      </w:pPr>
    </w:p>
    <w:p>
      <w:pPr>
        <w:ind w:left="380" w:right="240" w:hanging="372"/>
        <w:spacing w:after="0" w:line="264" w:lineRule="auto"/>
        <w:tabs>
          <w:tab w:leader="none" w:pos="380" w:val="left"/>
        </w:tabs>
        <w:numPr>
          <w:ilvl w:val="0"/>
          <w:numId w:val="15"/>
        </w:numPr>
        <w:rPr>
          <w:rFonts w:ascii="Arial" w:cs="Arial" w:eastAsia="Arial" w:hAnsi="Arial"/>
          <w:sz w:val="17"/>
          <w:szCs w:val="17"/>
          <w:color w:val="auto"/>
        </w:rPr>
      </w:pPr>
      <w:r>
        <w:rPr>
          <w:rFonts w:ascii="Arial" w:cs="Arial" w:eastAsia="Arial" w:hAnsi="Arial"/>
          <w:sz w:val="15"/>
          <w:szCs w:val="15"/>
          <w:color w:val="auto"/>
        </w:rPr>
        <w:t>As defined in the 1940 Act, the Company is deemed to be both an “Affiliated Person” and has “Control” of this portfolio company as the Company owns more than 25% of the portfolio company’s outstanding voting securities or has the power to exercise control over management or policies of such portfolio company.</w:t>
      </w:r>
    </w:p>
    <w:p>
      <w:pPr>
        <w:ind w:left="380" w:hanging="372"/>
        <w:spacing w:after="0"/>
        <w:tabs>
          <w:tab w:leader="none" w:pos="380" w:val="left"/>
        </w:tabs>
        <w:numPr>
          <w:ilvl w:val="0"/>
          <w:numId w:val="15"/>
        </w:numPr>
        <w:rPr>
          <w:rFonts w:ascii="Arial" w:cs="Arial" w:eastAsia="Arial" w:hAnsi="Arial"/>
          <w:sz w:val="14"/>
          <w:szCs w:val="14"/>
          <w:color w:val="auto"/>
        </w:rPr>
      </w:pPr>
      <w:r>
        <w:rPr>
          <w:rFonts w:ascii="Arial" w:cs="Arial" w:eastAsia="Arial" w:hAnsi="Arial"/>
          <w:sz w:val="15"/>
          <w:szCs w:val="15"/>
          <w:color w:val="auto"/>
        </w:rPr>
        <w:t>Ownership of LP interest held through the holding company BCP Great Lakes Fund, L.P, a non-U.S. company or principal place of business outside the U.S.</w:t>
      </w:r>
    </w:p>
    <w:p>
      <w:pPr>
        <w:spacing w:after="0" w:line="30" w:lineRule="exact"/>
        <w:rPr>
          <w:rFonts w:ascii="Arial" w:cs="Arial" w:eastAsia="Arial" w:hAnsi="Arial"/>
          <w:sz w:val="14"/>
          <w:szCs w:val="14"/>
          <w:color w:val="auto"/>
        </w:rPr>
      </w:pPr>
    </w:p>
    <w:p>
      <w:pPr>
        <w:ind w:left="380" w:right="120" w:hanging="372"/>
        <w:spacing w:after="0" w:line="222" w:lineRule="auto"/>
        <w:tabs>
          <w:tab w:leader="none" w:pos="380" w:val="left"/>
        </w:tabs>
        <w:numPr>
          <w:ilvl w:val="0"/>
          <w:numId w:val="15"/>
        </w:numPr>
        <w:rPr>
          <w:rFonts w:ascii="Arial" w:cs="Arial" w:eastAsia="Arial" w:hAnsi="Arial"/>
          <w:sz w:val="25"/>
          <w:szCs w:val="25"/>
          <w:color w:val="auto"/>
          <w:vertAlign w:val="superscript"/>
        </w:rPr>
      </w:pPr>
      <w:r>
        <w:rPr>
          <w:rFonts w:ascii="Arial" w:cs="Arial" w:eastAsia="Arial" w:hAnsi="Arial"/>
          <w:sz w:val="16"/>
          <w:szCs w:val="16"/>
          <w:color w:val="auto"/>
        </w:rPr>
        <w:t>Under the 1940 Act, the Company is deemed to be an “Affiliated Person” of, as defined in the 1940 Act, this portfolio company as the Company owns at least 5% but no more than 25% of the portfolio company’s outstanding voting securities or is under common control with such portfolio company. Other than for purpose of the 1940 Act, the Company does not believe it has control over this portfolio company.</w:t>
      </w:r>
    </w:p>
    <w:p>
      <w:pPr>
        <w:spacing w:after="0" w:line="1" w:lineRule="exact"/>
        <w:rPr>
          <w:rFonts w:ascii="Arial" w:cs="Arial" w:eastAsia="Arial" w:hAnsi="Arial"/>
          <w:sz w:val="25"/>
          <w:szCs w:val="25"/>
          <w:color w:val="auto"/>
          <w:vertAlign w:val="superscript"/>
        </w:rPr>
      </w:pPr>
    </w:p>
    <w:p>
      <w:pPr>
        <w:ind w:left="380" w:hanging="372"/>
        <w:spacing w:after="0" w:line="183" w:lineRule="auto"/>
        <w:tabs>
          <w:tab w:leader="none" w:pos="380" w:val="left"/>
        </w:tabs>
        <w:numPr>
          <w:ilvl w:val="0"/>
          <w:numId w:val="15"/>
        </w:numPr>
        <w:rPr>
          <w:rFonts w:ascii="Arial" w:cs="Arial" w:eastAsia="Arial" w:hAnsi="Arial"/>
          <w:sz w:val="23"/>
          <w:szCs w:val="23"/>
          <w:color w:val="auto"/>
          <w:vertAlign w:val="superscript"/>
        </w:rPr>
      </w:pPr>
      <w:r>
        <w:rPr>
          <w:rFonts w:ascii="Arial" w:cs="Arial" w:eastAsia="Arial" w:hAnsi="Arial"/>
          <w:sz w:val="15"/>
          <w:szCs w:val="15"/>
          <w:color w:val="auto"/>
        </w:rPr>
        <w:t>Non-income producing.</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8" w:name="page39"/>
    <w:bookmarkEnd w:id="38"/>
    <w:p>
      <w:pPr>
        <w:ind w:left="380" w:right="40" w:hanging="372"/>
        <w:spacing w:after="0" w:line="232" w:lineRule="auto"/>
        <w:tabs>
          <w:tab w:leader="none" w:pos="380" w:val="left"/>
        </w:tabs>
        <w:numPr>
          <w:ilvl w:val="0"/>
          <w:numId w:val="16"/>
        </w:numPr>
        <w:rPr>
          <w:rFonts w:ascii="Arial" w:cs="Arial" w:eastAsia="Arial" w:hAnsi="Arial"/>
          <w:sz w:val="25"/>
          <w:szCs w:val="25"/>
          <w:color w:val="auto"/>
          <w:vertAlign w:val="superscript"/>
        </w:rPr>
      </w:pPr>
      <w:r>
        <w:rPr>
          <w:rFonts w:ascii="Arial" w:cs="Arial" w:eastAsia="Arial" w:hAnsi="Arial"/>
          <w:sz w:val="16"/>
          <w:szCs w:val="16"/>
          <w:color w:val="auto"/>
        </w:rPr>
        <w:t>In addition to the stated interest rate of this security, which is the amount disclosed in this schedule, the Company is entitled to receive additional interest as a result of an arrangement with other lenders in the syndication, whereby the “first out” tranche will have priority over the Company’s “last out” tranche with respect to payments of principal, interest and any other amounts due thereunder from the borrower. The additional interest received during the quarter has been annualized and included in the spread disclosed for this investment.</w:t>
      </w:r>
    </w:p>
    <w:p>
      <w:pPr>
        <w:spacing w:after="0" w:line="119" w:lineRule="exact"/>
        <w:rPr>
          <w:rFonts w:ascii="Arial" w:cs="Arial" w:eastAsia="Arial" w:hAnsi="Arial"/>
          <w:sz w:val="25"/>
          <w:szCs w:val="25"/>
          <w:color w:val="auto"/>
          <w:vertAlign w:val="superscript"/>
        </w:rPr>
      </w:pPr>
    </w:p>
    <w:p>
      <w:pPr>
        <w:ind w:left="380" w:hanging="372"/>
        <w:spacing w:after="0"/>
        <w:tabs>
          <w:tab w:leader="none" w:pos="380" w:val="left"/>
        </w:tabs>
        <w:numPr>
          <w:ilvl w:val="0"/>
          <w:numId w:val="16"/>
        </w:numPr>
        <w:rPr>
          <w:rFonts w:ascii="Arial" w:cs="Arial" w:eastAsia="Arial" w:hAnsi="Arial"/>
          <w:sz w:val="25"/>
          <w:szCs w:val="25"/>
          <w:color w:val="auto"/>
          <w:vertAlign w:val="superscript"/>
        </w:rPr>
      </w:pPr>
      <w:r>
        <w:rPr>
          <w:rFonts w:ascii="Arial" w:cs="Arial" w:eastAsia="Arial" w:hAnsi="Arial"/>
          <w:sz w:val="16"/>
          <w:szCs w:val="16"/>
          <w:color w:val="auto"/>
        </w:rPr>
        <w:t>Represents co-investment made with the Company's affiliates in accordance with the terms of the exemptive relief that the Company received</w:t>
      </w:r>
    </w:p>
    <w:p>
      <w:pPr>
        <w:spacing w:after="0" w:line="10" w:lineRule="exact"/>
        <w:rPr>
          <w:rFonts w:ascii="Arial" w:cs="Arial" w:eastAsia="Arial" w:hAnsi="Arial"/>
          <w:sz w:val="25"/>
          <w:szCs w:val="25"/>
          <w:color w:val="auto"/>
          <w:vertAlign w:val="superscript"/>
        </w:rPr>
      </w:pPr>
    </w:p>
    <w:p>
      <w:pPr>
        <w:ind w:left="380" w:hanging="372"/>
        <w:spacing w:after="0" w:line="182" w:lineRule="auto"/>
        <w:tabs>
          <w:tab w:leader="none" w:pos="380" w:val="left"/>
        </w:tabs>
        <w:numPr>
          <w:ilvl w:val="0"/>
          <w:numId w:val="16"/>
        </w:numPr>
        <w:rPr>
          <w:rFonts w:ascii="Arial" w:cs="Arial" w:eastAsia="Arial" w:hAnsi="Arial"/>
          <w:sz w:val="22"/>
          <w:szCs w:val="22"/>
          <w:color w:val="auto"/>
          <w:vertAlign w:val="superscript"/>
        </w:rPr>
      </w:pPr>
      <w:r>
        <w:rPr>
          <w:rFonts w:ascii="Arial" w:cs="Arial" w:eastAsia="Arial" w:hAnsi="Arial"/>
          <w:sz w:val="14"/>
          <w:szCs w:val="14"/>
          <w:color w:val="auto"/>
        </w:rPr>
        <w:t>Information related to the Company’s derivatives is presented below as of December 31, 2020:</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6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87"/>
              </w:rPr>
              <w:t>Payments</w:t>
            </w:r>
          </w:p>
        </w:tc>
        <w:tc>
          <w:tcPr>
            <w:tcW w:w="1040" w:type="dxa"/>
            <w:vAlign w:val="bottom"/>
          </w:tcPr>
          <w:p>
            <w:pPr>
              <w:ind w:left="360"/>
              <w:spacing w:after="0"/>
              <w:rPr>
                <w:sz w:val="20"/>
                <w:szCs w:val="20"/>
                <w:color w:val="auto"/>
              </w:rPr>
            </w:pPr>
            <w:r>
              <w:rPr>
                <w:rFonts w:ascii="Arial" w:cs="Arial" w:eastAsia="Arial" w:hAnsi="Arial"/>
                <w:sz w:val="13"/>
                <w:szCs w:val="13"/>
                <w:b w:val="1"/>
                <w:bCs w:val="1"/>
                <w:color w:val="auto"/>
              </w:rPr>
              <w:t>Payments</w:t>
            </w:r>
          </w:p>
        </w:tc>
        <w:tc>
          <w:tcPr>
            <w:tcW w:w="5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gridSpan w:val="3"/>
          </w:tcPr>
          <w:p>
            <w:pPr>
              <w:jc w:val="center"/>
              <w:spacing w:after="0"/>
              <w:rPr>
                <w:sz w:val="20"/>
                <w:szCs w:val="20"/>
                <w:color w:val="auto"/>
              </w:rPr>
            </w:pPr>
            <w:r>
              <w:rPr>
                <w:rFonts w:ascii="Arial" w:cs="Arial" w:eastAsia="Arial" w:hAnsi="Arial"/>
                <w:sz w:val="13"/>
                <w:szCs w:val="13"/>
                <w:b w:val="1"/>
                <w:bCs w:val="1"/>
                <w:color w:val="auto"/>
                <w:w w:val="88"/>
              </w:rPr>
              <w:t>Notional</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jc w:val="center"/>
              <w:ind w:left="97"/>
              <w:spacing w:after="0"/>
              <w:rPr>
                <w:sz w:val="20"/>
                <w:szCs w:val="20"/>
                <w:color w:val="auto"/>
              </w:rPr>
            </w:pPr>
            <w:r>
              <w:rPr>
                <w:rFonts w:ascii="Arial" w:cs="Arial" w:eastAsia="Arial" w:hAnsi="Arial"/>
                <w:sz w:val="13"/>
                <w:szCs w:val="13"/>
                <w:b w:val="1"/>
                <w:bCs w:val="1"/>
                <w:color w:val="auto"/>
                <w:w w:val="93"/>
              </w:rPr>
              <w:t>Upfront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Unrealized</w:t>
            </w:r>
          </w:p>
        </w:tc>
      </w:tr>
      <w:tr>
        <w:trPr>
          <w:trHeight w:val="153"/>
        </w:trPr>
        <w:tc>
          <w:tcPr>
            <w:tcW w:w="2060" w:type="dxa"/>
            <w:vAlign w:val="bottom"/>
          </w:tcPr>
          <w:p>
            <w:pPr>
              <w:ind w:left="700"/>
              <w:spacing w:after="0"/>
              <w:rPr>
                <w:sz w:val="20"/>
                <w:szCs w:val="20"/>
                <w:color w:val="auto"/>
              </w:rPr>
            </w:pPr>
            <w:r>
              <w:rPr>
                <w:rFonts w:ascii="Arial" w:cs="Arial" w:eastAsia="Arial" w:hAnsi="Arial"/>
                <w:sz w:val="13"/>
                <w:szCs w:val="13"/>
                <w:b w:val="1"/>
                <w:bCs w:val="1"/>
                <w:color w:val="auto"/>
              </w:rPr>
              <w:t>Description</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88"/>
              </w:rPr>
              <w:t>made</w:t>
            </w:r>
          </w:p>
        </w:tc>
        <w:tc>
          <w:tcPr>
            <w:tcW w:w="1040" w:type="dxa"/>
            <w:vAlign w:val="bottom"/>
          </w:tcPr>
          <w:p>
            <w:pPr>
              <w:ind w:left="400"/>
              <w:spacing w:after="0"/>
              <w:rPr>
                <w:sz w:val="20"/>
                <w:szCs w:val="20"/>
                <w:color w:val="auto"/>
              </w:rPr>
            </w:pPr>
            <w:r>
              <w:rPr>
                <w:rFonts w:ascii="Arial" w:cs="Arial" w:eastAsia="Arial" w:hAnsi="Arial"/>
                <w:sz w:val="13"/>
                <w:szCs w:val="13"/>
                <w:b w:val="1"/>
                <w:bCs w:val="1"/>
                <w:color w:val="auto"/>
              </w:rPr>
              <w:t>received</w:t>
            </w:r>
          </w:p>
        </w:tc>
        <w:tc>
          <w:tcPr>
            <w:tcW w:w="540" w:type="dxa"/>
            <w:vAlign w:val="bottom"/>
          </w:tcPr>
          <w:p>
            <w:pPr>
              <w:spacing w:after="0"/>
              <w:rPr>
                <w:sz w:val="13"/>
                <w:szCs w:val="13"/>
                <w:color w:val="auto"/>
              </w:rPr>
            </w:pPr>
          </w:p>
        </w:tc>
        <w:tc>
          <w:tcPr>
            <w:tcW w:w="1500" w:type="dxa"/>
            <w:vAlign w:val="bottom"/>
          </w:tcPr>
          <w:p>
            <w:pPr>
              <w:jc w:val="center"/>
              <w:ind w:right="417"/>
              <w:spacing w:after="0"/>
              <w:rPr>
                <w:sz w:val="20"/>
                <w:szCs w:val="20"/>
                <w:color w:val="auto"/>
              </w:rPr>
            </w:pPr>
            <w:r>
              <w:rPr>
                <w:rFonts w:ascii="Arial" w:cs="Arial" w:eastAsia="Arial" w:hAnsi="Arial"/>
                <w:sz w:val="13"/>
                <w:szCs w:val="13"/>
                <w:b w:val="1"/>
                <w:bCs w:val="1"/>
                <w:color w:val="auto"/>
                <w:w w:val="90"/>
              </w:rPr>
              <w:t>Counterparty</w:t>
            </w:r>
          </w:p>
        </w:tc>
        <w:tc>
          <w:tcPr>
            <w:tcW w:w="8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3"/>
              </w:rPr>
              <w:t>Maturity date</w:t>
            </w:r>
          </w:p>
        </w:tc>
        <w:tc>
          <w:tcPr>
            <w:tcW w:w="720" w:type="dxa"/>
            <w:vAlign w:val="bottom"/>
            <w:gridSpan w:val="3"/>
          </w:tcPr>
          <w:p>
            <w:pPr>
              <w:jc w:val="center"/>
              <w:spacing w:after="0"/>
              <w:rPr>
                <w:sz w:val="20"/>
                <w:szCs w:val="20"/>
                <w:color w:val="auto"/>
              </w:rPr>
            </w:pPr>
            <w:r>
              <w:rPr>
                <w:rFonts w:ascii="Arial" w:cs="Arial" w:eastAsia="Arial" w:hAnsi="Arial"/>
                <w:sz w:val="13"/>
                <w:szCs w:val="13"/>
                <w:b w:val="1"/>
                <w:bCs w:val="1"/>
                <w:color w:val="auto"/>
                <w:w w:val="89"/>
              </w:rPr>
              <w:t>amount</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gridSpan w:val="4"/>
          </w:tcPr>
          <w:p>
            <w:pPr>
              <w:spacing w:after="0"/>
              <w:rPr>
                <w:sz w:val="20"/>
                <w:szCs w:val="20"/>
                <w:color w:val="auto"/>
              </w:rPr>
            </w:pPr>
            <w:r>
              <w:rPr>
                <w:rFonts w:ascii="Arial" w:cs="Arial" w:eastAsia="Arial" w:hAnsi="Arial"/>
                <w:sz w:val="13"/>
                <w:szCs w:val="13"/>
                <w:b w:val="1"/>
                <w:bCs w:val="1"/>
                <w:color w:val="auto"/>
              </w:rPr>
              <w:t>Value</w:t>
            </w:r>
          </w:p>
        </w:tc>
        <w:tc>
          <w:tcPr>
            <w:tcW w:w="1160" w:type="dxa"/>
            <w:vAlign w:val="bottom"/>
          </w:tcPr>
          <w:p>
            <w:pPr>
              <w:jc w:val="center"/>
              <w:ind w:left="97"/>
              <w:spacing w:after="0"/>
              <w:rPr>
                <w:sz w:val="20"/>
                <w:szCs w:val="20"/>
                <w:color w:val="auto"/>
              </w:rPr>
            </w:pPr>
            <w:r>
              <w:rPr>
                <w:rFonts w:ascii="Arial" w:cs="Arial" w:eastAsia="Arial" w:hAnsi="Arial"/>
                <w:sz w:val="13"/>
                <w:szCs w:val="13"/>
                <w:b w:val="1"/>
                <w:bCs w:val="1"/>
                <w:color w:val="auto"/>
                <w:w w:val="84"/>
              </w:rPr>
              <w:t>payments/receipts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spacing w:after="0"/>
              <w:rPr>
                <w:sz w:val="20"/>
                <w:szCs w:val="20"/>
                <w:color w:val="auto"/>
              </w:rPr>
            </w:pPr>
            <w:r>
              <w:rPr>
                <w:rFonts w:ascii="Arial" w:cs="Arial" w:eastAsia="Arial" w:hAnsi="Arial"/>
                <w:sz w:val="13"/>
                <w:szCs w:val="13"/>
                <w:b w:val="1"/>
                <w:bCs w:val="1"/>
                <w:color w:val="auto"/>
                <w:w w:val="82"/>
              </w:rPr>
              <w:t>gain (loss)</w:t>
            </w:r>
          </w:p>
        </w:tc>
      </w:tr>
      <w:tr>
        <w:trPr>
          <w:trHeight w:val="142"/>
        </w:trPr>
        <w:tc>
          <w:tcPr>
            <w:tcW w:w="2060" w:type="dxa"/>
            <w:vAlign w:val="bottom"/>
            <w:tcBorders>
              <w:top w:val="single" w:sz="8" w:color="auto"/>
            </w:tcBorders>
            <w:shd w:val="clear" w:color="auto" w:fill="CFF0FC"/>
          </w:tcPr>
          <w:p>
            <w:pPr>
              <w:spacing w:after="0" w:line="142" w:lineRule="exact"/>
              <w:rPr>
                <w:sz w:val="20"/>
                <w:szCs w:val="20"/>
                <w:color w:val="auto"/>
              </w:rPr>
            </w:pPr>
            <w:r>
              <w:rPr>
                <w:rFonts w:ascii="Arial" w:cs="Arial" w:eastAsia="Arial" w:hAnsi="Arial"/>
                <w:sz w:val="13"/>
                <w:szCs w:val="13"/>
                <w:color w:val="auto"/>
                <w:w w:val="89"/>
              </w:rPr>
              <w:t>Securities Swap and Option Agreement</w:t>
            </w:r>
          </w:p>
        </w:tc>
        <w:tc>
          <w:tcPr>
            <w:tcW w:w="840" w:type="dxa"/>
            <w:vAlign w:val="bottom"/>
            <w:tcBorders>
              <w:top w:val="single" w:sz="8" w:color="auto"/>
            </w:tcBorders>
            <w:shd w:val="clear" w:color="auto" w:fill="CFF0FC"/>
          </w:tcPr>
          <w:p>
            <w:pPr>
              <w:ind w:left="40"/>
              <w:spacing w:after="0" w:line="142" w:lineRule="exact"/>
              <w:rPr>
                <w:sz w:val="20"/>
                <w:szCs w:val="20"/>
                <w:color w:val="auto"/>
              </w:rPr>
            </w:pPr>
            <w:r>
              <w:rPr>
                <w:rFonts w:ascii="Arial" w:cs="Arial" w:eastAsia="Arial" w:hAnsi="Arial"/>
                <w:sz w:val="13"/>
                <w:szCs w:val="13"/>
                <w:color w:val="auto"/>
              </w:rPr>
              <w:t>18% PIK</w:t>
            </w:r>
          </w:p>
        </w:tc>
        <w:tc>
          <w:tcPr>
            <w:tcW w:w="1040" w:type="dxa"/>
            <w:vAlign w:val="bottom"/>
            <w:tcBorders>
              <w:top w:val="single" w:sz="8" w:color="auto"/>
            </w:tcBorders>
            <w:shd w:val="clear" w:color="auto" w:fill="CFF0FC"/>
          </w:tcPr>
          <w:p>
            <w:pPr>
              <w:ind w:left="120"/>
              <w:spacing w:after="0" w:line="142" w:lineRule="exact"/>
              <w:rPr>
                <w:sz w:val="20"/>
                <w:szCs w:val="20"/>
                <w:color w:val="auto"/>
              </w:rPr>
            </w:pPr>
            <w:r>
              <w:rPr>
                <w:rFonts w:ascii="Arial" w:cs="Arial" w:eastAsia="Arial" w:hAnsi="Arial"/>
                <w:sz w:val="13"/>
                <w:szCs w:val="13"/>
                <w:color w:val="auto"/>
              </w:rPr>
              <w:t>16% Cash</w:t>
            </w:r>
          </w:p>
        </w:tc>
        <w:tc>
          <w:tcPr>
            <w:tcW w:w="2040" w:type="dxa"/>
            <w:vAlign w:val="bottom"/>
            <w:tcBorders>
              <w:top w:val="single" w:sz="8" w:color="auto"/>
            </w:tcBorders>
            <w:gridSpan w:val="2"/>
            <w:shd w:val="clear" w:color="auto" w:fill="CFF0FC"/>
          </w:tcPr>
          <w:p>
            <w:pPr>
              <w:jc w:val="center"/>
              <w:spacing w:after="0" w:line="142" w:lineRule="exact"/>
              <w:rPr>
                <w:sz w:val="20"/>
                <w:szCs w:val="20"/>
                <w:color w:val="auto"/>
              </w:rPr>
            </w:pPr>
            <w:r>
              <w:rPr>
                <w:rFonts w:ascii="Arial" w:cs="Arial" w:eastAsia="Arial" w:hAnsi="Arial"/>
                <w:sz w:val="13"/>
                <w:szCs w:val="13"/>
                <w:color w:val="auto"/>
                <w:w w:val="89"/>
              </w:rPr>
              <w:t>Advantage Capital Holdings LLC.</w:t>
            </w:r>
          </w:p>
        </w:tc>
        <w:tc>
          <w:tcPr>
            <w:tcW w:w="860" w:type="dxa"/>
            <w:vAlign w:val="bottom"/>
            <w:tcBorders>
              <w:top w:val="single" w:sz="8" w:color="auto"/>
            </w:tcBorders>
            <w:gridSpan w:val="2"/>
            <w:shd w:val="clear" w:color="auto" w:fill="CFF0FC"/>
          </w:tcPr>
          <w:p>
            <w:pPr>
              <w:jc w:val="right"/>
              <w:spacing w:after="0" w:line="142" w:lineRule="exact"/>
              <w:rPr>
                <w:sz w:val="20"/>
                <w:szCs w:val="20"/>
                <w:color w:val="auto"/>
              </w:rPr>
            </w:pPr>
            <w:r>
              <w:rPr>
                <w:rFonts w:ascii="Arial" w:cs="Arial" w:eastAsia="Arial" w:hAnsi="Arial"/>
                <w:sz w:val="13"/>
                <w:szCs w:val="13"/>
                <w:color w:val="auto"/>
              </w:rPr>
              <w:t>9/15/24</w:t>
            </w:r>
          </w:p>
        </w:tc>
        <w:tc>
          <w:tcPr>
            <w:tcW w:w="720" w:type="dxa"/>
            <w:vAlign w:val="bottom"/>
            <w:tcBorders>
              <w:top w:val="single" w:sz="8" w:color="auto"/>
            </w:tcBorders>
            <w:gridSpan w:val="3"/>
            <w:shd w:val="clear" w:color="auto" w:fill="CFF0FC"/>
          </w:tcPr>
          <w:p>
            <w:pPr>
              <w:jc w:val="center"/>
              <w:spacing w:after="0" w:line="142" w:lineRule="exact"/>
              <w:rPr>
                <w:sz w:val="20"/>
                <w:szCs w:val="20"/>
                <w:color w:val="auto"/>
              </w:rPr>
            </w:pPr>
            <w:r>
              <w:rPr>
                <w:rFonts w:ascii="Arial" w:cs="Arial" w:eastAsia="Arial" w:hAnsi="Arial"/>
                <w:sz w:val="13"/>
                <w:szCs w:val="13"/>
                <w:color w:val="auto"/>
                <w:w w:val="90"/>
              </w:rPr>
              <w:t>$ 5,500,000</w:t>
            </w:r>
          </w:p>
        </w:tc>
        <w:tc>
          <w:tcPr>
            <w:tcW w:w="100" w:type="dxa"/>
            <w:vAlign w:val="bottom"/>
            <w:tcBorders>
              <w:top w:val="single" w:sz="8" w:color="CFF0FC"/>
            </w:tcBorders>
            <w:shd w:val="clear" w:color="auto" w:fill="CFF0FC"/>
          </w:tcPr>
          <w:p>
            <w:pPr>
              <w:spacing w:after="0"/>
              <w:rPr>
                <w:sz w:val="12"/>
                <w:szCs w:val="12"/>
                <w:color w:val="auto"/>
              </w:rPr>
            </w:pPr>
          </w:p>
        </w:tc>
        <w:tc>
          <w:tcPr>
            <w:tcW w:w="420" w:type="dxa"/>
            <w:vAlign w:val="bottom"/>
            <w:tcBorders>
              <w:top w:val="single" w:sz="8" w:color="auto"/>
            </w:tcBorders>
            <w:shd w:val="clear" w:color="auto" w:fill="CFF0FC"/>
          </w:tcPr>
          <w:p>
            <w:pPr>
              <w:ind w:left="80"/>
              <w:spacing w:after="0" w:line="142" w:lineRule="exact"/>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gridSpan w:val="3"/>
            <w:shd w:val="clear" w:color="auto" w:fill="CFF0FC"/>
          </w:tcPr>
          <w:p>
            <w:pPr>
              <w:jc w:val="right"/>
              <w:spacing w:after="0" w:line="142" w:lineRule="exact"/>
              <w:rPr>
                <w:sz w:val="20"/>
                <w:szCs w:val="20"/>
                <w:color w:val="auto"/>
              </w:rPr>
            </w:pPr>
            <w:r>
              <w:rPr>
                <w:rFonts w:ascii="Arial" w:cs="Arial" w:eastAsia="Arial" w:hAnsi="Arial"/>
                <w:sz w:val="13"/>
                <w:szCs w:val="13"/>
                <w:color w:val="auto"/>
                <w:w w:val="96"/>
              </w:rPr>
              <w:t>(1,120,695)</w:t>
            </w:r>
          </w:p>
        </w:tc>
        <w:tc>
          <w:tcPr>
            <w:tcW w:w="120" w:type="dxa"/>
            <w:vAlign w:val="bottom"/>
            <w:tcBorders>
              <w:top w:val="single" w:sz="8" w:color="CFF0FC"/>
            </w:tcBorders>
            <w:shd w:val="clear" w:color="auto" w:fill="CFF0FC"/>
          </w:tcPr>
          <w:p>
            <w:pPr>
              <w:spacing w:after="0"/>
              <w:rPr>
                <w:sz w:val="12"/>
                <w:szCs w:val="12"/>
                <w:color w:val="auto"/>
              </w:rPr>
            </w:pPr>
          </w:p>
        </w:tc>
        <w:tc>
          <w:tcPr>
            <w:tcW w:w="1160" w:type="dxa"/>
            <w:vAlign w:val="bottom"/>
            <w:tcBorders>
              <w:top w:val="single" w:sz="8" w:color="auto"/>
            </w:tcBorders>
            <w:shd w:val="clear" w:color="auto" w:fill="CFF0FC"/>
          </w:tcPr>
          <w:p>
            <w:pPr>
              <w:jc w:val="right"/>
              <w:ind w:right="937"/>
              <w:spacing w:after="0" w:line="142"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91"/>
              </w:rPr>
              <w:t>-</w:t>
            </w:r>
          </w:p>
        </w:tc>
        <w:tc>
          <w:tcPr>
            <w:tcW w:w="100" w:type="dxa"/>
            <w:vAlign w:val="bottom"/>
            <w:tcBorders>
              <w:top w:val="single" w:sz="8" w:color="CFF0FC"/>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  (1,120,695)</w:t>
            </w:r>
          </w:p>
        </w:tc>
        <w:tc>
          <w:tcPr>
            <w:tcW w:w="120" w:type="dxa"/>
            <w:vAlign w:val="bottom"/>
            <w:tcBorders>
              <w:top w:val="single" w:sz="8" w:color="CFF0FC"/>
            </w:tcBorders>
            <w:shd w:val="clear" w:color="auto" w:fill="CFF0FC"/>
          </w:tcPr>
          <w:p>
            <w:pPr>
              <w:spacing w:after="0"/>
              <w:rPr>
                <w:sz w:val="12"/>
                <w:szCs w:val="12"/>
                <w:color w:val="auto"/>
              </w:rPr>
            </w:pPr>
          </w:p>
        </w:tc>
      </w:tr>
      <w:tr>
        <w:trPr>
          <w:trHeight w:val="346"/>
        </w:trPr>
        <w:tc>
          <w:tcPr>
            <w:tcW w:w="20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gridSpan w:val="4"/>
          </w:tcPr>
          <w:p>
            <w:pPr>
              <w:jc w:val="center"/>
              <w:ind w:right="180"/>
              <w:spacing w:after="0"/>
              <w:rPr>
                <w:sz w:val="20"/>
                <w:szCs w:val="20"/>
                <w:color w:val="auto"/>
              </w:rPr>
            </w:pPr>
            <w:r>
              <w:rPr>
                <w:rFonts w:ascii="Arial" w:cs="Arial" w:eastAsia="Arial" w:hAnsi="Arial"/>
                <w:sz w:val="13"/>
                <w:szCs w:val="13"/>
                <w:b w:val="1"/>
                <w:bCs w:val="1"/>
                <w:color w:val="auto"/>
                <w:w w:val="88"/>
              </w:rPr>
              <w:t>Notional</w:t>
            </w:r>
          </w:p>
        </w:tc>
        <w:tc>
          <w:tcPr>
            <w:tcW w:w="100" w:type="dxa"/>
            <w:vAlign w:val="bottom"/>
          </w:tcPr>
          <w:p>
            <w:pPr>
              <w:spacing w:after="0"/>
              <w:rPr>
                <w:sz w:val="24"/>
                <w:szCs w:val="24"/>
                <w:color w:val="auto"/>
              </w:rPr>
            </w:pPr>
          </w:p>
        </w:tc>
        <w:tc>
          <w:tcPr>
            <w:tcW w:w="1200" w:type="dxa"/>
            <w:vAlign w:val="bottom"/>
            <w:gridSpan w:val="5"/>
          </w:tcPr>
          <w:p>
            <w:pPr>
              <w:ind w:left="60"/>
              <w:spacing w:after="0"/>
              <w:rPr>
                <w:sz w:val="20"/>
                <w:szCs w:val="20"/>
                <w:color w:val="auto"/>
              </w:rPr>
            </w:pPr>
            <w:r>
              <w:rPr>
                <w:rFonts w:ascii="Arial" w:cs="Arial" w:eastAsia="Arial" w:hAnsi="Arial"/>
                <w:sz w:val="13"/>
                <w:szCs w:val="13"/>
                <w:b w:val="1"/>
                <w:bCs w:val="1"/>
                <w:color w:val="auto"/>
              </w:rPr>
              <w:t>Exercise</w:t>
            </w: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53"/>
        </w:trPr>
        <w:tc>
          <w:tcPr>
            <w:tcW w:w="2060" w:type="dxa"/>
            <w:vAlign w:val="bottom"/>
          </w:tcPr>
          <w:p>
            <w:pPr>
              <w:ind w:left="800"/>
              <w:spacing w:after="0"/>
              <w:rPr>
                <w:sz w:val="20"/>
                <w:szCs w:val="20"/>
                <w:color w:val="auto"/>
              </w:rPr>
            </w:pPr>
            <w:r>
              <w:rPr>
                <w:rFonts w:ascii="Arial" w:cs="Arial" w:eastAsia="Arial" w:hAnsi="Arial"/>
                <w:sz w:val="13"/>
                <w:szCs w:val="13"/>
                <w:b w:val="1"/>
                <w:bCs w:val="1"/>
                <w:color w:val="auto"/>
              </w:rPr>
              <w:t>Description</w:t>
            </w:r>
          </w:p>
        </w:tc>
        <w:tc>
          <w:tcPr>
            <w:tcW w:w="840" w:type="dxa"/>
            <w:vAlign w:val="bottom"/>
          </w:tcPr>
          <w:p>
            <w:pPr>
              <w:spacing w:after="0"/>
              <w:rPr>
                <w:sz w:val="13"/>
                <w:szCs w:val="13"/>
                <w:color w:val="auto"/>
              </w:rPr>
            </w:pPr>
          </w:p>
        </w:tc>
        <w:tc>
          <w:tcPr>
            <w:tcW w:w="1580" w:type="dxa"/>
            <w:vAlign w:val="bottom"/>
            <w:gridSpan w:val="2"/>
          </w:tcPr>
          <w:p>
            <w:pPr>
              <w:ind w:left="580"/>
              <w:spacing w:after="0"/>
              <w:rPr>
                <w:sz w:val="20"/>
                <w:szCs w:val="20"/>
                <w:color w:val="auto"/>
              </w:rPr>
            </w:pPr>
            <w:r>
              <w:rPr>
                <w:rFonts w:ascii="Arial" w:cs="Arial" w:eastAsia="Arial" w:hAnsi="Arial"/>
                <w:sz w:val="13"/>
                <w:szCs w:val="13"/>
                <w:b w:val="1"/>
                <w:bCs w:val="1"/>
                <w:color w:val="auto"/>
              </w:rPr>
              <w:t>Counterparty</w:t>
            </w:r>
          </w:p>
        </w:tc>
        <w:tc>
          <w:tcPr>
            <w:tcW w:w="1500" w:type="dxa"/>
            <w:vAlign w:val="bottom"/>
          </w:tcPr>
          <w:p>
            <w:pPr>
              <w:ind w:left="540"/>
              <w:spacing w:after="0"/>
              <w:rPr>
                <w:sz w:val="20"/>
                <w:szCs w:val="20"/>
                <w:color w:val="auto"/>
              </w:rPr>
            </w:pPr>
            <w:r>
              <w:rPr>
                <w:rFonts w:ascii="Arial" w:cs="Arial" w:eastAsia="Arial" w:hAnsi="Arial"/>
                <w:sz w:val="13"/>
                <w:szCs w:val="13"/>
                <w:b w:val="1"/>
                <w:bCs w:val="1"/>
                <w:color w:val="auto"/>
                <w:w w:val="85"/>
              </w:rPr>
              <w:t>Number of shares</w:t>
            </w:r>
          </w:p>
        </w:tc>
        <w:tc>
          <w:tcPr>
            <w:tcW w:w="540" w:type="dxa"/>
            <w:vAlign w:val="bottom"/>
          </w:tcPr>
          <w:p>
            <w:pPr>
              <w:spacing w:after="0"/>
              <w:rPr>
                <w:sz w:val="13"/>
                <w:szCs w:val="13"/>
                <w:color w:val="auto"/>
              </w:rPr>
            </w:pPr>
          </w:p>
        </w:tc>
        <w:tc>
          <w:tcPr>
            <w:tcW w:w="1040" w:type="dxa"/>
            <w:vAlign w:val="bottom"/>
            <w:gridSpan w:val="4"/>
          </w:tcPr>
          <w:p>
            <w:pPr>
              <w:jc w:val="center"/>
              <w:ind w:right="180"/>
              <w:spacing w:after="0"/>
              <w:rPr>
                <w:sz w:val="20"/>
                <w:szCs w:val="20"/>
                <w:color w:val="auto"/>
              </w:rPr>
            </w:pPr>
            <w:r>
              <w:rPr>
                <w:rFonts w:ascii="Arial" w:cs="Arial" w:eastAsia="Arial" w:hAnsi="Arial"/>
                <w:sz w:val="13"/>
                <w:szCs w:val="13"/>
                <w:b w:val="1"/>
                <w:bCs w:val="1"/>
                <w:color w:val="auto"/>
                <w:w w:val="89"/>
              </w:rPr>
              <w:t>amount</w:t>
            </w:r>
          </w:p>
        </w:tc>
        <w:tc>
          <w:tcPr>
            <w:tcW w:w="100" w:type="dxa"/>
            <w:vAlign w:val="bottom"/>
          </w:tcPr>
          <w:p>
            <w:pPr>
              <w:spacing w:after="0"/>
              <w:rPr>
                <w:sz w:val="13"/>
                <w:szCs w:val="13"/>
                <w:color w:val="auto"/>
              </w:rPr>
            </w:pPr>
          </w:p>
        </w:tc>
        <w:tc>
          <w:tcPr>
            <w:tcW w:w="420" w:type="dxa"/>
            <w:vAlign w:val="bottom"/>
          </w:tcPr>
          <w:p>
            <w:pPr>
              <w:ind w:left="140"/>
              <w:spacing w:after="0"/>
              <w:rPr>
                <w:sz w:val="20"/>
                <w:szCs w:val="20"/>
                <w:color w:val="auto"/>
              </w:rPr>
            </w:pPr>
            <w:r>
              <w:rPr>
                <w:rFonts w:ascii="Arial" w:cs="Arial" w:eastAsia="Arial" w:hAnsi="Arial"/>
                <w:sz w:val="13"/>
                <w:szCs w:val="13"/>
                <w:b w:val="1"/>
                <w:bCs w:val="1"/>
                <w:color w:val="auto"/>
                <w:w w:val="83"/>
              </w:rPr>
              <w:t>price</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gridSpan w:val="3"/>
          </w:tcPr>
          <w:p>
            <w:pPr>
              <w:jc w:val="right"/>
              <w:ind w:right="437"/>
              <w:spacing w:after="0"/>
              <w:rPr>
                <w:sz w:val="20"/>
                <w:szCs w:val="20"/>
                <w:color w:val="auto"/>
              </w:rPr>
            </w:pPr>
            <w:r>
              <w:rPr>
                <w:rFonts w:ascii="Arial" w:cs="Arial" w:eastAsia="Arial" w:hAnsi="Arial"/>
                <w:sz w:val="13"/>
                <w:szCs w:val="13"/>
                <w:b w:val="1"/>
                <w:bCs w:val="1"/>
                <w:color w:val="auto"/>
              </w:rPr>
              <w:t>Expiration date</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ind w:left="140"/>
              <w:spacing w:after="0"/>
              <w:rPr>
                <w:sz w:val="20"/>
                <w:szCs w:val="20"/>
                <w:color w:val="auto"/>
              </w:rPr>
            </w:pPr>
            <w:r>
              <w:rPr>
                <w:rFonts w:ascii="Arial" w:cs="Arial" w:eastAsia="Arial" w:hAnsi="Arial"/>
                <w:sz w:val="13"/>
                <w:szCs w:val="13"/>
                <w:b w:val="1"/>
                <w:bCs w:val="1"/>
                <w:color w:val="auto"/>
              </w:rPr>
              <w:t>Value</w:t>
            </w:r>
          </w:p>
        </w:tc>
      </w:tr>
      <w:tr>
        <w:trPr>
          <w:trHeight w:val="142"/>
        </w:trPr>
        <w:tc>
          <w:tcPr>
            <w:tcW w:w="2060" w:type="dxa"/>
            <w:vAlign w:val="bottom"/>
            <w:tcBorders>
              <w:top w:val="single" w:sz="8" w:color="auto"/>
            </w:tcBorders>
            <w:shd w:val="clear" w:color="auto" w:fill="CFF0FC"/>
          </w:tcPr>
          <w:p>
            <w:pPr>
              <w:spacing w:after="0" w:line="142" w:lineRule="exact"/>
              <w:rPr>
                <w:sz w:val="20"/>
                <w:szCs w:val="20"/>
                <w:color w:val="auto"/>
              </w:rPr>
            </w:pPr>
            <w:r>
              <w:rPr>
                <w:rFonts w:ascii="Arial" w:cs="Arial" w:eastAsia="Arial" w:hAnsi="Arial"/>
                <w:sz w:val="13"/>
                <w:szCs w:val="13"/>
                <w:color w:val="auto"/>
              </w:rPr>
              <w:t>Call option</w:t>
            </w:r>
          </w:p>
        </w:tc>
        <w:tc>
          <w:tcPr>
            <w:tcW w:w="840" w:type="dxa"/>
            <w:vAlign w:val="bottom"/>
            <w:tcBorders>
              <w:top w:val="single" w:sz="8" w:color="auto"/>
            </w:tcBorders>
            <w:shd w:val="clear" w:color="auto" w:fill="CFF0FC"/>
          </w:tcPr>
          <w:p>
            <w:pPr>
              <w:spacing w:after="0"/>
              <w:rPr>
                <w:sz w:val="12"/>
                <w:szCs w:val="12"/>
                <w:color w:val="auto"/>
              </w:rPr>
            </w:pPr>
          </w:p>
        </w:tc>
        <w:tc>
          <w:tcPr>
            <w:tcW w:w="1580" w:type="dxa"/>
            <w:vAlign w:val="bottom"/>
            <w:tcBorders>
              <w:top w:val="single" w:sz="8" w:color="auto"/>
            </w:tcBorders>
            <w:gridSpan w:val="2"/>
            <w:shd w:val="clear" w:color="auto" w:fill="CFF0FC"/>
          </w:tcPr>
          <w:p>
            <w:pPr>
              <w:ind w:left="400"/>
              <w:spacing w:after="0" w:line="142" w:lineRule="exact"/>
              <w:rPr>
                <w:sz w:val="20"/>
                <w:szCs w:val="20"/>
                <w:color w:val="auto"/>
              </w:rPr>
            </w:pPr>
            <w:r>
              <w:rPr>
                <w:rFonts w:ascii="Arial" w:cs="Arial" w:eastAsia="Arial" w:hAnsi="Arial"/>
                <w:sz w:val="13"/>
                <w:szCs w:val="13"/>
                <w:color w:val="auto"/>
              </w:rPr>
              <w:t>HDNet Holdco LLC</w:t>
            </w:r>
          </w:p>
        </w:tc>
        <w:tc>
          <w:tcPr>
            <w:tcW w:w="1500" w:type="dxa"/>
            <w:vAlign w:val="bottom"/>
            <w:tcBorders>
              <w:top w:val="single" w:sz="8" w:color="auto"/>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0.2</w:t>
            </w:r>
          </w:p>
        </w:tc>
        <w:tc>
          <w:tcPr>
            <w:tcW w:w="320" w:type="dxa"/>
            <w:vAlign w:val="bottom"/>
            <w:tcBorders>
              <w:top w:val="single" w:sz="8" w:color="auto"/>
            </w:tcBorders>
            <w:shd w:val="clear" w:color="auto" w:fill="CFF0FC"/>
          </w:tcPr>
          <w:p>
            <w:pPr>
              <w:jc w:val="right"/>
              <w:ind w:right="137"/>
              <w:spacing w:after="0" w:line="142" w:lineRule="exact"/>
              <w:rPr>
                <w:sz w:val="20"/>
                <w:szCs w:val="20"/>
                <w:color w:val="auto"/>
              </w:rPr>
            </w:pPr>
            <w:r>
              <w:rPr>
                <w:rFonts w:ascii="Arial" w:cs="Arial" w:eastAsia="Arial" w:hAnsi="Arial"/>
                <w:sz w:val="13"/>
                <w:szCs w:val="13"/>
                <w:color w:val="auto"/>
              </w:rPr>
              <w:t>$</w:t>
            </w:r>
          </w:p>
        </w:tc>
        <w:tc>
          <w:tcPr>
            <w:tcW w:w="5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7,656</w:t>
            </w:r>
          </w:p>
        </w:tc>
        <w:tc>
          <w:tcPr>
            <w:tcW w:w="1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520" w:type="dxa"/>
            <w:vAlign w:val="bottom"/>
            <w:tcBorders>
              <w:top w:val="single" w:sz="8" w:color="auto"/>
            </w:tcBorders>
            <w:gridSpan w:val="2"/>
            <w:shd w:val="clear" w:color="auto" w:fill="CFF0FC"/>
          </w:tcPr>
          <w:p>
            <w:pPr>
              <w:jc w:val="right"/>
              <w:ind w:right="117"/>
              <w:spacing w:after="0" w:line="142" w:lineRule="exact"/>
              <w:rPr>
                <w:sz w:val="20"/>
                <w:szCs w:val="20"/>
                <w:color w:val="auto"/>
              </w:rPr>
            </w:pPr>
            <w:r>
              <w:rPr>
                <w:rFonts w:ascii="Arial" w:cs="Arial" w:eastAsia="Arial" w:hAnsi="Arial"/>
                <w:sz w:val="13"/>
                <w:szCs w:val="13"/>
                <w:color w:val="auto"/>
                <w:w w:val="88"/>
              </w:rPr>
              <w:t>$ 0.01</w:t>
            </w:r>
          </w:p>
        </w:tc>
        <w:tc>
          <w:tcPr>
            <w:tcW w:w="24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440" w:type="dxa"/>
            <w:vAlign w:val="bottom"/>
            <w:tcBorders>
              <w:top w:val="single" w:sz="8" w:color="auto"/>
            </w:tcBorders>
            <w:gridSpan w:val="2"/>
            <w:shd w:val="clear" w:color="auto" w:fill="CFF0FC"/>
          </w:tcPr>
          <w:p>
            <w:pPr>
              <w:ind w:left="60"/>
              <w:spacing w:after="0" w:line="142" w:lineRule="exact"/>
              <w:rPr>
                <w:sz w:val="20"/>
                <w:szCs w:val="20"/>
                <w:color w:val="auto"/>
              </w:rPr>
            </w:pPr>
            <w:r>
              <w:rPr>
                <w:rFonts w:ascii="Arial" w:cs="Arial" w:eastAsia="Arial" w:hAnsi="Arial"/>
                <w:sz w:val="13"/>
                <w:szCs w:val="13"/>
                <w:color w:val="auto"/>
              </w:rPr>
              <w:t>N/A</w:t>
            </w:r>
          </w:p>
        </w:tc>
        <w:tc>
          <w:tcPr>
            <w:tcW w:w="1160" w:type="dxa"/>
            <w:vAlign w:val="bottom"/>
            <w:tcBorders>
              <w:top w:val="single" w:sz="8" w:color="auto"/>
            </w:tcBorders>
            <w:shd w:val="clear" w:color="auto" w:fill="CFF0FC"/>
          </w:tcPr>
          <w:p>
            <w:pPr>
              <w:jc w:val="right"/>
              <w:ind w:right="37"/>
              <w:spacing w:after="0" w:line="142"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12,077</w:t>
            </w:r>
          </w:p>
        </w:tc>
        <w:tc>
          <w:tcPr>
            <w:tcW w:w="120" w:type="dxa"/>
            <w:vAlign w:val="bottom"/>
            <w:tcBorders>
              <w:top w:val="single" w:sz="8" w:color="CFF0FC"/>
            </w:tcBorders>
            <w:shd w:val="clear" w:color="auto" w:fill="CFF0FC"/>
          </w:tcPr>
          <w:p>
            <w:pPr>
              <w:spacing w:after="0"/>
              <w:rPr>
                <w:sz w:val="12"/>
                <w:szCs w:val="1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PORTMAN RIDGE FINANCE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FINANCIAL HIGHLIGHTS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560" w:type="dxa"/>
            <w:vAlign w:val="bottom"/>
            <w:gridSpan w:val="5"/>
          </w:tcPr>
          <w:p>
            <w:pPr>
              <w:jc w:val="right"/>
              <w:ind w:right="440"/>
              <w:spacing w:after="0"/>
              <w:rPr>
                <w:sz w:val="20"/>
                <w:szCs w:val="20"/>
                <w:color w:val="auto"/>
              </w:rPr>
            </w:pPr>
            <w:r>
              <w:rPr>
                <w:rFonts w:ascii="Arial" w:cs="Arial" w:eastAsia="Arial" w:hAnsi="Arial"/>
                <w:sz w:val="18"/>
                <w:szCs w:val="18"/>
                <w:b w:val="1"/>
                <w:bCs w:val="1"/>
                <w:color w:val="auto"/>
                <w:w w:val="93"/>
              </w:rPr>
              <w:t>For the Three Months Ended March 31,</w:t>
            </w:r>
          </w:p>
        </w:tc>
      </w:tr>
      <w:tr>
        <w:trPr>
          <w:trHeight w:val="243"/>
        </w:trPr>
        <w:tc>
          <w:tcPr>
            <w:tcW w:w="754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r>
              <w:rPr>
                <w:rFonts w:ascii="Arial" w:cs="Arial" w:eastAsia="Arial" w:hAnsi="Arial"/>
                <w:sz w:val="15"/>
                <w:szCs w:val="15"/>
                <w:b w:val="1"/>
                <w:bCs w:val="1"/>
                <w:color w:val="auto"/>
              </w:rPr>
              <w:t>4</w:t>
            </w:r>
          </w:p>
        </w:tc>
        <w:tc>
          <w:tcPr>
            <w:tcW w:w="42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r>
              <w:rPr>
                <w:rFonts w:ascii="Arial" w:cs="Arial" w:eastAsia="Arial" w:hAnsi="Arial"/>
                <w:sz w:val="15"/>
                <w:szCs w:val="15"/>
                <w:b w:val="1"/>
                <w:bCs w:val="1"/>
                <w:color w:val="auto"/>
              </w:rPr>
              <w:t>4</w:t>
            </w:r>
          </w:p>
        </w:tc>
        <w:tc>
          <w:tcPr>
            <w:tcW w:w="220" w:type="dxa"/>
            <w:vAlign w:val="bottom"/>
            <w:tcBorders>
              <w:bottom w:val="single" w:sz="8" w:color="CFF0FC"/>
            </w:tcBorders>
          </w:tcPr>
          <w:p>
            <w:pPr>
              <w:spacing w:after="0"/>
              <w:rPr>
                <w:sz w:val="21"/>
                <w:szCs w:val="21"/>
                <w:color w:val="auto"/>
              </w:rPr>
            </w:pPr>
          </w:p>
        </w:tc>
      </w:tr>
      <w:tr>
        <w:trPr>
          <w:trHeight w:val="223"/>
        </w:trPr>
        <w:tc>
          <w:tcPr>
            <w:tcW w:w="75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Per Share Data:</w:t>
            </w: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r>
      <w:tr>
        <w:trPr>
          <w:trHeight w:val="229"/>
        </w:trPr>
        <w:tc>
          <w:tcPr>
            <w:tcW w:w="7540" w:type="dxa"/>
            <w:vAlign w:val="bottom"/>
          </w:tcPr>
          <w:p>
            <w:pPr>
              <w:spacing w:after="0"/>
              <w:rPr>
                <w:sz w:val="20"/>
                <w:szCs w:val="20"/>
                <w:color w:val="auto"/>
              </w:rPr>
            </w:pPr>
            <w:r>
              <w:rPr>
                <w:rFonts w:ascii="Arial" w:cs="Arial" w:eastAsia="Arial" w:hAnsi="Arial"/>
                <w:sz w:val="18"/>
                <w:szCs w:val="18"/>
                <w:color w:val="auto"/>
              </w:rPr>
              <w:t>Net asset value, at beginning of period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2.88</w:t>
            </w:r>
          </w:p>
        </w:tc>
        <w:tc>
          <w:tcPr>
            <w:tcW w:w="4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3.40</w:t>
            </w:r>
          </w:p>
        </w:tc>
        <w:tc>
          <w:tcPr>
            <w:tcW w:w="220" w:type="dxa"/>
            <w:vAlign w:val="bottom"/>
          </w:tcPr>
          <w:p>
            <w:pPr>
              <w:spacing w:after="0"/>
              <w:rPr>
                <w:sz w:val="19"/>
                <w:szCs w:val="19"/>
                <w:color w:val="auto"/>
              </w:rPr>
            </w:pPr>
          </w:p>
        </w:tc>
      </w:tr>
      <w:tr>
        <w:trPr>
          <w:trHeight w:val="230"/>
        </w:trPr>
        <w:tc>
          <w:tcPr>
            <w:tcW w:w="7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investment income</w:t>
            </w:r>
            <w:r>
              <w:rPr>
                <w:rFonts w:ascii="Arial" w:cs="Arial" w:eastAsia="Arial" w:hAnsi="Arial"/>
                <w:sz w:val="15"/>
                <w:szCs w:val="15"/>
                <w:color w:val="auto"/>
              </w:rPr>
              <w:t>1</w:t>
            </w: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0.11</w:t>
            </w:r>
          </w:p>
        </w:tc>
        <w:tc>
          <w:tcPr>
            <w:tcW w:w="4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0.06</w:t>
            </w:r>
          </w:p>
        </w:tc>
        <w:tc>
          <w:tcPr>
            <w:tcW w:w="220" w:type="dxa"/>
            <w:vAlign w:val="bottom"/>
            <w:shd w:val="clear" w:color="auto" w:fill="CFF0FC"/>
          </w:tcPr>
          <w:p>
            <w:pPr>
              <w:spacing w:after="0"/>
              <w:rPr>
                <w:sz w:val="19"/>
                <w:szCs w:val="19"/>
                <w:color w:val="auto"/>
              </w:rPr>
            </w:pPr>
          </w:p>
        </w:tc>
      </w:tr>
      <w:tr>
        <w:trPr>
          <w:trHeight w:val="229"/>
        </w:trPr>
        <w:tc>
          <w:tcPr>
            <w:tcW w:w="7540" w:type="dxa"/>
            <w:vAlign w:val="bottom"/>
          </w:tcPr>
          <w:p>
            <w:pPr>
              <w:ind w:left="260"/>
              <w:spacing w:after="0"/>
              <w:rPr>
                <w:sz w:val="20"/>
                <w:szCs w:val="20"/>
                <w:color w:val="auto"/>
              </w:rPr>
            </w:pPr>
            <w:r>
              <w:rPr>
                <w:rFonts w:ascii="Arial" w:cs="Arial" w:eastAsia="Arial" w:hAnsi="Arial"/>
                <w:sz w:val="18"/>
                <w:szCs w:val="18"/>
                <w:color w:val="auto"/>
              </w:rPr>
              <w:t>Net realized gains (losses) from investments</w:t>
            </w:r>
            <w:r>
              <w:rPr>
                <w:rFonts w:ascii="Arial" w:cs="Arial" w:eastAsia="Arial" w:hAnsi="Arial"/>
                <w:sz w:val="15"/>
                <w:szCs w:val="15"/>
                <w:color w:val="auto"/>
              </w:rPr>
              <w:t>1</w:t>
            </w:r>
          </w:p>
        </w:tc>
        <w:tc>
          <w:tcPr>
            <w:tcW w:w="140" w:type="dxa"/>
            <w:vAlign w:val="bottom"/>
          </w:tcPr>
          <w:p>
            <w:pPr>
              <w:spacing w:after="0"/>
              <w:rPr>
                <w:sz w:val="19"/>
                <w:szCs w:val="19"/>
                <w:color w:val="auto"/>
              </w:rPr>
            </w:pPr>
          </w:p>
        </w:tc>
        <w:tc>
          <w:tcPr>
            <w:tcW w:w="1800" w:type="dxa"/>
            <w:vAlign w:val="bottom"/>
            <w:gridSpan w:val="2"/>
          </w:tcPr>
          <w:p>
            <w:pPr>
              <w:jc w:val="right"/>
              <w:ind w:right="360"/>
              <w:spacing w:after="0"/>
              <w:rPr>
                <w:sz w:val="20"/>
                <w:szCs w:val="20"/>
                <w:color w:val="auto"/>
              </w:rPr>
            </w:pPr>
            <w:r>
              <w:rPr>
                <w:rFonts w:ascii="Arial" w:cs="Arial" w:eastAsia="Arial" w:hAnsi="Arial"/>
                <w:sz w:val="18"/>
                <w:szCs w:val="18"/>
                <w:color w:val="auto"/>
              </w:rPr>
              <w:t>(0.07)</w:t>
            </w:r>
          </w:p>
        </w:tc>
        <w:tc>
          <w:tcPr>
            <w:tcW w:w="32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(0.02)</w:t>
            </w:r>
          </w:p>
        </w:tc>
      </w:tr>
      <w:tr>
        <w:trPr>
          <w:trHeight w:val="229"/>
        </w:trPr>
        <w:tc>
          <w:tcPr>
            <w:tcW w:w="7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Realized (losses) gains from extinguishment of debt</w:t>
            </w:r>
            <w:r>
              <w:rPr>
                <w:rFonts w:ascii="Arial" w:cs="Arial" w:eastAsia="Arial" w:hAnsi="Arial"/>
                <w:sz w:val="15"/>
                <w:szCs w:val="15"/>
                <w:color w:val="auto"/>
              </w:rPr>
              <w:t>1</w:t>
            </w:r>
          </w:p>
        </w:tc>
        <w:tc>
          <w:tcPr>
            <w:tcW w:w="14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(0.02)</w:t>
            </w:r>
          </w:p>
        </w:tc>
        <w:tc>
          <w:tcPr>
            <w:tcW w:w="3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220" w:type="dxa"/>
            <w:vAlign w:val="bottom"/>
            <w:shd w:val="clear" w:color="auto" w:fill="CFF0FC"/>
          </w:tcPr>
          <w:p>
            <w:pPr>
              <w:spacing w:after="0"/>
              <w:rPr>
                <w:sz w:val="19"/>
                <w:szCs w:val="19"/>
                <w:color w:val="auto"/>
              </w:rPr>
            </w:pPr>
          </w:p>
        </w:tc>
      </w:tr>
      <w:tr>
        <w:trPr>
          <w:trHeight w:val="230"/>
        </w:trPr>
        <w:tc>
          <w:tcPr>
            <w:tcW w:w="7540" w:type="dxa"/>
            <w:vAlign w:val="bottom"/>
          </w:tcPr>
          <w:p>
            <w:pPr>
              <w:ind w:left="260"/>
              <w:spacing w:after="0"/>
              <w:rPr>
                <w:sz w:val="20"/>
                <w:szCs w:val="20"/>
                <w:color w:val="auto"/>
              </w:rPr>
            </w:pPr>
            <w:r>
              <w:rPr>
                <w:rFonts w:ascii="Arial" w:cs="Arial" w:eastAsia="Arial" w:hAnsi="Arial"/>
                <w:sz w:val="18"/>
                <w:szCs w:val="18"/>
                <w:color w:val="auto"/>
              </w:rPr>
              <w:t>Net change in unrealized (depreciation) appreciation on investments</w:t>
            </w:r>
            <w:r>
              <w:rPr>
                <w:rFonts w:ascii="Arial" w:cs="Arial" w:eastAsia="Arial" w:hAnsi="Arial"/>
                <w:sz w:val="15"/>
                <w:szCs w:val="15"/>
                <w:color w:val="auto"/>
              </w:rPr>
              <w:t>1</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0.09</w:t>
            </w: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(0.69)</w:t>
            </w:r>
          </w:p>
        </w:tc>
      </w:tr>
      <w:tr>
        <w:trPr>
          <w:trHeight w:val="223"/>
        </w:trPr>
        <w:tc>
          <w:tcPr>
            <w:tcW w:w="754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(decrease) increase in net assets resulting from operations</w:t>
            </w:r>
          </w:p>
        </w:tc>
        <w:tc>
          <w:tcPr>
            <w:tcW w:w="14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0.11</w:t>
            </w:r>
          </w:p>
        </w:tc>
        <w:tc>
          <w:tcPr>
            <w:tcW w:w="4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(0.65)</w:t>
            </w:r>
          </w:p>
        </w:tc>
        <w:tc>
          <w:tcPr>
            <w:tcW w:w="220" w:type="dxa"/>
            <w:vAlign w:val="bottom"/>
            <w:tcBorders>
              <w:top w:val="single" w:sz="8" w:color="CFF0FC"/>
            </w:tcBorders>
            <w:shd w:val="clear" w:color="auto" w:fill="CFF0FC"/>
          </w:tcPr>
          <w:p>
            <w:pPr>
              <w:spacing w:after="0"/>
              <w:rPr>
                <w:sz w:val="19"/>
                <w:szCs w:val="19"/>
                <w:color w:val="auto"/>
              </w:rPr>
            </w:pPr>
          </w:p>
        </w:tc>
      </w:tr>
      <w:tr>
        <w:trPr>
          <w:trHeight w:val="230"/>
        </w:trPr>
        <w:tc>
          <w:tcPr>
            <w:tcW w:w="7540" w:type="dxa"/>
            <w:vAlign w:val="bottom"/>
          </w:tcPr>
          <w:p>
            <w:pPr>
              <w:spacing w:after="0"/>
              <w:rPr>
                <w:sz w:val="20"/>
                <w:szCs w:val="20"/>
                <w:color w:val="auto"/>
              </w:rPr>
            </w:pPr>
            <w:r>
              <w:rPr>
                <w:rFonts w:ascii="Arial" w:cs="Arial" w:eastAsia="Arial" w:hAnsi="Arial"/>
                <w:sz w:val="18"/>
                <w:szCs w:val="18"/>
                <w:color w:val="auto"/>
              </w:rPr>
              <w:t>Net decrease in net assets resulting from distributions</w:t>
            </w:r>
          </w:p>
        </w:tc>
        <w:tc>
          <w:tcPr>
            <w:tcW w:w="140" w:type="dxa"/>
            <w:vAlign w:val="bottom"/>
          </w:tcPr>
          <w:p>
            <w:pPr>
              <w:spacing w:after="0"/>
              <w:rPr>
                <w:sz w:val="19"/>
                <w:szCs w:val="19"/>
                <w:color w:val="auto"/>
              </w:rPr>
            </w:pPr>
          </w:p>
        </w:tc>
        <w:tc>
          <w:tcPr>
            <w:tcW w:w="1800" w:type="dxa"/>
            <w:vAlign w:val="bottom"/>
            <w:gridSpan w:val="2"/>
          </w:tcPr>
          <w:p>
            <w:pPr>
              <w:jc w:val="right"/>
              <w:ind w:right="360"/>
              <w:spacing w:after="0"/>
              <w:rPr>
                <w:sz w:val="20"/>
                <w:szCs w:val="20"/>
                <w:color w:val="auto"/>
              </w:rPr>
            </w:pPr>
            <w:r>
              <w:rPr>
                <w:rFonts w:ascii="Arial" w:cs="Arial" w:eastAsia="Arial" w:hAnsi="Arial"/>
                <w:sz w:val="18"/>
                <w:szCs w:val="18"/>
                <w:color w:val="auto"/>
              </w:rPr>
              <w:t>(0.06)</w:t>
            </w:r>
          </w:p>
        </w:tc>
        <w:tc>
          <w:tcPr>
            <w:tcW w:w="32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(0.06)</w:t>
            </w:r>
          </w:p>
        </w:tc>
      </w:tr>
      <w:tr>
        <w:trPr>
          <w:trHeight w:val="263"/>
        </w:trPr>
        <w:tc>
          <w:tcPr>
            <w:tcW w:w="7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asset value, 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420" w:type="dxa"/>
            <w:vAlign w:val="bottom"/>
            <w:tcBorders>
              <w:bottom w:val="single" w:sz="8" w:color="CFF0FC"/>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220" w:type="dxa"/>
            <w:vAlign w:val="bottom"/>
            <w:tcBorders>
              <w:bottom w:val="single" w:sz="8" w:color="CFF0FC"/>
            </w:tcBorders>
          </w:tcPr>
          <w:p>
            <w:pPr>
              <w:spacing w:after="0"/>
              <w:rPr>
                <w:sz w:val="22"/>
                <w:szCs w:val="22"/>
                <w:color w:val="auto"/>
              </w:rPr>
            </w:pPr>
          </w:p>
        </w:tc>
      </w:tr>
      <w:tr>
        <w:trPr>
          <w:trHeight w:val="210"/>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Total net asset value return</w:t>
            </w:r>
            <w:r>
              <w:rPr>
                <w:rFonts w:ascii="Arial" w:cs="Arial" w:eastAsia="Arial" w:hAnsi="Arial"/>
                <w:sz w:val="15"/>
                <w:szCs w:val="15"/>
                <w:color w:val="auto"/>
              </w:rPr>
              <w:t>2</w:t>
            </w:r>
          </w:p>
        </w:tc>
        <w:tc>
          <w:tcPr>
            <w:tcW w:w="14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3.7%</w:t>
            </w:r>
          </w:p>
        </w:tc>
        <w:tc>
          <w:tcPr>
            <w:tcW w:w="3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(19.2)%</w:t>
            </w:r>
          </w:p>
        </w:tc>
      </w:tr>
      <w:tr>
        <w:trPr>
          <w:trHeight w:val="230"/>
        </w:trPr>
        <w:tc>
          <w:tcPr>
            <w:tcW w:w="7540" w:type="dxa"/>
            <w:vAlign w:val="bottom"/>
          </w:tcPr>
          <w:p>
            <w:pPr>
              <w:spacing w:after="0"/>
              <w:rPr>
                <w:sz w:val="20"/>
                <w:szCs w:val="20"/>
                <w:color w:val="auto"/>
              </w:rPr>
            </w:pPr>
            <w:r>
              <w:rPr>
                <w:rFonts w:ascii="Arial" w:cs="Arial" w:eastAsia="Arial" w:hAnsi="Arial"/>
                <w:sz w:val="18"/>
                <w:szCs w:val="18"/>
                <w:b w:val="1"/>
                <w:bCs w:val="1"/>
                <w:color w:val="auto"/>
              </w:rPr>
              <w:t>Ratio/Supplemental Data:</w:t>
            </w: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29"/>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Per share market value at beginning of period</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w:t>
            </w:r>
          </w:p>
        </w:tc>
        <w:tc>
          <w:tcPr>
            <w:tcW w:w="4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220" w:type="dxa"/>
            <w:vAlign w:val="bottom"/>
            <w:shd w:val="clear" w:color="auto" w:fill="CFF0FC"/>
          </w:tcPr>
          <w:p>
            <w:pPr>
              <w:spacing w:after="0"/>
              <w:rPr>
                <w:sz w:val="19"/>
                <w:szCs w:val="19"/>
                <w:color w:val="auto"/>
              </w:rPr>
            </w:pPr>
          </w:p>
        </w:tc>
      </w:tr>
      <w:tr>
        <w:trPr>
          <w:trHeight w:val="229"/>
        </w:trPr>
        <w:tc>
          <w:tcPr>
            <w:tcW w:w="7540" w:type="dxa"/>
            <w:vAlign w:val="bottom"/>
          </w:tcPr>
          <w:p>
            <w:pPr>
              <w:spacing w:after="0"/>
              <w:rPr>
                <w:sz w:val="20"/>
                <w:szCs w:val="20"/>
                <w:color w:val="auto"/>
              </w:rPr>
            </w:pPr>
            <w:r>
              <w:rPr>
                <w:rFonts w:ascii="Arial" w:cs="Arial" w:eastAsia="Arial" w:hAnsi="Arial"/>
                <w:sz w:val="18"/>
                <w:szCs w:val="18"/>
                <w:color w:val="auto"/>
              </w:rPr>
              <w:t>Per share market value at end of period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2.16</w:t>
            </w:r>
          </w:p>
        </w:tc>
        <w:tc>
          <w:tcPr>
            <w:tcW w:w="4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0.94</w:t>
            </w:r>
          </w:p>
        </w:tc>
        <w:tc>
          <w:tcPr>
            <w:tcW w:w="220" w:type="dxa"/>
            <w:vAlign w:val="bottom"/>
          </w:tcPr>
          <w:p>
            <w:pPr>
              <w:spacing w:after="0"/>
              <w:rPr>
                <w:sz w:val="19"/>
                <w:szCs w:val="19"/>
                <w:color w:val="auto"/>
              </w:rPr>
            </w:pPr>
          </w:p>
        </w:tc>
      </w:tr>
      <w:tr>
        <w:trPr>
          <w:trHeight w:val="230"/>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Total market return</w:t>
            </w:r>
            <w:r>
              <w:rPr>
                <w:rFonts w:ascii="Arial" w:cs="Arial" w:eastAsia="Arial" w:hAnsi="Arial"/>
                <w:sz w:val="15"/>
                <w:szCs w:val="15"/>
                <w:color w:val="auto"/>
              </w:rPr>
              <w:t>3</w:t>
            </w:r>
          </w:p>
        </w:tc>
        <w:tc>
          <w:tcPr>
            <w:tcW w:w="14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16.2%</w:t>
            </w:r>
          </w:p>
        </w:tc>
        <w:tc>
          <w:tcPr>
            <w:tcW w:w="3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(52.8)%</w:t>
            </w:r>
          </w:p>
        </w:tc>
      </w:tr>
      <w:tr>
        <w:trPr>
          <w:trHeight w:val="229"/>
        </w:trPr>
        <w:tc>
          <w:tcPr>
            <w:tcW w:w="7540" w:type="dxa"/>
            <w:vAlign w:val="bottom"/>
          </w:tcPr>
          <w:p>
            <w:pPr>
              <w:spacing w:after="0"/>
              <w:rPr>
                <w:sz w:val="20"/>
                <w:szCs w:val="20"/>
                <w:color w:val="auto"/>
              </w:rPr>
            </w:pPr>
            <w:r>
              <w:rPr>
                <w:rFonts w:ascii="Arial" w:cs="Arial" w:eastAsia="Arial" w:hAnsi="Arial"/>
                <w:sz w:val="18"/>
                <w:szCs w:val="18"/>
                <w:color w:val="auto"/>
              </w:rPr>
              <w:t>Shares outstanding at end of period</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75,195,141</w:t>
            </w: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44,725,872</w:t>
            </w:r>
          </w:p>
        </w:tc>
        <w:tc>
          <w:tcPr>
            <w:tcW w:w="220" w:type="dxa"/>
            <w:vAlign w:val="bottom"/>
          </w:tcPr>
          <w:p>
            <w:pPr>
              <w:spacing w:after="0"/>
              <w:rPr>
                <w:sz w:val="19"/>
                <w:szCs w:val="19"/>
                <w:color w:val="auto"/>
              </w:rPr>
            </w:pPr>
          </w:p>
        </w:tc>
      </w:tr>
      <w:tr>
        <w:trPr>
          <w:trHeight w:val="229"/>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Net assets at end of period</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219,855,108</w:t>
            </w:r>
          </w:p>
        </w:tc>
        <w:tc>
          <w:tcPr>
            <w:tcW w:w="4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120,369,612</w:t>
            </w:r>
          </w:p>
        </w:tc>
        <w:tc>
          <w:tcPr>
            <w:tcW w:w="220" w:type="dxa"/>
            <w:vAlign w:val="bottom"/>
            <w:shd w:val="clear" w:color="auto" w:fill="CFF0FC"/>
          </w:tcPr>
          <w:p>
            <w:pPr>
              <w:spacing w:after="0"/>
              <w:rPr>
                <w:sz w:val="19"/>
                <w:szCs w:val="19"/>
                <w:color w:val="auto"/>
              </w:rPr>
            </w:pPr>
          </w:p>
        </w:tc>
      </w:tr>
      <w:tr>
        <w:trPr>
          <w:trHeight w:val="230"/>
        </w:trPr>
        <w:tc>
          <w:tcPr>
            <w:tcW w:w="7540" w:type="dxa"/>
            <w:vAlign w:val="bottom"/>
          </w:tcPr>
          <w:p>
            <w:pPr>
              <w:spacing w:after="0"/>
              <w:rPr>
                <w:sz w:val="20"/>
                <w:szCs w:val="20"/>
                <w:color w:val="auto"/>
              </w:rPr>
            </w:pPr>
            <w:r>
              <w:rPr>
                <w:rFonts w:ascii="Arial" w:cs="Arial" w:eastAsia="Arial" w:hAnsi="Arial"/>
                <w:sz w:val="18"/>
                <w:szCs w:val="18"/>
                <w:color w:val="auto"/>
              </w:rPr>
              <w:t>Portfolio turnover rate</w:t>
            </w:r>
            <w:r>
              <w:rPr>
                <w:rFonts w:ascii="Arial" w:cs="Arial" w:eastAsia="Arial" w:hAnsi="Arial"/>
                <w:sz w:val="15"/>
                <w:szCs w:val="15"/>
                <w:color w:val="auto"/>
              </w:rPr>
              <w:t>5</w:t>
            </w:r>
          </w:p>
        </w:tc>
        <w:tc>
          <w:tcPr>
            <w:tcW w:w="140" w:type="dxa"/>
            <w:vAlign w:val="bottom"/>
          </w:tcPr>
          <w:p>
            <w:pPr>
              <w:spacing w:after="0"/>
              <w:rPr>
                <w:sz w:val="19"/>
                <w:szCs w:val="19"/>
                <w:color w:val="auto"/>
              </w:rPr>
            </w:pPr>
          </w:p>
        </w:tc>
        <w:tc>
          <w:tcPr>
            <w:tcW w:w="1800" w:type="dxa"/>
            <w:vAlign w:val="bottom"/>
            <w:gridSpan w:val="2"/>
          </w:tcPr>
          <w:p>
            <w:pPr>
              <w:jc w:val="right"/>
              <w:ind w:right="260"/>
              <w:spacing w:after="0"/>
              <w:rPr>
                <w:sz w:val="20"/>
                <w:szCs w:val="20"/>
                <w:color w:val="auto"/>
              </w:rPr>
            </w:pPr>
            <w:r>
              <w:rPr>
                <w:rFonts w:ascii="Arial" w:cs="Arial" w:eastAsia="Arial" w:hAnsi="Arial"/>
                <w:sz w:val="18"/>
                <w:szCs w:val="18"/>
                <w:color w:val="auto"/>
              </w:rPr>
              <w:t>16.8%</w:t>
            </w:r>
          </w:p>
        </w:tc>
        <w:tc>
          <w:tcPr>
            <w:tcW w:w="320" w:type="dxa"/>
            <w:vAlign w:val="bottom"/>
          </w:tcPr>
          <w:p>
            <w:pPr>
              <w:spacing w:after="0"/>
              <w:rPr>
                <w:sz w:val="19"/>
                <w:szCs w:val="19"/>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8.5%</w:t>
            </w:r>
          </w:p>
        </w:tc>
      </w:tr>
      <w:tr>
        <w:trPr>
          <w:trHeight w:val="229"/>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Asset coverage ratio</w:t>
            </w:r>
          </w:p>
        </w:tc>
        <w:tc>
          <w:tcPr>
            <w:tcW w:w="14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170%</w:t>
            </w:r>
          </w:p>
        </w:tc>
        <w:tc>
          <w:tcPr>
            <w:tcW w:w="3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188%</w:t>
            </w:r>
          </w:p>
        </w:tc>
      </w:tr>
      <w:tr>
        <w:trPr>
          <w:trHeight w:val="230"/>
        </w:trPr>
        <w:tc>
          <w:tcPr>
            <w:tcW w:w="7540" w:type="dxa"/>
            <w:vAlign w:val="bottom"/>
          </w:tcPr>
          <w:p>
            <w:pPr>
              <w:spacing w:after="0"/>
              <w:rPr>
                <w:sz w:val="20"/>
                <w:szCs w:val="20"/>
                <w:color w:val="auto"/>
              </w:rPr>
            </w:pPr>
            <w:r>
              <w:rPr>
                <w:rFonts w:ascii="Arial" w:cs="Arial" w:eastAsia="Arial" w:hAnsi="Arial"/>
                <w:sz w:val="18"/>
                <w:szCs w:val="18"/>
                <w:color w:val="auto"/>
              </w:rPr>
              <w:t>Ratio of net investment income to average net assets (annualized)</w:t>
            </w:r>
          </w:p>
        </w:tc>
        <w:tc>
          <w:tcPr>
            <w:tcW w:w="140" w:type="dxa"/>
            <w:vAlign w:val="bottom"/>
          </w:tcPr>
          <w:p>
            <w:pPr>
              <w:spacing w:after="0"/>
              <w:rPr>
                <w:sz w:val="19"/>
                <w:szCs w:val="19"/>
                <w:color w:val="auto"/>
              </w:rPr>
            </w:pPr>
          </w:p>
        </w:tc>
        <w:tc>
          <w:tcPr>
            <w:tcW w:w="1800" w:type="dxa"/>
            <w:vAlign w:val="bottom"/>
            <w:gridSpan w:val="2"/>
          </w:tcPr>
          <w:p>
            <w:pPr>
              <w:jc w:val="right"/>
              <w:ind w:right="260"/>
              <w:spacing w:after="0"/>
              <w:rPr>
                <w:sz w:val="20"/>
                <w:szCs w:val="20"/>
                <w:color w:val="auto"/>
              </w:rPr>
            </w:pPr>
            <w:r>
              <w:rPr>
                <w:rFonts w:ascii="Arial" w:cs="Arial" w:eastAsia="Arial" w:hAnsi="Arial"/>
                <w:sz w:val="18"/>
                <w:szCs w:val="18"/>
                <w:color w:val="auto"/>
              </w:rPr>
              <w:t>15.1%</w:t>
            </w:r>
          </w:p>
        </w:tc>
        <w:tc>
          <w:tcPr>
            <w:tcW w:w="320" w:type="dxa"/>
            <w:vAlign w:val="bottom"/>
          </w:tcPr>
          <w:p>
            <w:pPr>
              <w:spacing w:after="0"/>
              <w:rPr>
                <w:sz w:val="19"/>
                <w:szCs w:val="19"/>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8.1%</w:t>
            </w:r>
          </w:p>
        </w:tc>
      </w:tr>
      <w:tr>
        <w:trPr>
          <w:trHeight w:val="229"/>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Ratio of total expenses to average net assets (annualized)</w:t>
            </w:r>
            <w:r>
              <w:rPr>
                <w:rFonts w:ascii="Arial" w:cs="Arial" w:eastAsia="Arial" w:hAnsi="Arial"/>
                <w:sz w:val="14"/>
                <w:szCs w:val="14"/>
                <w:color w:val="auto"/>
              </w:rPr>
              <w:t>6</w:t>
            </w:r>
          </w:p>
        </w:tc>
        <w:tc>
          <w:tcPr>
            <w:tcW w:w="14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18.5%</w:t>
            </w:r>
          </w:p>
        </w:tc>
        <w:tc>
          <w:tcPr>
            <w:tcW w:w="3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14.6%</w:t>
            </w:r>
          </w:p>
        </w:tc>
      </w:tr>
      <w:tr>
        <w:trPr>
          <w:trHeight w:val="229"/>
        </w:trPr>
        <w:tc>
          <w:tcPr>
            <w:tcW w:w="7540" w:type="dxa"/>
            <w:vAlign w:val="bottom"/>
          </w:tcPr>
          <w:p>
            <w:pPr>
              <w:spacing w:after="0"/>
              <w:rPr>
                <w:sz w:val="20"/>
                <w:szCs w:val="20"/>
                <w:color w:val="auto"/>
              </w:rPr>
            </w:pPr>
            <w:r>
              <w:rPr>
                <w:rFonts w:ascii="Arial" w:cs="Arial" w:eastAsia="Arial" w:hAnsi="Arial"/>
                <w:sz w:val="18"/>
                <w:szCs w:val="18"/>
                <w:color w:val="auto"/>
              </w:rPr>
              <w:t>Ratio of interest expense to average net assets (annualized)</w:t>
            </w:r>
          </w:p>
        </w:tc>
        <w:tc>
          <w:tcPr>
            <w:tcW w:w="140" w:type="dxa"/>
            <w:vAlign w:val="bottom"/>
          </w:tcPr>
          <w:p>
            <w:pPr>
              <w:spacing w:after="0"/>
              <w:rPr>
                <w:sz w:val="19"/>
                <w:szCs w:val="19"/>
                <w:color w:val="auto"/>
              </w:rPr>
            </w:pPr>
          </w:p>
        </w:tc>
        <w:tc>
          <w:tcPr>
            <w:tcW w:w="1800" w:type="dxa"/>
            <w:vAlign w:val="bottom"/>
            <w:gridSpan w:val="2"/>
          </w:tcPr>
          <w:p>
            <w:pPr>
              <w:jc w:val="right"/>
              <w:ind w:right="260"/>
              <w:spacing w:after="0"/>
              <w:rPr>
                <w:sz w:val="20"/>
                <w:szCs w:val="20"/>
                <w:color w:val="auto"/>
              </w:rPr>
            </w:pPr>
            <w:r>
              <w:rPr>
                <w:rFonts w:ascii="Arial" w:cs="Arial" w:eastAsia="Arial" w:hAnsi="Arial"/>
                <w:sz w:val="18"/>
                <w:szCs w:val="18"/>
                <w:color w:val="auto"/>
              </w:rPr>
              <w:t>6.2%</w:t>
            </w:r>
          </w:p>
        </w:tc>
        <w:tc>
          <w:tcPr>
            <w:tcW w:w="320" w:type="dxa"/>
            <w:vAlign w:val="bottom"/>
          </w:tcPr>
          <w:p>
            <w:pPr>
              <w:spacing w:after="0"/>
              <w:rPr>
                <w:sz w:val="19"/>
                <w:szCs w:val="19"/>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6.9%</w:t>
            </w:r>
          </w:p>
        </w:tc>
      </w:tr>
      <w:tr>
        <w:trPr>
          <w:trHeight w:val="230"/>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Ratio of non-interest expenses to average net assets (annualized)</w:t>
            </w:r>
            <w:r>
              <w:rPr>
                <w:rFonts w:ascii="Arial" w:cs="Arial" w:eastAsia="Arial" w:hAnsi="Arial"/>
                <w:sz w:val="14"/>
                <w:szCs w:val="14"/>
                <w:color w:val="auto"/>
              </w:rPr>
              <w:t>6</w:t>
            </w:r>
          </w:p>
        </w:tc>
        <w:tc>
          <w:tcPr>
            <w:tcW w:w="14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12.3%</w:t>
            </w:r>
          </w:p>
        </w:tc>
        <w:tc>
          <w:tcPr>
            <w:tcW w:w="3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7.7%</w:t>
            </w:r>
          </w:p>
        </w:tc>
      </w:tr>
    </w:tbl>
    <w:p>
      <w:pPr>
        <w:spacing w:after="0" w:line="91" w:lineRule="exact"/>
        <w:rPr>
          <w:sz w:val="20"/>
          <w:szCs w:val="20"/>
          <w:color w:val="auto"/>
        </w:rPr>
      </w:pPr>
    </w:p>
    <w:p>
      <w:pPr>
        <w:ind w:left="380" w:hanging="372"/>
        <w:spacing w:after="0"/>
        <w:tabs>
          <w:tab w:leader="none" w:pos="380" w:val="left"/>
        </w:tabs>
        <w:numPr>
          <w:ilvl w:val="0"/>
          <w:numId w:val="17"/>
        </w:numPr>
        <w:rPr>
          <w:rFonts w:ascii="Arial" w:cs="Arial" w:eastAsia="Arial" w:hAnsi="Arial"/>
          <w:sz w:val="28"/>
          <w:szCs w:val="28"/>
          <w:color w:val="auto"/>
          <w:vertAlign w:val="superscript"/>
        </w:rPr>
      </w:pPr>
      <w:r>
        <w:rPr>
          <w:rFonts w:ascii="Arial" w:cs="Arial" w:eastAsia="Arial" w:hAnsi="Arial"/>
          <w:sz w:val="16"/>
          <w:szCs w:val="16"/>
          <w:color w:val="auto"/>
        </w:rPr>
        <w:t>Based on weighted average number of common shares outstanding-basic for the period.</w:t>
      </w:r>
    </w:p>
    <w:p>
      <w:pPr>
        <w:spacing w:after="0" w:line="5" w:lineRule="exact"/>
        <w:rPr>
          <w:sz w:val="20"/>
          <w:szCs w:val="20"/>
          <w:color w:val="auto"/>
        </w:rPr>
      </w:pPr>
    </w:p>
    <w:p>
      <w:pPr>
        <w:ind w:left="380" w:right="340" w:hanging="372"/>
        <w:spacing w:after="0" w:line="189" w:lineRule="auto"/>
        <w:tabs>
          <w:tab w:leader="none" w:pos="380" w:val="left"/>
        </w:tabs>
        <w:numPr>
          <w:ilvl w:val="0"/>
          <w:numId w:val="18"/>
        </w:numPr>
        <w:rPr>
          <w:rFonts w:ascii="Arial" w:cs="Arial" w:eastAsia="Arial" w:hAnsi="Arial"/>
          <w:sz w:val="28"/>
          <w:szCs w:val="28"/>
          <w:color w:val="auto"/>
          <w:vertAlign w:val="superscript"/>
        </w:rPr>
      </w:pPr>
      <w:r>
        <w:rPr>
          <w:rFonts w:ascii="Arial" w:cs="Arial" w:eastAsia="Arial" w:hAnsi="Arial"/>
          <w:sz w:val="16"/>
          <w:szCs w:val="16"/>
          <w:color w:val="auto"/>
        </w:rPr>
        <w:t>Total net asset value return (not annualized) equals the change in the net asset value per share over the period plus distributions, divided by the beginning net asset value per share.</w:t>
      </w:r>
    </w:p>
    <w:p>
      <w:pPr>
        <w:ind w:left="380" w:hanging="372"/>
        <w:spacing w:after="0" w:line="185" w:lineRule="auto"/>
        <w:tabs>
          <w:tab w:leader="none" w:pos="380" w:val="left"/>
        </w:tabs>
        <w:numPr>
          <w:ilvl w:val="0"/>
          <w:numId w:val="19"/>
        </w:numPr>
        <w:rPr>
          <w:rFonts w:ascii="Arial" w:cs="Arial" w:eastAsia="Arial" w:hAnsi="Arial"/>
          <w:sz w:val="23"/>
          <w:szCs w:val="23"/>
          <w:color w:val="auto"/>
          <w:vertAlign w:val="superscript"/>
        </w:rPr>
      </w:pPr>
      <w:r>
        <w:rPr>
          <w:rFonts w:ascii="Arial" w:cs="Arial" w:eastAsia="Arial" w:hAnsi="Arial"/>
          <w:sz w:val="14"/>
          <w:szCs w:val="14"/>
          <w:color w:val="auto"/>
        </w:rPr>
        <w:t>Total market return (not annualized) equals the change in market price, per share during the period plus distributions, divided by the beginning market price per share.</w:t>
      </w:r>
    </w:p>
    <w:p>
      <w:pPr>
        <w:ind w:left="380" w:hanging="372"/>
        <w:spacing w:after="0" w:line="184" w:lineRule="auto"/>
        <w:tabs>
          <w:tab w:leader="none" w:pos="380" w:val="left"/>
        </w:tabs>
        <w:numPr>
          <w:ilvl w:val="0"/>
          <w:numId w:val="20"/>
        </w:numPr>
        <w:rPr>
          <w:rFonts w:ascii="Arial" w:cs="Arial" w:eastAsia="Arial" w:hAnsi="Arial"/>
          <w:sz w:val="23"/>
          <w:szCs w:val="23"/>
          <w:color w:val="auto"/>
          <w:vertAlign w:val="superscript"/>
        </w:rPr>
      </w:pPr>
      <w:r>
        <w:rPr>
          <w:rFonts w:ascii="Arial" w:cs="Arial" w:eastAsia="Arial" w:hAnsi="Arial"/>
          <w:sz w:val="14"/>
          <w:szCs w:val="14"/>
          <w:color w:val="auto"/>
        </w:rPr>
        <w:t>Totals may not sum due to rounding.</w:t>
      </w:r>
    </w:p>
    <w:p>
      <w:pPr>
        <w:ind w:left="380" w:hanging="372"/>
        <w:spacing w:after="0" w:line="183" w:lineRule="auto"/>
        <w:tabs>
          <w:tab w:leader="none" w:pos="380" w:val="left"/>
        </w:tabs>
        <w:numPr>
          <w:ilvl w:val="0"/>
          <w:numId w:val="21"/>
        </w:numPr>
        <w:rPr>
          <w:rFonts w:ascii="Arial" w:cs="Arial" w:eastAsia="Arial" w:hAnsi="Arial"/>
          <w:sz w:val="23"/>
          <w:szCs w:val="23"/>
          <w:color w:val="auto"/>
          <w:vertAlign w:val="superscript"/>
        </w:rPr>
      </w:pPr>
      <w:r>
        <w:rPr>
          <w:rFonts w:ascii="Arial" w:cs="Arial" w:eastAsia="Arial" w:hAnsi="Arial"/>
          <w:sz w:val="14"/>
          <w:szCs w:val="14"/>
          <w:color w:val="auto"/>
        </w:rPr>
        <w:t>Portfolio turnover rate equals the year-to-date sales and paydowns over the average of the invested assets at fair value.</w:t>
      </w:r>
    </w:p>
    <w:p>
      <w:pPr>
        <w:spacing w:after="0" w:line="6" w:lineRule="exact"/>
        <w:rPr>
          <w:sz w:val="20"/>
          <w:szCs w:val="20"/>
          <w:color w:val="auto"/>
        </w:rPr>
      </w:pPr>
    </w:p>
    <w:p>
      <w:pPr>
        <w:ind w:left="380" w:right="160" w:hanging="372"/>
        <w:spacing w:after="0" w:line="221" w:lineRule="auto"/>
        <w:tabs>
          <w:tab w:leader="none" w:pos="380" w:val="left"/>
        </w:tabs>
        <w:numPr>
          <w:ilvl w:val="0"/>
          <w:numId w:val="22"/>
        </w:numPr>
        <w:rPr>
          <w:rFonts w:ascii="Arial" w:cs="Arial" w:eastAsia="Arial" w:hAnsi="Arial"/>
          <w:sz w:val="28"/>
          <w:szCs w:val="28"/>
          <w:color w:val="auto"/>
          <w:vertAlign w:val="superscript"/>
        </w:rPr>
      </w:pPr>
      <w:r>
        <w:rPr>
          <w:rFonts w:ascii="Arial" w:cs="Arial" w:eastAsia="Arial" w:hAnsi="Arial"/>
          <w:sz w:val="16"/>
          <w:szCs w:val="16"/>
          <w:color w:val="auto"/>
        </w:rPr>
        <w:t>Incentive fees earned during the quarter ended March 31, 2021, were approximately $2.1 million, none of which were waived. For the three months ended March 31, 2020, incentive fees earned were approximately $102 thousand, all of which were waived pursuant to the Externalization Agreement. Excluding the waiver, for the three months ended March 31, 2020, ratio of total expenses to average net assets (annualized) was 14.9% and the ratio of non-interest expenses to average net assets (annualized) was 8.0%.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jc w:val="center"/>
        <w:ind w:right="-39"/>
        <w:spacing w:after="0"/>
        <w:rPr>
          <w:sz w:val="20"/>
          <w:szCs w:val="20"/>
          <w:color w:val="auto"/>
        </w:rPr>
      </w:pPr>
      <w:r>
        <w:rPr>
          <w:rFonts w:ascii="Arial" w:cs="Arial" w:eastAsia="Arial" w:hAnsi="Arial"/>
          <w:sz w:val="18"/>
          <w:szCs w:val="18"/>
          <w:b w:val="1"/>
          <w:bCs w:val="1"/>
          <w:color w:val="auto"/>
        </w:rPr>
        <w:t>PORTMAN RIDGE FINANCE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66" w:lineRule="exact"/>
        <w:rPr>
          <w:sz w:val="20"/>
          <w:szCs w:val="20"/>
          <w:color w:val="auto"/>
        </w:rPr>
      </w:pPr>
    </w:p>
    <w:p>
      <w:pPr>
        <w:ind w:left="380" w:hanging="372"/>
        <w:spacing w:after="0"/>
        <w:tabs>
          <w:tab w:leader="none" w:pos="38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121" w:lineRule="exact"/>
        <w:rPr>
          <w:sz w:val="20"/>
          <w:szCs w:val="20"/>
          <w:color w:val="auto"/>
        </w:rPr>
      </w:pPr>
    </w:p>
    <w:p>
      <w:pPr>
        <w:ind w:firstLine="374"/>
        <w:spacing w:after="0" w:line="257" w:lineRule="auto"/>
        <w:rPr>
          <w:sz w:val="20"/>
          <w:szCs w:val="20"/>
          <w:color w:val="auto"/>
        </w:rPr>
      </w:pPr>
      <w:r>
        <w:rPr>
          <w:rFonts w:ascii="Arial" w:cs="Arial" w:eastAsia="Arial" w:hAnsi="Arial"/>
          <w:sz w:val="18"/>
          <w:szCs w:val="18"/>
          <w:color w:val="auto"/>
        </w:rPr>
        <w:t>Portman Ridge Finance Corporation (“Portman Ridge” or the “Company”), formerly known as KCAP Financial, Inc., is an externally managed, non-diversified closed-end investment company that has elected to be regulated as a business development company (“BDC”) under the Investment Company Act of 1940, as amended (the “1940 Act”). The Company was formed as a Delaware limited liability company on August 8, 2006 and, prior to the issuance of shares of the Company’s common stock in its initial public offering (“IPO”), converted to a corporation incorporated in Delaware on December 11, 2006.</w:t>
      </w:r>
    </w:p>
    <w:p>
      <w:pPr>
        <w:spacing w:after="0" w:line="80" w:lineRule="exact"/>
        <w:rPr>
          <w:sz w:val="20"/>
          <w:szCs w:val="20"/>
          <w:color w:val="auto"/>
        </w:rPr>
      </w:pPr>
    </w:p>
    <w:p>
      <w:pPr>
        <w:ind w:right="20" w:firstLine="374"/>
        <w:spacing w:after="0" w:line="296" w:lineRule="auto"/>
        <w:rPr>
          <w:sz w:val="20"/>
          <w:szCs w:val="20"/>
          <w:color w:val="auto"/>
        </w:rPr>
      </w:pPr>
      <w:r>
        <w:rPr>
          <w:rFonts w:ascii="Arial" w:cs="Arial" w:eastAsia="Arial" w:hAnsi="Arial"/>
          <w:sz w:val="16"/>
          <w:szCs w:val="16"/>
          <w:color w:val="auto"/>
        </w:rPr>
        <w:t>The Company originates, structures, and invests in secured term loans, bonds or notes and mezzanine debt primarily in privately-held middle market companies but may also invest in other investments such as loans to publicly-traded companies, high-yield bonds, and distressed debt securities (collectively the “Debt Securities Portfolio”). The Company also invests in joint ventures and debt and subordinated securities issued by collateralized loan obligation funds (“CLO Fund Securities”). In addition, from time to time the Company may invest in the equity securities of privately held middle market companies and may also receive warrants or options to purchase common stock in connection with its debt investments.</w:t>
      </w:r>
    </w:p>
    <w:p>
      <w:pPr>
        <w:spacing w:after="0" w:line="53" w:lineRule="exact"/>
        <w:rPr>
          <w:sz w:val="20"/>
          <w:szCs w:val="20"/>
          <w:color w:val="auto"/>
        </w:rPr>
      </w:pPr>
    </w:p>
    <w:p>
      <w:pPr>
        <w:ind w:right="40" w:firstLine="374"/>
        <w:spacing w:after="0" w:line="259" w:lineRule="auto"/>
        <w:rPr>
          <w:sz w:val="20"/>
          <w:szCs w:val="20"/>
          <w:color w:val="auto"/>
        </w:rPr>
      </w:pPr>
      <w:r>
        <w:rPr>
          <w:rFonts w:ascii="Arial" w:cs="Arial" w:eastAsia="Arial" w:hAnsi="Arial"/>
          <w:sz w:val="18"/>
          <w:szCs w:val="18"/>
          <w:color w:val="auto"/>
        </w:rPr>
        <w:t>The Company has elected to be treated and intends to continue to qualify as a regulated investment company (“RIC”) under Subchapter M of the Internal Revenue Code of 1986, as amended (the “Code”). To qualify as a RIC, the Company must, among other things, meet certain source-of-income, asset diversification and annual distribution requirements. As a RIC, the Company generally will not have to pay corporate-level U.S. federal income taxes on any income that it distributes in a timely manner to its stockholders.</w:t>
      </w:r>
    </w:p>
    <w:p>
      <w:pPr>
        <w:spacing w:after="0" w:line="7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On March 29, 2018, the Company’s Board of Directors (the “Board”), including a “required majority” (as such term is defined in Section 57(o) of the</w:t>
      </w:r>
    </w:p>
    <w:p>
      <w:pPr>
        <w:spacing w:after="0" w:line="46" w:lineRule="exact"/>
        <w:rPr>
          <w:sz w:val="20"/>
          <w:szCs w:val="20"/>
          <w:color w:val="auto"/>
        </w:rPr>
      </w:pPr>
    </w:p>
    <w:p>
      <w:pPr>
        <w:ind w:right="360"/>
        <w:spacing w:after="0" w:line="255" w:lineRule="auto"/>
        <w:rPr>
          <w:sz w:val="20"/>
          <w:szCs w:val="20"/>
          <w:color w:val="auto"/>
        </w:rPr>
      </w:pPr>
      <w:r>
        <w:rPr>
          <w:rFonts w:ascii="Arial" w:cs="Arial" w:eastAsia="Arial" w:hAnsi="Arial"/>
          <w:sz w:val="18"/>
          <w:szCs w:val="18"/>
          <w:color w:val="auto"/>
        </w:rPr>
        <w:t>1940 Act) of the Board, approved the modified asset coverage requirements set forth in Section 61(a)(2) of the 1940 Act, as amended by the Small Business Credit Availability Act (“SBCA”). As a result, the Company’s asset coverage requirement for senior securities changed from 200% to 150%, effective as of March 29, 2019.</w:t>
      </w:r>
    </w:p>
    <w:p>
      <w:pPr>
        <w:spacing w:after="0" w:line="8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During the third quarter of 2017, the Company formed a joint venture with Freedom 3 Opportunities LLC (“Freedom 3 Opportunities”), an affiliate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Freedom 3 Capital LLC, to create KCAP Freedom 3 LLC (the “Joint Venture”). The Company and Freedom 3 Opportunities contributed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$37 million and $25 million, respectively, in assets to the Joint Venture, which in turn used the assets to capitalize a new fund (KCAP FC3 Senior Funding,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L.L.C. or the “Fund”) managed by KCAP Management, LLC, one of the Company's indirectly wholly-owned Asset Manager Affiliate (as defined below)</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subsidiaries. In addition, the Fund used cash on hand and borrowings under a credit facility to purchase approximately $184 million of loans from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Company and the Company used the proceeds from such sale to redeem approximately $147 million in debt issued by KCAP Senior Funding I, LLC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(“KCAP Senior Funding”). The Joint Venture may originate loans from time to time and sell them to the Fund.</w:t>
      </w:r>
    </w:p>
    <w:p>
      <w:pPr>
        <w:spacing w:after="0" w:line="103" w:lineRule="exact"/>
        <w:rPr>
          <w:sz w:val="20"/>
          <w:szCs w:val="20"/>
          <w:color w:val="auto"/>
        </w:rPr>
      </w:pPr>
    </w:p>
    <w:p>
      <w:pPr>
        <w:jc w:val="both"/>
        <w:ind w:right="40" w:firstLine="374"/>
        <w:spacing w:after="0" w:line="263" w:lineRule="auto"/>
        <w:rPr>
          <w:sz w:val="20"/>
          <w:szCs w:val="20"/>
          <w:color w:val="auto"/>
        </w:rPr>
      </w:pPr>
      <w:r>
        <w:rPr>
          <w:rFonts w:ascii="Arial" w:cs="Arial" w:eastAsia="Arial" w:hAnsi="Arial"/>
          <w:sz w:val="18"/>
          <w:szCs w:val="18"/>
          <w:color w:val="auto"/>
        </w:rPr>
        <w:t>During the fourth quarter of 2017, the Fund was refinanced through the issuance of senior and subordinated notes. The Joint Venture purchased 100% of the subordinated notes issued by the Fund. In connection with the refinancing, the Company received a cash distribution of $12.6 million, $11.8 million of which was a return of capital.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LibreMax Transaction</w:t>
      </w:r>
    </w:p>
    <w:p>
      <w:pPr>
        <w:spacing w:after="0" w:line="121" w:lineRule="exact"/>
        <w:rPr>
          <w:sz w:val="20"/>
          <w:szCs w:val="20"/>
          <w:color w:val="auto"/>
        </w:rPr>
      </w:pPr>
    </w:p>
    <w:p>
      <w:pPr>
        <w:ind w:right="40" w:firstLine="374"/>
        <w:spacing w:after="0" w:line="290" w:lineRule="auto"/>
        <w:rPr>
          <w:sz w:val="20"/>
          <w:szCs w:val="20"/>
          <w:color w:val="auto"/>
        </w:rPr>
      </w:pPr>
      <w:r>
        <w:rPr>
          <w:rFonts w:ascii="Arial" w:cs="Arial" w:eastAsia="Arial" w:hAnsi="Arial"/>
          <w:sz w:val="16"/>
          <w:szCs w:val="16"/>
          <w:color w:val="auto"/>
        </w:rPr>
        <w:t>On November 8, 2018, the Company entered into an agreement with LibreMax Intermediate Holdings, LP (“LibreMax”) under which Commodore Holdings, LLC (“Commodore”), a wholly-owned subsidiary of the Company, sold the Company’s wholly-owned asset manager subsidiaries Katonah Debt Advisors, LLC (“Katonah Debt Advisors”), Trimaran Advisors, L.L.C. (“Trimaran Advisors”), and Trimaran Advisors Management, L.L.C. (“Trimaran Advisors Management” and, together with Katonah Debt Advisors and Trimaran Advisors, the “Disposed Manager Affiliates”), for a cash purchase price of approximately $37.9 million (the “LibreMax Transaction”). The LibreMax Transaction closed on December 31, 2018. As of March 31, 2021, the Company’s remaining wholly-owned asset management subsidiaries (the “Asset Manager Affiliates”) were comprised of Commodore, Katonah Management Holdings, LLC, Katonah X Management LLC, Katonah 2007-1 Management, LLC and KCAP Management, LLC. Prior to their sale in the LibreMax Transaction, the Disposed Manager Affiliates represented substantially all of the Company’s investment in the Asset Manager Affiliates.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Externalization Agreement</w:t>
      </w:r>
    </w:p>
    <w:p>
      <w:pPr>
        <w:spacing w:after="0" w:line="121" w:lineRule="exact"/>
        <w:rPr>
          <w:sz w:val="20"/>
          <w:szCs w:val="20"/>
          <w:color w:val="auto"/>
        </w:rPr>
      </w:pPr>
    </w:p>
    <w:p>
      <w:pPr>
        <w:ind w:right="100" w:firstLine="374"/>
        <w:spacing w:after="0" w:line="273" w:lineRule="auto"/>
        <w:rPr>
          <w:sz w:val="20"/>
          <w:szCs w:val="20"/>
          <w:color w:val="auto"/>
        </w:rPr>
      </w:pPr>
      <w:r>
        <w:rPr>
          <w:rFonts w:ascii="Arial" w:cs="Arial" w:eastAsia="Arial" w:hAnsi="Arial"/>
          <w:sz w:val="17"/>
          <w:szCs w:val="17"/>
          <w:color w:val="auto"/>
        </w:rPr>
        <w:t>On December 14, 2018, the Company entered into a stock purchase and transaction agreement (the “Externalization Agreement”) with BC Partners Advisors L.P. (“BCP”), an affiliate of BC Partners LLP, (“BC Partners”), through which Sierra Crest Investment Management LLC (the “Adviser”), an affiliate of BC Partners, became the Company’s investment adviser pursuant to an investment advisory Agreement (the “Advisory Agreement”) with the Company. At a special meeting of the Company’s stockholders (the “Special Meeting”) held on February 19, 2019, the Company’s stockholders approved the Advisory Agreement. The transactions contemplated by the Externalization Agreement closed on April 1, 2019 (the “Closing”), and the Company commenced operations as an externally managed BDC managed by the Adviser on that date.</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1" w:name="page42"/>
    <w:bookmarkEnd w:id="41"/>
    <w:p>
      <w:pPr>
        <w:ind w:right="20" w:firstLine="374"/>
        <w:spacing w:after="0" w:line="271" w:lineRule="auto"/>
        <w:rPr>
          <w:sz w:val="20"/>
          <w:szCs w:val="20"/>
          <w:color w:val="auto"/>
        </w:rPr>
      </w:pPr>
      <w:r>
        <w:rPr>
          <w:rFonts w:ascii="Arial" w:cs="Arial" w:eastAsia="Arial" w:hAnsi="Arial"/>
          <w:sz w:val="17"/>
          <w:szCs w:val="17"/>
          <w:color w:val="auto"/>
        </w:rPr>
        <w:t>Pursuant to the Externalization Agreement with BCP, the Adviser became the Company’s investment adviser in exchange for a cash payment from BCP, or its affiliate, of $25 million, or $0.669672 per share of the Company’s common stock, directly to the Company’s stockholders. In addition, the Adviser (or its affiliate) will use up to $10 million of the incentive fee actually paid to the Adviser prior to the second anniversary of the Closing to buy newly issued shares of the Company’s common stock at the most recently determined net asset value per share of the Company’s common stock at the time of such purchase. For the period of one year from the first day of the first quarter following the quarter in which the Closing occurred, the Adviser will permanently forego up to the full amount of the incentive fees earned by the Adviser without recourse against or reimbursement by the Company, to the extent necessary in order to achieve aggregate net investment income per common share of the Company for such one-year period to be at least equal to $0.40 per share, subject to certain adjustments.</w:t>
      </w:r>
    </w:p>
    <w:p>
      <w:pPr>
        <w:spacing w:after="0" w:line="70" w:lineRule="exact"/>
        <w:rPr>
          <w:sz w:val="20"/>
          <w:szCs w:val="20"/>
          <w:color w:val="auto"/>
        </w:rPr>
      </w:pPr>
    </w:p>
    <w:p>
      <w:pPr>
        <w:ind w:right="160" w:firstLine="374"/>
        <w:spacing w:after="0" w:line="277" w:lineRule="auto"/>
        <w:rPr>
          <w:sz w:val="20"/>
          <w:szCs w:val="20"/>
          <w:color w:val="auto"/>
        </w:rPr>
      </w:pPr>
      <w:r>
        <w:rPr>
          <w:rFonts w:ascii="Arial" w:cs="Arial" w:eastAsia="Arial" w:hAnsi="Arial"/>
          <w:sz w:val="18"/>
          <w:szCs w:val="18"/>
          <w:color w:val="auto"/>
        </w:rPr>
        <w:t>On the date of the Closing, the Company changed its name from KCAP Financial, Inc. to Portman Ridge Finance Corporation and on April 2, 2019, began trading on the NASDAQ Global Select Market under the symbol “PTMN.”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Adviser</w:t>
      </w:r>
    </w:p>
    <w:p>
      <w:pPr>
        <w:spacing w:after="0" w:line="121" w:lineRule="exact"/>
        <w:rPr>
          <w:sz w:val="20"/>
          <w:szCs w:val="20"/>
          <w:color w:val="auto"/>
        </w:rPr>
      </w:pPr>
    </w:p>
    <w:p>
      <w:pPr>
        <w:jc w:val="both"/>
        <w:ind w:right="260" w:firstLine="374"/>
        <w:spacing w:after="0" w:line="311" w:lineRule="auto"/>
        <w:rPr>
          <w:sz w:val="20"/>
          <w:szCs w:val="20"/>
          <w:color w:val="auto"/>
        </w:rPr>
      </w:pPr>
      <w:r>
        <w:rPr>
          <w:rFonts w:ascii="Arial" w:cs="Arial" w:eastAsia="Arial" w:hAnsi="Arial"/>
          <w:sz w:val="16"/>
          <w:szCs w:val="16"/>
          <w:color w:val="auto"/>
        </w:rPr>
        <w:t>The Adviser is an affiliate of BC Partners. Subject to the overall supervision of the Board, the Adviser is responsible for managing the Company’s business and activities, including sourcing investment opportunities, conducting research, performing diligence on potential investments, structuring the Company’s investments, and monitoring the Company’s portfolio companies on an ongoing basis through a team of investment professionals.</w:t>
      </w:r>
    </w:p>
    <w:p>
      <w:pPr>
        <w:spacing w:after="0" w:line="41" w:lineRule="exact"/>
        <w:rPr>
          <w:sz w:val="20"/>
          <w:szCs w:val="20"/>
          <w:color w:val="auto"/>
        </w:rPr>
      </w:pPr>
    </w:p>
    <w:p>
      <w:pPr>
        <w:ind w:right="40" w:firstLine="374"/>
        <w:spacing w:after="0" w:line="254" w:lineRule="auto"/>
        <w:rPr>
          <w:sz w:val="20"/>
          <w:szCs w:val="20"/>
          <w:color w:val="auto"/>
        </w:rPr>
      </w:pPr>
      <w:r>
        <w:rPr>
          <w:rFonts w:ascii="Arial" w:cs="Arial" w:eastAsia="Arial" w:hAnsi="Arial"/>
          <w:sz w:val="18"/>
          <w:szCs w:val="18"/>
          <w:color w:val="auto"/>
        </w:rPr>
        <w:t>The Adviser seeks to invest on behalf of the Company in performing, well-established middle market businesses that operate across a wide range of industries (i.e., no concentration in any one industry). The Adviser employs fundamental credit analysis, targeting investments in businesses with relatively low levels of cyclicality and operating risk. The holding size of each position will generally be dependent upon a number of factors including total facility size, pricing and structure, and the number of other lenders in the facility. The Adviser has experience managing levered vehicles, both public and private, and seeks to enhance the Company’s returns through the use of leverage with a prudent approach that prioritizes capital preservation. The Adviser believes this strategy and approach offers attractive risk/return with lower volatility given the potential for fewer defaults and greater resilience through market cycles.</w:t>
      </w:r>
    </w:p>
    <w:p>
      <w:pPr>
        <w:spacing w:after="0" w:line="87" w:lineRule="exact"/>
        <w:rPr>
          <w:sz w:val="20"/>
          <w:szCs w:val="20"/>
          <w:color w:val="auto"/>
        </w:rPr>
      </w:pPr>
    </w:p>
    <w:p>
      <w:pPr>
        <w:ind w:right="520" w:firstLine="374"/>
        <w:spacing w:after="0" w:line="308" w:lineRule="auto"/>
        <w:rPr>
          <w:sz w:val="20"/>
          <w:szCs w:val="20"/>
          <w:color w:val="auto"/>
        </w:rPr>
      </w:pPr>
      <w:r>
        <w:rPr>
          <w:rFonts w:ascii="Arial" w:cs="Arial" w:eastAsia="Arial" w:hAnsi="Arial"/>
          <w:sz w:val="17"/>
          <w:szCs w:val="17"/>
          <w:color w:val="auto"/>
        </w:rPr>
        <w:t>During the fourth quarter of 2020, LibreMax Intermediate Holdings, LP (“LibreMax”) sold its minority stake in the Adviser to a wholly-owned subsidiary of Mount Logan Capital Inc. (“Mount Logan”). An affiliate of BC Partners serves as administrator to Mount Logan.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OHAI Transaction</w:t>
      </w:r>
    </w:p>
    <w:p>
      <w:pPr>
        <w:spacing w:after="0" w:line="121" w:lineRule="exact"/>
        <w:rPr>
          <w:sz w:val="20"/>
          <w:szCs w:val="20"/>
          <w:color w:val="auto"/>
        </w:rPr>
      </w:pPr>
    </w:p>
    <w:p>
      <w:pPr>
        <w:ind w:right="80" w:firstLine="374"/>
        <w:spacing w:after="0" w:line="275" w:lineRule="auto"/>
        <w:rPr>
          <w:sz w:val="20"/>
          <w:szCs w:val="20"/>
          <w:color w:val="auto"/>
        </w:rPr>
      </w:pPr>
      <w:r>
        <w:rPr>
          <w:rFonts w:ascii="Arial" w:cs="Arial" w:eastAsia="Arial" w:hAnsi="Arial"/>
          <w:sz w:val="17"/>
          <w:szCs w:val="17"/>
          <w:color w:val="auto"/>
        </w:rPr>
        <w:t>On December 18, 2019, the Company completed its acquisition of OHA Investment Corporation (“OHAI”). In accordance with the terms of the merger agreement, each share of common stock, par value $0.001 per share, of OHAI (the “OHAI Common Stock”) issued and outstanding was converted into the right to receive (i) an amount in cash, without interest, equal to approximately $0.42, and (ii) 0.3688 shares of common stock, par value $0.01 per share, of the Company (plus any applicable cash in lieu of fractional shares). Each share of OHAI Common Stock issued and outstanding received, as additional consideration funded by the Adviser, an amount in cash, without interest, equal to approximately $0.15.</w:t>
      </w:r>
    </w:p>
    <w:p>
      <w:pPr>
        <w:spacing w:after="0" w:line="68" w:lineRule="exact"/>
        <w:rPr>
          <w:sz w:val="20"/>
          <w:szCs w:val="20"/>
          <w:color w:val="auto"/>
        </w:rPr>
      </w:pPr>
    </w:p>
    <w:p>
      <w:pPr>
        <w:ind w:right="20" w:firstLine="374"/>
        <w:spacing w:after="0" w:line="311" w:lineRule="auto"/>
        <w:rPr>
          <w:sz w:val="20"/>
          <w:szCs w:val="20"/>
          <w:color w:val="auto"/>
        </w:rPr>
      </w:pPr>
      <w:r>
        <w:rPr>
          <w:rFonts w:ascii="Arial" w:cs="Arial" w:eastAsia="Arial" w:hAnsi="Arial"/>
          <w:sz w:val="16"/>
          <w:szCs w:val="16"/>
          <w:color w:val="auto"/>
        </w:rPr>
        <w:t>Pursuant to the merger agreement, if at any time within one year after the closing date of the transaction the Company’s common stock is trading at a price below 75% of its net asset value, the Company will initiate an open-market stock repurchase program of up to $10 million to support the trading price of the combined entity for up to one year from the date such program is announced. The Board approved a stock repurchase program in March 2020.</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GARS Transaction</w:t>
      </w:r>
    </w:p>
    <w:p>
      <w:pPr>
        <w:spacing w:after="0" w:line="229" w:lineRule="exact"/>
        <w:rPr>
          <w:sz w:val="20"/>
          <w:szCs w:val="20"/>
          <w:color w:val="auto"/>
        </w:rPr>
      </w:pPr>
    </w:p>
    <w:p>
      <w:pPr>
        <w:ind w:right="540" w:firstLine="374"/>
        <w:spacing w:after="0" w:line="342" w:lineRule="auto"/>
        <w:rPr>
          <w:sz w:val="20"/>
          <w:szCs w:val="20"/>
          <w:color w:val="auto"/>
        </w:rPr>
      </w:pPr>
      <w:r>
        <w:rPr>
          <w:rFonts w:ascii="Arial" w:cs="Arial" w:eastAsia="Arial" w:hAnsi="Arial"/>
          <w:sz w:val="16"/>
          <w:szCs w:val="16"/>
          <w:color w:val="auto"/>
        </w:rPr>
        <w:t>On June 24, 2020, the Company entered into an Agreement and Plan of Merger (the “GARS Merger Agreement”) with Garrison Capital Inc., a publicly traded BDC (“GARS”), the Adviser and a wholly-owned merger subsidiary of the Company (such transaction, the “GARS Acquisition”).</w:t>
      </w:r>
    </w:p>
    <w:p>
      <w:pPr>
        <w:spacing w:after="0" w:line="124" w:lineRule="exact"/>
        <w:rPr>
          <w:sz w:val="20"/>
          <w:szCs w:val="20"/>
          <w:color w:val="auto"/>
        </w:rPr>
      </w:pPr>
    </w:p>
    <w:p>
      <w:pPr>
        <w:ind w:firstLine="374"/>
        <w:spacing w:after="0" w:line="257" w:lineRule="auto"/>
        <w:rPr>
          <w:sz w:val="20"/>
          <w:szCs w:val="20"/>
          <w:color w:val="auto"/>
        </w:rPr>
      </w:pPr>
      <w:r>
        <w:rPr>
          <w:rFonts w:ascii="Arial" w:cs="Arial" w:eastAsia="Arial" w:hAnsi="Arial"/>
          <w:sz w:val="18"/>
          <w:szCs w:val="18"/>
          <w:color w:val="auto"/>
        </w:rPr>
        <w:t>On October 28, 2020 the Company completed the GARS Acquisition, pursuant to the terms and conditions of the GARS Merger Agreement. To effect the acquisition, a wholly owned merger subsidiary of the Company merged with and into GARS, with GARS surviving the merger as the Company’s wholly owned subsidiary. Immediately thereafter and as a single integrated transaction, GARS consummated a second merger, whereby GARS merged with and into the Company, with the Company surviving the merger. Under the terms of the GARS Merger Agreement, each share of common stock, par value $0.001 per share, of GARS (the “GARS Common</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42" w:name="page43"/>
    <w:bookmarkEnd w:id="42"/>
    <w:p>
      <w:pPr>
        <w:ind w:right="60"/>
        <w:spacing w:after="0" w:line="259" w:lineRule="auto"/>
        <w:rPr>
          <w:sz w:val="20"/>
          <w:szCs w:val="20"/>
          <w:color w:val="auto"/>
        </w:rPr>
      </w:pPr>
      <w:r>
        <w:rPr>
          <w:rFonts w:ascii="Arial" w:cs="Arial" w:eastAsia="Arial" w:hAnsi="Arial"/>
          <w:sz w:val="18"/>
          <w:szCs w:val="18"/>
          <w:color w:val="auto"/>
        </w:rPr>
        <w:t>Stock”) issued and outstanding was converted into the right to receive (i) an amount in cash, without interest, equal to approximately $1.19 and (ii) approximately 1.917 shares of common stock, par value $0.01 per share, of the Company (plus any applicable cash in lieu of fractional shares). Each share of GARS Common Stock issued and outstanding received, as additional consideration funded by the Adviser, an amount in cash, without interest, equal to approximately $0.31.</w:t>
      </w:r>
    </w:p>
    <w:p>
      <w:pPr>
        <w:spacing w:after="0" w:line="200" w:lineRule="exact"/>
        <w:rPr>
          <w:sz w:val="20"/>
          <w:szCs w:val="20"/>
          <w:color w:val="auto"/>
        </w:rPr>
      </w:pPr>
    </w:p>
    <w:p>
      <w:pPr>
        <w:spacing w:after="0" w:line="347" w:lineRule="exact"/>
        <w:rPr>
          <w:sz w:val="20"/>
          <w:szCs w:val="20"/>
          <w:color w:val="auto"/>
        </w:rPr>
      </w:pPr>
    </w:p>
    <w:p>
      <w:pPr>
        <w:ind w:left="380" w:right="7440" w:hanging="372"/>
        <w:spacing w:after="0" w:line="456" w:lineRule="auto"/>
        <w:tabs>
          <w:tab w:leader="none" w:pos="37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Basis of Presentation</w:t>
      </w:r>
    </w:p>
    <w:p>
      <w:pPr>
        <w:ind w:right="20" w:firstLine="374"/>
        <w:spacing w:after="0" w:line="293" w:lineRule="auto"/>
        <w:rPr>
          <w:sz w:val="20"/>
          <w:szCs w:val="20"/>
          <w:color w:val="auto"/>
        </w:rPr>
      </w:pPr>
      <w:r>
        <w:rPr>
          <w:rFonts w:ascii="Arial" w:cs="Arial" w:eastAsia="Arial" w:hAnsi="Arial"/>
          <w:sz w:val="16"/>
          <w:szCs w:val="16"/>
          <w:color w:val="auto"/>
        </w:rPr>
        <w:t>The accompanying unaudited consolidated financial statements have been prepared on the accrual basis of accounting in conformity with U.S. generally accepted accounting principles (“GAAP”) for interim financial information. Accordingly, they do not include all of the information and footnotes required for annual consolidated financial statements. The unaudited interim consolidated financial statements (“consolidated financial statements”) and notes thereto should be read in conjunction with the financial statements and notes thereto in the Company’s Form 10-K for the year ended December 31, 2020, as filed with the U.S. Securities and Exchange Commission (the “Commission” or the “SEC”). The Company is an investment company and follows accounting and reporting guidance in Accounting Standards Codification (“ASC”) topic 946 – Financial Services – Investment Companies.</w:t>
      </w:r>
    </w:p>
    <w:p>
      <w:pPr>
        <w:spacing w:after="0" w:line="137" w:lineRule="exact"/>
        <w:rPr>
          <w:sz w:val="20"/>
          <w:szCs w:val="20"/>
          <w:color w:val="auto"/>
        </w:rPr>
      </w:pPr>
    </w:p>
    <w:p>
      <w:pPr>
        <w:ind w:right="20" w:firstLine="374"/>
        <w:spacing w:after="0" w:line="275" w:lineRule="auto"/>
        <w:rPr>
          <w:sz w:val="20"/>
          <w:szCs w:val="20"/>
          <w:color w:val="auto"/>
        </w:rPr>
      </w:pPr>
      <w:r>
        <w:rPr>
          <w:rFonts w:ascii="Arial" w:cs="Arial" w:eastAsia="Arial" w:hAnsi="Arial"/>
          <w:sz w:val="17"/>
          <w:szCs w:val="17"/>
          <w:color w:val="auto"/>
        </w:rPr>
        <w:t>The consolidated financial statements reflect all adjustments, both normal and recurring which, in the opinion of management, are necessary for the fair presentation of the Company’s results of operations and financial condition for the periods presented. Furthermore, the preparation of the consolidated financial statements requires the Company to make significant estimates and assumptions including with respect to the fair value of investments that do not have a readily available market value. Actual results could differ from those estimates, and the differences could be material. The results of operations for the interim periods presented are not necessarily indicative of the operating results to be expected for the full year.</w:t>
      </w:r>
    </w:p>
    <w:p>
      <w:pPr>
        <w:spacing w:after="0" w:line="136" w:lineRule="exact"/>
        <w:rPr>
          <w:sz w:val="20"/>
          <w:szCs w:val="20"/>
          <w:color w:val="auto"/>
        </w:rPr>
      </w:pPr>
    </w:p>
    <w:p>
      <w:pPr>
        <w:ind w:firstLine="374"/>
        <w:spacing w:after="0" w:line="289" w:lineRule="auto"/>
        <w:rPr>
          <w:sz w:val="20"/>
          <w:szCs w:val="20"/>
          <w:color w:val="auto"/>
        </w:rPr>
      </w:pPr>
      <w:r>
        <w:rPr>
          <w:rFonts w:ascii="Arial" w:cs="Arial" w:eastAsia="Arial" w:hAnsi="Arial"/>
          <w:sz w:val="16"/>
          <w:szCs w:val="16"/>
          <w:color w:val="auto"/>
        </w:rPr>
        <w:t>The Company consolidates the financial statements of its wholly-owned special purpose financing subsidiaries Garrison Funding 2018-2 Ltd. (“GF CLO 2018-2”), Great Lakes KCAP Funding I LLC, Kohlberg Capital Funding I LLC, KCAP Senior Funding I, LLC, KCAP Funding I Holdings, LLC and Great Lakes Portman Ridge Funding, LLC in its consolidated financial statements as they are operated solely for investment activities of the Company. The creditors of Great Lakes KCAP Senior Funding I, LLC and Great Lakes Portman Ridge Funding, LLC received security interests in the assets which are owned by them and such assets are not intended to be available to the creditors of Portman Ridge Finance Corporation., or any other affiliate. All of the borrowings of Kohlberg Capital Funding LLC I, KCAP Senior Funding I, LLC and Great Lakes KCAP Funding I, LLC have been fully repaid. The Company also consolidates various subsidiaries (KCAP Coastal, LLC, PTMN Sub Holdings, LLC, OHA Funding, LP, Garrison Capital Equity Holdings I LLC, Garrison Capital Equity Holdings II, LLC, Garrison Capital Equity Holdings VIII LLC, Garrison Capital Equity Holdings XI LLC, and GIG Rooster Holdings, LLC) created primarily to provide specific tax treatment for the equity and other investments held by these entities.</w:t>
      </w:r>
    </w:p>
    <w:p>
      <w:pPr>
        <w:spacing w:after="0" w:line="58" w:lineRule="exact"/>
        <w:rPr>
          <w:sz w:val="20"/>
          <w:szCs w:val="20"/>
          <w:color w:val="auto"/>
        </w:rPr>
      </w:pPr>
    </w:p>
    <w:p>
      <w:pPr>
        <w:jc w:val="both"/>
        <w:ind w:right="20" w:firstLine="374"/>
        <w:spacing w:after="0" w:line="263" w:lineRule="auto"/>
        <w:rPr>
          <w:sz w:val="20"/>
          <w:szCs w:val="20"/>
          <w:color w:val="auto"/>
        </w:rPr>
      </w:pPr>
      <w:r>
        <w:rPr>
          <w:rFonts w:ascii="Arial" w:cs="Arial" w:eastAsia="Arial" w:hAnsi="Arial"/>
          <w:sz w:val="18"/>
          <w:szCs w:val="18"/>
          <w:color w:val="auto"/>
        </w:rPr>
        <w:t>In accordance with Article 6 of Regulation S-X under the Securities Act of 1933, as amended (the “Securities Act”), and the Securities Exchange Act of 1934, as amended (the “Exchange Act”), the Company does not consolidate portfolio company investments, including those in which it has a controlling interest (e.g., the Asset Manager Affiliates).</w:t>
      </w:r>
    </w:p>
    <w:p>
      <w:pPr>
        <w:spacing w:after="0" w:line="143" w:lineRule="exact"/>
        <w:rPr>
          <w:sz w:val="20"/>
          <w:szCs w:val="20"/>
          <w:color w:val="auto"/>
        </w:rPr>
      </w:pPr>
    </w:p>
    <w:p>
      <w:pPr>
        <w:ind w:right="280" w:firstLine="374"/>
        <w:spacing w:after="0" w:line="263" w:lineRule="auto"/>
        <w:rPr>
          <w:sz w:val="20"/>
          <w:szCs w:val="20"/>
          <w:color w:val="auto"/>
        </w:rPr>
      </w:pPr>
      <w:r>
        <w:rPr>
          <w:rFonts w:ascii="Arial" w:cs="Arial" w:eastAsia="Arial" w:hAnsi="Arial"/>
          <w:sz w:val="18"/>
          <w:szCs w:val="18"/>
          <w:color w:val="auto"/>
        </w:rPr>
        <w:t>The determination of the tax character of distributions is made on an annual (full calendar-year) basis at the end of the year based upon our taxable income for the full year and the distributions paid during the full year. Therefore, an estimate of tax attributes made on a quarterly basis may not be representative of the actual tax attributes of distributions for a full year.</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43" w:name="page44"/>
    <w:bookmarkEnd w:id="43"/>
    <w:p>
      <w:pPr>
        <w:ind w:firstLine="374"/>
        <w:spacing w:after="0" w:line="271" w:lineRule="auto"/>
        <w:rPr>
          <w:sz w:val="20"/>
          <w:szCs w:val="20"/>
          <w:color w:val="auto"/>
        </w:rPr>
      </w:pPr>
      <w:r>
        <w:rPr>
          <w:rFonts w:ascii="Arial" w:cs="Arial" w:eastAsia="Arial" w:hAnsi="Arial"/>
          <w:sz w:val="17"/>
          <w:szCs w:val="17"/>
          <w:color w:val="auto"/>
        </w:rPr>
        <w:t>It is the Company’s primary investment objective to generate current income and capital appreciation by lending directly to privately-held middle market companies. During the quarter ended March 31, 2021, the Company provided approximately $58.4 million to portfolio companies. Approximately $25.0 million of this support was contractually obligated. See also Note 8 – Commitments and Contingencies. As of March 31, 2021, the Company held loans it has made to 103 investee companies with aggregate principal amounts of approximately $412.3 million. The details of such loans have been disclosed on the unaudited consolidated schedule of investments as well as in Note 4 – Investments. In addition to providing loans to investee companies, from time to time the Company assists investee companies in securing financing from other sources by introducing such investee companies to sponsors or by, among other things, leading a syndicate of lenders to provide the investee companies with financing. During the three months ended March 31, 2021 and 2020, the Company did not recognize any fee income from such or similar activities.</w:t>
      </w:r>
    </w:p>
    <w:p>
      <w:pPr>
        <w:spacing w:after="0" w:line="151"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85" w:lineRule="exact"/>
        <w:rPr>
          <w:sz w:val="20"/>
          <w:szCs w:val="20"/>
          <w:color w:val="auto"/>
        </w:rPr>
      </w:pPr>
    </w:p>
    <w:p>
      <w:pPr>
        <w:ind w:right="160" w:firstLine="374"/>
        <w:spacing w:after="0" w:line="291" w:lineRule="auto"/>
        <w:rPr>
          <w:sz w:val="20"/>
          <w:szCs w:val="20"/>
          <w:color w:val="auto"/>
        </w:rPr>
      </w:pPr>
      <w:r>
        <w:rPr>
          <w:rFonts w:ascii="Arial" w:cs="Arial" w:eastAsia="Arial" w:hAnsi="Arial"/>
          <w:sz w:val="16"/>
          <w:szCs w:val="16"/>
          <w:color w:val="auto"/>
        </w:rPr>
        <w:t>In February 2016, the FASB issued ASU 2016-02, Leases, and several amendments (collectively, “ASU 2016-02”), which requires lessees to recognize assets and liabilities arising from most operating leases on the consolidated statements of financial condition. For operating leases, a lessee is required to do the following: (a) recognize a right-of-use asset and a lease liability, initially measured at the present value of the lease payments, in the statement of financial condition; (b) recognize a single lease cost, calculated so that the cost of the lease is allocated over the lease term on a generally straight-line basis and (c) classify all cash payments within operating activities in the statement of cash flows. The guidance is effective for fiscal periods beginning after December 15, 2018. Effective January 1, 2019 the Company recorded a right of use asset (net of previously deferred rent expense) of approximately $3.3 million and a lease liability of approximately $3.7 million upon adoption of this standard.</w:t>
      </w:r>
    </w:p>
    <w:p>
      <w:pPr>
        <w:spacing w:after="0" w:line="58" w:lineRule="exact"/>
        <w:rPr>
          <w:sz w:val="20"/>
          <w:szCs w:val="20"/>
          <w:color w:val="auto"/>
        </w:rPr>
      </w:pPr>
    </w:p>
    <w:p>
      <w:pPr>
        <w:ind w:right="200" w:firstLine="374"/>
        <w:spacing w:after="0" w:line="286" w:lineRule="auto"/>
        <w:rPr>
          <w:sz w:val="20"/>
          <w:szCs w:val="20"/>
          <w:color w:val="auto"/>
        </w:rPr>
      </w:pPr>
      <w:r>
        <w:rPr>
          <w:rFonts w:ascii="Arial" w:cs="Arial" w:eastAsia="Arial" w:hAnsi="Arial"/>
          <w:sz w:val="17"/>
          <w:szCs w:val="17"/>
          <w:color w:val="auto"/>
        </w:rPr>
        <w:t>During the second quarter of 2019, the Company recognized an impairment of approximately $1.4 million to reduce the right of use asset related to the Company’s legacy office lease to its estimated fair market value. The impairment charge which was recognized in the Company’s consolidated statement of operations during the second quarter of 2019. The lease was terminated during the fourth quarter of 2019.</w:t>
      </w:r>
    </w:p>
    <w:p>
      <w:pPr>
        <w:spacing w:after="0" w:line="57"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Recent Accounting Pronouncements</w:t>
      </w:r>
    </w:p>
    <w:p>
      <w:pPr>
        <w:spacing w:after="0" w:line="23" w:lineRule="exact"/>
        <w:rPr>
          <w:sz w:val="20"/>
          <w:szCs w:val="20"/>
          <w:color w:val="auto"/>
        </w:rPr>
      </w:pPr>
    </w:p>
    <w:p>
      <w:pPr>
        <w:ind w:right="60" w:firstLine="374"/>
        <w:spacing w:after="0" w:line="252" w:lineRule="auto"/>
        <w:rPr>
          <w:sz w:val="20"/>
          <w:szCs w:val="20"/>
          <w:color w:val="auto"/>
        </w:rPr>
      </w:pPr>
      <w:r>
        <w:rPr>
          <w:rFonts w:ascii="Arial" w:cs="Arial" w:eastAsia="Arial" w:hAnsi="Arial"/>
          <w:sz w:val="18"/>
          <w:szCs w:val="18"/>
          <w:color w:val="auto"/>
        </w:rPr>
        <w:t>In March 2020, the Financial Accounting Standards Board issued Accounting Standards Update 2020-04, Reference Rate Reform (Topic 848) – Facilitation of the Effects of Reference Rate Reform on Financial Reporting (“ASU 2020-04”). The guidance provides optional expedients and exceptions for applying GAAP to contracts, hedging relationships, and other transactions, subject to meeting certain criteria, that reference London Interbank Offered Rate (“LIBOR”) or another reference rate expected to be discontinued because of reference rate reform. ASU 2020-04 is effective for all entities as of March 12, 2020 through December 31, 2022. Management continues to assess the impact that the adoption of this guidance will have on the Company’s financial position, results of operations and cash flows.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9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Investment transactions are recorded on the applicable trade date. Realized gains or losses are determined using the specific identification method.</w:t>
      </w:r>
    </w:p>
    <w:p>
      <w:pPr>
        <w:spacing w:after="0" w:line="140" w:lineRule="exact"/>
        <w:rPr>
          <w:sz w:val="20"/>
          <w:szCs w:val="20"/>
          <w:color w:val="auto"/>
        </w:rPr>
      </w:pPr>
    </w:p>
    <w:p>
      <w:pPr>
        <w:ind w:right="40" w:firstLine="374"/>
        <w:spacing w:after="0" w:line="285" w:lineRule="auto"/>
        <w:rPr>
          <w:sz w:val="20"/>
          <w:szCs w:val="20"/>
          <w:color w:val="auto"/>
        </w:rPr>
      </w:pPr>
      <w:r>
        <w:rPr>
          <w:rFonts w:ascii="Arial" w:cs="Arial" w:eastAsia="Arial" w:hAnsi="Arial"/>
          <w:sz w:val="16"/>
          <w:szCs w:val="16"/>
          <w:i w:val="1"/>
          <w:iCs w:val="1"/>
          <w:color w:val="auto"/>
        </w:rPr>
        <w:t xml:space="preserve">Valuation of Portfolio Investments. </w:t>
      </w:r>
      <w:r>
        <w:rPr>
          <w:rFonts w:ascii="Arial" w:cs="Arial" w:eastAsia="Arial" w:hAnsi="Arial"/>
          <w:sz w:val="16"/>
          <w:szCs w:val="16"/>
          <w:color w:val="auto"/>
        </w:rPr>
        <w:t>The Board is ultimately and solely responsible for making a good faith determination of the fair value of portfolio</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investments on a quarterly basis. Debt and equity securities for which market quotations are readily available are generally valued at such market quotations. Debt and equity securities that are not publicly traded or whose market price is not readily available are valued by the Board based on detailed analyses prepared by management and, in certain circumstances, third parties with valuation expertise. Valuations are conducted by management on 100% of the investment portfolio at the end of each quarter. The Company follows the provisions of ASC 820: Fair Value Measurements and Disclosures (“ASC</w:t>
      </w:r>
    </w:p>
    <w:p>
      <w:pPr>
        <w:spacing w:after="0" w:line="2" w:lineRule="exact"/>
        <w:rPr>
          <w:sz w:val="20"/>
          <w:szCs w:val="20"/>
          <w:color w:val="auto"/>
        </w:rPr>
      </w:pPr>
    </w:p>
    <w:p>
      <w:pPr>
        <w:ind w:right="200" w:firstLine="8"/>
        <w:spacing w:after="0" w:line="255" w:lineRule="auto"/>
        <w:tabs>
          <w:tab w:leader="none" w:pos="365"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Fair Value”). This standard defines fair value, establishes a framework for measuring fair value, and expands disclosures about assets and liabilities measured at fair value. ASC 820: Fair Value defines “fair value” as the price that would be received to sell an asset or paid to transfer a liability in an orderly transaction between market participants at the measurement date.</w:t>
      </w:r>
    </w:p>
    <w:p>
      <w:pPr>
        <w:spacing w:after="0" w:line="82" w:lineRule="exact"/>
        <w:rPr>
          <w:sz w:val="20"/>
          <w:szCs w:val="20"/>
          <w:color w:val="auto"/>
        </w:rPr>
      </w:pPr>
    </w:p>
    <w:p>
      <w:pPr>
        <w:ind w:right="80" w:firstLine="374"/>
        <w:spacing w:after="0" w:line="257" w:lineRule="auto"/>
        <w:rPr>
          <w:sz w:val="20"/>
          <w:szCs w:val="20"/>
          <w:color w:val="auto"/>
        </w:rPr>
      </w:pPr>
      <w:r>
        <w:rPr>
          <w:rFonts w:ascii="Arial" w:cs="Arial" w:eastAsia="Arial" w:hAnsi="Arial"/>
          <w:sz w:val="18"/>
          <w:szCs w:val="18"/>
          <w:color w:val="auto"/>
        </w:rPr>
        <w:t>The Company utilizes independent valuation firms to provide third party valuation consulting services. Each quarter the independent valuation firm performs valuations of the Company’s investments in material illiquid securities such that they are independently valued at least once during a trailing 12-month period. These third-party valuation estimates are considered as one of the relevant data points in the Company’s determination of fair value. The Company intends to continue to engage an independent valuation firm in the future to provide certain valuation services, including the review of certain portfolio assets, as part of the quarterly and annual year-end valuation process.</w:t>
      </w:r>
    </w:p>
    <w:p>
      <w:pPr>
        <w:spacing w:after="0" w:line="80" w:lineRule="exact"/>
        <w:rPr>
          <w:sz w:val="20"/>
          <w:szCs w:val="20"/>
          <w:color w:val="auto"/>
        </w:rPr>
      </w:pPr>
    </w:p>
    <w:p>
      <w:pPr>
        <w:ind w:right="100" w:firstLine="374"/>
        <w:spacing w:after="0" w:line="257" w:lineRule="auto"/>
        <w:rPr>
          <w:sz w:val="20"/>
          <w:szCs w:val="20"/>
          <w:color w:val="auto"/>
        </w:rPr>
      </w:pPr>
      <w:r>
        <w:rPr>
          <w:rFonts w:ascii="Arial" w:cs="Arial" w:eastAsia="Arial" w:hAnsi="Arial"/>
          <w:sz w:val="18"/>
          <w:szCs w:val="18"/>
          <w:color w:val="auto"/>
        </w:rPr>
        <w:t>The Board may consider other methods of valuation than those set forth below to determine the fair value of Level III investments as appropriate in conformity with GAAP. Due to the inherent uncertainty of determining the fair value of investments that do not have a readily available market value, the fair value of the Company’s investments may differ materially from the values that would have been used had a readily available market existed for such investments. Further, such investments may be generally subject to legal and other restrictions on resale or otherwise be less liquid than publicly traded securities. In addition, changes in the market environment</w:t>
      </w:r>
    </w:p>
    <w:p>
      <w:pPr>
        <w:spacing w:after="0" w:line="18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301" w:right="399" w:bottom="1440" w:gutter="0" w:footer="0" w:header="0"/>
        </w:sectPr>
      </w:pPr>
    </w:p>
    <w:bookmarkStart w:id="44" w:name="page45"/>
    <w:bookmarkEnd w:id="44"/>
    <w:p>
      <w:pPr>
        <w:ind w:right="620"/>
        <w:spacing w:after="0" w:line="277" w:lineRule="auto"/>
        <w:rPr>
          <w:sz w:val="20"/>
          <w:szCs w:val="20"/>
          <w:color w:val="auto"/>
        </w:rPr>
      </w:pPr>
      <w:r>
        <w:rPr>
          <w:rFonts w:ascii="Arial" w:cs="Arial" w:eastAsia="Arial" w:hAnsi="Arial"/>
          <w:sz w:val="18"/>
          <w:szCs w:val="18"/>
          <w:color w:val="auto"/>
        </w:rPr>
        <w:t>and other events may occur over the life of the investments that may cause the value realized on such investments to be different from the currently assigned valuations.</w:t>
      </w:r>
    </w:p>
    <w:p>
      <w:pPr>
        <w:spacing w:after="0" w:line="62" w:lineRule="exact"/>
        <w:rPr>
          <w:sz w:val="20"/>
          <w:szCs w:val="20"/>
          <w:color w:val="auto"/>
        </w:rPr>
      </w:pPr>
    </w:p>
    <w:p>
      <w:pPr>
        <w:ind w:right="180" w:firstLine="374"/>
        <w:spacing w:after="0" w:line="257" w:lineRule="auto"/>
        <w:rPr>
          <w:sz w:val="20"/>
          <w:szCs w:val="20"/>
          <w:color w:val="auto"/>
        </w:rPr>
      </w:pPr>
      <w:r>
        <w:rPr>
          <w:rFonts w:ascii="Arial" w:cs="Arial" w:eastAsia="Arial" w:hAnsi="Arial"/>
          <w:sz w:val="18"/>
          <w:szCs w:val="18"/>
          <w:color w:val="auto"/>
        </w:rPr>
        <w:t>The majority of the Company’s investment portfolio is composed of debt and equity securities with unique contract terms and conditions and/or complexity that requires a valuation of each individual investment that considers multiple levels of market and asset specific inputs, which may include historical and forecasted financial and operational performance of the individual investment, projected cash flows, market multiples, comparable market transactions, the priority of the security compared with those of other securities for such issuers, credit risk, interest rates, and independent valuations and reviews.</w:t>
      </w:r>
    </w:p>
    <w:p>
      <w:pPr>
        <w:spacing w:after="0" w:line="296" w:lineRule="exact"/>
        <w:rPr>
          <w:sz w:val="20"/>
          <w:szCs w:val="20"/>
          <w:color w:val="auto"/>
        </w:rPr>
      </w:pPr>
    </w:p>
    <w:p>
      <w:pPr>
        <w:jc w:val="both"/>
        <w:ind w:firstLine="374"/>
        <w:spacing w:after="0" w:line="254" w:lineRule="auto"/>
        <w:rPr>
          <w:sz w:val="20"/>
          <w:szCs w:val="20"/>
          <w:color w:val="auto"/>
        </w:rPr>
      </w:pPr>
      <w:r>
        <w:rPr>
          <w:rFonts w:ascii="Arial" w:cs="Arial" w:eastAsia="Arial" w:hAnsi="Arial"/>
          <w:sz w:val="18"/>
          <w:szCs w:val="18"/>
          <w:i w:val="1"/>
          <w:iCs w:val="1"/>
          <w:color w:val="auto"/>
        </w:rPr>
        <w:t xml:space="preserve">Foreign Currency Translations. </w:t>
      </w:r>
      <w:r>
        <w:rPr>
          <w:rFonts w:ascii="Arial" w:cs="Arial" w:eastAsia="Arial" w:hAnsi="Arial"/>
          <w:sz w:val="18"/>
          <w:szCs w:val="18"/>
          <w:color w:val="auto"/>
        </w:rPr>
        <w:t>The accounting records of the Company are maintained in U.S. dollars. All assets and liabilities denominated in</w:t>
      </w:r>
      <w:r>
        <w:rPr>
          <w:rFonts w:ascii="Arial" w:cs="Arial" w:eastAsia="Arial" w:hAnsi="Arial"/>
          <w:sz w:val="18"/>
          <w:szCs w:val="18"/>
          <w:i w:val="1"/>
          <w:iCs w:val="1"/>
          <w:color w:val="auto"/>
        </w:rPr>
        <w:t xml:space="preserve"> </w:t>
      </w:r>
      <w:r>
        <w:rPr>
          <w:rFonts w:ascii="Arial" w:cs="Arial" w:eastAsia="Arial" w:hAnsi="Arial"/>
          <w:sz w:val="18"/>
          <w:szCs w:val="18"/>
          <w:color w:val="auto"/>
        </w:rPr>
        <w:t>foreign currencies are translated into U.S. dollars based on the foreign exchange rate on the date of valuation. The Company does not isolate that portion of the results of operations resulting from changes in foreign exchange rates on investments from the fluctuations arising from changes in market prices of securities held. The Company’s investments in foreign securities may involve certain risks, including without limitation: foreign exchange restrictions, expropriation, taxation or other political, social or economic risks, all of which could affect the market and/or credit risk of the investment. In addition, changes in the relationship of foreign currencies to the U.S. dollar can significantly affect the value of these investments and therefore the earnings of the Company.</w:t>
      </w:r>
    </w:p>
    <w:p>
      <w:pPr>
        <w:spacing w:after="0" w:line="200" w:lineRule="exact"/>
        <w:rPr>
          <w:sz w:val="20"/>
          <w:szCs w:val="20"/>
          <w:color w:val="auto"/>
        </w:rPr>
      </w:pPr>
    </w:p>
    <w:p>
      <w:pPr>
        <w:spacing w:after="0" w:line="211" w:lineRule="exact"/>
        <w:rPr>
          <w:sz w:val="20"/>
          <w:szCs w:val="20"/>
          <w:color w:val="auto"/>
        </w:rPr>
      </w:pPr>
    </w:p>
    <w:p>
      <w:pPr>
        <w:ind w:right="80" w:firstLine="374"/>
        <w:spacing w:after="0" w:line="272" w:lineRule="auto"/>
        <w:rPr>
          <w:sz w:val="20"/>
          <w:szCs w:val="20"/>
          <w:color w:val="auto"/>
        </w:rPr>
      </w:pPr>
      <w:r>
        <w:rPr>
          <w:rFonts w:ascii="Arial" w:cs="Arial" w:eastAsia="Arial" w:hAnsi="Arial"/>
          <w:sz w:val="17"/>
          <w:szCs w:val="17"/>
          <w:i w:val="1"/>
          <w:iCs w:val="1"/>
          <w:color w:val="auto"/>
        </w:rPr>
        <w:t>Debt Securities</w:t>
      </w:r>
      <w:r>
        <w:rPr>
          <w:rFonts w:ascii="Arial" w:cs="Arial" w:eastAsia="Arial" w:hAnsi="Arial"/>
          <w:sz w:val="17"/>
          <w:szCs w:val="17"/>
          <w:color w:val="auto"/>
        </w:rPr>
        <w:t>. To the extent that the Company’s investments are exchange traded and are priced or have sufficient price indications from normal</w:t>
      </w:r>
      <w:r>
        <w:rPr>
          <w:rFonts w:ascii="Arial" w:cs="Arial" w:eastAsia="Arial" w:hAnsi="Arial"/>
          <w:sz w:val="17"/>
          <w:szCs w:val="17"/>
          <w:i w:val="1"/>
          <w:iCs w:val="1"/>
          <w:color w:val="auto"/>
        </w:rPr>
        <w:t xml:space="preserve"> </w:t>
      </w:r>
      <w:r>
        <w:rPr>
          <w:rFonts w:ascii="Arial" w:cs="Arial" w:eastAsia="Arial" w:hAnsi="Arial"/>
          <w:sz w:val="17"/>
          <w:szCs w:val="17"/>
          <w:color w:val="auto"/>
        </w:rPr>
        <w:t>course trading at or around the valuation date (financial reporting date), such pricing will be used to determine the fair value of the investments. Valuations from third party pricing services may be used as an indication of fair value, depending on the volume and reliability of the valuation, sufficient and reasonable correlation of bid and ask quotes, and, most importantly, the level of actual trading activity. However, if the Company has been unable to identify directly comparable market indices or other market guidance that correlate directly to the types of investments the Company owns, the Company will determine fair value using alternative methodologies such as available market data, as adjusted, to reflect the types of assets the Company owns, their structure, qualitative and credit attributes and other asset-specific characteristics.</w:t>
      </w:r>
    </w:p>
    <w:p>
      <w:pPr>
        <w:spacing w:after="0" w:line="69" w:lineRule="exact"/>
        <w:rPr>
          <w:sz w:val="20"/>
          <w:szCs w:val="20"/>
          <w:color w:val="auto"/>
        </w:rPr>
      </w:pPr>
    </w:p>
    <w:p>
      <w:pPr>
        <w:ind w:right="20" w:firstLine="374"/>
        <w:spacing w:after="0" w:line="285" w:lineRule="auto"/>
        <w:rPr>
          <w:sz w:val="20"/>
          <w:szCs w:val="20"/>
          <w:color w:val="auto"/>
        </w:rPr>
      </w:pPr>
      <w:r>
        <w:rPr>
          <w:rFonts w:ascii="Arial" w:cs="Arial" w:eastAsia="Arial" w:hAnsi="Arial"/>
          <w:sz w:val="16"/>
          <w:szCs w:val="16"/>
          <w:color w:val="auto"/>
        </w:rPr>
        <w:t>The Company derives fair value for its illiquid investments that do not have indicative fair values based upon active trades primarily by using a present value technique that discounts the estimated contractual cash flows for the subject assets with discount rates imputed by broad market indices, bond spreads and yields for comparable issuers relative to the subject assets (the “Income Approach”). The Company also considers, among other things, recent loan amendments or other activity specific to the subject asset. Discount rates applied to estimated contractual cash flows for an underlying asset vary by specific investment, industry, priority and nature of the debt security (such as the seniority or security interest of the debt security) and are assessed relative to leveraged loan and high-yield bond indices, at the valuation date. The Company has identified these indices as benchmarks for broad market information related to its loan and debt securities. Because the Company has not identified any market index that directly correlates to the loan and debt securities held by the Company and therefore uses these benchmark indices, these market indices may require significant adjustment to better correlate such market data for the calculation of fair value of the investment under the Income Approach. Such adjustments require judgment and may be material to the calculation of fair value. Further adjustments to the discount rate may be applied to reflect other market conditions or the perceived credit risk of the borrower. When broad market indices are used as part of the valuation methodology, their use is subject to adjustment for many factors, including priority, collateral used as security, structure, performance and other quantitative and qualitative attributes of the asset being valued. The resulting present value determination is then weighted along with any quotes from observable transactions and broker/pricing quotes. If such quotes are indicative of actual transactions with reasonable trading volume at or near the valuation date that are not liquidation or distressed sales, relatively more reliance will be put on such quotes to determine fair value. If such quotes are not indicative of market transactions or are insufficient as to volume, reliability, consistency or other relevant factors, such quotes will be compared with other fair value indications and given relatively less weight based on their relevancy. Other significant assumptions, such as coupon and maturity, are asset-specific and are noted for each investment in the Consolidated Schedules of Investments included herein.</w:t>
      </w:r>
    </w:p>
    <w:p>
      <w:pPr>
        <w:spacing w:after="0" w:line="66" w:lineRule="exact"/>
        <w:rPr>
          <w:sz w:val="20"/>
          <w:szCs w:val="20"/>
          <w:color w:val="auto"/>
        </w:rPr>
      </w:pPr>
    </w:p>
    <w:p>
      <w:pPr>
        <w:ind w:right="80" w:firstLine="374"/>
        <w:spacing w:after="0" w:line="254" w:lineRule="auto"/>
        <w:rPr>
          <w:sz w:val="20"/>
          <w:szCs w:val="20"/>
          <w:color w:val="auto"/>
        </w:rPr>
      </w:pPr>
      <w:r>
        <w:rPr>
          <w:rFonts w:ascii="Arial" w:cs="Arial" w:eastAsia="Arial" w:hAnsi="Arial"/>
          <w:sz w:val="18"/>
          <w:szCs w:val="18"/>
          <w:i w:val="1"/>
          <w:iCs w:val="1"/>
          <w:color w:val="auto"/>
        </w:rPr>
        <w:t>Equity Securities</w:t>
      </w:r>
      <w:r>
        <w:rPr>
          <w:rFonts w:ascii="Arial" w:cs="Arial" w:eastAsia="Arial" w:hAnsi="Arial"/>
          <w:sz w:val="18"/>
          <w:szCs w:val="18"/>
          <w:color w:val="auto"/>
        </w:rPr>
        <w:t>. The Company’s equity securities in portfolio companies for which there is no liquid public market are carried at fair value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the enterprise value of the portfolio company, which is determined using various factors, including EBITDA (earnings before interest, taxes, depreciation and amortization) and discounted cash flows from operations, less capital expenditures and other pertinent factors, such as recent offers to purchase a portfolio company’s securities or other liquidation events. The determined fair values are generally discounted to account for restrictions on resale and minority ownership positions. In the event market quotations are readily available for the Company’s equity securities in public companies, those investments may be valued using the Market Approach (as defined below). In cases where the Company receives warrants to purchase equity securities, a market standard Black-Scholes model is utilized.</w:t>
      </w:r>
    </w:p>
    <w:p>
      <w:pPr>
        <w:spacing w:after="0" w:line="87" w:lineRule="exact"/>
        <w:rPr>
          <w:sz w:val="20"/>
          <w:szCs w:val="20"/>
          <w:color w:val="auto"/>
        </w:rPr>
      </w:pPr>
    </w:p>
    <w:p>
      <w:pPr>
        <w:ind w:right="280" w:firstLine="374"/>
        <w:spacing w:after="0" w:line="293" w:lineRule="auto"/>
        <w:rPr>
          <w:sz w:val="20"/>
          <w:szCs w:val="20"/>
          <w:color w:val="auto"/>
        </w:rPr>
      </w:pPr>
      <w:r>
        <w:rPr>
          <w:rFonts w:ascii="Arial" w:cs="Arial" w:eastAsia="Arial" w:hAnsi="Arial"/>
          <w:sz w:val="16"/>
          <w:szCs w:val="16"/>
          <w:color w:val="auto"/>
        </w:rPr>
        <w:t>The significant inputs used to determine the fair value of equity securities include prices, EBITDA and cash flows after capital expenditures for similar peer comparables and the investment entity itself. Equity securities are classified as Level III, when there is limited activity or less transparency around inputs to the valuation given the lack of information related to such equity investments held in nonpublic companies. Significant assumptions observed for comparable companies are applied to relevant financial data for the specific investment. Such assumptions, such as model discount rates or price/earnings multiples, vary by the specific investment, equity position and industry and incorporate adjustments for risk premiums, liquidity and company specific attributes. Such adjustments require judgment and may be material to the calculation of fair value.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5" w:name="page46"/>
    <w:bookmarkEnd w:id="45"/>
    <w:p>
      <w:pPr>
        <w:ind w:right="20" w:firstLine="374"/>
        <w:spacing w:after="0" w:line="290" w:lineRule="auto"/>
        <w:rPr>
          <w:sz w:val="20"/>
          <w:szCs w:val="20"/>
          <w:color w:val="auto"/>
        </w:rPr>
      </w:pPr>
      <w:r>
        <w:rPr>
          <w:rFonts w:ascii="Arial" w:cs="Arial" w:eastAsia="Arial" w:hAnsi="Arial"/>
          <w:sz w:val="16"/>
          <w:szCs w:val="16"/>
          <w:i w:val="1"/>
          <w:iCs w:val="1"/>
          <w:color w:val="auto"/>
        </w:rPr>
        <w:t>Derivatives</w:t>
      </w:r>
      <w:r>
        <w:rPr>
          <w:rFonts w:ascii="Arial" w:cs="Arial" w:eastAsia="Arial" w:hAnsi="Arial"/>
          <w:sz w:val="16"/>
          <w:szCs w:val="16"/>
          <w:color w:val="auto"/>
        </w:rPr>
        <w:t>. The Company recognizes all derivative instruments as assets or liabilities at fair value in its financial statements. Derivative contracts</w:t>
      </w:r>
      <w:r>
        <w:rPr>
          <w:rFonts w:ascii="Arial" w:cs="Arial" w:eastAsia="Arial" w:hAnsi="Arial"/>
          <w:sz w:val="16"/>
          <w:szCs w:val="16"/>
          <w:i w:val="1"/>
          <w:iCs w:val="1"/>
          <w:color w:val="auto"/>
        </w:rPr>
        <w:t xml:space="preserve"> </w:t>
      </w:r>
      <w:r>
        <w:rPr>
          <w:rFonts w:ascii="Arial" w:cs="Arial" w:eastAsia="Arial" w:hAnsi="Arial"/>
          <w:sz w:val="16"/>
          <w:szCs w:val="16"/>
          <w:color w:val="auto"/>
        </w:rPr>
        <w:t>entered into by the Company are not designated as hedging instruments, and as a result the Company presents changes in fair value and realized gains or losses through current period earnings. Derivative instruments are measured in terms of the notional contract amount and derive their value based upon one or more underlying instruments. Derivative instruments are subject to various risks similar to non-derivative instruments including market, credit, liquidity, and operational risks. The Company manages these risks on an aggregate basis as part of its risk management process. The derivatives may require the Company to pay or receive an upfront fee or premium. These upfront fees or premiums are carried forward as cost or proceeds to the derivatives. The Company generally records a realized gain or loss on the expiration, termination, or settlement of a derivative contract. The periodic payments for the securities Swap and Option Agreement (excluding collateral) are included as a realized gain or loss.</w:t>
      </w:r>
    </w:p>
    <w:p>
      <w:pPr>
        <w:spacing w:after="0" w:line="57" w:lineRule="exact"/>
        <w:rPr>
          <w:sz w:val="20"/>
          <w:szCs w:val="20"/>
          <w:color w:val="auto"/>
        </w:rPr>
      </w:pPr>
    </w:p>
    <w:p>
      <w:pPr>
        <w:ind w:right="40" w:firstLine="374"/>
        <w:spacing w:after="0" w:line="308" w:lineRule="auto"/>
        <w:rPr>
          <w:sz w:val="20"/>
          <w:szCs w:val="20"/>
          <w:color w:val="auto"/>
        </w:rPr>
      </w:pPr>
      <w:r>
        <w:rPr>
          <w:rFonts w:ascii="Arial" w:cs="Arial" w:eastAsia="Arial" w:hAnsi="Arial"/>
          <w:sz w:val="17"/>
          <w:szCs w:val="17"/>
          <w:color w:val="auto"/>
        </w:rPr>
        <w:t>The Company values derivative contracts using various pricing models that take into account the terms of the contract (including notional amount and contract maturity) and observable and unobservable inputs such as interest rates and changes in fair value of the reference asset.</w:t>
      </w:r>
    </w:p>
    <w:p>
      <w:pPr>
        <w:spacing w:after="0" w:line="106" w:lineRule="exact"/>
        <w:rPr>
          <w:sz w:val="20"/>
          <w:szCs w:val="20"/>
          <w:color w:val="auto"/>
        </w:rPr>
      </w:pPr>
    </w:p>
    <w:p>
      <w:pPr>
        <w:ind w:right="40" w:firstLine="374"/>
        <w:spacing w:after="0" w:line="291" w:lineRule="auto"/>
        <w:rPr>
          <w:sz w:val="20"/>
          <w:szCs w:val="20"/>
          <w:color w:val="auto"/>
        </w:rPr>
      </w:pPr>
      <w:r>
        <w:rPr>
          <w:rFonts w:ascii="Arial" w:cs="Arial" w:eastAsia="Arial" w:hAnsi="Arial"/>
          <w:sz w:val="16"/>
          <w:szCs w:val="16"/>
          <w:i w:val="1"/>
          <w:iCs w:val="1"/>
          <w:color w:val="auto"/>
        </w:rPr>
        <w:t>Asset Manager Affiliates</w:t>
      </w:r>
      <w:r>
        <w:rPr>
          <w:rFonts w:ascii="Arial" w:cs="Arial" w:eastAsia="Arial" w:hAnsi="Arial"/>
          <w:sz w:val="16"/>
          <w:szCs w:val="16"/>
          <w:color w:val="auto"/>
        </w:rPr>
        <w:t>. The Company sold substantially all of its investment in the Asset Manager Affiliates on December 31, 2018. Previously,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investments in its wholly-owned Asset Manager Affiliates, were carried at fair value, which was primarily determined utilizing the discounted cash flow approach, which incorporated different levels of discount rates depending on the hierarchy of fees earned (including the likelihood of realization of senior, subordinate and incentive fees) and prospective modeled performance. Such valuation took into consideration an analysis of comparable asset management companies and the amount of assets under management. Any change in value from period to period was recognized as net change in unrealized appreciation or depreciation. The Company continues to own certain Asset Manager Affiliates legal entities which the Company values at zero. Until such entities are disposed, the Company continues to carry the cost of the Asset Manager Affiliates on the Consolidated Schedule of Investments.</w:t>
      </w:r>
    </w:p>
    <w:p>
      <w:pPr>
        <w:spacing w:after="0" w:line="58" w:lineRule="exact"/>
        <w:rPr>
          <w:sz w:val="20"/>
          <w:szCs w:val="20"/>
          <w:color w:val="auto"/>
        </w:rPr>
      </w:pPr>
    </w:p>
    <w:p>
      <w:pPr>
        <w:ind w:right="800" w:firstLine="374"/>
        <w:spacing w:after="0" w:line="277" w:lineRule="auto"/>
        <w:rPr>
          <w:sz w:val="20"/>
          <w:szCs w:val="20"/>
          <w:color w:val="auto"/>
        </w:rPr>
      </w:pPr>
      <w:r>
        <w:rPr>
          <w:rFonts w:ascii="Arial" w:cs="Arial" w:eastAsia="Arial" w:hAnsi="Arial"/>
          <w:sz w:val="18"/>
          <w:szCs w:val="18"/>
          <w:i w:val="1"/>
          <w:iCs w:val="1"/>
          <w:color w:val="auto"/>
        </w:rPr>
        <w:t>CLO Fund Securities</w:t>
      </w:r>
      <w:r>
        <w:rPr>
          <w:rFonts w:ascii="Arial" w:cs="Arial" w:eastAsia="Arial" w:hAnsi="Arial"/>
          <w:sz w:val="18"/>
          <w:szCs w:val="18"/>
          <w:color w:val="auto"/>
        </w:rPr>
        <w:t>. The Company typically makes a non-controlling investment in the most junior class of securities of CLO Funds. The</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held by CLO Funds generally relate to non-investment grade credit instruments issued by corporations.</w:t>
      </w:r>
    </w:p>
    <w:p>
      <w:pPr>
        <w:spacing w:after="0" w:line="62" w:lineRule="exact"/>
        <w:rPr>
          <w:sz w:val="20"/>
          <w:szCs w:val="20"/>
          <w:color w:val="auto"/>
        </w:rPr>
      </w:pPr>
    </w:p>
    <w:p>
      <w:pPr>
        <w:ind w:firstLine="374"/>
        <w:spacing w:after="0" w:line="287" w:lineRule="auto"/>
        <w:rPr>
          <w:sz w:val="20"/>
          <w:szCs w:val="20"/>
          <w:color w:val="auto"/>
        </w:rPr>
      </w:pPr>
      <w:r>
        <w:rPr>
          <w:rFonts w:ascii="Arial" w:cs="Arial" w:eastAsia="Arial" w:hAnsi="Arial"/>
          <w:sz w:val="16"/>
          <w:szCs w:val="16"/>
          <w:color w:val="auto"/>
        </w:rPr>
        <w:t>The Company’s investments in CLO Fund Securities are carried at fair value, which is based either on (i) the present value of the net expected cash inflows for interest income and principal repayments from underlying assets and cash outflows for interest expense, debt pay-down and other fund costs for the CLO Funds that are approaching or past the end of their reinvestment period and therefore are selling assets and/or using principal repayments to pay down CLO Fund debt (or will begin to do so shortly), and for which there continue to be net cash distributions to the class of securities owned by the Company, a Discounted Cash Flow approach, (ii) a discounted cash flow model that utilizes prepayment and loss assumptions based on historical experience and projected performance, economic factors, the characteristics of the underlying cash flow and comparable yields for similar securities or preferred shares to those in which the Company has invested, or (iii) indicative prices provided by the underwriters or brokers who arrange CLO Funds, a Market Approach. The Company recognizes unrealized appreciation or depreciation on the Company’s investments in CLO Fund Securities as comparable yields in the market change and/or based on changes in net asset values or estimated cash flows resulting from changes in prepayment or loss assumptions in the underlying collateral pool. As each investment in CLO Fund Securities ages, the expected amount of losses and the expected timing of recognition of such losses in the underlying collateral pool are updated and the revised cash flows are used in determining the fair value of the CLO Fund investment. The Company determines the fair value of its investments in CLO Fund Securities on a security-by-security basis.</w:t>
      </w:r>
    </w:p>
    <w:p>
      <w:pPr>
        <w:spacing w:after="0" w:line="60" w:lineRule="exact"/>
        <w:rPr>
          <w:sz w:val="20"/>
          <w:szCs w:val="20"/>
          <w:color w:val="auto"/>
        </w:rPr>
      </w:pPr>
    </w:p>
    <w:p>
      <w:pPr>
        <w:ind w:right="120" w:firstLine="374"/>
        <w:spacing w:after="0" w:line="289" w:lineRule="auto"/>
        <w:rPr>
          <w:sz w:val="20"/>
          <w:szCs w:val="20"/>
          <w:color w:val="auto"/>
        </w:rPr>
      </w:pPr>
      <w:r>
        <w:rPr>
          <w:rFonts w:ascii="Arial" w:cs="Arial" w:eastAsia="Arial" w:hAnsi="Arial"/>
          <w:sz w:val="16"/>
          <w:szCs w:val="16"/>
          <w:color w:val="auto"/>
        </w:rPr>
        <w:t>Due to the individual attributes of each CLO Fund Security, they are classified as a Level III investment unless specific trading activity can be identified at or near the valuation date. When available, observable market information will be identified, evaluated and weighted accordingly in the application of such data to the present value models and fair value determination. Significant assumptions to the present value calculations include default rates, recovery rates, prepayment rates, investment/reinvestment rates and spreads and the discount rate by which to value the resulting underlying cash flows. Such assumptions can vary significantly, depending on market data sources which often vary in depth and level of analysis, understanding of the CLO market, detailed or broad characterization of the CLO market and the application of such data to an appropriate framework for analysis. The application of data points are based on the specific attributes of each individual CLO Fund Security’s underlying assets, historic, current and prospective performance, vintage, and other quantitative and qualitative factors that would be evaluated by market participants. The Company evaluates the source of market data for reliability as an indicative market input, consistency amongst other inputs and results and also the context in which such data is presented.</w:t>
      </w:r>
    </w:p>
    <w:p>
      <w:pPr>
        <w:spacing w:after="0" w:line="58" w:lineRule="exact"/>
        <w:rPr>
          <w:sz w:val="20"/>
          <w:szCs w:val="20"/>
          <w:color w:val="auto"/>
        </w:rPr>
      </w:pPr>
    </w:p>
    <w:p>
      <w:pPr>
        <w:ind w:right="120" w:firstLine="374"/>
        <w:spacing w:after="0" w:line="275" w:lineRule="auto"/>
        <w:rPr>
          <w:sz w:val="20"/>
          <w:szCs w:val="20"/>
          <w:color w:val="auto"/>
        </w:rPr>
      </w:pPr>
      <w:r>
        <w:rPr>
          <w:rFonts w:ascii="Arial" w:cs="Arial" w:eastAsia="Arial" w:hAnsi="Arial"/>
          <w:sz w:val="17"/>
          <w:szCs w:val="17"/>
          <w:color w:val="auto"/>
        </w:rPr>
        <w:t>For rated note tranches of CLO Fund Securities (those above the junior class) without transactions to support a fair value for the specific CLO Fund and tranche, fair value is based on discounting estimated bond payments at current market yields, which may reflect the adjusted yield on the leveraged loan index for similarly rated tranches, as well as prices for similar tranches for other CLO Funds and also other factors such as indicative prices provided by underwriters or brokers who arrange CLO Funds, and the default and recovery rates of underlying assets in the CLO Fund, as may be applicable. Such model assumptions may vary and incorporate adjustments for risk premiums and CLO Fund specific attributes.</w:t>
      </w:r>
    </w:p>
    <w:p>
      <w:pPr>
        <w:spacing w:after="0" w:line="68"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Short-term investments</w:t>
      </w:r>
      <w:r>
        <w:rPr>
          <w:rFonts w:ascii="Arial" w:cs="Arial" w:eastAsia="Arial" w:hAnsi="Arial"/>
          <w:sz w:val="17"/>
          <w:szCs w:val="17"/>
          <w:color w:val="auto"/>
        </w:rPr>
        <w:t>. Short-term investments are generally comprised of money market accounts, time deposits, and U.S. treasury bills.</w:t>
      </w: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46" w:name="page47"/>
    <w:bookmarkEnd w:id="46"/>
    <w:p>
      <w:pPr>
        <w:ind w:right="40" w:firstLine="374"/>
        <w:spacing w:after="0" w:line="277" w:lineRule="auto"/>
        <w:rPr>
          <w:sz w:val="20"/>
          <w:szCs w:val="20"/>
          <w:color w:val="auto"/>
        </w:rPr>
      </w:pPr>
      <w:r>
        <w:rPr>
          <w:rFonts w:ascii="Arial" w:cs="Arial" w:eastAsia="Arial" w:hAnsi="Arial"/>
          <w:sz w:val="18"/>
          <w:szCs w:val="18"/>
          <w:i w:val="1"/>
          <w:iCs w:val="1"/>
          <w:color w:val="auto"/>
        </w:rPr>
        <w:t>Joint Ventures</w:t>
      </w:r>
      <w:r>
        <w:rPr>
          <w:rFonts w:ascii="Arial" w:cs="Arial" w:eastAsia="Arial" w:hAnsi="Arial"/>
          <w:sz w:val="18"/>
          <w:szCs w:val="18"/>
          <w:color w:val="auto"/>
        </w:rPr>
        <w:t>. The Company carries investments in joint ventures (“Joint Ventures”) at fair value based upon the fair value of the investments held by</w:t>
      </w:r>
      <w:r>
        <w:rPr>
          <w:rFonts w:ascii="Arial" w:cs="Arial" w:eastAsia="Arial" w:hAnsi="Arial"/>
          <w:sz w:val="18"/>
          <w:szCs w:val="18"/>
          <w:i w:val="1"/>
          <w:iCs w:val="1"/>
          <w:color w:val="auto"/>
        </w:rPr>
        <w:t xml:space="preserve"> </w:t>
      </w:r>
      <w:r>
        <w:rPr>
          <w:rFonts w:ascii="Arial" w:cs="Arial" w:eastAsia="Arial" w:hAnsi="Arial"/>
          <w:sz w:val="18"/>
          <w:szCs w:val="18"/>
          <w:color w:val="auto"/>
        </w:rPr>
        <w:t>the joint venture. See Note 4 below, for more information regarding the Joint Ventures.</w:t>
      </w:r>
    </w:p>
    <w:p>
      <w:pPr>
        <w:spacing w:after="0" w:line="62" w:lineRule="exact"/>
        <w:rPr>
          <w:sz w:val="20"/>
          <w:szCs w:val="20"/>
          <w:color w:val="auto"/>
        </w:rPr>
      </w:pPr>
    </w:p>
    <w:p>
      <w:pPr>
        <w:ind w:right="80" w:firstLine="374"/>
        <w:spacing w:after="0" w:line="311" w:lineRule="auto"/>
        <w:rPr>
          <w:sz w:val="20"/>
          <w:szCs w:val="20"/>
          <w:color w:val="auto"/>
        </w:rPr>
      </w:pPr>
      <w:r>
        <w:rPr>
          <w:rFonts w:ascii="Arial" w:cs="Arial" w:eastAsia="Arial" w:hAnsi="Arial"/>
          <w:sz w:val="16"/>
          <w:szCs w:val="16"/>
          <w:i w:val="1"/>
          <w:iCs w:val="1"/>
          <w:color w:val="auto"/>
        </w:rPr>
        <w:t xml:space="preserve">Cash and Cash Equivalents. </w:t>
      </w:r>
      <w:r>
        <w:rPr>
          <w:rFonts w:ascii="Arial" w:cs="Arial" w:eastAsia="Arial" w:hAnsi="Arial"/>
          <w:sz w:val="16"/>
          <w:szCs w:val="16"/>
          <w:color w:val="auto"/>
        </w:rPr>
        <w:t>Cash and cash equivalents include short-term, highly liquid investments, readily convertible to know amounts cash, with</w:t>
      </w:r>
      <w:r>
        <w:rPr>
          <w:rFonts w:ascii="Arial" w:cs="Arial" w:eastAsia="Arial" w:hAnsi="Arial"/>
          <w:sz w:val="16"/>
          <w:szCs w:val="16"/>
          <w:i w:val="1"/>
          <w:iCs w:val="1"/>
          <w:color w:val="auto"/>
        </w:rPr>
        <w:t xml:space="preserve"> </w:t>
      </w:r>
      <w:r>
        <w:rPr>
          <w:rFonts w:ascii="Arial" w:cs="Arial" w:eastAsia="Arial" w:hAnsi="Arial"/>
          <w:sz w:val="16"/>
          <w:szCs w:val="16"/>
          <w:color w:val="auto"/>
        </w:rPr>
        <w:t>an original maturity of three months or less in accounts such as demand deposit accounts, money market accounts, certain overnight investment sweep accounts and money market fund accounts. The company records cash and cash equivalents at amortized cost, which approximates fair value.</w:t>
      </w:r>
    </w:p>
    <w:p>
      <w:pPr>
        <w:spacing w:after="0" w:line="41" w:lineRule="exact"/>
        <w:rPr>
          <w:sz w:val="20"/>
          <w:szCs w:val="20"/>
          <w:color w:val="auto"/>
        </w:rPr>
      </w:pPr>
    </w:p>
    <w:p>
      <w:pPr>
        <w:ind w:right="200" w:firstLine="374"/>
        <w:spacing w:after="0" w:line="277" w:lineRule="auto"/>
        <w:rPr>
          <w:sz w:val="20"/>
          <w:szCs w:val="20"/>
          <w:color w:val="auto"/>
        </w:rPr>
      </w:pPr>
      <w:r>
        <w:rPr>
          <w:rFonts w:ascii="Arial" w:cs="Arial" w:eastAsia="Arial" w:hAnsi="Arial"/>
          <w:sz w:val="18"/>
          <w:szCs w:val="18"/>
          <w:i w:val="1"/>
          <w:iCs w:val="1"/>
          <w:color w:val="auto"/>
        </w:rPr>
        <w:t>Restricted Cash</w:t>
      </w:r>
      <w:r>
        <w:rPr>
          <w:rFonts w:ascii="Arial" w:cs="Arial" w:eastAsia="Arial" w:hAnsi="Arial"/>
          <w:sz w:val="18"/>
          <w:szCs w:val="18"/>
          <w:color w:val="auto"/>
        </w:rPr>
        <w:t>. Restricted cash and cash equivalents (e.g., money market funds) generally consists of cash held for interest and principal payments</w:t>
      </w:r>
      <w:r>
        <w:rPr>
          <w:rFonts w:ascii="Arial" w:cs="Arial" w:eastAsia="Arial" w:hAnsi="Arial"/>
          <w:sz w:val="18"/>
          <w:szCs w:val="18"/>
          <w:i w:val="1"/>
          <w:iCs w:val="1"/>
          <w:color w:val="auto"/>
        </w:rPr>
        <w:t xml:space="preserve"> </w:t>
      </w:r>
      <w:r>
        <w:rPr>
          <w:rFonts w:ascii="Arial" w:cs="Arial" w:eastAsia="Arial" w:hAnsi="Arial"/>
          <w:sz w:val="18"/>
          <w:szCs w:val="18"/>
          <w:color w:val="auto"/>
        </w:rPr>
        <w:t>on the Company’s borrowings.</w:t>
      </w:r>
    </w:p>
    <w:p>
      <w:pPr>
        <w:spacing w:after="0" w:line="62" w:lineRule="exact"/>
        <w:rPr>
          <w:sz w:val="20"/>
          <w:szCs w:val="20"/>
          <w:color w:val="auto"/>
        </w:rPr>
      </w:pPr>
    </w:p>
    <w:p>
      <w:pPr>
        <w:ind w:right="100" w:firstLine="374"/>
        <w:spacing w:after="0" w:line="273" w:lineRule="auto"/>
        <w:rPr>
          <w:sz w:val="20"/>
          <w:szCs w:val="20"/>
          <w:color w:val="auto"/>
        </w:rPr>
      </w:pPr>
      <w:r>
        <w:rPr>
          <w:rFonts w:ascii="Arial" w:cs="Arial" w:eastAsia="Arial" w:hAnsi="Arial"/>
          <w:sz w:val="17"/>
          <w:szCs w:val="17"/>
          <w:i w:val="1"/>
          <w:iCs w:val="1"/>
          <w:color w:val="auto"/>
        </w:rPr>
        <w:t>Interest Income</w:t>
      </w:r>
      <w:r>
        <w:rPr>
          <w:rFonts w:ascii="Arial" w:cs="Arial" w:eastAsia="Arial" w:hAnsi="Arial"/>
          <w:sz w:val="17"/>
          <w:szCs w:val="17"/>
          <w:color w:val="auto"/>
        </w:rPr>
        <w:t>. Interest income, including the amortization of premium and accretion of discount and accrual of payment-in-kind (“PIK”) interest, is</w:t>
      </w:r>
      <w:r>
        <w:rPr>
          <w:rFonts w:ascii="Arial" w:cs="Arial" w:eastAsia="Arial" w:hAnsi="Arial"/>
          <w:sz w:val="17"/>
          <w:szCs w:val="17"/>
          <w:i w:val="1"/>
          <w:iCs w:val="1"/>
          <w:color w:val="auto"/>
        </w:rPr>
        <w:t xml:space="preserve"> </w:t>
      </w:r>
      <w:r>
        <w:rPr>
          <w:rFonts w:ascii="Arial" w:cs="Arial" w:eastAsia="Arial" w:hAnsi="Arial"/>
          <w:sz w:val="17"/>
          <w:szCs w:val="17"/>
          <w:color w:val="auto"/>
        </w:rPr>
        <w:t>recorded on the accrual basis to the extent that such amounts are expected to be collected. The Company generally places a loan or security on non-accrual status and ceases recognizing interest income on such loan or security when a loan or security becomes 90 days or more past due or if the Company otherwise does not expect the debtor to be able to service its debt obligations. Loan origination fees, original issue discount (“OID”), and market discounts are capitalized and accreted into interest income over the respective terms of the applicable loans. Upon the prepayment of a loan, prepayment premiums, any unamortized loan origination fees, OID, or market discounts are recorded as interest income.</w:t>
      </w:r>
    </w:p>
    <w:p>
      <w:pPr>
        <w:spacing w:after="0" w:line="70" w:lineRule="exact"/>
        <w:rPr>
          <w:sz w:val="20"/>
          <w:szCs w:val="20"/>
          <w:color w:val="auto"/>
        </w:rPr>
      </w:pPr>
    </w:p>
    <w:p>
      <w:pPr>
        <w:ind w:right="200" w:firstLine="374"/>
        <w:spacing w:after="0" w:line="279" w:lineRule="auto"/>
        <w:rPr>
          <w:sz w:val="20"/>
          <w:szCs w:val="20"/>
          <w:color w:val="auto"/>
        </w:rPr>
      </w:pPr>
      <w:r>
        <w:rPr>
          <w:rFonts w:ascii="Arial" w:cs="Arial" w:eastAsia="Arial" w:hAnsi="Arial"/>
          <w:sz w:val="17"/>
          <w:szCs w:val="17"/>
          <w:color w:val="auto"/>
        </w:rPr>
        <w:t>For investments with PIK interest, which represents contractual interest accrued and added to the principal balance that generally becomes due at maturity, we will not accrue PIK interest if the portfolio company valuation indicates that the PIK interest is not collectible (i.e. via a partial or full non-accrual). Loans which are on partial or full non-accrual remain in such status until the borrower has demonstrated the ability and intent to pay contractual amounts due or such loans become current. As of March 31, 2021, seven of our debt investments were on non-accrual status.</w:t>
      </w:r>
    </w:p>
    <w:p>
      <w:pPr>
        <w:spacing w:after="0" w:line="131" w:lineRule="exact"/>
        <w:rPr>
          <w:sz w:val="20"/>
          <w:szCs w:val="20"/>
          <w:color w:val="auto"/>
        </w:rPr>
      </w:pPr>
    </w:p>
    <w:p>
      <w:pPr>
        <w:ind w:right="120" w:firstLine="374"/>
        <w:spacing w:after="0" w:line="254" w:lineRule="auto"/>
        <w:rPr>
          <w:sz w:val="20"/>
          <w:szCs w:val="20"/>
          <w:color w:val="auto"/>
        </w:rPr>
      </w:pPr>
      <w:r>
        <w:rPr>
          <w:rFonts w:ascii="Arial" w:cs="Arial" w:eastAsia="Arial" w:hAnsi="Arial"/>
          <w:sz w:val="18"/>
          <w:szCs w:val="18"/>
          <w:i w:val="1"/>
          <w:iCs w:val="1"/>
          <w:color w:val="auto"/>
        </w:rPr>
        <w:t xml:space="preserve">Distributions from Asset Manager Affiliates. </w:t>
      </w:r>
      <w:r>
        <w:rPr>
          <w:rFonts w:ascii="Arial" w:cs="Arial" w:eastAsia="Arial" w:hAnsi="Arial"/>
          <w:sz w:val="18"/>
          <w:szCs w:val="18"/>
          <w:color w:val="auto"/>
        </w:rPr>
        <w:t>The Company records distributions from the Asset Manager Affiliates on the declaration date, which</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represents the ex-dividend date. Distributions in excess of tax-basis earnings and profits of the distributing affiliate company are recognized as tax-basis return of capital. For interim periods, the Company estimates the tax attributes of any distributions as being either from tax-basis earnings and profits (i.e., dividend income) or return of capital (i.e., adjustment to the Company’s cost basis in the Asset Manager Affiliates). The final determination of the tax attributes of distributions from the Asset Manager Affiliates is made on an annual (full calendar year) basis at the end of the year based upon taxable income and distributions for the full-year. Therefore, any estimate of tax attributes of distributions made on a quarterly basis may not be representative of the actual tax attributes of distributions for a full year.</w:t>
      </w:r>
    </w:p>
    <w:p>
      <w:pPr>
        <w:spacing w:after="0" w:line="87" w:lineRule="exact"/>
        <w:rPr>
          <w:sz w:val="20"/>
          <w:szCs w:val="20"/>
          <w:color w:val="auto"/>
        </w:rPr>
      </w:pPr>
    </w:p>
    <w:p>
      <w:pPr>
        <w:jc w:val="both"/>
        <w:ind w:firstLine="374"/>
        <w:spacing w:after="0" w:line="255" w:lineRule="auto"/>
        <w:rPr>
          <w:sz w:val="20"/>
          <w:szCs w:val="20"/>
          <w:color w:val="auto"/>
        </w:rPr>
      </w:pPr>
      <w:r>
        <w:rPr>
          <w:rFonts w:ascii="Arial" w:cs="Arial" w:eastAsia="Arial" w:hAnsi="Arial"/>
          <w:sz w:val="18"/>
          <w:szCs w:val="18"/>
          <w:i w:val="1"/>
          <w:iCs w:val="1"/>
          <w:color w:val="auto"/>
        </w:rPr>
        <w:t>Investment Income on CLO Fund Securities</w:t>
      </w:r>
      <w:r>
        <w:rPr>
          <w:rFonts w:ascii="Arial" w:cs="Arial" w:eastAsia="Arial" w:hAnsi="Arial"/>
          <w:sz w:val="18"/>
          <w:szCs w:val="18"/>
          <w:color w:val="auto"/>
        </w:rPr>
        <w:t>. The Company generates investment income from its investments in the most junior class of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issued by CLO Funds (typically preferred shares or subordinated securities). The Company’s CLO Fund junior class securities are subordinated to senior note holders who typically receive a stated interest rate of return based on a floating rate index, such as the London Interbank Offered Rate (“LIBOR”) on their investment. The CLO Funds are leveraged funds and any excess cash flow or “excess spread” (interest earned by the underlying securities in the fund less payments made to senior note holders and less fund expenses and management fees) is paid to the holders of the CLO Fund’s subordinated securities or preferred shares.</w:t>
      </w:r>
    </w:p>
    <w:p>
      <w:pPr>
        <w:spacing w:after="0" w:line="84" w:lineRule="exact"/>
        <w:rPr>
          <w:sz w:val="20"/>
          <w:szCs w:val="20"/>
          <w:color w:val="auto"/>
        </w:rPr>
      </w:pPr>
    </w:p>
    <w:p>
      <w:pPr>
        <w:ind w:right="80" w:firstLine="374"/>
        <w:spacing w:after="0" w:line="273" w:lineRule="auto"/>
        <w:rPr>
          <w:sz w:val="20"/>
          <w:szCs w:val="20"/>
          <w:color w:val="auto"/>
        </w:rPr>
      </w:pPr>
      <w:r>
        <w:rPr>
          <w:rFonts w:ascii="Arial" w:cs="Arial" w:eastAsia="Arial" w:hAnsi="Arial"/>
          <w:sz w:val="17"/>
          <w:szCs w:val="17"/>
          <w:color w:val="auto"/>
        </w:rPr>
        <w:t>GAAP-basis investment income on CLO equity investments is recorded using the effective interest method in accordance with the provisions of ASC 325-40, based on the anticipated yield and the estimated cash flows over the projected life of the investment. Yields are revised when there are changes in actual or estimated projected future cash flows due to changes in prepayments and/or re-investments, credit losses or asset pricing. Changes in estimated yield are recognized as an adjustment to the estimated yield prospectively over the remaining life of the investment from the date the estimated yield was changed. Accordingly, investment income recognized on CLO equity securities in the GAAP statement of operations differs from both the tax–basis investment income and from the cash distributions actually received by the Company during the period.</w:t>
      </w:r>
    </w:p>
    <w:p>
      <w:pPr>
        <w:spacing w:after="0" w:line="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For non-junior class CLO Fund Securities, interest is earned at a fixed spread relative to the LIBOR index.</w:t>
      </w:r>
    </w:p>
    <w:p>
      <w:pPr>
        <w:spacing w:after="0" w:line="117" w:lineRule="exact"/>
        <w:rPr>
          <w:sz w:val="20"/>
          <w:szCs w:val="20"/>
          <w:color w:val="auto"/>
        </w:rPr>
      </w:pPr>
    </w:p>
    <w:p>
      <w:pPr>
        <w:jc w:val="both"/>
        <w:ind w:right="140" w:firstLine="374"/>
        <w:spacing w:after="0" w:line="257" w:lineRule="auto"/>
        <w:rPr>
          <w:sz w:val="20"/>
          <w:szCs w:val="20"/>
          <w:color w:val="auto"/>
        </w:rPr>
      </w:pPr>
      <w:r>
        <w:rPr>
          <w:rFonts w:ascii="Arial" w:cs="Arial" w:eastAsia="Arial" w:hAnsi="Arial"/>
          <w:sz w:val="18"/>
          <w:szCs w:val="18"/>
          <w:i w:val="1"/>
          <w:iCs w:val="1"/>
          <w:color w:val="auto"/>
        </w:rPr>
        <w:t>Investment income on Joint Ventures</w:t>
      </w:r>
      <w:r>
        <w:rPr>
          <w:rFonts w:ascii="Arial" w:cs="Arial" w:eastAsia="Arial" w:hAnsi="Arial"/>
          <w:sz w:val="18"/>
          <w:szCs w:val="18"/>
          <w:color w:val="auto"/>
        </w:rPr>
        <w:t>. The Company recognizes investment income on its investment in the Joint Ventures based upon its share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estimated earnings and profits of the Joint Venture on the ex-dividend or ex-distribution date. The final determination of the tax attributes of distributions from the Joint Ventures is made on an annual (full calendar year) basis at the end of the year based upon taxable income and distributions for the full year. Therefore, any estimate of tax attributes of distributions made on an interim basis may not be representative of the actual tax attributes of distributions for the full year.</w:t>
      </w:r>
    </w:p>
    <w:p>
      <w:pPr>
        <w:spacing w:after="0" w:line="80" w:lineRule="exact"/>
        <w:rPr>
          <w:sz w:val="20"/>
          <w:szCs w:val="20"/>
          <w:color w:val="auto"/>
        </w:rPr>
      </w:pPr>
    </w:p>
    <w:p>
      <w:pPr>
        <w:jc w:val="both"/>
        <w:ind w:right="320" w:firstLine="374"/>
        <w:spacing w:after="0" w:line="259" w:lineRule="auto"/>
        <w:rPr>
          <w:sz w:val="20"/>
          <w:szCs w:val="20"/>
          <w:color w:val="auto"/>
        </w:rPr>
      </w:pPr>
      <w:r>
        <w:rPr>
          <w:rFonts w:ascii="Arial" w:cs="Arial" w:eastAsia="Arial" w:hAnsi="Arial"/>
          <w:sz w:val="18"/>
          <w:szCs w:val="18"/>
          <w:i w:val="1"/>
          <w:iCs w:val="1"/>
          <w:color w:val="auto"/>
        </w:rPr>
        <w:t>Capital Structuring Service Fees</w:t>
      </w:r>
      <w:r>
        <w:rPr>
          <w:rFonts w:ascii="Arial" w:cs="Arial" w:eastAsia="Arial" w:hAnsi="Arial"/>
          <w:sz w:val="18"/>
          <w:szCs w:val="18"/>
          <w:color w:val="auto"/>
        </w:rPr>
        <w:t>. The Company may earn ancillary structuring and other fees related to the origination, investment, disposition or</w:t>
      </w:r>
      <w:r>
        <w:rPr>
          <w:rFonts w:ascii="Arial" w:cs="Arial" w:eastAsia="Arial" w:hAnsi="Arial"/>
          <w:sz w:val="18"/>
          <w:szCs w:val="18"/>
          <w:i w:val="1"/>
          <w:iCs w:val="1"/>
          <w:color w:val="auto"/>
        </w:rPr>
        <w:t xml:space="preserve"> </w:t>
      </w:r>
      <w:r>
        <w:rPr>
          <w:rFonts w:ascii="Arial" w:cs="Arial" w:eastAsia="Arial" w:hAnsi="Arial"/>
          <w:sz w:val="18"/>
          <w:szCs w:val="18"/>
          <w:color w:val="auto"/>
        </w:rPr>
        <w:t>liquidation of debt and investment securities. Generally, the Company will capitalize loan origination fees, then amortize these fees into interest income over the term of the loan using the effective interest rate method, recognize prepayment and liquidation fees upon receipt and equity structuring fees as earned, which generally occurs when an investment transaction closes.</w:t>
      </w:r>
    </w:p>
    <w:p>
      <w:pPr>
        <w:spacing w:after="0" w:line="79" w:lineRule="exact"/>
        <w:rPr>
          <w:sz w:val="20"/>
          <w:szCs w:val="20"/>
          <w:color w:val="auto"/>
        </w:rPr>
      </w:pPr>
    </w:p>
    <w:p>
      <w:pPr>
        <w:ind w:right="20" w:firstLine="374"/>
        <w:spacing w:after="0" w:line="342" w:lineRule="auto"/>
        <w:rPr>
          <w:sz w:val="20"/>
          <w:szCs w:val="20"/>
          <w:color w:val="auto"/>
        </w:rPr>
      </w:pPr>
      <w:r>
        <w:rPr>
          <w:rFonts w:ascii="Arial" w:cs="Arial" w:eastAsia="Arial" w:hAnsi="Arial"/>
          <w:sz w:val="16"/>
          <w:szCs w:val="16"/>
          <w:i w:val="1"/>
          <w:iCs w:val="1"/>
          <w:color w:val="auto"/>
        </w:rPr>
        <w:t>Debt Issuance Costs</w:t>
      </w:r>
      <w:r>
        <w:rPr>
          <w:rFonts w:ascii="Arial" w:cs="Arial" w:eastAsia="Arial" w:hAnsi="Arial"/>
          <w:sz w:val="16"/>
          <w:szCs w:val="16"/>
          <w:color w:val="auto"/>
        </w:rPr>
        <w:t>. Debt issuance costs represent fees and other direct costs incurred in connection with the Company’s borrowings. These amounts</w:t>
      </w:r>
      <w:r>
        <w:rPr>
          <w:rFonts w:ascii="Arial" w:cs="Arial" w:eastAsia="Arial" w:hAnsi="Arial"/>
          <w:sz w:val="16"/>
          <w:szCs w:val="16"/>
          <w:i w:val="1"/>
          <w:iCs w:val="1"/>
          <w:color w:val="auto"/>
        </w:rPr>
        <w:t xml:space="preserve"> </w:t>
      </w:r>
      <w:r>
        <w:rPr>
          <w:rFonts w:ascii="Arial" w:cs="Arial" w:eastAsia="Arial" w:hAnsi="Arial"/>
          <w:sz w:val="16"/>
          <w:szCs w:val="16"/>
          <w:color w:val="auto"/>
        </w:rPr>
        <w:t>are capitalized, presented as a reduction of debt, and amortized using the effective interest method over the expected term of the borrowing.</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7" w:name="page48"/>
    <w:bookmarkEnd w:id="47"/>
    <w:p>
      <w:pPr>
        <w:ind w:right="220" w:firstLine="374"/>
        <w:spacing w:after="0" w:line="301" w:lineRule="auto"/>
        <w:rPr>
          <w:sz w:val="20"/>
          <w:szCs w:val="20"/>
          <w:color w:val="auto"/>
        </w:rPr>
      </w:pPr>
      <w:r>
        <w:rPr>
          <w:rFonts w:ascii="Arial" w:cs="Arial" w:eastAsia="Arial" w:hAnsi="Arial"/>
          <w:sz w:val="16"/>
          <w:szCs w:val="16"/>
          <w:i w:val="1"/>
          <w:iCs w:val="1"/>
          <w:color w:val="auto"/>
        </w:rPr>
        <w:t>Extinguishment of debt</w:t>
      </w:r>
      <w:r>
        <w:rPr>
          <w:rFonts w:ascii="Arial" w:cs="Arial" w:eastAsia="Arial" w:hAnsi="Arial"/>
          <w:sz w:val="16"/>
          <w:szCs w:val="16"/>
          <w:color w:val="auto"/>
        </w:rPr>
        <w:t>. The Company must derecognize a liability if and only if it has been extinguished through delivery of cash, delivery of other</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assets, delivery of goods or services, or reacquisition by the Company of its outstanding debt securities whether the securities are cancelled or held. If the debt contains a cash conversion option, the Company must allocate the consideration transferred and transaction costs incurred to the extinguishment of the liability component and the reacquisition of the equity component and recognize a gain or loss in the statement of operations.</w:t>
      </w:r>
    </w:p>
    <w:p>
      <w:pPr>
        <w:spacing w:after="0" w:line="49" w:lineRule="exact"/>
        <w:rPr>
          <w:sz w:val="20"/>
          <w:szCs w:val="20"/>
          <w:color w:val="auto"/>
        </w:rPr>
      </w:pPr>
    </w:p>
    <w:p>
      <w:pPr>
        <w:ind w:right="80" w:firstLine="374"/>
        <w:spacing w:after="0" w:line="269" w:lineRule="auto"/>
        <w:rPr>
          <w:sz w:val="20"/>
          <w:szCs w:val="20"/>
          <w:color w:val="auto"/>
        </w:rPr>
      </w:pPr>
      <w:r>
        <w:rPr>
          <w:rFonts w:ascii="Arial" w:cs="Arial" w:eastAsia="Arial" w:hAnsi="Arial"/>
          <w:sz w:val="17"/>
          <w:szCs w:val="17"/>
          <w:i w:val="1"/>
          <w:iCs w:val="1"/>
          <w:color w:val="auto"/>
        </w:rPr>
        <w:t>Expenses</w:t>
      </w:r>
      <w:r>
        <w:rPr>
          <w:rFonts w:ascii="Arial" w:cs="Arial" w:eastAsia="Arial" w:hAnsi="Arial"/>
          <w:sz w:val="17"/>
          <w:szCs w:val="17"/>
          <w:color w:val="auto"/>
        </w:rPr>
        <w:t>. Prior to April 1, 2019, the Company was internally managed and expensed costs, as incurred, with regard to the running of its operations.</w:t>
      </w:r>
      <w:r>
        <w:rPr>
          <w:rFonts w:ascii="Arial" w:cs="Arial" w:eastAsia="Arial" w:hAnsi="Arial"/>
          <w:sz w:val="17"/>
          <w:szCs w:val="17"/>
          <w:i w:val="1"/>
          <w:iCs w:val="1"/>
          <w:color w:val="auto"/>
        </w:rPr>
        <w:t xml:space="preserve"> </w:t>
      </w:r>
      <w:r>
        <w:rPr>
          <w:rFonts w:ascii="Arial" w:cs="Arial" w:eastAsia="Arial" w:hAnsi="Arial"/>
          <w:sz w:val="17"/>
          <w:szCs w:val="17"/>
          <w:color w:val="auto"/>
        </w:rPr>
        <w:t>Primary operating expenses included employee salaries and benefits, the costs of identifying, evaluating, negotiating, closing, monitoring and servicing the Company’s investments and related overhead charges and expenses, including rental expense, and any interest expense incurred in connection with borrowings. Since April 1, 2019, the Company has been externally managed and in connection with the Advisory Agreement, pays the Adviser certain investment advisory fees and reimburses the Adviser and Administrator for certain expenses incurred in connection with the services they provide. See Note 5 “Related Party Transactions - Payment of Expenses under the Advisory and Administration Agreements.” Through December 31, 2018, the Company and the Asset Manager Affiliates shared office space and certain other operating expenses. The Company entered into an overhead allocation agreement with the Asset Manager Affiliates (“Overhead Allocation Agreement”) which provided for the sharing of such expenses based on an allocation of office lease costs and the ratable usage of other shared resources. Until its termination in the fourth quarter of 2019, the Company continued to bear the costs associated with the office lease entered into by the Company prior to the Closing.</w:t>
      </w:r>
    </w:p>
    <w:p>
      <w:pPr>
        <w:spacing w:after="0" w:line="77" w:lineRule="exact"/>
        <w:rPr>
          <w:sz w:val="20"/>
          <w:szCs w:val="20"/>
          <w:color w:val="auto"/>
        </w:rPr>
      </w:pPr>
    </w:p>
    <w:p>
      <w:pPr>
        <w:ind w:right="680" w:firstLine="374"/>
        <w:spacing w:after="0" w:line="259" w:lineRule="auto"/>
        <w:rPr>
          <w:sz w:val="20"/>
          <w:szCs w:val="20"/>
          <w:color w:val="auto"/>
        </w:rPr>
      </w:pPr>
      <w:r>
        <w:rPr>
          <w:rFonts w:ascii="Arial" w:cs="Arial" w:eastAsia="Arial" w:hAnsi="Arial"/>
          <w:sz w:val="18"/>
          <w:szCs w:val="18"/>
          <w:i w:val="1"/>
          <w:iCs w:val="1"/>
          <w:color w:val="auto"/>
        </w:rPr>
        <w:t>Shareholder Distributions</w:t>
      </w:r>
      <w:r>
        <w:rPr>
          <w:rFonts w:ascii="Arial" w:cs="Arial" w:eastAsia="Arial" w:hAnsi="Arial"/>
          <w:sz w:val="18"/>
          <w:szCs w:val="18"/>
          <w:color w:val="auto"/>
        </w:rPr>
        <w:t>. Distributions to common stockholders are recorded on the ex-dividend date. The amount of distributions, if any, is</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by the Board each quarter. The Company has adopted a dividend reinvestment plan (the DRIP) that provides for reinvestment of its distributions on behalf of its stockholders, unless a stockholder “opts out” of the DRIP to receive cash in lieu of having their cash distributions automatically reinvested in additional shares of the Company’s common stock.</w:t>
      </w:r>
    </w:p>
    <w:p>
      <w:pPr>
        <w:spacing w:after="0" w:line="200" w:lineRule="exact"/>
        <w:rPr>
          <w:sz w:val="20"/>
          <w:szCs w:val="20"/>
          <w:color w:val="auto"/>
        </w:rPr>
      </w:pPr>
    </w:p>
    <w:p>
      <w:pPr>
        <w:spacing w:after="0" w:line="374" w:lineRule="exact"/>
        <w:rPr>
          <w:sz w:val="20"/>
          <w:szCs w:val="20"/>
          <w:color w:val="auto"/>
        </w:rPr>
      </w:pPr>
    </w:p>
    <w:p>
      <w:pPr>
        <w:ind w:left="380" w:hanging="372"/>
        <w:spacing w:after="0"/>
        <w:tabs>
          <w:tab w:leader="none" w:pos="38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EARNINGS (LOSSES) PER SHARE</w:t>
      </w:r>
    </w:p>
    <w:p>
      <w:pPr>
        <w:spacing w:after="0" w:line="229" w:lineRule="exact"/>
        <w:rPr>
          <w:sz w:val="20"/>
          <w:szCs w:val="20"/>
          <w:color w:val="auto"/>
        </w:rPr>
      </w:pPr>
    </w:p>
    <w:p>
      <w:pPr>
        <w:ind w:right="100" w:firstLine="374"/>
        <w:spacing w:after="0" w:line="263" w:lineRule="auto"/>
        <w:rPr>
          <w:sz w:val="20"/>
          <w:szCs w:val="20"/>
          <w:color w:val="auto"/>
        </w:rPr>
      </w:pPr>
      <w:r>
        <w:rPr>
          <w:rFonts w:ascii="Arial" w:cs="Arial" w:eastAsia="Arial" w:hAnsi="Arial"/>
          <w:sz w:val="18"/>
          <w:szCs w:val="18"/>
          <w:color w:val="auto"/>
        </w:rPr>
        <w:t>In accordance with the provisions of ASC 260, “Earnings per Share” (“ASC 260”), basic earnings per share is computed by dividing earnings available to common shareholders by the weighted average number of shares outstanding during the period. Other potentially dilutive common shares, and the related impact to earnings, are considered when calculating earnings per share on a diluted basis.</w:t>
      </w:r>
    </w:p>
    <w:p>
      <w:pPr>
        <w:spacing w:after="0" w:line="184" w:lineRule="exact"/>
        <w:rPr>
          <w:sz w:val="20"/>
          <w:szCs w:val="20"/>
          <w:color w:val="auto"/>
        </w:rPr>
      </w:pPr>
    </w:p>
    <w:p>
      <w:pPr>
        <w:ind w:right="580" w:firstLine="374"/>
        <w:spacing w:after="0" w:line="277" w:lineRule="auto"/>
        <w:rPr>
          <w:sz w:val="20"/>
          <w:szCs w:val="20"/>
          <w:color w:val="auto"/>
        </w:rPr>
      </w:pPr>
      <w:r>
        <w:rPr>
          <w:rFonts w:ascii="Arial" w:cs="Arial" w:eastAsia="Arial" w:hAnsi="Arial"/>
          <w:sz w:val="18"/>
          <w:szCs w:val="18"/>
          <w:color w:val="auto"/>
        </w:rPr>
        <w:t>The following information sets forth the computation of basic and diluted net increase (decrease) in stockholders’ equity per share for the three months ended March 31, 2021 and 2020:</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w w:val="98"/>
              </w:rPr>
              <w:t>Three Months Ended March 31,</w:t>
            </w:r>
          </w:p>
        </w:tc>
        <w:tc>
          <w:tcPr>
            <w:tcW w:w="20" w:type="dxa"/>
            <w:vAlign w:val="bottom"/>
          </w:tcPr>
          <w:p>
            <w:pPr>
              <w:spacing w:after="0"/>
              <w:rPr>
                <w:sz w:val="20"/>
                <w:szCs w:val="20"/>
                <w:color w:val="auto"/>
              </w:rPr>
            </w:pPr>
          </w:p>
        </w:tc>
      </w:tr>
      <w:tr>
        <w:trPr>
          <w:trHeight w:val="223"/>
        </w:trPr>
        <w:tc>
          <w:tcPr>
            <w:tcW w:w="778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Net increase (decrease) increase in net assets resulting from operations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8,037,115</w:t>
            </w:r>
          </w:p>
        </w:tc>
        <w:tc>
          <w:tcPr>
            <w:tcW w:w="2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(29,052,933)</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09"/>
        </w:trPr>
        <w:tc>
          <w:tcPr>
            <w:tcW w:w="7780" w:type="dxa"/>
            <w:vAlign w:val="bottom"/>
          </w:tcPr>
          <w:p>
            <w:pPr>
              <w:spacing w:after="0"/>
              <w:rPr>
                <w:sz w:val="20"/>
                <w:szCs w:val="20"/>
                <w:color w:val="auto"/>
              </w:rPr>
            </w:pPr>
            <w:r>
              <w:rPr>
                <w:rFonts w:ascii="Arial" w:cs="Arial" w:eastAsia="Arial" w:hAnsi="Arial"/>
                <w:sz w:val="18"/>
                <w:szCs w:val="18"/>
                <w:color w:val="auto"/>
                <w:w w:val="95"/>
              </w:rPr>
              <w:t>Weighted average number of common and common stock equivalent shares outstanding for basic and</w:t>
            </w: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70"/>
        </w:trPr>
        <w:tc>
          <w:tcPr>
            <w:tcW w:w="7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diluted shares computation</w:t>
            </w:r>
          </w:p>
        </w:tc>
        <w:tc>
          <w:tcPr>
            <w:tcW w:w="2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75,174,533</w:t>
            </w:r>
          </w:p>
        </w:tc>
        <w:tc>
          <w:tcPr>
            <w:tcW w:w="200" w:type="dxa"/>
            <w:vAlign w:val="bottom"/>
            <w:tcBorders>
              <w:bottom w:val="single" w:sz="8" w:color="CFF0FC"/>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44,823,193</w:t>
            </w:r>
          </w:p>
        </w:tc>
        <w:tc>
          <w:tcPr>
            <w:tcW w:w="120" w:type="dxa"/>
            <w:vAlign w:val="bottom"/>
            <w:tcBorders>
              <w:bottom w:val="single" w:sz="8" w:color="CFF0FC"/>
            </w:tcBorders>
          </w:tcPr>
          <w:p>
            <w:pPr>
              <w:spacing w:after="0"/>
              <w:rPr>
                <w:sz w:val="23"/>
                <w:szCs w:val="23"/>
                <w:color w:val="auto"/>
              </w:rPr>
            </w:pPr>
          </w:p>
        </w:tc>
        <w:tc>
          <w:tcPr>
            <w:tcW w:w="20" w:type="dxa"/>
            <w:vAlign w:val="bottom"/>
          </w:tcPr>
          <w:p>
            <w:pPr>
              <w:spacing w:after="0"/>
              <w:rPr>
                <w:sz w:val="23"/>
                <w:szCs w:val="23"/>
                <w:color w:val="auto"/>
              </w:rPr>
            </w:pPr>
          </w:p>
        </w:tc>
      </w:tr>
      <w:tr>
        <w:trPr>
          <w:trHeight w:val="210"/>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Net (decrease) increase in net assets per basic common shares:</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Net (decrease) increase in net assets from operations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0.11</w:t>
            </w:r>
          </w:p>
        </w:tc>
        <w:tc>
          <w:tcPr>
            <w:tcW w:w="200" w:type="dxa"/>
            <w:vAlign w:val="bottom"/>
          </w:tcPr>
          <w:p>
            <w:pPr>
              <w:spacing w:after="0"/>
              <w:rPr>
                <w:sz w:val="19"/>
                <w:szCs w:val="19"/>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(0.65)</w:t>
            </w:r>
          </w:p>
        </w:tc>
        <w:tc>
          <w:tcPr>
            <w:tcW w:w="20" w:type="dxa"/>
            <w:vAlign w:val="bottom"/>
          </w:tcPr>
          <w:p>
            <w:pPr>
              <w:spacing w:after="0"/>
              <w:rPr>
                <w:sz w:val="19"/>
                <w:szCs w:val="19"/>
                <w:color w:val="auto"/>
              </w:rPr>
            </w:pPr>
          </w:p>
        </w:tc>
      </w:tr>
      <w:tr>
        <w:trPr>
          <w:trHeight w:val="230"/>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Net (decrease) increase in net assets per diluted shares:</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Net (decrease) increase in net assets from operations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0.11</w:t>
            </w:r>
          </w:p>
        </w:tc>
        <w:tc>
          <w:tcPr>
            <w:tcW w:w="200" w:type="dxa"/>
            <w:vAlign w:val="bottom"/>
          </w:tcPr>
          <w:p>
            <w:pPr>
              <w:spacing w:after="0"/>
              <w:rPr>
                <w:sz w:val="20"/>
                <w:szCs w:val="20"/>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(0.65)</w:t>
            </w:r>
          </w:p>
        </w:tc>
        <w:tc>
          <w:tcPr>
            <w:tcW w:w="20" w:type="dxa"/>
            <w:vAlign w:val="bottom"/>
          </w:tcPr>
          <w:p>
            <w:pPr>
              <w:spacing w:after="0"/>
              <w:rPr>
                <w:sz w:val="20"/>
                <w:szCs w:val="20"/>
                <w:color w:val="auto"/>
              </w:rPr>
            </w:pPr>
          </w:p>
        </w:tc>
      </w:tr>
      <w:tr>
        <w:trPr>
          <w:trHeight w:val="647"/>
        </w:trPr>
        <w:tc>
          <w:tcPr>
            <w:tcW w:w="7780" w:type="dxa"/>
            <w:vAlign w:val="bottom"/>
          </w:tcPr>
          <w:p>
            <w:pPr>
              <w:ind w:left="5540"/>
              <w:spacing w:after="0"/>
              <w:rPr>
                <w:sz w:val="20"/>
                <w:szCs w:val="20"/>
                <w:color w:val="auto"/>
              </w:rPr>
            </w:pPr>
            <w:r>
              <w:rPr>
                <w:rFonts w:ascii="Arial" w:cs="Arial" w:eastAsia="Arial" w:hAnsi="Arial"/>
                <w:sz w:val="18"/>
                <w:szCs w:val="18"/>
                <w:color w:val="auto"/>
              </w:rPr>
              <w:t>48</w:t>
            </w: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77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233" w:right="319" w:bottom="1440" w:gutter="0" w:footer="0" w:header="0"/>
        </w:sectPr>
      </w:pPr>
    </w:p>
    <w:bookmarkStart w:id="48" w:name="page49"/>
    <w:bookmarkEnd w:id="48"/>
    <w:p>
      <w:pPr>
        <w:ind w:left="380" w:hanging="372"/>
        <w:spacing w:after="0"/>
        <w:tabs>
          <w:tab w:leader="none" w:pos="38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188"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shows the Company’s portfolio by security type at March 31, 2021 and December 31, 2020:</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60" w:type="dxa"/>
            <w:vAlign w:val="bottom"/>
            <w:gridSpan w:val="4"/>
          </w:tcPr>
          <w:p>
            <w:pPr>
              <w:jc w:val="right"/>
              <w:ind w:right="900"/>
              <w:spacing w:after="0"/>
              <w:rPr>
                <w:sz w:val="20"/>
                <w:szCs w:val="20"/>
                <w:color w:val="auto"/>
              </w:rPr>
            </w:pPr>
            <w:r>
              <w:rPr>
                <w:rFonts w:ascii="Arial" w:cs="Arial" w:eastAsia="Arial" w:hAnsi="Arial"/>
                <w:sz w:val="18"/>
                <w:szCs w:val="18"/>
                <w:b w:val="1"/>
                <w:bCs w:val="1"/>
                <w:color w:val="auto"/>
              </w:rPr>
              <w:t>March 31, 2021</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0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4"/>
          </w:tcPr>
          <w:p>
            <w:pPr>
              <w:jc w:val="right"/>
              <w:ind w:right="1020"/>
              <w:spacing w:after="0"/>
              <w:rPr>
                <w:sz w:val="20"/>
                <w:szCs w:val="20"/>
                <w:color w:val="auto"/>
              </w:rPr>
            </w:pPr>
            <w:r>
              <w:rPr>
                <w:rFonts w:ascii="Arial" w:cs="Arial" w:eastAsia="Arial" w:hAnsi="Arial"/>
                <w:sz w:val="18"/>
                <w:szCs w:val="18"/>
                <w:b w:val="1"/>
                <w:bCs w:val="1"/>
                <w:color w:val="auto"/>
              </w:rPr>
              <w:t>(Unaudited)</w:t>
            </w:r>
          </w:p>
        </w:tc>
        <w:tc>
          <w:tcPr>
            <w:tcW w:w="4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4"/>
          </w:tcPr>
          <w:p>
            <w:pPr>
              <w:jc w:val="right"/>
              <w:ind w:right="760"/>
              <w:spacing w:after="0"/>
              <w:rPr>
                <w:sz w:val="20"/>
                <w:szCs w:val="20"/>
                <w:color w:val="auto"/>
              </w:rPr>
            </w:pPr>
            <w:r>
              <w:rPr>
                <w:rFonts w:ascii="Arial" w:cs="Arial" w:eastAsia="Arial" w:hAnsi="Arial"/>
                <w:sz w:val="18"/>
                <w:szCs w:val="18"/>
                <w:b w:val="1"/>
                <w:bCs w:val="1"/>
                <w:color w:val="auto"/>
              </w:rPr>
              <w:t>December 31, 2020</w:t>
            </w:r>
          </w:p>
        </w:tc>
        <w:tc>
          <w:tcPr>
            <w:tcW w:w="4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3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gridSpan w:val="2"/>
          </w:tcPr>
          <w:p>
            <w:pPr>
              <w:jc w:val="center"/>
              <w:ind w:right="440"/>
              <w:spacing w:after="0" w:line="205" w:lineRule="exact"/>
              <w:rPr>
                <w:sz w:val="20"/>
                <w:szCs w:val="20"/>
                <w:color w:val="auto"/>
              </w:rPr>
            </w:pPr>
            <w:r>
              <w:rPr>
                <w:rFonts w:ascii="Arial" w:cs="Arial" w:eastAsia="Arial" w:hAnsi="Arial"/>
                <w:sz w:val="18"/>
                <w:szCs w:val="18"/>
                <w:b w:val="1"/>
                <w:bCs w:val="1"/>
                <w:color w:val="auto"/>
                <w:w w:val="91"/>
              </w:rPr>
              <w:t>Cost/Amortized</w:t>
            </w: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right"/>
              <w:ind w:right="70"/>
              <w:spacing w:after="0" w:line="205" w:lineRule="exact"/>
              <w:rPr>
                <w:sz w:val="20"/>
                <w:szCs w:val="20"/>
                <w:color w:val="auto"/>
              </w:rPr>
            </w:pPr>
            <w:r>
              <w:rPr>
                <w:rFonts w:ascii="Arial" w:cs="Arial" w:eastAsia="Arial" w:hAnsi="Arial"/>
                <w:sz w:val="18"/>
                <w:szCs w:val="18"/>
                <w:b w:val="1"/>
                <w:bCs w:val="1"/>
                <w:color w:val="auto"/>
                <w:w w:val="93"/>
              </w:rPr>
              <w:t>Cost/Amortized</w:t>
            </w: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80" w:type="dxa"/>
            <w:vAlign w:val="bottom"/>
          </w:tcPr>
          <w:p>
            <w:pPr>
              <w:spacing w:after="0"/>
              <w:rPr>
                <w:sz w:val="20"/>
                <w:szCs w:val="20"/>
                <w:color w:val="auto"/>
              </w:rPr>
            </w:pPr>
            <w:r>
              <w:rPr>
                <w:rFonts w:ascii="Arial" w:cs="Arial" w:eastAsia="Arial" w:hAnsi="Arial"/>
                <w:sz w:val="18"/>
                <w:szCs w:val="18"/>
                <w:b w:val="1"/>
                <w:bCs w:val="1"/>
                <w:color w:val="auto"/>
              </w:rPr>
              <w:t>Security Type</w:t>
            </w:r>
          </w:p>
        </w:tc>
        <w:tc>
          <w:tcPr>
            <w:tcW w:w="140" w:type="dxa"/>
            <w:vAlign w:val="bottom"/>
          </w:tcPr>
          <w:p>
            <w:pPr>
              <w:spacing w:after="0"/>
              <w:rPr>
                <w:sz w:val="20"/>
                <w:szCs w:val="20"/>
                <w:color w:val="auto"/>
              </w:rPr>
            </w:pPr>
          </w:p>
        </w:tc>
        <w:tc>
          <w:tcPr>
            <w:tcW w:w="17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Cost</w:t>
            </w:r>
          </w:p>
        </w:tc>
        <w:tc>
          <w:tcPr>
            <w:tcW w:w="15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Fair Value</w:t>
            </w:r>
          </w:p>
        </w:tc>
        <w:tc>
          <w:tcPr>
            <w:tcW w:w="420" w:type="dxa"/>
            <w:vAlign w:val="bottom"/>
          </w:tcPr>
          <w:p>
            <w:pPr>
              <w:jc w:val="right"/>
              <w:ind w:right="10"/>
              <w:spacing w:after="0"/>
              <w:rPr>
                <w:sz w:val="20"/>
                <w:szCs w:val="20"/>
                <w:color w:val="auto"/>
              </w:rPr>
            </w:pPr>
            <w:r>
              <w:rPr>
                <w:rFonts w:ascii="Arial" w:cs="Arial" w:eastAsia="Arial" w:hAnsi="Arial"/>
                <w:sz w:val="18"/>
                <w:szCs w:val="18"/>
                <w:b w:val="1"/>
                <w:bCs w:val="1"/>
                <w:color w:val="auto"/>
              </w:rPr>
              <w:t>%¹</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jc w:val="right"/>
              <w:ind w:right="510"/>
              <w:spacing w:after="0"/>
              <w:rPr>
                <w:sz w:val="20"/>
                <w:szCs w:val="20"/>
                <w:color w:val="auto"/>
              </w:rPr>
            </w:pPr>
            <w:r>
              <w:rPr>
                <w:rFonts w:ascii="Arial" w:cs="Arial" w:eastAsia="Arial" w:hAnsi="Arial"/>
                <w:sz w:val="18"/>
                <w:szCs w:val="18"/>
                <w:b w:val="1"/>
                <w:bCs w:val="1"/>
                <w:color w:val="auto"/>
              </w:rPr>
              <w:t>Cost</w:t>
            </w:r>
          </w:p>
        </w:tc>
        <w:tc>
          <w:tcPr>
            <w:tcW w:w="300" w:type="dxa"/>
            <w:vAlign w:val="bottom"/>
          </w:tcPr>
          <w:p>
            <w:pPr>
              <w:spacing w:after="0"/>
              <w:rPr>
                <w:sz w:val="20"/>
                <w:szCs w:val="20"/>
                <w:color w:val="auto"/>
              </w:rPr>
            </w:pPr>
          </w:p>
        </w:tc>
        <w:tc>
          <w:tcPr>
            <w:tcW w:w="15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Fair Value</w:t>
            </w:r>
          </w:p>
        </w:tc>
        <w:tc>
          <w:tcPr>
            <w:tcW w:w="420" w:type="dxa"/>
            <w:vAlign w:val="bottom"/>
          </w:tcPr>
          <w:p>
            <w:pPr>
              <w:jc w:val="right"/>
              <w:ind w:right="10"/>
              <w:spacing w:after="0"/>
              <w:rPr>
                <w:sz w:val="20"/>
                <w:szCs w:val="20"/>
                <w:color w:val="auto"/>
              </w:rPr>
            </w:pPr>
            <w:r>
              <w:rPr>
                <w:rFonts w:ascii="Arial" w:cs="Arial" w:eastAsia="Arial" w:hAnsi="Arial"/>
                <w:sz w:val="18"/>
                <w:szCs w:val="18"/>
                <w:b w:val="1"/>
                <w:bCs w:val="1"/>
                <w:color w:val="auto"/>
              </w:rPr>
              <w:t>%¹</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Senior Secured Loan</w:t>
            </w:r>
          </w:p>
        </w:tc>
        <w:tc>
          <w:tcPr>
            <w:tcW w:w="14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302,205,721</w:t>
            </w:r>
          </w:p>
        </w:tc>
        <w:tc>
          <w:tcPr>
            <w:tcW w:w="280" w:type="dxa"/>
            <w:vAlign w:val="bottom"/>
            <w:tcBorders>
              <w:top w:val="single" w:sz="8" w:color="CFF0FC"/>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322,362,553</w:t>
            </w:r>
          </w:p>
        </w:tc>
        <w:tc>
          <w:tcPr>
            <w:tcW w:w="28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1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304,539,184</w:t>
            </w:r>
          </w:p>
        </w:tc>
        <w:tc>
          <w:tcPr>
            <w:tcW w:w="30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328,845,612</w:t>
            </w:r>
          </w:p>
        </w:tc>
        <w:tc>
          <w:tcPr>
            <w:tcW w:w="30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80" w:type="dxa"/>
            <w:vAlign w:val="bottom"/>
          </w:tcPr>
          <w:p>
            <w:pPr>
              <w:spacing w:after="0"/>
              <w:rPr>
                <w:sz w:val="20"/>
                <w:szCs w:val="20"/>
                <w:color w:val="auto"/>
              </w:rPr>
            </w:pPr>
            <w:r>
              <w:rPr>
                <w:rFonts w:ascii="Arial" w:cs="Arial" w:eastAsia="Arial" w:hAnsi="Arial"/>
                <w:sz w:val="18"/>
                <w:szCs w:val="18"/>
                <w:color w:val="auto"/>
              </w:rPr>
              <w:t>Junior Secured Loan</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74,733,439</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64,639,644</w:t>
            </w:r>
          </w:p>
        </w:tc>
        <w:tc>
          <w:tcPr>
            <w:tcW w:w="2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87,977,057</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75,807,477</w:t>
            </w:r>
          </w:p>
        </w:tc>
        <w:tc>
          <w:tcPr>
            <w:tcW w:w="3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Senior Unsecured Bond</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416,170</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41,792</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416,170</w:t>
            </w:r>
          </w:p>
        </w:tc>
        <w:tc>
          <w:tcPr>
            <w:tcW w:w="15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207,766</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80" w:type="dxa"/>
            <w:vAlign w:val="bottom"/>
          </w:tcPr>
          <w:p>
            <w:pPr>
              <w:spacing w:after="0"/>
              <w:rPr>
                <w:sz w:val="20"/>
                <w:szCs w:val="20"/>
                <w:color w:val="auto"/>
              </w:rPr>
            </w:pPr>
            <w:r>
              <w:rPr>
                <w:rFonts w:ascii="Arial" w:cs="Arial" w:eastAsia="Arial" w:hAnsi="Arial"/>
                <w:sz w:val="18"/>
                <w:szCs w:val="18"/>
                <w:color w:val="auto"/>
              </w:rPr>
              <w:t>CLO Fund Securities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35,264,540</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16,021,434</w:t>
            </w:r>
          </w:p>
        </w:tc>
        <w:tc>
          <w:tcPr>
            <w:tcW w:w="2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45,727,813</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19,582,555</w:t>
            </w:r>
          </w:p>
        </w:tc>
        <w:tc>
          <w:tcPr>
            <w:tcW w:w="3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Equity Securities</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23,950,747</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14,651,029</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24,593,639</w:t>
            </w:r>
          </w:p>
        </w:tc>
        <w:tc>
          <w:tcPr>
            <w:tcW w:w="15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13,944,876</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80" w:type="dxa"/>
            <w:vAlign w:val="bottom"/>
          </w:tcPr>
          <w:p>
            <w:pPr>
              <w:spacing w:after="0"/>
              <w:rPr>
                <w:sz w:val="20"/>
                <w:szCs w:val="20"/>
                <w:color w:val="auto"/>
              </w:rPr>
            </w:pPr>
            <w:r>
              <w:rPr>
                <w:rFonts w:ascii="Arial" w:cs="Arial" w:eastAsia="Arial" w:hAnsi="Arial"/>
                <w:sz w:val="18"/>
                <w:szCs w:val="18"/>
                <w:color w:val="auto"/>
              </w:rPr>
              <w:t>Asset Manager Affiliates</w:t>
            </w:r>
            <w:r>
              <w:rPr>
                <w:rFonts w:ascii="Arial" w:cs="Arial" w:eastAsia="Arial" w:hAnsi="Arial"/>
                <w:sz w:val="15"/>
                <w:szCs w:val="15"/>
                <w:color w:val="auto"/>
              </w:rPr>
              <w:t>2</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17,791,230</w:t>
            </w:r>
          </w:p>
        </w:tc>
        <w:tc>
          <w:tcPr>
            <w:tcW w:w="280" w:type="dxa"/>
            <w:vAlign w:val="bottom"/>
          </w:tcPr>
          <w:p>
            <w:pPr>
              <w:spacing w:after="0"/>
              <w:rPr>
                <w:sz w:val="19"/>
                <w:szCs w:val="19"/>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gridSpan w:val="4"/>
          </w:tcPr>
          <w:p>
            <w:pPr>
              <w:jc w:val="right"/>
              <w:ind w:right="407"/>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17,791,230</w:t>
            </w:r>
          </w:p>
        </w:tc>
        <w:tc>
          <w:tcPr>
            <w:tcW w:w="300" w:type="dxa"/>
            <w:vAlign w:val="bottom"/>
          </w:tcPr>
          <w:p>
            <w:pPr>
              <w:spacing w:after="0"/>
              <w:rPr>
                <w:sz w:val="19"/>
                <w:szCs w:val="19"/>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Joint Ventures</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61,105,966</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56,730,956</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54,932,458</w:t>
            </w:r>
          </w:p>
        </w:tc>
        <w:tc>
          <w:tcPr>
            <w:tcW w:w="15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49,349,163</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Derivatives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30,609</w:t>
            </w:r>
          </w:p>
        </w:tc>
        <w:tc>
          <w:tcPr>
            <w:tcW w:w="280" w:type="dxa"/>
            <w:vAlign w:val="bottom"/>
          </w:tcPr>
          <w:p>
            <w:pPr>
              <w:spacing w:after="0"/>
              <w:rPr>
                <w:sz w:val="19"/>
                <w:szCs w:val="19"/>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(1,582,963)</w:t>
            </w:r>
          </w:p>
        </w:tc>
        <w:tc>
          <w:tcPr>
            <w:tcW w:w="900" w:type="dxa"/>
            <w:vAlign w:val="bottom"/>
            <w:gridSpan w:val="4"/>
          </w:tcPr>
          <w:p>
            <w:pPr>
              <w:jc w:val="right"/>
              <w:ind w:right="407"/>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30,609</w:t>
            </w:r>
          </w:p>
        </w:tc>
        <w:tc>
          <w:tcPr>
            <w:tcW w:w="1840" w:type="dxa"/>
            <w:vAlign w:val="bottom"/>
            <w:gridSpan w:val="3"/>
          </w:tcPr>
          <w:p>
            <w:pPr>
              <w:jc w:val="right"/>
              <w:ind w:right="240"/>
              <w:spacing w:after="0"/>
              <w:rPr>
                <w:sz w:val="20"/>
                <w:szCs w:val="20"/>
                <w:color w:val="auto"/>
              </w:rPr>
            </w:pPr>
            <w:r>
              <w:rPr>
                <w:rFonts w:ascii="Arial" w:cs="Arial" w:eastAsia="Arial" w:hAnsi="Arial"/>
                <w:sz w:val="18"/>
                <w:szCs w:val="18"/>
                <w:color w:val="auto"/>
              </w:rPr>
              <w:t>(1,108,618)</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0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08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515,498,423</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   472,864,445</w:t>
            </w:r>
          </w:p>
        </w:tc>
        <w:tc>
          <w:tcPr>
            <w:tcW w:w="28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536,008,160</w:t>
            </w:r>
          </w:p>
        </w:tc>
        <w:tc>
          <w:tcPr>
            <w:tcW w:w="300" w:type="dxa"/>
            <w:vAlign w:val="bottom"/>
            <w:vMerge w:val="continue"/>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   486,628,831</w:t>
            </w:r>
          </w:p>
        </w:tc>
        <w:tc>
          <w:tcPr>
            <w:tcW w:w="30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0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hanging="372"/>
        <w:spacing w:after="0"/>
        <w:tabs>
          <w:tab w:leader="none" w:pos="380" w:val="left"/>
        </w:tabs>
        <w:numPr>
          <w:ilvl w:val="0"/>
          <w:numId w:val="28"/>
        </w:numPr>
        <w:rPr>
          <w:rFonts w:ascii="Arial" w:cs="Arial" w:eastAsia="Arial" w:hAnsi="Arial"/>
          <w:sz w:val="15"/>
          <w:szCs w:val="15"/>
          <w:color w:val="auto"/>
        </w:rPr>
      </w:pPr>
      <w:r>
        <w:rPr>
          <w:rFonts w:ascii="Arial" w:cs="Arial" w:eastAsia="Arial" w:hAnsi="Arial"/>
          <w:sz w:val="18"/>
          <w:szCs w:val="18"/>
          <w:color w:val="auto"/>
        </w:rPr>
        <w:t>Represents percentage of total portfolio at fair value.</w:t>
      </w:r>
    </w:p>
    <w:p>
      <w:pPr>
        <w:spacing w:after="0" w:line="22" w:lineRule="exact"/>
        <w:rPr>
          <w:sz w:val="20"/>
          <w:szCs w:val="20"/>
          <w:color w:val="auto"/>
        </w:rPr>
      </w:pPr>
    </w:p>
    <w:p>
      <w:pPr>
        <w:ind w:left="380" w:hanging="372"/>
        <w:spacing w:after="0"/>
        <w:tabs>
          <w:tab w:leader="none" w:pos="380" w:val="left"/>
        </w:tabs>
        <w:numPr>
          <w:ilvl w:val="0"/>
          <w:numId w:val="29"/>
        </w:numPr>
        <w:rPr>
          <w:rFonts w:ascii="Arial" w:cs="Arial" w:eastAsia="Arial" w:hAnsi="Arial"/>
          <w:sz w:val="15"/>
          <w:szCs w:val="15"/>
          <w:color w:val="auto"/>
        </w:rPr>
      </w:pPr>
      <w:r>
        <w:rPr>
          <w:rFonts w:ascii="Arial" w:cs="Arial" w:eastAsia="Arial" w:hAnsi="Arial"/>
          <w:sz w:val="18"/>
          <w:szCs w:val="18"/>
          <w:color w:val="auto"/>
        </w:rPr>
        <w:t>Represents the equity investment in the Asset Manager Affiliates.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49" w:name="page50"/>
    <w:bookmarkEnd w:id="49"/>
    <w:p>
      <w:pPr>
        <w:ind w:right="400" w:firstLine="374"/>
        <w:spacing w:after="0" w:line="277" w:lineRule="auto"/>
        <w:rPr>
          <w:sz w:val="20"/>
          <w:szCs w:val="20"/>
          <w:color w:val="auto"/>
        </w:rPr>
      </w:pPr>
      <w:r>
        <w:rPr>
          <w:rFonts w:ascii="Arial" w:cs="Arial" w:eastAsia="Arial" w:hAnsi="Arial"/>
          <w:sz w:val="18"/>
          <w:szCs w:val="18"/>
          <w:color w:val="auto"/>
        </w:rPr>
        <w:t>The industry concentrations based on the fair value of the Company’s investment portfolio as of March 31, 2021 and December 31, 2020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40" w:type="dxa"/>
            <w:vAlign w:val="bottom"/>
            <w:gridSpan w:val="5"/>
          </w:tcPr>
          <w:p>
            <w:pPr>
              <w:jc w:val="center"/>
              <w:ind w:left="231"/>
              <w:spacing w:after="0"/>
              <w:rPr>
                <w:sz w:val="20"/>
                <w:szCs w:val="20"/>
                <w:color w:val="auto"/>
              </w:rPr>
            </w:pPr>
            <w:r>
              <w:rPr>
                <w:rFonts w:ascii="Arial" w:cs="Arial" w:eastAsia="Arial" w:hAnsi="Arial"/>
                <w:sz w:val="18"/>
                <w:szCs w:val="18"/>
                <w:b w:val="1"/>
                <w:bCs w:val="1"/>
                <w:color w:val="auto"/>
                <w:w w:val="92"/>
              </w:rPr>
              <w:t>March 31, 2021</w:t>
            </w: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jc w:val="center"/>
              <w:ind w:right="940"/>
              <w:spacing w:after="0"/>
              <w:rPr>
                <w:sz w:val="20"/>
                <w:szCs w:val="20"/>
                <w:color w:val="auto"/>
              </w:rPr>
            </w:pPr>
            <w:r>
              <w:rPr>
                <w:rFonts w:ascii="Arial" w:cs="Arial" w:eastAsia="Arial" w:hAnsi="Arial"/>
                <w:sz w:val="18"/>
                <w:szCs w:val="18"/>
                <w:b w:val="1"/>
                <w:bCs w:val="1"/>
                <w:color w:val="auto"/>
                <w:w w:val="93"/>
              </w:rPr>
              <w:t>(Unaudited)</w:t>
            </w:r>
          </w:p>
        </w:tc>
        <w:tc>
          <w:tcPr>
            <w:tcW w:w="4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5"/>
          </w:tcPr>
          <w:p>
            <w:pPr>
              <w:ind w:left="980"/>
              <w:spacing w:after="0"/>
              <w:rPr>
                <w:sz w:val="20"/>
                <w:szCs w:val="20"/>
                <w:color w:val="auto"/>
              </w:rPr>
            </w:pPr>
            <w:r>
              <w:rPr>
                <w:rFonts w:ascii="Arial" w:cs="Arial" w:eastAsia="Arial" w:hAnsi="Arial"/>
                <w:sz w:val="18"/>
                <w:szCs w:val="18"/>
                <w:b w:val="1"/>
                <w:bCs w:val="1"/>
                <w:color w:val="auto"/>
              </w:rPr>
              <w:t>December 31, 2020</w:t>
            </w:r>
          </w:p>
        </w:tc>
        <w:tc>
          <w:tcPr>
            <w:tcW w:w="3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260" w:type="dxa"/>
            <w:vAlign w:val="bottom"/>
            <w:vMerge w:val="restart"/>
          </w:tcPr>
          <w:p>
            <w:pPr>
              <w:spacing w:after="0"/>
              <w:rPr>
                <w:sz w:val="20"/>
                <w:szCs w:val="20"/>
                <w:color w:val="auto"/>
              </w:rPr>
            </w:pPr>
            <w:r>
              <w:rPr>
                <w:rFonts w:ascii="Arial" w:cs="Arial" w:eastAsia="Arial" w:hAnsi="Arial"/>
                <w:sz w:val="18"/>
                <w:szCs w:val="18"/>
                <w:b w:val="1"/>
                <w:bCs w:val="1"/>
                <w:color w:val="auto"/>
              </w:rPr>
              <w:t>Industry Classification</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ind w:right="51"/>
              <w:spacing w:after="0"/>
              <w:rPr>
                <w:sz w:val="20"/>
                <w:szCs w:val="20"/>
                <w:color w:val="auto"/>
              </w:rPr>
            </w:pPr>
            <w:r>
              <w:rPr>
                <w:rFonts w:ascii="Arial" w:cs="Arial" w:eastAsia="Arial" w:hAnsi="Arial"/>
                <w:sz w:val="16"/>
                <w:szCs w:val="16"/>
                <w:b w:val="1"/>
                <w:bCs w:val="1"/>
                <w:color w:val="auto"/>
                <w:w w:val="93"/>
              </w:rPr>
              <w:t>Cost/Amortized</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ind w:right="51"/>
              <w:spacing w:after="0"/>
              <w:rPr>
                <w:sz w:val="20"/>
                <w:szCs w:val="20"/>
                <w:color w:val="auto"/>
              </w:rPr>
            </w:pPr>
            <w:r>
              <w:rPr>
                <w:rFonts w:ascii="Arial" w:cs="Arial" w:eastAsia="Arial" w:hAnsi="Arial"/>
                <w:sz w:val="16"/>
                <w:szCs w:val="16"/>
                <w:b w:val="1"/>
                <w:bCs w:val="1"/>
                <w:color w:val="auto"/>
                <w:w w:val="93"/>
              </w:rPr>
              <w:t>Cost/Amortized</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451"/>
              <w:spacing w:after="0"/>
              <w:rPr>
                <w:sz w:val="20"/>
                <w:szCs w:val="20"/>
                <w:color w:val="auto"/>
              </w:rPr>
            </w:pPr>
            <w:r>
              <w:rPr>
                <w:rFonts w:ascii="Arial" w:cs="Arial" w:eastAsia="Arial" w:hAnsi="Arial"/>
                <w:sz w:val="16"/>
                <w:szCs w:val="16"/>
                <w:b w:val="1"/>
                <w:bCs w:val="1"/>
                <w:color w:val="auto"/>
              </w:rPr>
              <w:t>Cost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ind w:left="100"/>
              <w:spacing w:after="0"/>
              <w:rPr>
                <w:sz w:val="20"/>
                <w:szCs w:val="20"/>
                <w:color w:val="auto"/>
              </w:rPr>
            </w:pPr>
            <w:r>
              <w:rPr>
                <w:rFonts w:ascii="Arial" w:cs="Arial" w:eastAsia="Arial" w:hAnsi="Arial"/>
                <w:sz w:val="16"/>
                <w:szCs w:val="16"/>
                <w:b w:val="1"/>
                <w:bCs w:val="1"/>
                <w:color w:val="auto"/>
              </w:rPr>
              <w:t>Fair Value</w:t>
            </w:r>
          </w:p>
        </w:tc>
        <w:tc>
          <w:tcPr>
            <w:tcW w:w="440" w:type="dxa"/>
            <w:vAlign w:val="bottom"/>
          </w:tcPr>
          <w:p>
            <w:pPr>
              <w:jc w:val="right"/>
              <w:ind w:right="30"/>
              <w:spacing w:after="0"/>
              <w:rPr>
                <w:sz w:val="20"/>
                <w:szCs w:val="20"/>
                <w:color w:val="auto"/>
              </w:rPr>
            </w:pPr>
            <w:r>
              <w:rPr>
                <w:rFonts w:ascii="Arial" w:cs="Arial" w:eastAsia="Arial" w:hAnsi="Arial"/>
                <w:sz w:val="16"/>
                <w:szCs w:val="16"/>
                <w:b w:val="1"/>
                <w:bCs w:val="1"/>
                <w:color w:val="auto"/>
              </w:rPr>
              <w:t>%¹</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ind w:right="451"/>
              <w:spacing w:after="0"/>
              <w:rPr>
                <w:sz w:val="20"/>
                <w:szCs w:val="20"/>
                <w:color w:val="auto"/>
              </w:rPr>
            </w:pPr>
            <w:r>
              <w:rPr>
                <w:rFonts w:ascii="Arial" w:cs="Arial" w:eastAsia="Arial" w:hAnsi="Arial"/>
                <w:sz w:val="16"/>
                <w:szCs w:val="16"/>
                <w:b w:val="1"/>
                <w:bCs w:val="1"/>
                <w:color w:val="auto"/>
              </w:rPr>
              <w:t>Cost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ind w:left="120"/>
              <w:spacing w:after="0"/>
              <w:rPr>
                <w:sz w:val="20"/>
                <w:szCs w:val="20"/>
                <w:color w:val="auto"/>
              </w:rPr>
            </w:pPr>
            <w:r>
              <w:rPr>
                <w:rFonts w:ascii="Arial" w:cs="Arial" w:eastAsia="Arial" w:hAnsi="Arial"/>
                <w:sz w:val="16"/>
                <w:szCs w:val="16"/>
                <w:b w:val="1"/>
                <w:bCs w:val="1"/>
                <w:color w:val="auto"/>
              </w:rPr>
              <w:t>Fair Value</w:t>
            </w:r>
          </w:p>
        </w:tc>
        <w:tc>
          <w:tcPr>
            <w:tcW w:w="380" w:type="dxa"/>
            <w:vAlign w:val="bottom"/>
          </w:tcPr>
          <w:p>
            <w:pPr>
              <w:jc w:val="right"/>
              <w:ind w:right="10"/>
              <w:spacing w:after="0"/>
              <w:rPr>
                <w:sz w:val="20"/>
                <w:szCs w:val="20"/>
                <w:color w:val="auto"/>
              </w:rPr>
            </w:pPr>
            <w:r>
              <w:rPr>
                <w:rFonts w:ascii="Arial" w:cs="Arial" w:eastAsia="Arial" w:hAnsi="Arial"/>
                <w:sz w:val="16"/>
                <w:szCs w:val="16"/>
                <w:b w:val="1"/>
                <w:bCs w:val="1"/>
                <w:color w:val="auto"/>
              </w:rPr>
              <w:t>%¹</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Aerospace and Defense</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11,344,661</w:t>
            </w:r>
          </w:p>
        </w:tc>
        <w:tc>
          <w:tcPr>
            <w:tcW w:w="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11,271,373</w:t>
            </w:r>
          </w:p>
        </w:tc>
        <w:tc>
          <w:tcPr>
            <w:tcW w:w="26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11,342,227</w:t>
            </w:r>
          </w:p>
        </w:tc>
        <w:tc>
          <w:tcPr>
            <w:tcW w:w="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11,218,193</w:t>
            </w:r>
          </w:p>
        </w:tc>
        <w:tc>
          <w:tcPr>
            <w:tcW w:w="26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tcPr>
          <w:p>
            <w:pPr>
              <w:spacing w:after="0"/>
              <w:rPr>
                <w:sz w:val="20"/>
                <w:szCs w:val="20"/>
                <w:color w:val="auto"/>
              </w:rPr>
            </w:pPr>
            <w:r>
              <w:rPr>
                <w:rFonts w:ascii="Arial" w:cs="Arial" w:eastAsia="Arial" w:hAnsi="Arial"/>
                <w:sz w:val="18"/>
                <w:szCs w:val="18"/>
                <w:color w:val="auto"/>
              </w:rPr>
              <w:t xml:space="preserve">Asset Management Company </w:t>
            </w:r>
            <w:r>
              <w:rPr>
                <w:rFonts w:ascii="Arial" w:cs="Arial" w:eastAsia="Arial" w:hAnsi="Arial"/>
                <w:sz w:val="15"/>
                <w:szCs w:val="15"/>
                <w:color w:val="auto"/>
              </w:rPr>
              <w:t>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17,791,230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17,791,230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Automotive</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10,920,081</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11,712,281</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10,840,171</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11,651,714</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tcPr>
          <w:p>
            <w:pPr>
              <w:spacing w:after="0"/>
              <w:rPr>
                <w:sz w:val="20"/>
                <w:szCs w:val="20"/>
                <w:color w:val="auto"/>
              </w:rPr>
            </w:pPr>
            <w:r>
              <w:rPr>
                <w:rFonts w:ascii="Arial" w:cs="Arial" w:eastAsia="Arial" w:hAnsi="Arial"/>
                <w:sz w:val="18"/>
                <w:szCs w:val="18"/>
                <w:color w:val="auto"/>
                <w:w w:val="94"/>
              </w:rPr>
              <w:t>Banking, Finance, Insurance &amp; Real Estate</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27,025,581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26,439,023</w:t>
            </w: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30,074,875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31,121,723</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Beverage, Food and Tobacco</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9,188,383</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9,322,475</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9,196,359</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9,100,107</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Capital Equipment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12,156,541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10,592,526</w:t>
            </w: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10,276,249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8,204,690</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Chemicals, Plastics &amp; Rubber</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6,639,770</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7,268,734</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6,608,887</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7,230,131</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CLO Fund Securities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35,264,540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16,021,434</w:t>
            </w: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45,727,813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19,582,555</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Construction &amp; Building</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8,532,700</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9,515,138</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9,802,754</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10,946,643</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tcPr>
          <w:p>
            <w:pPr>
              <w:spacing w:after="0"/>
              <w:rPr>
                <w:sz w:val="20"/>
                <w:szCs w:val="20"/>
                <w:color w:val="auto"/>
              </w:rPr>
            </w:pPr>
            <w:r>
              <w:rPr>
                <w:rFonts w:ascii="Arial" w:cs="Arial" w:eastAsia="Arial" w:hAnsi="Arial"/>
                <w:sz w:val="18"/>
                <w:szCs w:val="18"/>
                <w:color w:val="auto"/>
              </w:rPr>
              <w:t>Consumer goods: Durable</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23,767,112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26,690,292</w:t>
            </w: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32,435,115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34,858,844</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Consumer goods: Non-durable</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1,842,084</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2,101,253</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1,837,151</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2,102,176</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tcPr>
          <w:p>
            <w:pPr>
              <w:spacing w:after="0"/>
              <w:rPr>
                <w:sz w:val="20"/>
                <w:szCs w:val="20"/>
                <w:color w:val="auto"/>
              </w:rPr>
            </w:pPr>
            <w:r>
              <w:rPr>
                <w:rFonts w:ascii="Arial" w:cs="Arial" w:eastAsia="Arial" w:hAnsi="Arial"/>
                <w:sz w:val="18"/>
                <w:szCs w:val="18"/>
                <w:color w:val="auto"/>
              </w:rPr>
              <w:t>Containers, Packaging and Glass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2,800,141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2,569,320</w:t>
            </w: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2,806,740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2,502,994</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Electronics</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23,399,603</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25,721,043</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28,389,620</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31,564,533</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Energy: Oil &amp; Gas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12,238,205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5,622,264</w:t>
            </w: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13,501,691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6,878,115</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Environmental Industries</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3,925,360</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3,626,816</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3,939,764</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3,585,669</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Forest Products &amp; Paper</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1,578,115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1,294,720</w:t>
            </w: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1,576,633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1,270,880</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Healthcare, Education and Childcare</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13,987,772</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13,785,811</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14,059,921</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13,791,048</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tcPr>
          <w:p>
            <w:pPr>
              <w:spacing w:after="0"/>
              <w:rPr>
                <w:sz w:val="20"/>
                <w:szCs w:val="20"/>
                <w:color w:val="auto"/>
              </w:rPr>
            </w:pPr>
            <w:r>
              <w:rPr>
                <w:rFonts w:ascii="Arial" w:cs="Arial" w:eastAsia="Arial" w:hAnsi="Arial"/>
                <w:sz w:val="18"/>
                <w:szCs w:val="18"/>
                <w:color w:val="auto"/>
              </w:rPr>
              <w:t>Healthcare &amp; Pharmaceuticals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82,430,475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76,982,364</w:t>
            </w: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83,481,401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78,823,040</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High Tech Industries</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31,121,938</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32,974,544</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32,949,892</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35,052,389</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tcPr>
          <w:p>
            <w:pPr>
              <w:spacing w:after="0"/>
              <w:rPr>
                <w:sz w:val="20"/>
                <w:szCs w:val="20"/>
                <w:color w:val="auto"/>
              </w:rPr>
            </w:pPr>
            <w:r>
              <w:rPr>
                <w:rFonts w:ascii="Arial" w:cs="Arial" w:eastAsia="Arial" w:hAnsi="Arial"/>
                <w:sz w:val="18"/>
                <w:szCs w:val="18"/>
                <w:color w:val="auto"/>
              </w:rPr>
              <w:t>Joint Ventures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61,105,966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56,730,956</w:t>
            </w: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54,932,458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49,349,163</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Machinery (Non-Agrclt/Constr/Electr)</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6,847,776</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7,679,248</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6,712,460</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7,227,441</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tcPr>
          <w:p>
            <w:pPr>
              <w:spacing w:after="0"/>
              <w:rPr>
                <w:sz w:val="20"/>
                <w:szCs w:val="20"/>
                <w:color w:val="auto"/>
              </w:rPr>
            </w:pPr>
            <w:r>
              <w:rPr>
                <w:rFonts w:ascii="Arial" w:cs="Arial" w:eastAsia="Arial" w:hAnsi="Arial"/>
                <w:sz w:val="18"/>
                <w:szCs w:val="18"/>
                <w:color w:val="auto"/>
                <w:w w:val="99"/>
              </w:rPr>
              <w:t>Media: Advertising, Printing &amp; Publishing</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2,846,137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3,270,481</w:t>
            </w: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2,830,592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3,170,254</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Media: Broadcasting &amp; Subscription</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4,745,481</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4,710,306</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3,955,772</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3,901,188</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Media: Diversified &amp; Production</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2,585,014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2,628,413</w:t>
            </w: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2,658,914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2,612,250</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Metals &amp; Mining</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1,228,584</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1,324,169</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1,219,188</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1,326,500</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Retail</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5,817,066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6,661,808</w:t>
            </w: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5,790,208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6,597,338</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Services: Business</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62,849,142</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65,364,186</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58,027,464</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60,119,401</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tcPr>
          <w:p>
            <w:pPr>
              <w:spacing w:after="0"/>
              <w:rPr>
                <w:sz w:val="20"/>
                <w:szCs w:val="20"/>
                <w:color w:val="auto"/>
              </w:rPr>
            </w:pPr>
            <w:r>
              <w:rPr>
                <w:rFonts w:ascii="Arial" w:cs="Arial" w:eastAsia="Arial" w:hAnsi="Arial"/>
                <w:sz w:val="18"/>
                <w:szCs w:val="18"/>
                <w:color w:val="auto"/>
              </w:rPr>
              <w:t>Services: Consumer</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4,173,235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4,162,275</w:t>
            </w: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4,241,127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4,198,243</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Telecommunications</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7,197,248</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7,082,621</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8,930,322</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9,023,109</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Textiles and Leather</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12,421,470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10,992,030</w:t>
            </w: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12,415,194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10,860,696</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Transportation: Cargo</w:t>
            </w:r>
          </w:p>
        </w:tc>
        <w:tc>
          <w:tcPr>
            <w:tcW w:w="1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7,727,090</w:t>
            </w:r>
          </w:p>
        </w:tc>
        <w:tc>
          <w:tcPr>
            <w:tcW w:w="2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8,746,541</w:t>
            </w:r>
          </w:p>
        </w:tc>
        <w:tc>
          <w:tcPr>
            <w:tcW w:w="26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7,655,970</w:t>
            </w:r>
          </w:p>
        </w:tc>
        <w:tc>
          <w:tcPr>
            <w:tcW w:w="2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8,757,804</w:t>
            </w:r>
          </w:p>
        </w:tc>
        <w:tc>
          <w:tcPr>
            <w:tcW w:w="26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60" w:type="dxa"/>
            <w:vAlign w:val="bottom"/>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515,498,498</w:t>
            </w:r>
          </w:p>
        </w:tc>
        <w:tc>
          <w:tcPr>
            <w:tcW w:w="26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472,864,445</w:t>
            </w:r>
          </w:p>
        </w:tc>
        <w:tc>
          <w:tcPr>
            <w:tcW w:w="26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536,008,160</w:t>
            </w:r>
          </w:p>
        </w:tc>
        <w:tc>
          <w:tcPr>
            <w:tcW w:w="26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486,628,831</w:t>
            </w:r>
          </w:p>
        </w:tc>
        <w:tc>
          <w:tcPr>
            <w:tcW w:w="26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hanging="372"/>
        <w:spacing w:after="0"/>
        <w:tabs>
          <w:tab w:leader="none" w:pos="380" w:val="left"/>
        </w:tabs>
        <w:numPr>
          <w:ilvl w:val="0"/>
          <w:numId w:val="30"/>
        </w:numPr>
        <w:rPr>
          <w:rFonts w:ascii="Arial" w:cs="Arial" w:eastAsia="Arial" w:hAnsi="Arial"/>
          <w:sz w:val="15"/>
          <w:szCs w:val="15"/>
          <w:color w:val="auto"/>
        </w:rPr>
      </w:pPr>
      <w:r>
        <w:rPr>
          <w:rFonts w:ascii="Arial" w:cs="Arial" w:eastAsia="Arial" w:hAnsi="Arial"/>
          <w:sz w:val="18"/>
          <w:szCs w:val="18"/>
          <w:color w:val="auto"/>
        </w:rPr>
        <w:t>Calculated as a percentage of total portfolio at fair value.</w:t>
      </w:r>
    </w:p>
    <w:p>
      <w:pPr>
        <w:spacing w:after="0" w:line="22" w:lineRule="exact"/>
        <w:rPr>
          <w:sz w:val="20"/>
          <w:szCs w:val="20"/>
          <w:color w:val="auto"/>
        </w:rPr>
      </w:pPr>
    </w:p>
    <w:p>
      <w:pPr>
        <w:ind w:left="380" w:hanging="372"/>
        <w:spacing w:after="0"/>
        <w:tabs>
          <w:tab w:leader="none" w:pos="380" w:val="left"/>
        </w:tabs>
        <w:numPr>
          <w:ilvl w:val="0"/>
          <w:numId w:val="31"/>
        </w:numPr>
        <w:rPr>
          <w:rFonts w:ascii="Arial" w:cs="Arial" w:eastAsia="Arial" w:hAnsi="Arial"/>
          <w:sz w:val="15"/>
          <w:szCs w:val="15"/>
          <w:color w:val="auto"/>
        </w:rPr>
      </w:pPr>
      <w:r>
        <w:rPr>
          <w:rFonts w:ascii="Arial" w:cs="Arial" w:eastAsia="Arial" w:hAnsi="Arial"/>
          <w:sz w:val="18"/>
          <w:szCs w:val="18"/>
          <w:color w:val="auto"/>
        </w:rPr>
        <w:t>Represents the equity investment in the Asset Manager Affiliates.</w:t>
      </w:r>
    </w:p>
    <w:p>
      <w:pPr>
        <w:spacing w:after="0" w:line="171" w:lineRule="exact"/>
        <w:rPr>
          <w:sz w:val="20"/>
          <w:szCs w:val="20"/>
          <w:color w:val="auto"/>
        </w:rPr>
      </w:pPr>
    </w:p>
    <w:p>
      <w:pPr>
        <w:ind w:right="100" w:firstLine="374"/>
        <w:spacing w:after="0" w:line="263" w:lineRule="auto"/>
        <w:rPr>
          <w:sz w:val="20"/>
          <w:szCs w:val="20"/>
          <w:color w:val="auto"/>
        </w:rPr>
      </w:pPr>
      <w:r>
        <w:rPr>
          <w:rFonts w:ascii="Arial" w:cs="Arial" w:eastAsia="Arial" w:hAnsi="Arial"/>
          <w:sz w:val="18"/>
          <w:szCs w:val="18"/>
          <w:color w:val="auto"/>
        </w:rPr>
        <w:t>The Company may invest up to 30% of the investment portfolio in “non-qualifying” opportunistic investments, including investments in debt and equity securities of CLO Funds, distressed debt or debt and equity securities of large cap public companies. Within this 30% of the portfolio, the Company also may invest in debt of middle market companies located outside of the United States.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ind w:right="880" w:firstLine="374"/>
        <w:spacing w:after="0" w:line="259" w:lineRule="auto"/>
        <w:rPr>
          <w:sz w:val="20"/>
          <w:szCs w:val="20"/>
          <w:color w:val="auto"/>
        </w:rPr>
      </w:pPr>
      <w:r>
        <w:rPr>
          <w:rFonts w:ascii="Arial" w:cs="Arial" w:eastAsia="Arial" w:hAnsi="Arial"/>
          <w:sz w:val="18"/>
          <w:szCs w:val="18"/>
          <w:color w:val="auto"/>
        </w:rPr>
        <w:t>At March 31, 2021 and December 31, 2020, the total amount of non-qualifying assets was approximately 13.4% and 13.8% of total assets, respectively. The majority of non-qualifying assets are the Company’s investments in joint ventures which were approximately 9.5% and 8.2%, respectively, of the total assets and the Company’s investments in CLO Funds, which are typically domiciled outside the U.S. and represented approximately 2.7% and 3.3% of its total assets on such dates, respectively.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in CLO Fund Securities</w:t>
      </w:r>
    </w:p>
    <w:p>
      <w:pPr>
        <w:spacing w:after="0" w:line="189" w:lineRule="exact"/>
        <w:rPr>
          <w:sz w:val="20"/>
          <w:szCs w:val="20"/>
          <w:color w:val="auto"/>
        </w:rPr>
      </w:pPr>
    </w:p>
    <w:p>
      <w:pPr>
        <w:ind w:right="260" w:firstLine="374"/>
        <w:spacing w:after="0" w:line="291" w:lineRule="auto"/>
        <w:rPr>
          <w:sz w:val="20"/>
          <w:szCs w:val="20"/>
          <w:color w:val="auto"/>
        </w:rPr>
      </w:pPr>
      <w:r>
        <w:rPr>
          <w:rFonts w:ascii="Arial" w:cs="Arial" w:eastAsia="Arial" w:hAnsi="Arial"/>
          <w:sz w:val="16"/>
          <w:szCs w:val="16"/>
          <w:color w:val="auto"/>
        </w:rPr>
        <w:t>The Company has made non-controlling investments in the most junior class of securities (typically preferred shares or subordinated securities) of CLO Funds. These securities also are entitled to recurring distributions which generally equal the net remaining cash flow of the payments made by the underlying CLO Fund’s securities less contractual payments to senior bond holders, management fees and CLO Fund expenses. CLO Funds invest primarily in broadly syndicated non-investment grade loans, high-yield bonds and other credit instruments of corporate issuers. The underlying assets in each of the CLO Funds in which the Company has an investment are generally diversified secured or unsecured corporate debt. The CLO Funds are leveraged funds and any excess cash flow or “excess spread” (interest earned by the underlying securities in the fund less payments made to senior bond holders, fund expenses and management fees) is paid to the holders of the CLO Fund’s subordinated securities or preferred shares.</w:t>
      </w:r>
    </w:p>
    <w:p>
      <w:pPr>
        <w:spacing w:after="0" w:line="126" w:lineRule="exact"/>
        <w:rPr>
          <w:sz w:val="20"/>
          <w:szCs w:val="20"/>
          <w:color w:val="auto"/>
        </w:rPr>
      </w:pPr>
    </w:p>
    <w:p>
      <w:pPr>
        <w:ind w:right="320" w:firstLine="374"/>
        <w:spacing w:after="0" w:line="277" w:lineRule="auto"/>
        <w:rPr>
          <w:sz w:val="20"/>
          <w:szCs w:val="20"/>
          <w:color w:val="auto"/>
        </w:rPr>
      </w:pPr>
      <w:r>
        <w:rPr>
          <w:rFonts w:ascii="Arial" w:cs="Arial" w:eastAsia="Arial" w:hAnsi="Arial"/>
          <w:sz w:val="18"/>
          <w:szCs w:val="18"/>
          <w:color w:val="auto"/>
        </w:rPr>
        <w:t>In September 2018, the Company purchased $10 million par value of the subordinated notes of Catamaran CLO 2018-1 at a cost of approximately $9.5 million.</w:t>
      </w:r>
    </w:p>
    <w:p>
      <w:pPr>
        <w:spacing w:after="0" w:line="143" w:lineRule="exact"/>
        <w:rPr>
          <w:sz w:val="20"/>
          <w:szCs w:val="20"/>
          <w:color w:val="auto"/>
        </w:rPr>
      </w:pPr>
    </w:p>
    <w:p>
      <w:pPr>
        <w:ind w:right="520" w:firstLine="374"/>
        <w:spacing w:after="0" w:line="263" w:lineRule="auto"/>
        <w:rPr>
          <w:sz w:val="20"/>
          <w:szCs w:val="20"/>
          <w:color w:val="auto"/>
        </w:rPr>
      </w:pPr>
      <w:r>
        <w:rPr>
          <w:rFonts w:ascii="Arial" w:cs="Arial" w:eastAsia="Arial" w:hAnsi="Arial"/>
          <w:sz w:val="18"/>
          <w:szCs w:val="18"/>
          <w:color w:val="auto"/>
        </w:rPr>
        <w:t>In December 2018, the Company received $2.5 million of notional amount of subordinated notes of Catamaran 2013-1 with a fair value of $1.4 million and $3.4 million of notional amount of subordinated notes of Catamaran 2014-1 with a fair value of $1.9 million, as consideration for the repayment of a portion of the loans to Trimaran Advisors.</w:t>
      </w:r>
    </w:p>
    <w:p>
      <w:pPr>
        <w:spacing w:after="0" w:line="143" w:lineRule="exact"/>
        <w:rPr>
          <w:sz w:val="20"/>
          <w:szCs w:val="20"/>
          <w:color w:val="auto"/>
        </w:rPr>
      </w:pPr>
    </w:p>
    <w:p>
      <w:pPr>
        <w:ind w:firstLine="374"/>
        <w:spacing w:after="0" w:line="275" w:lineRule="auto"/>
        <w:rPr>
          <w:sz w:val="20"/>
          <w:szCs w:val="20"/>
          <w:color w:val="auto"/>
        </w:rPr>
      </w:pPr>
      <w:r>
        <w:rPr>
          <w:rFonts w:ascii="Arial" w:cs="Arial" w:eastAsia="Arial" w:hAnsi="Arial"/>
          <w:sz w:val="17"/>
          <w:szCs w:val="17"/>
          <w:color w:val="auto"/>
        </w:rPr>
        <w:t>On December 19, 2017, the Company, in its capacity as the holder of all of the outstanding preferred shares of Katonah 2007-1 CLO Ltd. (“Katonah 2007-1”), exercised its right to cause Katonah 2007-1 to redeem all of its outstanding indebtedness through the sale of its investments and otherwise wind up its business. Katonah 2007-1 was fully liquidated and dissolved in the fourth quarter of 2018. Accordingly, the Company recorded a realized loss during the fourth quarter of 2018 of approximately $10.1 million on its investment in Katonah 2007-1 and a corresponding unrealized gain of the same amount in order to reverse the previously recorded unrealized depreciation with respect to the investment.</w:t>
      </w:r>
    </w:p>
    <w:p>
      <w:pPr>
        <w:spacing w:after="0" w:line="136" w:lineRule="exact"/>
        <w:rPr>
          <w:sz w:val="20"/>
          <w:szCs w:val="20"/>
          <w:color w:val="auto"/>
        </w:rPr>
      </w:pPr>
    </w:p>
    <w:p>
      <w:pPr>
        <w:ind w:right="60" w:firstLine="374"/>
        <w:spacing w:after="0" w:line="263" w:lineRule="auto"/>
        <w:rPr>
          <w:sz w:val="20"/>
          <w:szCs w:val="20"/>
          <w:color w:val="auto"/>
        </w:rPr>
      </w:pPr>
      <w:r>
        <w:rPr>
          <w:rFonts w:ascii="Arial" w:cs="Arial" w:eastAsia="Arial" w:hAnsi="Arial"/>
          <w:sz w:val="18"/>
          <w:szCs w:val="18"/>
          <w:color w:val="auto"/>
        </w:rPr>
        <w:t>Similarly, during the fourth quarter of 2018, each of Grant Grove CLO, Ltd., Trimaran CLO VII, Ltd., and Catamaran CLO 2012-1 Ltd. were fully liquidated and dissolved, and the Company recorded a realized loss of approximately $6.4 million and a corresponding unrealized gain of the same amount in order to reverse the previously recorded unrealized depreciation with respect to these investments.</w:t>
      </w:r>
    </w:p>
    <w:p>
      <w:pPr>
        <w:spacing w:after="0" w:line="15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In the first quarter of 2019, the Company sold $2.0 million notional amount of subordinated notes of Catamaran CLO 2014-1 for $800,000.</w:t>
      </w:r>
    </w:p>
    <w:p>
      <w:pPr>
        <w:spacing w:after="0" w:line="19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In June 2019, the Company sold $4.8 million par value of the CLO Rated note issued by Great Lakes KCAP F3C Senior, LLC for $4.4 million.</w:t>
      </w:r>
    </w:p>
    <w:p>
      <w:pPr>
        <w:spacing w:after="0" w:line="19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 January 2021, the Company sold $10.1 million notional amount of the subordinated notes of Catamaran 2016-1 for $3.3 million</w:t>
      </w:r>
    </w:p>
    <w:p>
      <w:pPr>
        <w:spacing w:after="0" w:line="198" w:lineRule="exact"/>
        <w:rPr>
          <w:sz w:val="20"/>
          <w:szCs w:val="20"/>
          <w:color w:val="auto"/>
        </w:rPr>
      </w:pPr>
    </w:p>
    <w:p>
      <w:pPr>
        <w:ind w:right="80" w:firstLine="374"/>
        <w:spacing w:after="0" w:line="275" w:lineRule="auto"/>
        <w:rPr>
          <w:sz w:val="20"/>
          <w:szCs w:val="20"/>
          <w:color w:val="auto"/>
        </w:rPr>
      </w:pPr>
      <w:r>
        <w:rPr>
          <w:rFonts w:ascii="Arial" w:cs="Arial" w:eastAsia="Arial" w:hAnsi="Arial"/>
          <w:sz w:val="17"/>
          <w:szCs w:val="17"/>
          <w:color w:val="auto"/>
        </w:rPr>
        <w:t>As a result of the economic consequences resulting from the COVID 19 pandemic, during the second quarter of 2020, the Company was notified that four of the Catamaran CLO Funds breached certain covenants contained in their respective indentures, and as a result, available cash within the CLO Fund will be diverted away from the subordinated notes owned by the Company and will be applied to more senior noteholders in the capital structure of the CLO Funds. The estimated timing and amount of future distributions if any, from these CLO Fund Securities is uncertain. Three of the CLO Funds noted above resumed making cash distributions on the Company’s investment during the fourth quarter of 2020.</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51" w:name="page52"/>
    <w:bookmarkEnd w:id="51"/>
    <w:p>
      <w:pPr>
        <w:ind w:left="380"/>
        <w:spacing w:after="0"/>
        <w:rPr>
          <w:sz w:val="20"/>
          <w:szCs w:val="20"/>
          <w:color w:val="auto"/>
        </w:rPr>
      </w:pPr>
      <w:r>
        <w:rPr>
          <w:rFonts w:ascii="Arial" w:cs="Arial" w:eastAsia="Arial" w:hAnsi="Arial"/>
          <w:sz w:val="18"/>
          <w:szCs w:val="18"/>
          <w:b w:val="1"/>
          <w:bCs w:val="1"/>
          <w:color w:val="auto"/>
        </w:rPr>
        <w:t>Affiliate Investments:</w:t>
      </w:r>
    </w:p>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details investments in affiliates at March 31, 2021 (unaudited):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3"/>
              </w:rPr>
              <w:t>Fair Value</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35"/>
        </w:trPr>
        <w:tc>
          <w:tcPr>
            <w:tcW w:w="17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1"/>
              </w:rPr>
              <w:t>of</w:t>
            </w:r>
          </w:p>
        </w:tc>
        <w:tc>
          <w:tcPr>
            <w:tcW w:w="6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Purchases/</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3"/>
          </w:tcPr>
          <w:p>
            <w:pPr>
              <w:jc w:val="center"/>
              <w:ind w:right="180"/>
              <w:spacing w:after="0" w:line="135" w:lineRule="exact"/>
              <w:rPr>
                <w:sz w:val="20"/>
                <w:szCs w:val="20"/>
                <w:color w:val="auto"/>
              </w:rPr>
            </w:pPr>
            <w:r>
              <w:rPr>
                <w:rFonts w:ascii="Arial" w:cs="Arial" w:eastAsia="Arial" w:hAnsi="Arial"/>
                <w:sz w:val="13"/>
                <w:szCs w:val="13"/>
                <w:b w:val="1"/>
                <w:bCs w:val="1"/>
                <w:color w:val="auto"/>
                <w:w w:val="87"/>
              </w:rPr>
              <w:t>Transfers</w:t>
            </w:r>
          </w:p>
        </w:tc>
        <w:tc>
          <w:tcPr>
            <w:tcW w:w="860" w:type="dxa"/>
            <w:vAlign w:val="bottom"/>
            <w:gridSpan w:val="3"/>
          </w:tcPr>
          <w:p>
            <w:pPr>
              <w:jc w:val="center"/>
              <w:ind w:right="180"/>
              <w:spacing w:after="0" w:line="135" w:lineRule="exact"/>
              <w:rPr>
                <w:sz w:val="20"/>
                <w:szCs w:val="20"/>
                <w:color w:val="auto"/>
              </w:rPr>
            </w:pPr>
            <w:r>
              <w:rPr>
                <w:rFonts w:ascii="Arial" w:cs="Arial" w:eastAsia="Arial" w:hAnsi="Arial"/>
                <w:sz w:val="13"/>
                <w:szCs w:val="13"/>
                <w:b w:val="1"/>
                <w:bCs w:val="1"/>
                <w:color w:val="auto"/>
                <w:w w:val="85"/>
              </w:rPr>
              <w:t>Net change</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3"/>
          </w:tcPr>
          <w:p>
            <w:pPr>
              <w:jc w:val="center"/>
              <w:ind w:right="180"/>
              <w:spacing w:after="0" w:line="135" w:lineRule="exact"/>
              <w:rPr>
                <w:sz w:val="20"/>
                <w:szCs w:val="20"/>
                <w:color w:val="auto"/>
              </w:rPr>
            </w:pPr>
            <w:r>
              <w:rPr>
                <w:rFonts w:ascii="Arial" w:cs="Arial" w:eastAsia="Arial" w:hAnsi="Arial"/>
                <w:sz w:val="13"/>
                <w:szCs w:val="13"/>
                <w:b w:val="1"/>
                <w:bCs w:val="1"/>
                <w:color w:val="auto"/>
                <w:w w:val="93"/>
              </w:rPr>
              <w:t>Fair Value</w:t>
            </w:r>
          </w:p>
        </w:tc>
        <w:tc>
          <w:tcPr>
            <w:tcW w:w="7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Principal /</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17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5"/>
              </w:rPr>
              <w:t>December</w:t>
            </w:r>
          </w:p>
        </w:tc>
        <w:tc>
          <w:tcPr>
            <w:tcW w:w="60" w:type="dxa"/>
            <w:vAlign w:val="bottom"/>
          </w:tcPr>
          <w:p>
            <w:pPr>
              <w:spacing w:after="0"/>
              <w:rPr>
                <w:sz w:val="11"/>
                <w:szCs w:val="11"/>
                <w:color w:val="auto"/>
              </w:rPr>
            </w:pPr>
          </w:p>
        </w:tc>
        <w:tc>
          <w:tcPr>
            <w:tcW w:w="72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85"/>
              </w:rPr>
              <w:t>(Sales) of or</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3"/>
          </w:tcPr>
          <w:p>
            <w:pPr>
              <w:jc w:val="center"/>
              <w:ind w:right="180"/>
              <w:spacing w:after="0" w:line="135" w:lineRule="exact"/>
              <w:rPr>
                <w:sz w:val="20"/>
                <w:szCs w:val="20"/>
                <w:color w:val="auto"/>
              </w:rPr>
            </w:pPr>
            <w:r>
              <w:rPr>
                <w:rFonts w:ascii="Arial" w:cs="Arial" w:eastAsia="Arial" w:hAnsi="Arial"/>
                <w:sz w:val="13"/>
                <w:szCs w:val="13"/>
                <w:b w:val="1"/>
                <w:bCs w:val="1"/>
                <w:color w:val="auto"/>
                <w:w w:val="95"/>
              </w:rPr>
              <w:t>In/(Out)</w:t>
            </w:r>
          </w:p>
        </w:tc>
        <w:tc>
          <w:tcPr>
            <w:tcW w:w="60" w:type="dxa"/>
            <w:vAlign w:val="bottom"/>
          </w:tcPr>
          <w:p>
            <w:pPr>
              <w:spacing w:after="0"/>
              <w:rPr>
                <w:sz w:val="11"/>
                <w:szCs w:val="11"/>
                <w:color w:val="auto"/>
              </w:rPr>
            </w:pPr>
          </w:p>
        </w:tc>
        <w:tc>
          <w:tcPr>
            <w:tcW w:w="8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rPr>
              <w:t>in</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1"/>
              </w:rPr>
              <w:t>of</w:t>
            </w:r>
          </w:p>
        </w:tc>
        <w:tc>
          <w:tcPr>
            <w:tcW w:w="7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Shares at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1700" w:type="dxa"/>
            <w:vAlign w:val="bottom"/>
          </w:tcPr>
          <w:p>
            <w:pPr>
              <w:spacing w:after="0"/>
              <w:rPr>
                <w:sz w:val="11"/>
                <w:szCs w:val="11"/>
                <w:color w:val="auto"/>
              </w:rPr>
            </w:pPr>
          </w:p>
        </w:tc>
        <w:tc>
          <w:tcPr>
            <w:tcW w:w="1460" w:type="dxa"/>
            <w:vAlign w:val="bottom"/>
            <w:gridSpan w:val="2"/>
          </w:tcPr>
          <w:p>
            <w:pPr>
              <w:ind w:left="460"/>
              <w:spacing w:after="0" w:line="135" w:lineRule="exact"/>
              <w:rPr>
                <w:sz w:val="20"/>
                <w:szCs w:val="20"/>
                <w:color w:val="auto"/>
              </w:rPr>
            </w:pPr>
            <w:r>
              <w:rPr>
                <w:rFonts w:ascii="Arial" w:cs="Arial" w:eastAsia="Arial" w:hAnsi="Arial"/>
                <w:sz w:val="13"/>
                <w:szCs w:val="13"/>
                <w:b w:val="1"/>
                <w:bCs w:val="1"/>
                <w:color w:val="auto"/>
              </w:rPr>
              <w:t>Industry</w:t>
            </w:r>
          </w:p>
        </w:tc>
        <w:tc>
          <w:tcPr>
            <w:tcW w:w="60" w:type="dxa"/>
            <w:vAlign w:val="bottom"/>
          </w:tcPr>
          <w:p>
            <w:pPr>
              <w:spacing w:after="0"/>
              <w:rPr>
                <w:sz w:val="11"/>
                <w:szCs w:val="11"/>
                <w:color w:val="auto"/>
              </w:rPr>
            </w:pPr>
          </w:p>
        </w:tc>
        <w:tc>
          <w:tcPr>
            <w:tcW w:w="640" w:type="dxa"/>
            <w:vAlign w:val="bottom"/>
          </w:tcPr>
          <w:p>
            <w:pPr>
              <w:jc w:val="right"/>
              <w:ind w:right="197"/>
              <w:spacing w:after="0" w:line="135" w:lineRule="exact"/>
              <w:rPr>
                <w:sz w:val="20"/>
                <w:szCs w:val="20"/>
                <w:color w:val="auto"/>
              </w:rPr>
            </w:pPr>
            <w:r>
              <w:rPr>
                <w:rFonts w:ascii="Arial" w:cs="Arial" w:eastAsia="Arial" w:hAnsi="Arial"/>
                <w:sz w:val="13"/>
                <w:szCs w:val="13"/>
                <w:b w:val="1"/>
                <w:bCs w:val="1"/>
                <w:color w:val="auto"/>
              </w:rPr>
              <w:t>31,</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86"/>
              </w:rPr>
              <w:t>Advances/</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rPr>
              <w:t>Net</w:t>
            </w:r>
          </w:p>
        </w:tc>
        <w:tc>
          <w:tcPr>
            <w:tcW w:w="140" w:type="dxa"/>
            <w:vAlign w:val="bottom"/>
          </w:tcPr>
          <w:p>
            <w:pPr>
              <w:spacing w:after="0"/>
              <w:rPr>
                <w:sz w:val="11"/>
                <w:szCs w:val="11"/>
                <w:color w:val="auto"/>
              </w:rPr>
            </w:pPr>
          </w:p>
        </w:tc>
        <w:tc>
          <w:tcPr>
            <w:tcW w:w="60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7"/>
              </w:rPr>
              <w:t>of</w:t>
            </w:r>
          </w:p>
        </w:tc>
        <w:tc>
          <w:tcPr>
            <w:tcW w:w="60" w:type="dxa"/>
            <w:vAlign w:val="bottom"/>
          </w:tcPr>
          <w:p>
            <w:pPr>
              <w:spacing w:after="0"/>
              <w:rPr>
                <w:sz w:val="11"/>
                <w:szCs w:val="11"/>
                <w:color w:val="auto"/>
              </w:rPr>
            </w:pPr>
          </w:p>
        </w:tc>
        <w:tc>
          <w:tcPr>
            <w:tcW w:w="8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unrealized</w:t>
            </w:r>
          </w:p>
        </w:tc>
        <w:tc>
          <w:tcPr>
            <w:tcW w:w="60" w:type="dxa"/>
            <w:vAlign w:val="bottom"/>
          </w:tcPr>
          <w:p>
            <w:pPr>
              <w:spacing w:after="0"/>
              <w:rPr>
                <w:sz w:val="11"/>
                <w:szCs w:val="11"/>
                <w:color w:val="auto"/>
              </w:rPr>
            </w:pPr>
          </w:p>
        </w:tc>
        <w:tc>
          <w:tcPr>
            <w:tcW w:w="58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auto"/>
                <w:w w:val="87"/>
              </w:rPr>
              <w:t>Realized</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9"/>
              </w:rPr>
              <w:t>March 31,</w:t>
            </w:r>
          </w:p>
        </w:tc>
        <w:tc>
          <w:tcPr>
            <w:tcW w:w="7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March 31,</w:t>
            </w:r>
          </w:p>
        </w:tc>
        <w:tc>
          <w:tcPr>
            <w:tcW w:w="160" w:type="dxa"/>
            <w:vAlign w:val="bottom"/>
          </w:tcPr>
          <w:p>
            <w:pPr>
              <w:spacing w:after="0"/>
              <w:rPr>
                <w:sz w:val="11"/>
                <w:szCs w:val="11"/>
                <w:color w:val="auto"/>
              </w:rPr>
            </w:pPr>
          </w:p>
        </w:tc>
        <w:tc>
          <w:tcPr>
            <w:tcW w:w="700" w:type="dxa"/>
            <w:vAlign w:val="bottom"/>
            <w:gridSpan w:val="3"/>
          </w:tcPr>
          <w:p>
            <w:pPr>
              <w:ind w:left="60"/>
              <w:spacing w:after="0" w:line="135" w:lineRule="exact"/>
              <w:rPr>
                <w:sz w:val="20"/>
                <w:szCs w:val="20"/>
                <w:color w:val="auto"/>
              </w:rPr>
            </w:pPr>
            <w:r>
              <w:rPr>
                <w:rFonts w:ascii="Arial" w:cs="Arial" w:eastAsia="Arial" w:hAnsi="Arial"/>
                <w:sz w:val="13"/>
                <w:szCs w:val="13"/>
                <w:b w:val="1"/>
                <w:bCs w:val="1"/>
                <w:color w:val="auto"/>
              </w:rPr>
              <w:t>Interest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0"/>
              </w:rPr>
              <w:t>Dividend</w:t>
            </w:r>
          </w:p>
        </w:tc>
      </w:tr>
      <w:tr>
        <w:trPr>
          <w:trHeight w:val="153"/>
        </w:trPr>
        <w:tc>
          <w:tcPr>
            <w:tcW w:w="1700" w:type="dxa"/>
            <w:vAlign w:val="bottom"/>
          </w:tcPr>
          <w:p>
            <w:pPr>
              <w:spacing w:after="0"/>
              <w:rPr>
                <w:sz w:val="13"/>
                <w:szCs w:val="13"/>
                <w:color w:val="auto"/>
              </w:rPr>
            </w:pPr>
          </w:p>
        </w:tc>
        <w:tc>
          <w:tcPr>
            <w:tcW w:w="1460" w:type="dxa"/>
            <w:vAlign w:val="bottom"/>
            <w:gridSpan w:val="2"/>
          </w:tcPr>
          <w:p>
            <w:pPr>
              <w:ind w:left="340"/>
              <w:spacing w:after="0"/>
              <w:rPr>
                <w:sz w:val="20"/>
                <w:szCs w:val="20"/>
                <w:color w:val="auto"/>
              </w:rPr>
            </w:pPr>
            <w:r>
              <w:rPr>
                <w:rFonts w:ascii="Arial" w:cs="Arial" w:eastAsia="Arial" w:hAnsi="Arial"/>
                <w:sz w:val="13"/>
                <w:szCs w:val="13"/>
                <w:b w:val="1"/>
                <w:bCs w:val="1"/>
                <w:color w:val="auto"/>
              </w:rPr>
              <w:t>Classification</w:t>
            </w:r>
          </w:p>
        </w:tc>
        <w:tc>
          <w:tcPr>
            <w:tcW w:w="60" w:type="dxa"/>
            <w:vAlign w:val="bottom"/>
          </w:tcPr>
          <w:p>
            <w:pPr>
              <w:spacing w:after="0"/>
              <w:rPr>
                <w:sz w:val="13"/>
                <w:szCs w:val="13"/>
                <w:color w:val="auto"/>
              </w:rPr>
            </w:pPr>
          </w:p>
        </w:tc>
        <w:tc>
          <w:tcPr>
            <w:tcW w:w="640" w:type="dxa"/>
            <w:vAlign w:val="bottom"/>
          </w:tcPr>
          <w:p>
            <w:pPr>
              <w:jc w:val="right"/>
              <w:ind w:right="157"/>
              <w:spacing w:after="0"/>
              <w:rPr>
                <w:sz w:val="20"/>
                <w:szCs w:val="20"/>
                <w:color w:val="auto"/>
              </w:rPr>
            </w:pPr>
            <w:r>
              <w:rPr>
                <w:rFonts w:ascii="Arial" w:cs="Arial" w:eastAsia="Arial" w:hAnsi="Arial"/>
                <w:sz w:val="13"/>
                <w:szCs w:val="13"/>
                <w:b w:val="1"/>
                <w:bCs w:val="1"/>
                <w:color w:val="auto"/>
              </w:rPr>
              <w:t>2020</w:t>
            </w:r>
          </w:p>
        </w:tc>
        <w:tc>
          <w:tcPr>
            <w:tcW w:w="180" w:type="dxa"/>
            <w:vAlign w:val="bottom"/>
          </w:tcPr>
          <w:p>
            <w:pPr>
              <w:spacing w:after="0"/>
              <w:rPr>
                <w:sz w:val="13"/>
                <w:szCs w:val="13"/>
                <w:color w:val="auto"/>
              </w:rPr>
            </w:pPr>
          </w:p>
        </w:tc>
        <w:tc>
          <w:tcPr>
            <w:tcW w:w="780" w:type="dxa"/>
            <w:vAlign w:val="bottom"/>
            <w:gridSpan w:val="2"/>
          </w:tcPr>
          <w:p>
            <w:pPr>
              <w:jc w:val="center"/>
              <w:spacing w:after="0"/>
              <w:rPr>
                <w:sz w:val="20"/>
                <w:szCs w:val="20"/>
                <w:color w:val="auto"/>
              </w:rPr>
            </w:pPr>
            <w:r>
              <w:rPr>
                <w:rFonts w:ascii="Arial" w:cs="Arial" w:eastAsia="Arial" w:hAnsi="Arial"/>
                <w:sz w:val="13"/>
                <w:szCs w:val="13"/>
                <w:b w:val="1"/>
                <w:bCs w:val="1"/>
                <w:color w:val="auto"/>
                <w:w w:val="87"/>
              </w:rPr>
              <w:t>(Distributions)</w:t>
            </w:r>
          </w:p>
        </w:tc>
        <w:tc>
          <w:tcPr>
            <w:tcW w:w="160" w:type="dxa"/>
            <w:vAlign w:val="bottom"/>
          </w:tcPr>
          <w:p>
            <w:pPr>
              <w:spacing w:after="0"/>
              <w:rPr>
                <w:sz w:val="13"/>
                <w:szCs w:val="13"/>
                <w:color w:val="auto"/>
              </w:rPr>
            </w:pPr>
          </w:p>
        </w:tc>
        <w:tc>
          <w:tcPr>
            <w:tcW w:w="720" w:type="dxa"/>
            <w:vAlign w:val="bottom"/>
            <w:gridSpan w:val="3"/>
          </w:tcPr>
          <w:p>
            <w:pPr>
              <w:ind w:left="20"/>
              <w:spacing w:after="0"/>
              <w:rPr>
                <w:sz w:val="20"/>
                <w:szCs w:val="20"/>
                <w:color w:val="auto"/>
              </w:rPr>
            </w:pPr>
            <w:r>
              <w:rPr>
                <w:rFonts w:ascii="Arial" w:cs="Arial" w:eastAsia="Arial" w:hAnsi="Arial"/>
                <w:sz w:val="13"/>
                <w:szCs w:val="13"/>
                <w:b w:val="1"/>
                <w:bCs w:val="1"/>
                <w:color w:val="auto"/>
              </w:rPr>
              <w:t>Accretion</w:t>
            </w:r>
          </w:p>
        </w:tc>
        <w:tc>
          <w:tcPr>
            <w:tcW w:w="74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87"/>
              </w:rPr>
              <w:t>Affiliates</w:t>
            </w:r>
          </w:p>
        </w:tc>
        <w:tc>
          <w:tcPr>
            <w:tcW w:w="86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89"/>
              </w:rPr>
              <w:t>Gain/(Loss)</w:t>
            </w:r>
          </w:p>
        </w:tc>
        <w:tc>
          <w:tcPr>
            <w:tcW w:w="640" w:type="dxa"/>
            <w:vAlign w:val="bottom"/>
            <w:gridSpan w:val="2"/>
          </w:tcPr>
          <w:p>
            <w:pPr>
              <w:spacing w:after="0"/>
              <w:rPr>
                <w:sz w:val="20"/>
                <w:szCs w:val="20"/>
                <w:color w:val="auto"/>
              </w:rPr>
            </w:pPr>
            <w:r>
              <w:rPr>
                <w:rFonts w:ascii="Arial" w:cs="Arial" w:eastAsia="Arial" w:hAnsi="Arial"/>
                <w:sz w:val="13"/>
                <w:szCs w:val="13"/>
                <w:b w:val="1"/>
                <w:bCs w:val="1"/>
                <w:color w:val="auto"/>
                <w:w w:val="86"/>
              </w:rPr>
              <w:t>Gain/(Loss)</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jc w:val="center"/>
              <w:ind w:right="17"/>
              <w:spacing w:after="0"/>
              <w:rPr>
                <w:sz w:val="20"/>
                <w:szCs w:val="20"/>
                <w:color w:val="auto"/>
              </w:rPr>
            </w:pPr>
            <w:r>
              <w:rPr>
                <w:rFonts w:ascii="Arial" w:cs="Arial" w:eastAsia="Arial" w:hAnsi="Arial"/>
                <w:sz w:val="13"/>
                <w:szCs w:val="13"/>
                <w:b w:val="1"/>
                <w:bCs w:val="1"/>
                <w:color w:val="auto"/>
                <w:w w:val="89"/>
              </w:rPr>
              <w:t>2021</w:t>
            </w:r>
          </w:p>
        </w:tc>
        <w:tc>
          <w:tcPr>
            <w:tcW w:w="16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82"/>
              </w:rPr>
              <w:t>2021</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2"/>
          </w:tcPr>
          <w:p>
            <w:pPr>
              <w:spacing w:after="0"/>
              <w:rPr>
                <w:sz w:val="20"/>
                <w:szCs w:val="20"/>
                <w:color w:val="auto"/>
              </w:rPr>
            </w:pPr>
            <w:r>
              <w:rPr>
                <w:rFonts w:ascii="Arial" w:cs="Arial" w:eastAsia="Arial" w:hAnsi="Arial"/>
                <w:sz w:val="13"/>
                <w:szCs w:val="13"/>
                <w:b w:val="1"/>
                <w:bCs w:val="1"/>
                <w:color w:val="auto"/>
              </w:rPr>
              <w:t>Income</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Income</w:t>
            </w:r>
          </w:p>
        </w:tc>
      </w:tr>
      <w:tr>
        <w:trPr>
          <w:trHeight w:val="128"/>
        </w:trPr>
        <w:tc>
          <w:tcPr>
            <w:tcW w:w="1700" w:type="dxa"/>
            <w:vAlign w:val="bottom"/>
            <w:tcBorders>
              <w:top w:val="single" w:sz="8" w:color="CFF0FC"/>
            </w:tcBorders>
            <w:shd w:val="clear" w:color="auto" w:fill="CFF0FC"/>
          </w:tcPr>
          <w:p>
            <w:pPr>
              <w:spacing w:after="0" w:line="128" w:lineRule="exact"/>
              <w:rPr>
                <w:sz w:val="20"/>
                <w:szCs w:val="20"/>
                <w:color w:val="auto"/>
              </w:rPr>
            </w:pPr>
            <w:r>
              <w:rPr>
                <w:rFonts w:ascii="Arial" w:cs="Arial" w:eastAsia="Arial" w:hAnsi="Arial"/>
                <w:sz w:val="13"/>
                <w:szCs w:val="13"/>
                <w:color w:val="auto"/>
              </w:rPr>
              <w:t>Asset Manager Affiliates</w:t>
            </w:r>
            <w:r>
              <w:rPr>
                <w:rFonts w:ascii="Arial" w:cs="Arial" w:eastAsia="Arial" w:hAnsi="Arial"/>
                <w:sz w:val="10"/>
                <w:szCs w:val="10"/>
                <w:color w:val="auto"/>
              </w:rPr>
              <w:t>(4)(6)</w:t>
            </w:r>
          </w:p>
        </w:tc>
        <w:tc>
          <w:tcPr>
            <w:tcW w:w="142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Asset</w:t>
            </w:r>
          </w:p>
        </w:tc>
        <w:tc>
          <w:tcPr>
            <w:tcW w:w="4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18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44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44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48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20" w:type="dxa"/>
            <w:vAlign w:val="bottom"/>
            <w:tcBorders>
              <w:top w:val="single" w:sz="8" w:color="CFF0FC"/>
            </w:tcBorders>
            <w:shd w:val="clear" w:color="auto" w:fill="CFF0FC"/>
          </w:tcPr>
          <w:p>
            <w:pPr>
              <w:spacing w:after="0"/>
              <w:rPr>
                <w:sz w:val="11"/>
                <w:szCs w:val="11"/>
                <w:color w:val="auto"/>
              </w:rPr>
            </w:pPr>
          </w:p>
        </w:tc>
        <w:tc>
          <w:tcPr>
            <w:tcW w:w="40" w:type="dxa"/>
            <w:vAlign w:val="bottom"/>
            <w:tcBorders>
              <w:top w:val="single" w:sz="8" w:color="auto"/>
            </w:tcBorders>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r>
      <w:tr>
        <w:trPr>
          <w:trHeight w:val="135"/>
        </w:trPr>
        <w:tc>
          <w:tcPr>
            <w:tcW w:w="1700" w:type="dxa"/>
            <w:vAlign w:val="bottom"/>
            <w:shd w:val="clear" w:color="auto" w:fill="CFF0FC"/>
          </w:tcPr>
          <w:p>
            <w:pPr>
              <w:spacing w:after="0"/>
              <w:rPr>
                <w:sz w:val="11"/>
                <w:szCs w:val="11"/>
                <w:color w:val="auto"/>
              </w:rPr>
            </w:pPr>
          </w:p>
        </w:tc>
        <w:tc>
          <w:tcPr>
            <w:tcW w:w="1460" w:type="dxa"/>
            <w:vAlign w:val="bottom"/>
            <w:gridSpan w:val="2"/>
            <w:shd w:val="clear" w:color="auto" w:fill="CFF0FC"/>
          </w:tcPr>
          <w:p>
            <w:pPr>
              <w:spacing w:after="0" w:line="135" w:lineRule="exact"/>
              <w:rPr>
                <w:sz w:val="20"/>
                <w:szCs w:val="20"/>
                <w:color w:val="auto"/>
              </w:rPr>
            </w:pPr>
            <w:r>
              <w:rPr>
                <w:rFonts w:ascii="Arial" w:cs="Arial" w:eastAsia="Arial" w:hAnsi="Arial"/>
                <w:sz w:val="13"/>
                <w:szCs w:val="13"/>
                <w:color w:val="auto"/>
              </w:rPr>
              <w:t>Management</w:t>
            </w:r>
          </w:p>
        </w:tc>
        <w:tc>
          <w:tcPr>
            <w:tcW w:w="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1700" w:type="dxa"/>
            <w:vAlign w:val="bottom"/>
            <w:shd w:val="clear" w:color="auto" w:fill="CFF0FC"/>
          </w:tcPr>
          <w:p>
            <w:pPr>
              <w:spacing w:after="0"/>
              <w:rPr>
                <w:sz w:val="12"/>
                <w:szCs w:val="12"/>
                <w:color w:val="auto"/>
              </w:rPr>
            </w:pPr>
          </w:p>
        </w:tc>
        <w:tc>
          <w:tcPr>
            <w:tcW w:w="146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Company</w:t>
            </w: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600" w:type="dxa"/>
            <w:vAlign w:val="bottom"/>
            <w:gridSpan w:val="2"/>
            <w:shd w:val="clear" w:color="auto" w:fill="CFF0FC"/>
          </w:tcPr>
          <w:p>
            <w:pPr>
              <w:ind w:left="30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6"/>
              </w:rPr>
              <w:t>$ 17,791,230</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gridSpan w:val="2"/>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34"/>
        </w:trPr>
        <w:tc>
          <w:tcPr>
            <w:tcW w:w="1700" w:type="dxa"/>
            <w:vAlign w:val="bottom"/>
          </w:tcPr>
          <w:p>
            <w:pPr>
              <w:spacing w:after="0" w:line="134" w:lineRule="exact"/>
              <w:rPr>
                <w:sz w:val="20"/>
                <w:szCs w:val="20"/>
                <w:color w:val="auto"/>
              </w:rPr>
            </w:pPr>
            <w:r>
              <w:rPr>
                <w:rFonts w:ascii="Arial" w:cs="Arial" w:eastAsia="Arial" w:hAnsi="Arial"/>
                <w:sz w:val="13"/>
                <w:szCs w:val="13"/>
                <w:color w:val="auto"/>
              </w:rPr>
              <w:t>Tank Partners Equipment</w:t>
            </w:r>
          </w:p>
        </w:tc>
        <w:tc>
          <w:tcPr>
            <w:tcW w:w="1460" w:type="dxa"/>
            <w:vAlign w:val="bottom"/>
            <w:gridSpan w:val="2"/>
          </w:tcPr>
          <w:p>
            <w:pPr>
              <w:spacing w:after="0" w:line="134" w:lineRule="exact"/>
              <w:rPr>
                <w:sz w:val="20"/>
                <w:szCs w:val="20"/>
                <w:color w:val="auto"/>
              </w:rPr>
            </w:pPr>
            <w:r>
              <w:rPr>
                <w:rFonts w:ascii="Arial" w:cs="Arial" w:eastAsia="Arial" w:hAnsi="Arial"/>
                <w:sz w:val="13"/>
                <w:szCs w:val="13"/>
                <w:color w:val="auto"/>
              </w:rPr>
              <w:t>Energy: Oil &amp;</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1700" w:type="dxa"/>
            <w:vAlign w:val="bottom"/>
          </w:tcPr>
          <w:p>
            <w:pPr>
              <w:spacing w:after="0"/>
              <w:rPr>
                <w:sz w:val="20"/>
                <w:szCs w:val="20"/>
                <w:color w:val="auto"/>
              </w:rPr>
            </w:pPr>
            <w:r>
              <w:rPr>
                <w:rFonts w:ascii="Arial" w:cs="Arial" w:eastAsia="Arial" w:hAnsi="Arial"/>
                <w:sz w:val="13"/>
                <w:szCs w:val="13"/>
                <w:color w:val="auto"/>
              </w:rPr>
              <w:t>Holdings, LLC</w:t>
            </w:r>
            <w:r>
              <w:rPr>
                <w:rFonts w:ascii="Arial" w:cs="Arial" w:eastAsia="Arial" w:hAnsi="Arial"/>
                <w:sz w:val="10"/>
                <w:szCs w:val="10"/>
                <w:color w:val="auto"/>
              </w:rPr>
              <w:t>(3)(4)(5)(8)</w:t>
            </w:r>
          </w:p>
        </w:tc>
        <w:tc>
          <w:tcPr>
            <w:tcW w:w="1460" w:type="dxa"/>
            <w:vAlign w:val="bottom"/>
            <w:gridSpan w:val="2"/>
          </w:tcPr>
          <w:p>
            <w:pPr>
              <w:spacing w:after="0"/>
              <w:rPr>
                <w:sz w:val="20"/>
                <w:szCs w:val="20"/>
                <w:color w:val="auto"/>
              </w:rPr>
            </w:pPr>
            <w:r>
              <w:rPr>
                <w:rFonts w:ascii="Arial" w:cs="Arial" w:eastAsia="Arial" w:hAnsi="Arial"/>
                <w:sz w:val="13"/>
                <w:szCs w:val="13"/>
                <w:color w:val="auto"/>
              </w:rPr>
              <w:t>Gas</w:t>
            </w:r>
          </w:p>
        </w:tc>
        <w:tc>
          <w:tcPr>
            <w:tcW w:w="60" w:type="dxa"/>
            <w:vAlign w:val="bottom"/>
          </w:tcPr>
          <w:p>
            <w:pPr>
              <w:spacing w:after="0"/>
              <w:rPr>
                <w:sz w:val="12"/>
                <w:szCs w:val="12"/>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49,000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34"/>
        </w:trPr>
        <w:tc>
          <w:tcPr>
            <w:tcW w:w="17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Tank Partners Equipment</w:t>
            </w:r>
          </w:p>
        </w:tc>
        <w:tc>
          <w:tcPr>
            <w:tcW w:w="146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Energy: Oil &amp;</w:t>
            </w:r>
          </w:p>
        </w:tc>
        <w:tc>
          <w:tcPr>
            <w:tcW w:w="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1700" w:type="dxa"/>
            <w:vAlign w:val="bottom"/>
            <w:shd w:val="clear" w:color="auto" w:fill="CFF0FC"/>
          </w:tcPr>
          <w:p>
            <w:pPr>
              <w:spacing w:after="0"/>
              <w:rPr>
                <w:sz w:val="20"/>
                <w:szCs w:val="20"/>
                <w:color w:val="auto"/>
              </w:rPr>
            </w:pPr>
            <w:r>
              <w:rPr>
                <w:rFonts w:ascii="Arial" w:cs="Arial" w:eastAsia="Arial" w:hAnsi="Arial"/>
                <w:sz w:val="13"/>
                <w:szCs w:val="13"/>
                <w:color w:val="auto"/>
              </w:rPr>
              <w:t>Holdings, LLC</w:t>
            </w:r>
            <w:r>
              <w:rPr>
                <w:rFonts w:ascii="Arial" w:cs="Arial" w:eastAsia="Arial" w:hAnsi="Arial"/>
                <w:sz w:val="10"/>
                <w:szCs w:val="10"/>
                <w:color w:val="auto"/>
              </w:rPr>
              <w:t>(3)(4)(5)</w:t>
            </w:r>
          </w:p>
        </w:tc>
        <w:tc>
          <w:tcPr>
            <w:tcW w:w="146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Gas</w:t>
            </w:r>
          </w:p>
        </w:tc>
        <w:tc>
          <w:tcPr>
            <w:tcW w:w="6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207,766</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0" w:type="dxa"/>
            <w:vAlign w:val="bottom"/>
            <w:gridSpan w:val="2"/>
            <w:shd w:val="clear" w:color="auto" w:fill="CFF0FC"/>
          </w:tcPr>
          <w:p>
            <w:pPr>
              <w:ind w:left="30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(165,974)</w:t>
            </w:r>
          </w:p>
        </w:tc>
        <w:tc>
          <w:tcPr>
            <w:tcW w:w="6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41,792</w:t>
            </w: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699,199</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49"/>
        </w:trPr>
        <w:tc>
          <w:tcPr>
            <w:tcW w:w="1700" w:type="dxa"/>
            <w:vAlign w:val="bottom"/>
          </w:tcPr>
          <w:p>
            <w:pPr>
              <w:spacing w:after="0"/>
              <w:rPr>
                <w:sz w:val="20"/>
                <w:szCs w:val="20"/>
                <w:color w:val="auto"/>
              </w:rPr>
            </w:pPr>
            <w:r>
              <w:rPr>
                <w:rFonts w:ascii="Arial" w:cs="Arial" w:eastAsia="Arial" w:hAnsi="Arial"/>
                <w:sz w:val="13"/>
                <w:szCs w:val="13"/>
                <w:color w:val="auto"/>
              </w:rPr>
              <w:t xml:space="preserve">KCAP Freedom 3, LLC </w:t>
            </w:r>
            <w:r>
              <w:rPr>
                <w:rFonts w:ascii="Arial" w:cs="Arial" w:eastAsia="Arial" w:hAnsi="Arial"/>
                <w:sz w:val="10"/>
                <w:szCs w:val="10"/>
                <w:color w:val="auto"/>
              </w:rPr>
              <w:t>(3)(5)</w:t>
            </w:r>
          </w:p>
        </w:tc>
        <w:tc>
          <w:tcPr>
            <w:tcW w:w="1460" w:type="dxa"/>
            <w:vAlign w:val="bottom"/>
            <w:gridSpan w:val="2"/>
          </w:tcPr>
          <w:p>
            <w:pPr>
              <w:spacing w:after="0"/>
              <w:rPr>
                <w:sz w:val="20"/>
                <w:szCs w:val="20"/>
                <w:color w:val="auto"/>
              </w:rPr>
            </w:pPr>
            <w:r>
              <w:rPr>
                <w:rFonts w:ascii="Arial" w:cs="Arial" w:eastAsia="Arial" w:hAnsi="Arial"/>
                <w:sz w:val="13"/>
                <w:szCs w:val="13"/>
                <w:color w:val="auto"/>
              </w:rPr>
              <w:t>Joint Venture</w:t>
            </w: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w w:val="95"/>
              </w:rPr>
              <w:t>19,748,808</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791,040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w w:val="89"/>
              </w:rPr>
              <w:t>20,539,848</w:t>
            </w:r>
          </w:p>
        </w:tc>
        <w:tc>
          <w:tcPr>
            <w:tcW w:w="1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24,720,000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w w:val="93"/>
              </w:rPr>
              <w:t>1,225,859</w:t>
            </w:r>
          </w:p>
        </w:tc>
        <w:tc>
          <w:tcPr>
            <w:tcW w:w="100" w:type="dxa"/>
            <w:vAlign w:val="bottom"/>
          </w:tcPr>
          <w:p>
            <w:pPr>
              <w:spacing w:after="0"/>
              <w:rPr>
                <w:sz w:val="12"/>
                <w:szCs w:val="12"/>
                <w:color w:val="auto"/>
              </w:rPr>
            </w:pPr>
          </w:p>
        </w:tc>
      </w:tr>
      <w:tr>
        <w:trPr>
          <w:trHeight w:val="142"/>
        </w:trPr>
        <w:tc>
          <w:tcPr>
            <w:tcW w:w="1700" w:type="dxa"/>
            <w:vAlign w:val="bottom"/>
            <w:tcBorders>
              <w:top w:val="single" w:sz="8" w:color="CFF0FC"/>
            </w:tcBorders>
            <w:shd w:val="clear" w:color="auto" w:fill="CFF0FC"/>
          </w:tcPr>
          <w:p>
            <w:pPr>
              <w:spacing w:after="0" w:line="142" w:lineRule="exact"/>
              <w:rPr>
                <w:sz w:val="20"/>
                <w:szCs w:val="20"/>
                <w:color w:val="auto"/>
              </w:rPr>
            </w:pPr>
            <w:r>
              <w:rPr>
                <w:rFonts w:ascii="Arial" w:cs="Arial" w:eastAsia="Arial" w:hAnsi="Arial"/>
                <w:sz w:val="13"/>
                <w:szCs w:val="13"/>
                <w:color w:val="auto"/>
              </w:rPr>
              <w:t>Total controlled affiliates</w:t>
            </w:r>
          </w:p>
        </w:tc>
        <w:tc>
          <w:tcPr>
            <w:tcW w:w="1420" w:type="dxa"/>
            <w:vAlign w:val="bottom"/>
            <w:tcBorders>
              <w:top w:val="single" w:sz="8" w:color="CFF0FC"/>
            </w:tcBorders>
            <w:shd w:val="clear" w:color="auto" w:fill="CFF0FC"/>
          </w:tcPr>
          <w:p>
            <w:pPr>
              <w:spacing w:after="0"/>
              <w:rPr>
                <w:sz w:val="12"/>
                <w:szCs w:val="12"/>
                <w:color w:val="auto"/>
              </w:rPr>
            </w:pPr>
          </w:p>
        </w:tc>
        <w:tc>
          <w:tcPr>
            <w:tcW w:w="4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bottom w:val="single" w:sz="8" w:color="auto"/>
            </w:tcBorders>
            <w:shd w:val="clear" w:color="auto" w:fill="CFF0FC"/>
          </w:tcPr>
          <w:p>
            <w:pPr>
              <w:spacing w:after="0"/>
              <w:rPr>
                <w:sz w:val="12"/>
                <w:szCs w:val="12"/>
                <w:color w:val="auto"/>
              </w:rPr>
            </w:pPr>
          </w:p>
        </w:tc>
        <w:tc>
          <w:tcPr>
            <w:tcW w:w="6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95"/>
              </w:rPr>
              <w:t>19,956,574</w:t>
            </w:r>
          </w:p>
        </w:tc>
        <w:tc>
          <w:tcPr>
            <w:tcW w:w="18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bottom w:val="single" w:sz="8" w:color="auto"/>
            </w:tcBorders>
            <w:shd w:val="clear" w:color="auto" w:fill="CFF0FC"/>
          </w:tcPr>
          <w:p>
            <w:pPr>
              <w:spacing w:after="0"/>
              <w:rPr>
                <w:sz w:val="12"/>
                <w:szCs w:val="12"/>
                <w:color w:val="auto"/>
              </w:rPr>
            </w:pPr>
          </w:p>
        </w:tc>
        <w:tc>
          <w:tcPr>
            <w:tcW w:w="7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spacing w:after="0"/>
              <w:rPr>
                <w:sz w:val="12"/>
                <w:szCs w:val="12"/>
                <w:color w:val="auto"/>
              </w:rPr>
            </w:pPr>
          </w:p>
        </w:tc>
        <w:tc>
          <w:tcPr>
            <w:tcW w:w="4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6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bottom w:val="single" w:sz="8" w:color="auto"/>
            </w:tcBorders>
            <w:shd w:val="clear" w:color="auto" w:fill="CFF0FC"/>
          </w:tcPr>
          <w:p>
            <w:pPr>
              <w:spacing w:after="0"/>
              <w:rPr>
                <w:sz w:val="12"/>
                <w:szCs w:val="12"/>
                <w:color w:val="auto"/>
              </w:rPr>
            </w:pPr>
          </w:p>
        </w:tc>
        <w:tc>
          <w:tcPr>
            <w:tcW w:w="440" w:type="dxa"/>
            <w:vAlign w:val="bottom"/>
            <w:tcBorders>
              <w:top w:val="single" w:sz="8" w:color="auto"/>
              <w:bottom w:val="single" w:sz="8" w:color="auto"/>
            </w:tcBorders>
            <w:shd w:val="clear" w:color="auto" w:fill="CFF0FC"/>
          </w:tcPr>
          <w:p>
            <w:pPr>
              <w:ind w:left="300"/>
              <w:spacing w:after="0" w:line="142" w:lineRule="exact"/>
              <w:rPr>
                <w:sz w:val="20"/>
                <w:szCs w:val="20"/>
                <w:color w:val="auto"/>
              </w:rPr>
            </w:pPr>
            <w:r>
              <w:rPr>
                <w:rFonts w:ascii="Arial" w:cs="Arial" w:eastAsia="Arial" w:hAnsi="Arial"/>
                <w:sz w:val="13"/>
                <w:szCs w:val="13"/>
                <w:color w:val="auto"/>
                <w:w w:val="91"/>
              </w:rPr>
              <w:t>—</w:t>
            </w:r>
          </w:p>
        </w:tc>
        <w:tc>
          <w:tcPr>
            <w:tcW w:w="16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bottom w:val="single" w:sz="8" w:color="auto"/>
            </w:tcBorders>
            <w:shd w:val="clear" w:color="auto" w:fill="CFF0FC"/>
          </w:tcPr>
          <w:p>
            <w:pPr>
              <w:spacing w:after="0"/>
              <w:rPr>
                <w:sz w:val="12"/>
                <w:szCs w:val="12"/>
                <w:color w:val="auto"/>
              </w:rPr>
            </w:pPr>
          </w:p>
        </w:tc>
        <w:tc>
          <w:tcPr>
            <w:tcW w:w="6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625,066</w:t>
            </w:r>
          </w:p>
        </w:tc>
        <w:tc>
          <w:tcPr>
            <w:tcW w:w="16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bottom w:val="single" w:sz="8" w:color="auto"/>
            </w:tcBorders>
            <w:shd w:val="clear" w:color="auto" w:fill="CFF0FC"/>
          </w:tcPr>
          <w:p>
            <w:pPr>
              <w:spacing w:after="0"/>
              <w:rPr>
                <w:sz w:val="12"/>
                <w:szCs w:val="12"/>
                <w:color w:val="auto"/>
              </w:rPr>
            </w:pPr>
          </w:p>
        </w:tc>
        <w:tc>
          <w:tcPr>
            <w:tcW w:w="5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6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bottom w:val="single" w:sz="8" w:color="auto"/>
            </w:tcBorders>
            <w:shd w:val="clear" w:color="auto" w:fill="CFF0FC"/>
          </w:tcPr>
          <w:p>
            <w:pPr>
              <w:spacing w:after="0"/>
              <w:rPr>
                <w:sz w:val="12"/>
                <w:szCs w:val="12"/>
                <w:color w:val="auto"/>
              </w:rPr>
            </w:pPr>
          </w:p>
        </w:tc>
        <w:tc>
          <w:tcPr>
            <w:tcW w:w="6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9"/>
              </w:rPr>
              <w:t>20,581,640</w:t>
            </w:r>
          </w:p>
        </w:tc>
        <w:tc>
          <w:tcPr>
            <w:tcW w:w="160" w:type="dxa"/>
            <w:vAlign w:val="bottom"/>
            <w:tcBorders>
              <w:top w:val="single" w:sz="8" w:color="CFF0FC"/>
            </w:tcBorders>
            <w:shd w:val="clear" w:color="auto" w:fill="CFF0FC"/>
          </w:tcPr>
          <w:p>
            <w:pPr>
              <w:spacing w:after="0"/>
              <w:rPr>
                <w:sz w:val="12"/>
                <w:szCs w:val="12"/>
                <w:color w:val="auto"/>
              </w:rPr>
            </w:pPr>
          </w:p>
        </w:tc>
        <w:tc>
          <w:tcPr>
            <w:tcW w:w="700" w:type="dxa"/>
            <w:vAlign w:val="bottom"/>
            <w:tcBorders>
              <w:top w:val="single" w:sz="8" w:color="auto"/>
              <w:bottom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bottom w:val="single" w:sz="8" w:color="auto"/>
            </w:tcBorders>
            <w:shd w:val="clear" w:color="auto" w:fill="CFF0FC"/>
          </w:tcPr>
          <w:p>
            <w:pPr>
              <w:spacing w:after="0"/>
              <w:rPr>
                <w:sz w:val="12"/>
                <w:szCs w:val="12"/>
                <w:color w:val="auto"/>
              </w:rPr>
            </w:pPr>
          </w:p>
        </w:tc>
        <w:tc>
          <w:tcPr>
            <w:tcW w:w="4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60" w:type="dxa"/>
            <w:vAlign w:val="bottom"/>
            <w:tcBorders>
              <w:top w:val="single" w:sz="8" w:color="CFF0FC"/>
            </w:tcBorders>
            <w:shd w:val="clear" w:color="auto" w:fill="CFF0FC"/>
          </w:tcPr>
          <w:p>
            <w:pPr>
              <w:spacing w:after="0"/>
              <w:rPr>
                <w:sz w:val="12"/>
                <w:szCs w:val="12"/>
                <w:color w:val="auto"/>
              </w:rPr>
            </w:pPr>
          </w:p>
        </w:tc>
        <w:tc>
          <w:tcPr>
            <w:tcW w:w="20" w:type="dxa"/>
            <w:vAlign w:val="bottom"/>
            <w:tcBorders>
              <w:top w:val="single" w:sz="8" w:color="CFF0FC"/>
            </w:tcBorders>
            <w:shd w:val="clear" w:color="auto" w:fill="CFF0FC"/>
          </w:tcPr>
          <w:p>
            <w:pPr>
              <w:spacing w:after="0"/>
              <w:rPr>
                <w:sz w:val="12"/>
                <w:szCs w:val="12"/>
                <w:color w:val="auto"/>
              </w:rPr>
            </w:pPr>
          </w:p>
        </w:tc>
        <w:tc>
          <w:tcPr>
            <w:tcW w:w="40" w:type="dxa"/>
            <w:vAlign w:val="bottom"/>
            <w:tcBorders>
              <w:top w:val="single" w:sz="8" w:color="auto"/>
              <w:bottom w:val="single" w:sz="8" w:color="auto"/>
            </w:tcBorders>
            <w:shd w:val="clear" w:color="auto" w:fill="CFF0FC"/>
          </w:tcPr>
          <w:p>
            <w:pPr>
              <w:spacing w:after="0"/>
              <w:rPr>
                <w:sz w:val="12"/>
                <w:szCs w:val="12"/>
                <w:color w:val="auto"/>
              </w:rPr>
            </w:pPr>
          </w:p>
        </w:tc>
        <w:tc>
          <w:tcPr>
            <w:tcW w:w="5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93"/>
              </w:rPr>
              <w:t>1,225,859</w:t>
            </w:r>
          </w:p>
        </w:tc>
        <w:tc>
          <w:tcPr>
            <w:tcW w:w="100" w:type="dxa"/>
            <w:vAlign w:val="bottom"/>
            <w:tcBorders>
              <w:top w:val="single" w:sz="8" w:color="CFF0FC"/>
            </w:tcBorders>
            <w:shd w:val="clear" w:color="auto" w:fill="CFF0FC"/>
          </w:tcPr>
          <w:p>
            <w:pPr>
              <w:spacing w:after="0"/>
              <w:rPr>
                <w:sz w:val="12"/>
                <w:szCs w:val="12"/>
                <w:color w:val="auto"/>
              </w:rPr>
            </w:pPr>
          </w:p>
        </w:tc>
      </w:tr>
      <w:tr>
        <w:trPr>
          <w:trHeight w:val="276"/>
        </w:trPr>
        <w:tc>
          <w:tcPr>
            <w:tcW w:w="1700" w:type="dxa"/>
            <w:vAlign w:val="bottom"/>
          </w:tcPr>
          <w:p>
            <w:pPr>
              <w:spacing w:after="0"/>
              <w:rPr>
                <w:sz w:val="20"/>
                <w:szCs w:val="20"/>
                <w:color w:val="auto"/>
              </w:rPr>
            </w:pPr>
            <w:r>
              <w:rPr>
                <w:rFonts w:ascii="Arial" w:cs="Arial" w:eastAsia="Arial" w:hAnsi="Arial"/>
                <w:sz w:val="13"/>
                <w:szCs w:val="13"/>
                <w:color w:val="auto"/>
              </w:rPr>
              <w:t>BCP Great Lakes Holdings</w:t>
            </w:r>
          </w:p>
        </w:tc>
        <w:tc>
          <w:tcPr>
            <w:tcW w:w="1460" w:type="dxa"/>
            <w:vAlign w:val="bottom"/>
            <w:gridSpan w:val="2"/>
          </w:tcPr>
          <w:p>
            <w:pPr>
              <w:spacing w:after="0"/>
              <w:rPr>
                <w:sz w:val="20"/>
                <w:szCs w:val="20"/>
                <w:color w:val="auto"/>
              </w:rPr>
            </w:pPr>
            <w:r>
              <w:rPr>
                <w:rFonts w:ascii="Arial" w:cs="Arial" w:eastAsia="Arial" w:hAnsi="Arial"/>
                <w:sz w:val="13"/>
                <w:szCs w:val="13"/>
                <w:color w:val="auto"/>
              </w:rPr>
              <w:t>Joint Venture</w:t>
            </w: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9"/>
        </w:trPr>
        <w:tc>
          <w:tcPr>
            <w:tcW w:w="1700" w:type="dxa"/>
            <w:vAlign w:val="bottom"/>
          </w:tcPr>
          <w:p>
            <w:pPr>
              <w:spacing w:after="0"/>
              <w:rPr>
                <w:sz w:val="20"/>
                <w:szCs w:val="20"/>
                <w:color w:val="auto"/>
              </w:rPr>
            </w:pPr>
            <w:r>
              <w:rPr>
                <w:rFonts w:ascii="Arial" w:cs="Arial" w:eastAsia="Arial" w:hAnsi="Arial"/>
                <w:sz w:val="13"/>
                <w:szCs w:val="13"/>
                <w:color w:val="auto"/>
              </w:rPr>
              <w:t>LP</w:t>
            </w:r>
            <w:r>
              <w:rPr>
                <w:rFonts w:ascii="Arial" w:cs="Arial" w:eastAsia="Arial" w:hAnsi="Arial"/>
                <w:sz w:val="10"/>
                <w:szCs w:val="10"/>
                <w:color w:val="auto"/>
              </w:rPr>
              <w:t>(7)(9)</w:t>
            </w:r>
          </w:p>
        </w:tc>
        <w:tc>
          <w:tcPr>
            <w:tcW w:w="1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w w:val="95"/>
              </w:rPr>
              <w:t>29,600,355</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6,173,508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417,245</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w w:val="89"/>
              </w:rPr>
              <w:t>36,191,108</w:t>
            </w:r>
          </w:p>
        </w:tc>
        <w:tc>
          <w:tcPr>
            <w:tcW w:w="1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36,191,108</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813,408</w:t>
            </w:r>
          </w:p>
        </w:tc>
        <w:tc>
          <w:tcPr>
            <w:tcW w:w="100" w:type="dxa"/>
            <w:vAlign w:val="bottom"/>
          </w:tcPr>
          <w:p>
            <w:pPr>
              <w:spacing w:after="0"/>
              <w:rPr>
                <w:sz w:val="12"/>
                <w:szCs w:val="12"/>
                <w:color w:val="auto"/>
              </w:rPr>
            </w:pPr>
          </w:p>
        </w:tc>
      </w:tr>
      <w:tr>
        <w:trPr>
          <w:trHeight w:val="148"/>
        </w:trPr>
        <w:tc>
          <w:tcPr>
            <w:tcW w:w="1700" w:type="dxa"/>
            <w:vAlign w:val="bottom"/>
            <w:shd w:val="clear" w:color="auto" w:fill="CFF0FC"/>
          </w:tcPr>
          <w:p>
            <w:pPr>
              <w:spacing w:after="0"/>
              <w:rPr>
                <w:sz w:val="20"/>
                <w:szCs w:val="20"/>
                <w:color w:val="auto"/>
              </w:rPr>
            </w:pPr>
            <w:r>
              <w:rPr>
                <w:rFonts w:ascii="Arial" w:cs="Arial" w:eastAsia="Arial" w:hAnsi="Arial"/>
                <w:sz w:val="13"/>
                <w:szCs w:val="13"/>
                <w:color w:val="auto"/>
              </w:rPr>
              <w:t>Navex Topco, Inc.</w:t>
            </w:r>
            <w:r>
              <w:rPr>
                <w:rFonts w:ascii="Arial" w:cs="Arial" w:eastAsia="Arial" w:hAnsi="Arial"/>
                <w:sz w:val="10"/>
                <w:szCs w:val="10"/>
                <w:color w:val="auto"/>
              </w:rPr>
              <w:t>(3)(4)(7)</w:t>
            </w:r>
          </w:p>
        </w:tc>
        <w:tc>
          <w:tcPr>
            <w:tcW w:w="146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Electronics</w:t>
            </w:r>
          </w:p>
        </w:tc>
        <w:tc>
          <w:tcPr>
            <w:tcW w:w="6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7,488,250</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20,732</w:t>
            </w: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0" w:type="dxa"/>
            <w:vAlign w:val="bottom"/>
            <w:gridSpan w:val="2"/>
            <w:shd w:val="clear" w:color="auto" w:fill="CFF0FC"/>
          </w:tcPr>
          <w:p>
            <w:pPr>
              <w:ind w:left="30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(6,256)</w:t>
            </w:r>
          </w:p>
        </w:tc>
        <w:tc>
          <w:tcPr>
            <w:tcW w:w="6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7,502,726</w:t>
            </w: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7,700,000</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3"/>
              </w:rPr>
              <w:t>137,297</w:t>
            </w: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34"/>
        </w:trPr>
        <w:tc>
          <w:tcPr>
            <w:tcW w:w="1700" w:type="dxa"/>
            <w:vAlign w:val="bottom"/>
          </w:tcPr>
          <w:p>
            <w:pPr>
              <w:spacing w:after="0" w:line="134" w:lineRule="exact"/>
              <w:rPr>
                <w:sz w:val="20"/>
                <w:szCs w:val="20"/>
                <w:color w:val="auto"/>
              </w:rPr>
            </w:pPr>
            <w:r>
              <w:rPr>
                <w:rFonts w:ascii="Arial" w:cs="Arial" w:eastAsia="Arial" w:hAnsi="Arial"/>
                <w:sz w:val="13"/>
                <w:szCs w:val="13"/>
                <w:color w:val="auto"/>
              </w:rPr>
              <w:t>Zest Acquisition Corp.</w:t>
            </w:r>
            <w:r>
              <w:rPr>
                <w:rFonts w:ascii="Arial" w:cs="Arial" w:eastAsia="Arial" w:hAnsi="Arial"/>
                <w:sz w:val="10"/>
                <w:szCs w:val="10"/>
                <w:color w:val="auto"/>
              </w:rPr>
              <w:t>(3)(4)(7)</w:t>
            </w:r>
          </w:p>
        </w:tc>
        <w:tc>
          <w:tcPr>
            <w:tcW w:w="1460" w:type="dxa"/>
            <w:vAlign w:val="bottom"/>
            <w:gridSpan w:val="2"/>
          </w:tcPr>
          <w:p>
            <w:pPr>
              <w:spacing w:after="0" w:line="134" w:lineRule="exact"/>
              <w:rPr>
                <w:sz w:val="20"/>
                <w:szCs w:val="20"/>
                <w:color w:val="auto"/>
              </w:rPr>
            </w:pPr>
            <w:r>
              <w:rPr>
                <w:rFonts w:ascii="Arial" w:cs="Arial" w:eastAsia="Arial" w:hAnsi="Arial"/>
                <w:sz w:val="13"/>
                <w:szCs w:val="13"/>
                <w:color w:val="auto"/>
                <w:w w:val="93"/>
              </w:rPr>
              <w:t>Healthcare, Education and</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1700" w:type="dxa"/>
            <w:vAlign w:val="bottom"/>
          </w:tcPr>
          <w:p>
            <w:pPr>
              <w:spacing w:after="0"/>
              <w:rPr>
                <w:sz w:val="12"/>
                <w:szCs w:val="12"/>
                <w:color w:val="auto"/>
              </w:rPr>
            </w:pPr>
          </w:p>
        </w:tc>
        <w:tc>
          <w:tcPr>
            <w:tcW w:w="1460" w:type="dxa"/>
            <w:vAlign w:val="bottom"/>
            <w:gridSpan w:val="2"/>
          </w:tcPr>
          <w:p>
            <w:pPr>
              <w:spacing w:after="0"/>
              <w:rPr>
                <w:sz w:val="20"/>
                <w:szCs w:val="20"/>
                <w:color w:val="auto"/>
              </w:rPr>
            </w:pPr>
            <w:r>
              <w:rPr>
                <w:rFonts w:ascii="Arial" w:cs="Arial" w:eastAsia="Arial" w:hAnsi="Arial"/>
                <w:sz w:val="13"/>
                <w:szCs w:val="13"/>
                <w:color w:val="auto"/>
              </w:rPr>
              <w:t>Childcare</w:t>
            </w: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3,291,400</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694</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127,756</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3,419,850</w:t>
            </w:r>
          </w:p>
        </w:tc>
        <w:tc>
          <w:tcPr>
            <w:tcW w:w="1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3,500,000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74,375</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34"/>
        </w:trPr>
        <w:tc>
          <w:tcPr>
            <w:tcW w:w="17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GIG Rooster Holdings I, LLC</w:t>
            </w:r>
          </w:p>
        </w:tc>
        <w:tc>
          <w:tcPr>
            <w:tcW w:w="1460" w:type="dxa"/>
            <w:vAlign w:val="bottom"/>
            <w:gridSpan w:val="2"/>
            <w:shd w:val="clear" w:color="auto" w:fill="CFF0FC"/>
          </w:tcPr>
          <w:p>
            <w:pPr>
              <w:spacing w:after="0" w:line="134" w:lineRule="exact"/>
              <w:rPr>
                <w:sz w:val="20"/>
                <w:szCs w:val="20"/>
                <w:color w:val="auto"/>
              </w:rPr>
            </w:pPr>
            <w:r>
              <w:rPr>
                <w:rFonts w:ascii="Arial" w:cs="Arial" w:eastAsia="Arial" w:hAnsi="Arial"/>
                <w:sz w:val="13"/>
                <w:szCs w:val="13"/>
                <w:color w:val="auto"/>
              </w:rPr>
              <w:t>Energy: Oil &amp;</w:t>
            </w:r>
          </w:p>
        </w:tc>
        <w:tc>
          <w:tcPr>
            <w:tcW w:w="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1700" w:type="dxa"/>
            <w:vAlign w:val="bottom"/>
            <w:shd w:val="clear" w:color="auto" w:fill="CFF0FC"/>
          </w:tcPr>
          <w:p>
            <w:pPr>
              <w:spacing w:after="0"/>
              <w:rPr>
                <w:sz w:val="20"/>
                <w:szCs w:val="20"/>
                <w:color w:val="auto"/>
              </w:rPr>
            </w:pPr>
            <w:r>
              <w:rPr>
                <w:rFonts w:ascii="Arial" w:cs="Arial" w:eastAsia="Arial" w:hAnsi="Arial"/>
                <w:sz w:val="11"/>
                <w:szCs w:val="11"/>
                <w:color w:val="auto"/>
              </w:rPr>
              <w:t>(2)</w:t>
            </w:r>
          </w:p>
        </w:tc>
        <w:tc>
          <w:tcPr>
            <w:tcW w:w="146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Gas</w:t>
            </w:r>
          </w:p>
        </w:tc>
        <w:tc>
          <w:tcPr>
            <w:tcW w:w="6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123,354</w:t>
            </w: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600" w:type="dxa"/>
            <w:vAlign w:val="bottom"/>
            <w:gridSpan w:val="2"/>
            <w:shd w:val="clear" w:color="auto" w:fill="CFF0FC"/>
          </w:tcPr>
          <w:p>
            <w:pPr>
              <w:ind w:left="30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(207,405)</w:t>
            </w:r>
          </w:p>
        </w:tc>
        <w:tc>
          <w:tcPr>
            <w:tcW w:w="6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108,900</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24,849</w:t>
            </w: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42"/>
        </w:trPr>
        <w:tc>
          <w:tcPr>
            <w:tcW w:w="1700" w:type="dxa"/>
            <w:vAlign w:val="bottom"/>
            <w:tcBorders>
              <w:bottom w:val="single" w:sz="8" w:color="CFF0FC"/>
            </w:tcBorders>
          </w:tcPr>
          <w:p>
            <w:pPr>
              <w:spacing w:after="0" w:line="142" w:lineRule="exact"/>
              <w:rPr>
                <w:sz w:val="20"/>
                <w:szCs w:val="20"/>
                <w:color w:val="auto"/>
              </w:rPr>
            </w:pPr>
            <w:r>
              <w:rPr>
                <w:rFonts w:ascii="Arial" w:cs="Arial" w:eastAsia="Arial" w:hAnsi="Arial"/>
                <w:sz w:val="13"/>
                <w:szCs w:val="13"/>
                <w:color w:val="auto"/>
                <w:w w:val="99"/>
              </w:rPr>
              <w:t>Total Non-controlled affiliates</w:t>
            </w:r>
          </w:p>
        </w:tc>
        <w:tc>
          <w:tcPr>
            <w:tcW w:w="1420" w:type="dxa"/>
            <w:vAlign w:val="bottom"/>
            <w:tcBorders>
              <w:bottom w:val="single" w:sz="8" w:color="CFF0FC"/>
            </w:tcBorders>
          </w:tcPr>
          <w:p>
            <w:pPr>
              <w:spacing w:after="0"/>
              <w:rPr>
                <w:sz w:val="12"/>
                <w:szCs w:val="12"/>
                <w:color w:val="auto"/>
              </w:rPr>
            </w:pPr>
          </w:p>
        </w:tc>
        <w:tc>
          <w:tcPr>
            <w:tcW w:w="40" w:type="dxa"/>
            <w:vAlign w:val="bottom"/>
            <w:tcBorders>
              <w:bottom w:val="single" w:sz="8" w:color="CFF0FC"/>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5"/>
              </w:rPr>
              <w:t>40,503,359</w:t>
            </w:r>
          </w:p>
        </w:tc>
        <w:tc>
          <w:tcPr>
            <w:tcW w:w="180" w:type="dxa"/>
            <w:vAlign w:val="bottom"/>
            <w:tcBorders>
              <w:bottom w:val="single" w:sz="8" w:color="CFF0FC"/>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6,173,508</w:t>
            </w:r>
          </w:p>
        </w:tc>
        <w:tc>
          <w:tcPr>
            <w:tcW w:w="160" w:type="dxa"/>
            <w:vAlign w:val="bottom"/>
            <w:tcBorders>
              <w:bottom w:val="single" w:sz="8" w:color="CFF0FC"/>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21,426</w:t>
            </w:r>
          </w:p>
        </w:tc>
        <w:tc>
          <w:tcPr>
            <w:tcW w:w="160" w:type="dxa"/>
            <w:vAlign w:val="bottom"/>
            <w:tcBorders>
              <w:bottom w:val="single" w:sz="8" w:color="CFF0FC"/>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ind w:left="300"/>
              <w:spacing w:after="0" w:line="142" w:lineRule="exact"/>
              <w:rPr>
                <w:sz w:val="20"/>
                <w:szCs w:val="20"/>
                <w:color w:val="auto"/>
              </w:rPr>
            </w:pPr>
            <w:r>
              <w:rPr>
                <w:rFonts w:ascii="Arial" w:cs="Arial" w:eastAsia="Arial" w:hAnsi="Arial"/>
                <w:sz w:val="13"/>
                <w:szCs w:val="13"/>
                <w:color w:val="auto"/>
                <w:w w:val="91"/>
              </w:rPr>
              <w:t>—</w:t>
            </w:r>
          </w:p>
        </w:tc>
        <w:tc>
          <w:tcPr>
            <w:tcW w:w="160" w:type="dxa"/>
            <w:vAlign w:val="bottom"/>
            <w:tcBorders>
              <w:bottom w:val="single" w:sz="8" w:color="CFF0FC"/>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331,340</w:t>
            </w:r>
          </w:p>
        </w:tc>
        <w:tc>
          <w:tcPr>
            <w:tcW w:w="160" w:type="dxa"/>
            <w:vAlign w:val="bottom"/>
            <w:tcBorders>
              <w:bottom w:val="single" w:sz="8" w:color="CFF0FC"/>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108,900</w:t>
            </w:r>
          </w:p>
        </w:tc>
        <w:tc>
          <w:tcPr>
            <w:tcW w:w="160" w:type="dxa"/>
            <w:vAlign w:val="bottom"/>
            <w:tcBorders>
              <w:bottom w:val="single" w:sz="8" w:color="CFF0FC"/>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9"/>
              </w:rPr>
              <w:t>47,138,533</w:t>
            </w:r>
          </w:p>
        </w:tc>
        <w:tc>
          <w:tcPr>
            <w:tcW w:w="160" w:type="dxa"/>
            <w:vAlign w:val="bottom"/>
            <w:tcBorders>
              <w:bottom w:val="single" w:sz="8" w:color="CFF0FC"/>
            </w:tcBorders>
          </w:tcPr>
          <w:p>
            <w:pPr>
              <w:spacing w:after="0"/>
              <w:rPr>
                <w:sz w:val="12"/>
                <w:szCs w:val="12"/>
                <w:color w:val="auto"/>
              </w:rPr>
            </w:pPr>
          </w:p>
        </w:tc>
        <w:tc>
          <w:tcPr>
            <w:tcW w:w="700" w:type="dxa"/>
            <w:vAlign w:val="bottom"/>
            <w:tcBorders>
              <w:top w:val="single" w:sz="8" w:color="auto"/>
              <w:bottom w:val="single" w:sz="8" w:color="auto"/>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3"/>
              </w:rPr>
              <w:t>211,672</w:t>
            </w:r>
          </w:p>
        </w:tc>
        <w:tc>
          <w:tcPr>
            <w:tcW w:w="160" w:type="dxa"/>
            <w:vAlign w:val="bottom"/>
            <w:tcBorders>
              <w:bottom w:val="single" w:sz="8" w:color="CFF0FC"/>
            </w:tcBorders>
          </w:tcPr>
          <w:p>
            <w:pPr>
              <w:spacing w:after="0"/>
              <w:rPr>
                <w:sz w:val="12"/>
                <w:szCs w:val="12"/>
                <w:color w:val="auto"/>
              </w:rPr>
            </w:pPr>
          </w:p>
        </w:tc>
        <w:tc>
          <w:tcPr>
            <w:tcW w:w="20" w:type="dxa"/>
            <w:vAlign w:val="bottom"/>
            <w:tcBorders>
              <w:bottom w:val="single" w:sz="8" w:color="CFF0FC"/>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813,408</w:t>
            </w:r>
          </w:p>
        </w:tc>
        <w:tc>
          <w:tcPr>
            <w:tcW w:w="100" w:type="dxa"/>
            <w:vAlign w:val="bottom"/>
            <w:tcBorders>
              <w:bottom w:val="single" w:sz="8" w:color="CFF0FC"/>
            </w:tcBorders>
          </w:tcPr>
          <w:p>
            <w:pPr>
              <w:spacing w:after="0"/>
              <w:rPr>
                <w:sz w:val="12"/>
                <w:szCs w:val="12"/>
                <w:color w:val="auto"/>
              </w:rPr>
            </w:pPr>
          </w:p>
        </w:tc>
      </w:tr>
      <w:tr>
        <w:trPr>
          <w:trHeight w:val="142"/>
        </w:trPr>
        <w:tc>
          <w:tcPr>
            <w:tcW w:w="170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0" w:type="dxa"/>
            <w:vAlign w:val="bottom"/>
            <w:tcBorders>
              <w:bottom w:val="single" w:sz="8" w:color="auto"/>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440" w:type="dxa"/>
            <w:vAlign w:val="bottom"/>
            <w:tcBorders>
              <w:bottom w:val="single" w:sz="8" w:color="auto"/>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440" w:type="dxa"/>
            <w:vAlign w:val="bottom"/>
            <w:tcBorders>
              <w:bottom w:val="single" w:sz="8" w:color="auto"/>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 w:type="dxa"/>
            <w:vAlign w:val="bottom"/>
            <w:tcBorders>
              <w:bottom w:val="single" w:sz="8" w:color="auto"/>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 w:type="dxa"/>
            <w:vAlign w:val="bottom"/>
            <w:tcBorders>
              <w:bottom w:val="single" w:sz="8" w:color="auto"/>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 w:type="dxa"/>
            <w:vAlign w:val="bottom"/>
            <w:tcBorders>
              <w:bottom w:val="single" w:sz="8" w:color="auto"/>
            </w:tcBorders>
            <w:shd w:val="clear" w:color="auto" w:fill="CFF0FC"/>
          </w:tcPr>
          <w:p>
            <w:pPr>
              <w:spacing w:after="0"/>
              <w:rPr>
                <w:sz w:val="12"/>
                <w:szCs w:val="12"/>
                <w:color w:val="auto"/>
              </w:rPr>
            </w:pPr>
          </w:p>
        </w:tc>
        <w:tc>
          <w:tcPr>
            <w:tcW w:w="480" w:type="dxa"/>
            <w:vAlign w:val="bottom"/>
            <w:tcBorders>
              <w:bottom w:val="single" w:sz="8" w:color="auto"/>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0" w:type="dxa"/>
            <w:vAlign w:val="bottom"/>
            <w:tcBorders>
              <w:bottom w:val="single" w:sz="8" w:color="auto"/>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2"/>
        </w:trPr>
        <w:tc>
          <w:tcPr>
            <w:tcW w:w="1700" w:type="dxa"/>
            <w:vAlign w:val="bottom"/>
          </w:tcPr>
          <w:p>
            <w:pPr>
              <w:spacing w:after="0" w:line="142" w:lineRule="exact"/>
              <w:rPr>
                <w:sz w:val="20"/>
                <w:szCs w:val="20"/>
                <w:color w:val="auto"/>
              </w:rPr>
            </w:pPr>
            <w:r>
              <w:rPr>
                <w:rFonts w:ascii="Arial" w:cs="Arial" w:eastAsia="Arial" w:hAnsi="Arial"/>
                <w:sz w:val="13"/>
                <w:szCs w:val="13"/>
                <w:color w:val="auto"/>
              </w:rPr>
              <w:t>Total Affiliated Investments</w:t>
            </w:r>
          </w:p>
        </w:tc>
        <w:tc>
          <w:tcPr>
            <w:tcW w:w="1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5"/>
              </w:rPr>
              <w:t>60,459,933</w:t>
            </w:r>
          </w:p>
        </w:tc>
        <w:tc>
          <w:tcPr>
            <w:tcW w:w="18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6,173,508</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line="142" w:lineRule="exact"/>
              <w:rPr>
                <w:sz w:val="20"/>
                <w:szCs w:val="20"/>
                <w:color w:val="auto"/>
              </w:rPr>
            </w:pPr>
            <w:r>
              <w:rPr>
                <w:rFonts w:ascii="Arial" w:cs="Arial" w:eastAsia="Arial" w:hAnsi="Arial"/>
                <w:sz w:val="13"/>
                <w:szCs w:val="13"/>
                <w:color w:val="auto"/>
              </w:rPr>
              <w:t>$</w:t>
            </w: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21,426</w:t>
            </w:r>
          </w:p>
        </w:tc>
        <w:tc>
          <w:tcPr>
            <w:tcW w:w="160" w:type="dxa"/>
            <w:vAlign w:val="bottom"/>
          </w:tcPr>
          <w:p>
            <w:pPr>
              <w:spacing w:after="0"/>
              <w:rPr>
                <w:sz w:val="12"/>
                <w:szCs w:val="12"/>
                <w:color w:val="auto"/>
              </w:rPr>
            </w:pPr>
          </w:p>
        </w:tc>
        <w:tc>
          <w:tcPr>
            <w:tcW w:w="140" w:type="dxa"/>
            <w:vAlign w:val="bottom"/>
            <w:tcBorders>
              <w:bottom w:val="single" w:sz="8" w:color="auto"/>
            </w:tcBorders>
          </w:tcPr>
          <w:p>
            <w:pPr>
              <w:jc w:val="right"/>
              <w:ind w:right="20"/>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tcPr>
          <w:p>
            <w:pPr>
              <w:ind w:left="300"/>
              <w:spacing w:after="0" w:line="142" w:lineRule="exact"/>
              <w:rPr>
                <w:sz w:val="20"/>
                <w:szCs w:val="20"/>
                <w:color w:val="auto"/>
              </w:rPr>
            </w:pPr>
            <w:r>
              <w:rPr>
                <w:rFonts w:ascii="Arial" w:cs="Arial" w:eastAsia="Arial" w:hAnsi="Arial"/>
                <w:sz w:val="13"/>
                <w:szCs w:val="13"/>
                <w:color w:val="auto"/>
                <w:w w:val="91"/>
              </w:rPr>
              <w:t>—</w:t>
            </w:r>
          </w:p>
        </w:tc>
        <w:tc>
          <w:tcPr>
            <w:tcW w:w="16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956,406</w:t>
            </w:r>
          </w:p>
        </w:tc>
        <w:tc>
          <w:tcPr>
            <w:tcW w:w="160" w:type="dxa"/>
            <w:vAlign w:val="bottom"/>
          </w:tcPr>
          <w:p>
            <w:pPr>
              <w:spacing w:after="0"/>
              <w:rPr>
                <w:sz w:val="12"/>
                <w:szCs w:val="12"/>
                <w:color w:val="auto"/>
              </w:rPr>
            </w:pPr>
          </w:p>
        </w:tc>
        <w:tc>
          <w:tcPr>
            <w:tcW w:w="60" w:type="dxa"/>
            <w:vAlign w:val="bottom"/>
            <w:tcBorders>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108,900</w:t>
            </w:r>
          </w:p>
        </w:tc>
        <w:tc>
          <w:tcPr>
            <w:tcW w:w="16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9"/>
              </w:rPr>
              <w:t>67,720,173</w:t>
            </w:r>
          </w:p>
        </w:tc>
        <w:tc>
          <w:tcPr>
            <w:tcW w:w="16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3"/>
              </w:rPr>
              <w:t>211,673</w:t>
            </w:r>
          </w:p>
        </w:tc>
        <w:tc>
          <w:tcPr>
            <w:tcW w:w="1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3"/>
              </w:rPr>
              <w:t>2,039,267</w:t>
            </w:r>
          </w:p>
        </w:tc>
        <w:tc>
          <w:tcPr>
            <w:tcW w:w="100" w:type="dxa"/>
            <w:vAlign w:val="bottom"/>
          </w:tcPr>
          <w:p>
            <w:pPr>
              <w:spacing w:after="0"/>
              <w:rPr>
                <w:sz w:val="12"/>
                <w:szCs w:val="12"/>
                <w:color w:val="auto"/>
              </w:rPr>
            </w:pPr>
          </w:p>
        </w:tc>
      </w:tr>
      <w:tr>
        <w:trPr>
          <w:trHeight w:val="20"/>
        </w:trPr>
        <w:tc>
          <w:tcPr>
            <w:tcW w:w="17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380" w:hanging="372"/>
        <w:spacing w:after="0"/>
        <w:tabs>
          <w:tab w:leader="none" w:pos="380" w:val="left"/>
        </w:tabs>
        <w:numPr>
          <w:ilvl w:val="0"/>
          <w:numId w:val="32"/>
        </w:numPr>
        <w:rPr>
          <w:rFonts w:ascii="Arial" w:cs="Arial" w:eastAsia="Arial" w:hAnsi="Arial"/>
          <w:sz w:val="15"/>
          <w:szCs w:val="15"/>
          <w:color w:val="auto"/>
        </w:rPr>
      </w:pPr>
      <w:r>
        <w:rPr>
          <w:rFonts w:ascii="Arial" w:cs="Arial" w:eastAsia="Arial" w:hAnsi="Arial"/>
          <w:sz w:val="18"/>
          <w:szCs w:val="18"/>
          <w:color w:val="auto"/>
        </w:rPr>
        <w:t>Non-U.S. company or principal place of business outside the U.S.</w:t>
      </w:r>
    </w:p>
    <w:p>
      <w:pPr>
        <w:spacing w:after="0" w:line="131" w:lineRule="exact"/>
        <w:rPr>
          <w:sz w:val="20"/>
          <w:szCs w:val="20"/>
          <w:color w:val="auto"/>
        </w:rPr>
      </w:pPr>
    </w:p>
    <w:p>
      <w:pPr>
        <w:ind w:left="380" w:right="80" w:hanging="372"/>
        <w:spacing w:after="0" w:line="277" w:lineRule="auto"/>
        <w:tabs>
          <w:tab w:leader="none" w:pos="380" w:val="left"/>
        </w:tabs>
        <w:numPr>
          <w:ilvl w:val="0"/>
          <w:numId w:val="33"/>
        </w:numPr>
        <w:rPr>
          <w:rFonts w:ascii="Arial" w:cs="Arial" w:eastAsia="Arial" w:hAnsi="Arial"/>
          <w:sz w:val="15"/>
          <w:szCs w:val="15"/>
          <w:color w:val="auto"/>
        </w:rPr>
      </w:pPr>
      <w:r>
        <w:rPr>
          <w:rFonts w:ascii="Arial" w:cs="Arial" w:eastAsia="Arial" w:hAnsi="Arial"/>
          <w:sz w:val="18"/>
          <w:szCs w:val="18"/>
          <w:color w:val="auto"/>
        </w:rPr>
        <w:t>Underlying assets of investment were liquidated in December 2020, the fair value of investment is based on future cash flow payments expected to be received. Fair value of this investment was determined using significant unobservable inputs.</w:t>
      </w:r>
    </w:p>
    <w:p>
      <w:pPr>
        <w:spacing w:after="0" w:line="62" w:lineRule="exact"/>
        <w:rPr>
          <w:sz w:val="20"/>
          <w:szCs w:val="20"/>
          <w:color w:val="auto"/>
        </w:rPr>
      </w:pPr>
    </w:p>
    <w:p>
      <w:pPr>
        <w:ind w:left="380" w:hanging="372"/>
        <w:spacing w:after="0"/>
        <w:tabs>
          <w:tab w:leader="none" w:pos="380" w:val="left"/>
        </w:tabs>
        <w:numPr>
          <w:ilvl w:val="0"/>
          <w:numId w:val="34"/>
        </w:numPr>
        <w:rPr>
          <w:rFonts w:ascii="Arial" w:cs="Arial" w:eastAsia="Arial" w:hAnsi="Arial"/>
          <w:sz w:val="15"/>
          <w:szCs w:val="15"/>
          <w:color w:val="auto"/>
        </w:rPr>
      </w:pPr>
      <w:r>
        <w:rPr>
          <w:rFonts w:ascii="Arial" w:cs="Arial" w:eastAsia="Arial" w:hAnsi="Arial"/>
          <w:sz w:val="18"/>
          <w:szCs w:val="18"/>
          <w:color w:val="auto"/>
        </w:rPr>
        <w:t>Qualified asset for purposes of section 55(a) of the Investment Company Act of 1940.</w:t>
      </w:r>
    </w:p>
    <w:p>
      <w:pPr>
        <w:spacing w:after="0" w:line="117" w:lineRule="exact"/>
        <w:rPr>
          <w:sz w:val="20"/>
          <w:szCs w:val="20"/>
          <w:color w:val="auto"/>
        </w:rPr>
      </w:pPr>
    </w:p>
    <w:p>
      <w:pPr>
        <w:ind w:left="380" w:right="220" w:hanging="372"/>
        <w:spacing w:after="0" w:line="301" w:lineRule="auto"/>
        <w:tabs>
          <w:tab w:leader="none" w:pos="380" w:val="left"/>
        </w:tabs>
        <w:numPr>
          <w:ilvl w:val="0"/>
          <w:numId w:val="35"/>
        </w:numPr>
        <w:rPr>
          <w:rFonts w:ascii="Arial" w:cs="Arial" w:eastAsia="Arial" w:hAnsi="Arial"/>
          <w:sz w:val="13"/>
          <w:szCs w:val="13"/>
          <w:color w:val="auto"/>
        </w:rPr>
      </w:pPr>
      <w:r>
        <w:rPr>
          <w:rFonts w:ascii="Arial" w:cs="Arial" w:eastAsia="Arial" w:hAnsi="Arial"/>
          <w:sz w:val="16"/>
          <w:szCs w:val="16"/>
          <w:color w:val="auto"/>
        </w:rPr>
        <w:t>As defined in the 1940 Act, the Company is deemed to be both an “Affiliated Person” and has “Control” of this portfolio company as the Company owns more than 25% of the portfolio company’s outstanding voting securities or has the power to exercise control over management or policies of such portfolio company securities or has the power to exercise control over management or policies of such portfolio company (including through a management agreement). Other than for purposes of the 1940 Act, the Company does not believe that it has control over this portfolio company.</w:t>
      </w:r>
    </w:p>
    <w:p>
      <w:pPr>
        <w:spacing w:after="0" w:line="49" w:lineRule="exact"/>
        <w:rPr>
          <w:sz w:val="20"/>
          <w:szCs w:val="20"/>
          <w:color w:val="auto"/>
        </w:rPr>
      </w:pPr>
    </w:p>
    <w:p>
      <w:pPr>
        <w:ind w:left="380" w:right="260" w:hanging="372"/>
        <w:spacing w:after="0" w:line="263" w:lineRule="auto"/>
        <w:tabs>
          <w:tab w:leader="none" w:pos="380" w:val="left"/>
        </w:tabs>
        <w:numPr>
          <w:ilvl w:val="0"/>
          <w:numId w:val="36"/>
        </w:numPr>
        <w:rPr>
          <w:rFonts w:ascii="Arial" w:cs="Arial" w:eastAsia="Arial" w:hAnsi="Arial"/>
          <w:sz w:val="15"/>
          <w:szCs w:val="15"/>
          <w:color w:val="auto"/>
        </w:rPr>
      </w:pPr>
      <w:r>
        <w:rPr>
          <w:rFonts w:ascii="Arial" w:cs="Arial" w:eastAsia="Arial" w:hAnsi="Arial"/>
          <w:sz w:val="18"/>
          <w:szCs w:val="18"/>
          <w:color w:val="auto"/>
        </w:rPr>
        <w:t>As defined in the 1940 Act, the Company is deemed to be both an “Affiliated Person” and has “Control” of this portfolio company as the Company owns more than 25% of the portfolio company’s outstanding voting securities or has the power to exercise control over management or policies of such portfolio company.</w:t>
      </w:r>
    </w:p>
    <w:p>
      <w:pPr>
        <w:spacing w:after="0" w:line="76" w:lineRule="exact"/>
        <w:rPr>
          <w:sz w:val="20"/>
          <w:szCs w:val="20"/>
          <w:color w:val="auto"/>
        </w:rPr>
      </w:pPr>
    </w:p>
    <w:p>
      <w:pPr>
        <w:ind w:left="380" w:right="40" w:hanging="372"/>
        <w:spacing w:after="0" w:line="286" w:lineRule="auto"/>
        <w:tabs>
          <w:tab w:leader="none" w:pos="380" w:val="left"/>
        </w:tabs>
        <w:numPr>
          <w:ilvl w:val="0"/>
          <w:numId w:val="37"/>
        </w:numPr>
        <w:rPr>
          <w:rFonts w:ascii="Arial" w:cs="Arial" w:eastAsia="Arial" w:hAnsi="Arial"/>
          <w:sz w:val="14"/>
          <w:szCs w:val="14"/>
          <w:color w:val="auto"/>
        </w:rPr>
      </w:pPr>
      <w:r>
        <w:rPr>
          <w:rFonts w:ascii="Arial" w:cs="Arial" w:eastAsia="Arial" w:hAnsi="Arial"/>
          <w:sz w:val="17"/>
          <w:szCs w:val="17"/>
          <w:color w:val="auto"/>
        </w:rPr>
        <w:t>Under the 1940 Act, the Company is deemed to be an “Affiliated Person” of, as defined in the 1940 Act, this portfolio company as the Company owns at least 5% but no more than 25% of the portfolio company’s outstanding voting securities or is under common control with such portfolio company. Other than for purposes of the 1940 Act, the Company does not believe that it has control over this portfolio company.</w:t>
      </w:r>
    </w:p>
    <w:p>
      <w:pPr>
        <w:spacing w:after="0" w:line="57" w:lineRule="exact"/>
        <w:rPr>
          <w:sz w:val="20"/>
          <w:szCs w:val="20"/>
          <w:color w:val="auto"/>
        </w:rPr>
      </w:pPr>
    </w:p>
    <w:p>
      <w:pPr>
        <w:ind w:left="380" w:hanging="372"/>
        <w:spacing w:after="0"/>
        <w:tabs>
          <w:tab w:leader="none" w:pos="380" w:val="left"/>
        </w:tabs>
        <w:numPr>
          <w:ilvl w:val="0"/>
          <w:numId w:val="38"/>
        </w:numPr>
        <w:rPr>
          <w:rFonts w:ascii="Arial" w:cs="Arial" w:eastAsia="Arial" w:hAnsi="Arial"/>
          <w:sz w:val="15"/>
          <w:szCs w:val="15"/>
          <w:color w:val="auto"/>
        </w:rPr>
      </w:pPr>
      <w:r>
        <w:rPr>
          <w:rFonts w:ascii="Arial" w:cs="Arial" w:eastAsia="Arial" w:hAnsi="Arial"/>
          <w:sz w:val="18"/>
          <w:szCs w:val="18"/>
          <w:color w:val="auto"/>
        </w:rPr>
        <w:t>Number of shares held.</w:t>
      </w:r>
    </w:p>
    <w:p>
      <w:pPr>
        <w:spacing w:after="0" w:line="17" w:lineRule="exact"/>
        <w:rPr>
          <w:sz w:val="20"/>
          <w:szCs w:val="20"/>
          <w:color w:val="auto"/>
        </w:rPr>
      </w:pPr>
    </w:p>
    <w:p>
      <w:pPr>
        <w:ind w:left="380" w:hanging="372"/>
        <w:spacing w:after="0"/>
        <w:tabs>
          <w:tab w:leader="none" w:pos="380" w:val="left"/>
        </w:tabs>
        <w:numPr>
          <w:ilvl w:val="0"/>
          <w:numId w:val="39"/>
        </w:numPr>
        <w:rPr>
          <w:rFonts w:ascii="Arial" w:cs="Arial" w:eastAsia="Arial" w:hAnsi="Arial"/>
          <w:sz w:val="27"/>
          <w:szCs w:val="27"/>
          <w:color w:val="auto"/>
          <w:vertAlign w:val="superscript"/>
        </w:rPr>
      </w:pPr>
      <w:r>
        <w:rPr>
          <w:rFonts w:ascii="Arial" w:cs="Arial" w:eastAsia="Arial" w:hAnsi="Arial"/>
          <w:sz w:val="15"/>
          <w:szCs w:val="15"/>
          <w:color w:val="auto"/>
        </w:rPr>
        <w:t>Ownership of LP interest held through the holding company BCP Great Lakes Fund, L.P, a non-U.S. company or principal place of business outside the U.S.</w:t>
      </w:r>
    </w:p>
    <w:p>
      <w:pPr>
        <w:spacing w:after="0" w:line="200" w:lineRule="exact"/>
        <w:rPr>
          <w:rFonts w:ascii="Arial" w:cs="Arial" w:eastAsia="Arial" w:hAnsi="Arial"/>
          <w:sz w:val="27"/>
          <w:szCs w:val="27"/>
          <w:color w:val="auto"/>
          <w:vertAlign w:val="superscript"/>
        </w:rPr>
      </w:pPr>
    </w:p>
    <w:p>
      <w:pPr>
        <w:spacing w:after="0" w:line="200" w:lineRule="exact"/>
        <w:rPr>
          <w:rFonts w:ascii="Arial" w:cs="Arial" w:eastAsia="Arial" w:hAnsi="Arial"/>
          <w:sz w:val="27"/>
          <w:szCs w:val="27"/>
          <w:color w:val="auto"/>
          <w:vertAlign w:val="superscript"/>
        </w:rPr>
      </w:pPr>
    </w:p>
    <w:p>
      <w:pPr>
        <w:spacing w:after="0" w:line="347" w:lineRule="exact"/>
        <w:rPr>
          <w:rFonts w:ascii="Arial" w:cs="Arial" w:eastAsia="Arial" w:hAnsi="Arial"/>
          <w:sz w:val="27"/>
          <w:szCs w:val="27"/>
          <w:color w:val="auto"/>
          <w:vertAlign w:val="superscript"/>
        </w:rPr>
      </w:pPr>
    </w:p>
    <w:p>
      <w:pPr>
        <w:ind w:left="5540"/>
        <w:spacing w:after="0"/>
        <w:rPr>
          <w:rFonts w:ascii="Arial" w:cs="Arial" w:eastAsia="Arial" w:hAnsi="Arial"/>
          <w:sz w:val="27"/>
          <w:szCs w:val="27"/>
          <w:color w:val="auto"/>
          <w:vertAlign w:val="superscript"/>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2" w:name="page53"/>
    <w:bookmarkEnd w:id="52"/>
    <w:p>
      <w:pPr>
        <w:ind w:left="380"/>
        <w:spacing w:after="0"/>
        <w:rPr>
          <w:sz w:val="20"/>
          <w:szCs w:val="20"/>
          <w:color w:val="auto"/>
        </w:rPr>
      </w:pPr>
      <w:r>
        <w:rPr>
          <w:rFonts w:ascii="Arial" w:cs="Arial" w:eastAsia="Arial" w:hAnsi="Arial"/>
          <w:sz w:val="18"/>
          <w:szCs w:val="18"/>
          <w:color w:val="auto"/>
        </w:rPr>
        <w:t>The following table details investments in affiliates at December 31, 2020:</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center"/>
              <w:ind w:right="17"/>
              <w:spacing w:after="0"/>
              <w:rPr>
                <w:sz w:val="20"/>
                <w:szCs w:val="20"/>
                <w:color w:val="auto"/>
              </w:rPr>
            </w:pPr>
            <w:r>
              <w:rPr>
                <w:rFonts w:ascii="Arial" w:cs="Arial" w:eastAsia="Arial" w:hAnsi="Arial"/>
                <w:sz w:val="13"/>
                <w:szCs w:val="13"/>
                <w:b w:val="1"/>
                <w:bCs w:val="1"/>
                <w:color w:val="auto"/>
                <w:w w:val="90"/>
              </w:rPr>
              <w:t>Fair Value</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93"/>
              </w:rPr>
              <w:t>Fair Value</w:t>
            </w: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1"/>
              </w:rPr>
              <w:t>of</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3"/>
              </w:rPr>
              <w:t>Purchases/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158"/>
              <w:spacing w:after="0" w:line="135" w:lineRule="exact"/>
              <w:rPr>
                <w:sz w:val="20"/>
                <w:szCs w:val="20"/>
                <w:color w:val="auto"/>
              </w:rPr>
            </w:pPr>
            <w:r>
              <w:rPr>
                <w:rFonts w:ascii="Arial" w:cs="Arial" w:eastAsia="Arial" w:hAnsi="Arial"/>
                <w:sz w:val="13"/>
                <w:szCs w:val="13"/>
                <w:b w:val="1"/>
                <w:bCs w:val="1"/>
                <w:color w:val="auto"/>
                <w:w w:val="87"/>
              </w:rPr>
              <w:t>Transfers</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1"/>
              </w:rPr>
              <w:t>of</w:t>
            </w:r>
          </w:p>
        </w:tc>
        <w:tc>
          <w:tcPr>
            <w:tcW w:w="82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8"/>
              </w:rPr>
              <w:t>Principal at</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5"/>
              </w:rPr>
              <w:t>December</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5"/>
              </w:rPr>
              <w:t>(Sales) of or</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138"/>
              <w:spacing w:after="0" w:line="135" w:lineRule="exact"/>
              <w:rPr>
                <w:sz w:val="20"/>
                <w:szCs w:val="20"/>
                <w:color w:val="auto"/>
              </w:rPr>
            </w:pPr>
            <w:r>
              <w:rPr>
                <w:rFonts w:ascii="Arial" w:cs="Arial" w:eastAsia="Arial" w:hAnsi="Arial"/>
                <w:sz w:val="13"/>
                <w:szCs w:val="13"/>
                <w:b w:val="1"/>
                <w:bCs w:val="1"/>
                <w:color w:val="auto"/>
                <w:w w:val="99"/>
              </w:rPr>
              <w:t>In/(Out)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177"/>
              <w:spacing w:after="0" w:line="135" w:lineRule="exact"/>
              <w:rPr>
                <w:sz w:val="20"/>
                <w:szCs w:val="20"/>
                <w:color w:val="auto"/>
              </w:rPr>
            </w:pPr>
            <w:r>
              <w:rPr>
                <w:rFonts w:ascii="Arial" w:cs="Arial" w:eastAsia="Arial" w:hAnsi="Arial"/>
                <w:sz w:val="13"/>
                <w:szCs w:val="13"/>
                <w:b w:val="1"/>
                <w:bCs w:val="1"/>
                <w:color w:val="auto"/>
                <w:w w:val="85"/>
              </w:rPr>
              <w:t>Net change</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5"/>
              </w:rPr>
              <w:t>December</w:t>
            </w:r>
          </w:p>
        </w:tc>
        <w:tc>
          <w:tcPr>
            <w:tcW w:w="82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5"/>
              </w:rPr>
              <w:t>December</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2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9"/>
              </w:rPr>
              <w:t>Industry</w:t>
            </w:r>
          </w:p>
        </w:tc>
        <w:tc>
          <w:tcPr>
            <w:tcW w:w="80" w:type="dxa"/>
            <w:vAlign w:val="bottom"/>
          </w:tcPr>
          <w:p>
            <w:pPr>
              <w:spacing w:after="0"/>
              <w:rPr>
                <w:sz w:val="11"/>
                <w:szCs w:val="11"/>
                <w:color w:val="auto"/>
              </w:rPr>
            </w:pPr>
          </w:p>
        </w:tc>
        <w:tc>
          <w:tcPr>
            <w:tcW w:w="640" w:type="dxa"/>
            <w:vAlign w:val="bottom"/>
          </w:tcPr>
          <w:p>
            <w:pPr>
              <w:jc w:val="right"/>
              <w:ind w:right="217"/>
              <w:spacing w:after="0" w:line="135" w:lineRule="exact"/>
              <w:rPr>
                <w:sz w:val="20"/>
                <w:szCs w:val="20"/>
                <w:color w:val="auto"/>
              </w:rPr>
            </w:pPr>
            <w:r>
              <w:rPr>
                <w:rFonts w:ascii="Arial" w:cs="Arial" w:eastAsia="Arial" w:hAnsi="Arial"/>
                <w:sz w:val="13"/>
                <w:szCs w:val="13"/>
                <w:b w:val="1"/>
                <w:bCs w:val="1"/>
                <w:color w:val="auto"/>
              </w:rPr>
              <w:t>31,</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2"/>
              </w:rPr>
              <w:t>Advances/</w:t>
            </w:r>
          </w:p>
        </w:tc>
        <w:tc>
          <w:tcPr>
            <w:tcW w:w="78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5"/>
              </w:rPr>
              <w:t>Net</w:t>
            </w:r>
          </w:p>
        </w:tc>
        <w:tc>
          <w:tcPr>
            <w:tcW w:w="80" w:type="dxa"/>
            <w:vAlign w:val="bottom"/>
          </w:tcPr>
          <w:p>
            <w:pPr>
              <w:spacing w:after="0"/>
              <w:rPr>
                <w:sz w:val="11"/>
                <w:szCs w:val="11"/>
                <w:color w:val="auto"/>
              </w:rPr>
            </w:pPr>
          </w:p>
        </w:tc>
        <w:tc>
          <w:tcPr>
            <w:tcW w:w="760" w:type="dxa"/>
            <w:vAlign w:val="bottom"/>
            <w:gridSpan w:val="2"/>
          </w:tcPr>
          <w:p>
            <w:pPr>
              <w:jc w:val="center"/>
              <w:ind w:right="138"/>
              <w:spacing w:after="0" w:line="135" w:lineRule="exact"/>
              <w:rPr>
                <w:sz w:val="20"/>
                <w:szCs w:val="20"/>
                <w:color w:val="auto"/>
              </w:rPr>
            </w:pPr>
            <w:r>
              <w:rPr>
                <w:rFonts w:ascii="Arial" w:cs="Arial" w:eastAsia="Arial" w:hAnsi="Arial"/>
                <w:sz w:val="13"/>
                <w:szCs w:val="13"/>
                <w:b w:val="1"/>
                <w:bCs w:val="1"/>
                <w:color w:val="auto"/>
                <w:w w:val="81"/>
              </w:rPr>
              <w:t>of</w:t>
            </w:r>
          </w:p>
        </w:tc>
        <w:tc>
          <w:tcPr>
            <w:tcW w:w="60" w:type="dxa"/>
            <w:vAlign w:val="bottom"/>
          </w:tcPr>
          <w:p>
            <w:pPr>
              <w:spacing w:after="0"/>
              <w:rPr>
                <w:sz w:val="11"/>
                <w:szCs w:val="11"/>
                <w:color w:val="auto"/>
              </w:rPr>
            </w:pPr>
          </w:p>
        </w:tc>
        <w:tc>
          <w:tcPr>
            <w:tcW w:w="920" w:type="dxa"/>
            <w:vAlign w:val="bottom"/>
            <w:gridSpan w:val="3"/>
          </w:tcPr>
          <w:p>
            <w:pPr>
              <w:jc w:val="center"/>
              <w:ind w:right="117"/>
              <w:spacing w:after="0" w:line="135" w:lineRule="exact"/>
              <w:rPr>
                <w:sz w:val="20"/>
                <w:szCs w:val="20"/>
                <w:color w:val="auto"/>
              </w:rPr>
            </w:pPr>
            <w:r>
              <w:rPr>
                <w:rFonts w:ascii="Arial" w:cs="Arial" w:eastAsia="Arial" w:hAnsi="Arial"/>
                <w:sz w:val="13"/>
                <w:szCs w:val="13"/>
                <w:b w:val="1"/>
                <w:bCs w:val="1"/>
                <w:color w:val="auto"/>
                <w:w w:val="88"/>
              </w:rPr>
              <w:t>in unrealized</w:t>
            </w:r>
          </w:p>
        </w:tc>
        <w:tc>
          <w:tcPr>
            <w:tcW w:w="6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Realized</w:t>
            </w:r>
          </w:p>
        </w:tc>
        <w:tc>
          <w:tcPr>
            <w:tcW w:w="60" w:type="dxa"/>
            <w:vAlign w:val="bottom"/>
          </w:tcPr>
          <w:p>
            <w:pPr>
              <w:spacing w:after="0"/>
              <w:rPr>
                <w:sz w:val="11"/>
                <w:szCs w:val="11"/>
                <w:color w:val="auto"/>
              </w:rPr>
            </w:pPr>
          </w:p>
        </w:tc>
        <w:tc>
          <w:tcPr>
            <w:tcW w:w="620" w:type="dxa"/>
            <w:vAlign w:val="bottom"/>
          </w:tcPr>
          <w:p>
            <w:pPr>
              <w:jc w:val="right"/>
              <w:ind w:right="197"/>
              <w:spacing w:after="0" w:line="135" w:lineRule="exact"/>
              <w:rPr>
                <w:sz w:val="20"/>
                <w:szCs w:val="20"/>
                <w:color w:val="auto"/>
              </w:rPr>
            </w:pPr>
            <w:r>
              <w:rPr>
                <w:rFonts w:ascii="Arial" w:cs="Arial" w:eastAsia="Arial" w:hAnsi="Arial"/>
                <w:sz w:val="13"/>
                <w:szCs w:val="13"/>
                <w:b w:val="1"/>
                <w:bCs w:val="1"/>
                <w:color w:val="auto"/>
              </w:rPr>
              <w:t>31,</w:t>
            </w:r>
          </w:p>
        </w:tc>
        <w:tc>
          <w:tcPr>
            <w:tcW w:w="160" w:type="dxa"/>
            <w:vAlign w:val="bottom"/>
          </w:tcPr>
          <w:p>
            <w:pPr>
              <w:spacing w:after="0"/>
              <w:rPr>
                <w:sz w:val="11"/>
                <w:szCs w:val="11"/>
                <w:color w:val="auto"/>
              </w:rPr>
            </w:pPr>
          </w:p>
        </w:tc>
        <w:tc>
          <w:tcPr>
            <w:tcW w:w="680" w:type="dxa"/>
            <w:vAlign w:val="bottom"/>
          </w:tcPr>
          <w:p>
            <w:pPr>
              <w:jc w:val="right"/>
              <w:ind w:right="217"/>
              <w:spacing w:after="0" w:line="135" w:lineRule="exact"/>
              <w:rPr>
                <w:sz w:val="20"/>
                <w:szCs w:val="20"/>
                <w:color w:val="auto"/>
              </w:rPr>
            </w:pPr>
            <w:r>
              <w:rPr>
                <w:rFonts w:ascii="Arial" w:cs="Arial" w:eastAsia="Arial" w:hAnsi="Arial"/>
                <w:sz w:val="13"/>
                <w:szCs w:val="13"/>
                <w:b w:val="1"/>
                <w:bCs w:val="1"/>
                <w:color w:val="auto"/>
              </w:rPr>
              <w:t>31,</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Interest</w:t>
            </w:r>
          </w:p>
        </w:tc>
        <w:tc>
          <w:tcPr>
            <w:tcW w:w="60" w:type="dxa"/>
            <w:vAlign w:val="bottom"/>
          </w:tcPr>
          <w:p>
            <w:pPr>
              <w:spacing w:after="0"/>
              <w:rPr>
                <w:sz w:val="11"/>
                <w:szCs w:val="11"/>
                <w:color w:val="auto"/>
              </w:rPr>
            </w:pPr>
          </w:p>
        </w:tc>
        <w:tc>
          <w:tcPr>
            <w:tcW w:w="66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7"/>
              </w:rPr>
              <w:t>Dividend</w:t>
            </w:r>
          </w:p>
        </w:tc>
        <w:tc>
          <w:tcPr>
            <w:tcW w:w="0" w:type="dxa"/>
            <w:vAlign w:val="bottom"/>
          </w:tcPr>
          <w:p>
            <w:pPr>
              <w:spacing w:after="0"/>
              <w:rPr>
                <w:sz w:val="1"/>
                <w:szCs w:val="1"/>
                <w:color w:val="auto"/>
              </w:rPr>
            </w:pPr>
          </w:p>
        </w:tc>
      </w:tr>
      <w:tr>
        <w:trPr>
          <w:trHeight w:val="153"/>
        </w:trPr>
        <w:tc>
          <w:tcPr>
            <w:tcW w:w="1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2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7"/>
              </w:rPr>
              <w:t>Classification</w:t>
            </w:r>
          </w:p>
        </w:tc>
        <w:tc>
          <w:tcPr>
            <w:tcW w:w="80" w:type="dxa"/>
            <w:vAlign w:val="bottom"/>
          </w:tcPr>
          <w:p>
            <w:pPr>
              <w:spacing w:after="0"/>
              <w:rPr>
                <w:sz w:val="13"/>
                <w:szCs w:val="13"/>
                <w:color w:val="auto"/>
              </w:rPr>
            </w:pPr>
          </w:p>
        </w:tc>
        <w:tc>
          <w:tcPr>
            <w:tcW w:w="640" w:type="dxa"/>
            <w:vAlign w:val="bottom"/>
          </w:tcPr>
          <w:p>
            <w:pPr>
              <w:jc w:val="right"/>
              <w:ind w:right="177"/>
              <w:spacing w:after="0"/>
              <w:rPr>
                <w:sz w:val="20"/>
                <w:szCs w:val="20"/>
                <w:color w:val="auto"/>
              </w:rPr>
            </w:pPr>
            <w:r>
              <w:rPr>
                <w:rFonts w:ascii="Arial" w:cs="Arial" w:eastAsia="Arial" w:hAnsi="Arial"/>
                <w:sz w:val="13"/>
                <w:szCs w:val="13"/>
                <w:b w:val="1"/>
                <w:bCs w:val="1"/>
                <w:color w:val="auto"/>
              </w:rPr>
              <w:t>2019</w:t>
            </w:r>
          </w:p>
        </w:tc>
        <w:tc>
          <w:tcPr>
            <w:tcW w:w="1100" w:type="dxa"/>
            <w:vAlign w:val="bottom"/>
            <w:gridSpan w:val="4"/>
          </w:tcPr>
          <w:p>
            <w:pPr>
              <w:jc w:val="center"/>
              <w:ind w:right="20"/>
              <w:spacing w:after="0"/>
              <w:rPr>
                <w:sz w:val="20"/>
                <w:szCs w:val="20"/>
                <w:color w:val="auto"/>
              </w:rPr>
            </w:pPr>
            <w:r>
              <w:rPr>
                <w:rFonts w:ascii="Arial" w:cs="Arial" w:eastAsia="Arial" w:hAnsi="Arial"/>
                <w:sz w:val="13"/>
                <w:szCs w:val="13"/>
                <w:b w:val="1"/>
                <w:bCs w:val="1"/>
                <w:color w:val="auto"/>
                <w:w w:val="90"/>
              </w:rPr>
              <w:t>(Distributions)</w:t>
            </w:r>
          </w:p>
        </w:tc>
        <w:tc>
          <w:tcPr>
            <w:tcW w:w="7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Accretion</w:t>
            </w:r>
          </w:p>
        </w:tc>
        <w:tc>
          <w:tcPr>
            <w:tcW w:w="80" w:type="dxa"/>
            <w:vAlign w:val="bottom"/>
          </w:tcPr>
          <w:p>
            <w:pPr>
              <w:spacing w:after="0"/>
              <w:rPr>
                <w:sz w:val="13"/>
                <w:szCs w:val="13"/>
                <w:color w:val="auto"/>
              </w:rPr>
            </w:pPr>
          </w:p>
        </w:tc>
        <w:tc>
          <w:tcPr>
            <w:tcW w:w="760" w:type="dxa"/>
            <w:vAlign w:val="bottom"/>
            <w:gridSpan w:val="2"/>
          </w:tcPr>
          <w:p>
            <w:pPr>
              <w:jc w:val="center"/>
              <w:ind w:right="138"/>
              <w:spacing w:after="0"/>
              <w:rPr>
                <w:sz w:val="20"/>
                <w:szCs w:val="20"/>
                <w:color w:val="auto"/>
              </w:rPr>
            </w:pPr>
            <w:r>
              <w:rPr>
                <w:rFonts w:ascii="Arial" w:cs="Arial" w:eastAsia="Arial" w:hAnsi="Arial"/>
                <w:sz w:val="13"/>
                <w:szCs w:val="13"/>
                <w:b w:val="1"/>
                <w:bCs w:val="1"/>
                <w:color w:val="auto"/>
                <w:w w:val="90"/>
              </w:rPr>
              <w:t>Affiliates</w:t>
            </w:r>
          </w:p>
        </w:tc>
        <w:tc>
          <w:tcPr>
            <w:tcW w:w="60" w:type="dxa"/>
            <w:vAlign w:val="bottom"/>
          </w:tcPr>
          <w:p>
            <w:pPr>
              <w:spacing w:after="0"/>
              <w:rPr>
                <w:sz w:val="13"/>
                <w:szCs w:val="13"/>
                <w:color w:val="auto"/>
              </w:rPr>
            </w:pPr>
          </w:p>
        </w:tc>
        <w:tc>
          <w:tcPr>
            <w:tcW w:w="920" w:type="dxa"/>
            <w:vAlign w:val="bottom"/>
            <w:gridSpan w:val="3"/>
          </w:tcPr>
          <w:p>
            <w:pPr>
              <w:jc w:val="center"/>
              <w:ind w:right="117"/>
              <w:spacing w:after="0"/>
              <w:rPr>
                <w:sz w:val="20"/>
                <w:szCs w:val="20"/>
                <w:color w:val="auto"/>
              </w:rPr>
            </w:pPr>
            <w:r>
              <w:rPr>
                <w:rFonts w:ascii="Arial" w:cs="Arial" w:eastAsia="Arial" w:hAnsi="Arial"/>
                <w:sz w:val="13"/>
                <w:szCs w:val="13"/>
                <w:b w:val="1"/>
                <w:bCs w:val="1"/>
                <w:color w:val="auto"/>
                <w:w w:val="86"/>
              </w:rPr>
              <w:t>Gain/(Loss)</w:t>
            </w:r>
          </w:p>
        </w:tc>
        <w:tc>
          <w:tcPr>
            <w:tcW w:w="780" w:type="dxa"/>
            <w:vAlign w:val="bottom"/>
            <w:gridSpan w:val="3"/>
          </w:tcPr>
          <w:p>
            <w:pPr>
              <w:spacing w:after="0"/>
              <w:rPr>
                <w:sz w:val="20"/>
                <w:szCs w:val="20"/>
                <w:color w:val="auto"/>
              </w:rPr>
            </w:pPr>
            <w:r>
              <w:rPr>
                <w:rFonts w:ascii="Arial" w:cs="Arial" w:eastAsia="Arial" w:hAnsi="Arial"/>
                <w:sz w:val="13"/>
                <w:szCs w:val="13"/>
                <w:b w:val="1"/>
                <w:bCs w:val="1"/>
                <w:color w:val="auto"/>
              </w:rPr>
              <w:t>Gain/(Loss)</w:t>
            </w:r>
          </w:p>
        </w:tc>
        <w:tc>
          <w:tcPr>
            <w:tcW w:w="60" w:type="dxa"/>
            <w:vAlign w:val="bottom"/>
          </w:tcPr>
          <w:p>
            <w:pPr>
              <w:spacing w:after="0"/>
              <w:rPr>
                <w:sz w:val="13"/>
                <w:szCs w:val="13"/>
                <w:color w:val="auto"/>
              </w:rPr>
            </w:pPr>
          </w:p>
        </w:tc>
        <w:tc>
          <w:tcPr>
            <w:tcW w:w="620" w:type="dxa"/>
            <w:vAlign w:val="bottom"/>
          </w:tcPr>
          <w:p>
            <w:pPr>
              <w:jc w:val="right"/>
              <w:ind w:right="157"/>
              <w:spacing w:after="0"/>
              <w:rPr>
                <w:sz w:val="20"/>
                <w:szCs w:val="20"/>
                <w:color w:val="auto"/>
              </w:rPr>
            </w:pPr>
            <w:r>
              <w:rPr>
                <w:rFonts w:ascii="Arial" w:cs="Arial" w:eastAsia="Arial" w:hAnsi="Arial"/>
                <w:sz w:val="13"/>
                <w:szCs w:val="13"/>
                <w:b w:val="1"/>
                <w:bCs w:val="1"/>
                <w:color w:val="auto"/>
              </w:rPr>
              <w:t>2020</w:t>
            </w:r>
          </w:p>
        </w:tc>
        <w:tc>
          <w:tcPr>
            <w:tcW w:w="160" w:type="dxa"/>
            <w:vAlign w:val="bottom"/>
          </w:tcPr>
          <w:p>
            <w:pPr>
              <w:spacing w:after="0"/>
              <w:rPr>
                <w:sz w:val="13"/>
                <w:szCs w:val="13"/>
                <w:color w:val="auto"/>
              </w:rPr>
            </w:pPr>
          </w:p>
        </w:tc>
        <w:tc>
          <w:tcPr>
            <w:tcW w:w="680" w:type="dxa"/>
            <w:vAlign w:val="bottom"/>
          </w:tcPr>
          <w:p>
            <w:pPr>
              <w:jc w:val="right"/>
              <w:ind w:right="157"/>
              <w:spacing w:after="0"/>
              <w:rPr>
                <w:sz w:val="20"/>
                <w:szCs w:val="20"/>
                <w:color w:val="auto"/>
              </w:rPr>
            </w:pPr>
            <w:r>
              <w:rPr>
                <w:rFonts w:ascii="Arial" w:cs="Arial" w:eastAsia="Arial" w:hAnsi="Arial"/>
                <w:sz w:val="13"/>
                <w:szCs w:val="13"/>
                <w:b w:val="1"/>
                <w:bCs w:val="1"/>
                <w:color w:val="auto"/>
              </w:rPr>
              <w:t>2020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ind w:left="20"/>
              <w:spacing w:after="0"/>
              <w:rPr>
                <w:sz w:val="20"/>
                <w:szCs w:val="20"/>
                <w:color w:val="auto"/>
              </w:rPr>
            </w:pPr>
            <w:r>
              <w:rPr>
                <w:rFonts w:ascii="Arial" w:cs="Arial" w:eastAsia="Arial" w:hAnsi="Arial"/>
                <w:sz w:val="13"/>
                <w:szCs w:val="13"/>
                <w:b w:val="1"/>
                <w:bCs w:val="1"/>
                <w:color w:val="auto"/>
              </w:rPr>
              <w:t>Income</w:t>
            </w:r>
          </w:p>
        </w:tc>
        <w:tc>
          <w:tcPr>
            <w:tcW w:w="60" w:type="dxa"/>
            <w:vAlign w:val="bottom"/>
          </w:tcPr>
          <w:p>
            <w:pPr>
              <w:spacing w:after="0"/>
              <w:rPr>
                <w:sz w:val="13"/>
                <w:szCs w:val="13"/>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7"/>
              </w:rPr>
              <w:t>Income</w:t>
            </w:r>
          </w:p>
        </w:tc>
        <w:tc>
          <w:tcPr>
            <w:tcW w:w="0" w:type="dxa"/>
            <w:vAlign w:val="bottom"/>
          </w:tcPr>
          <w:p>
            <w:pPr>
              <w:spacing w:after="0"/>
              <w:rPr>
                <w:sz w:val="1"/>
                <w:szCs w:val="1"/>
                <w:color w:val="auto"/>
              </w:rPr>
            </w:pPr>
          </w:p>
        </w:tc>
      </w:tr>
      <w:tr>
        <w:trPr>
          <w:trHeight w:val="128"/>
        </w:trPr>
        <w:tc>
          <w:tcPr>
            <w:tcW w:w="1500" w:type="dxa"/>
            <w:vAlign w:val="bottom"/>
            <w:tcBorders>
              <w:top w:val="single" w:sz="8" w:color="CFF0FC"/>
            </w:tcBorders>
            <w:shd w:val="clear" w:color="auto" w:fill="CFF0FC"/>
          </w:tcPr>
          <w:p>
            <w:pPr>
              <w:spacing w:after="0" w:line="128" w:lineRule="exact"/>
              <w:rPr>
                <w:sz w:val="20"/>
                <w:szCs w:val="20"/>
                <w:color w:val="auto"/>
              </w:rPr>
            </w:pPr>
            <w:r>
              <w:rPr>
                <w:rFonts w:ascii="Arial" w:cs="Arial" w:eastAsia="Arial" w:hAnsi="Arial"/>
                <w:sz w:val="13"/>
                <w:szCs w:val="13"/>
                <w:color w:val="auto"/>
                <w:w w:val="97"/>
              </w:rPr>
              <w:t>Asset Manager Affiliates</w:t>
            </w:r>
            <w:r>
              <w:rPr>
                <w:rFonts w:ascii="Arial" w:cs="Arial" w:eastAsia="Arial" w:hAnsi="Arial"/>
                <w:sz w:val="10"/>
                <w:szCs w:val="10"/>
                <w:color w:val="auto"/>
                <w:w w:val="97"/>
              </w:rPr>
              <w:t>(4)</w:t>
            </w:r>
          </w:p>
        </w:tc>
        <w:tc>
          <w:tcPr>
            <w:tcW w:w="40" w:type="dxa"/>
            <w:vAlign w:val="bottom"/>
            <w:tcBorders>
              <w:top w:val="single" w:sz="8" w:color="CFF0FC"/>
            </w:tcBorders>
            <w:shd w:val="clear" w:color="auto" w:fill="CFF0FC"/>
          </w:tcPr>
          <w:p>
            <w:pPr>
              <w:spacing w:after="0"/>
              <w:rPr>
                <w:sz w:val="11"/>
                <w:szCs w:val="11"/>
                <w:color w:val="auto"/>
              </w:rPr>
            </w:pPr>
          </w:p>
        </w:tc>
        <w:tc>
          <w:tcPr>
            <w:tcW w:w="1280" w:type="dxa"/>
            <w:vAlign w:val="bottom"/>
            <w:tcBorders>
              <w:top w:val="single" w:sz="8" w:color="auto"/>
            </w:tcBorders>
            <w:shd w:val="clear" w:color="auto" w:fill="CFF0FC"/>
          </w:tcPr>
          <w:p>
            <w:pPr>
              <w:spacing w:after="0" w:line="128" w:lineRule="exact"/>
              <w:rPr>
                <w:sz w:val="20"/>
                <w:szCs w:val="20"/>
                <w:color w:val="auto"/>
              </w:rPr>
            </w:pPr>
            <w:r>
              <w:rPr>
                <w:rFonts w:ascii="Arial" w:cs="Arial" w:eastAsia="Arial" w:hAnsi="Arial"/>
                <w:sz w:val="13"/>
                <w:szCs w:val="13"/>
                <w:color w:val="auto"/>
              </w:rPr>
              <w:t>Asset</w:t>
            </w:r>
          </w:p>
        </w:tc>
        <w:tc>
          <w:tcPr>
            <w:tcW w:w="4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18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54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00" w:type="dxa"/>
            <w:vAlign w:val="bottom"/>
            <w:shd w:val="clear" w:color="auto" w:fill="CFF0FC"/>
          </w:tcPr>
          <w:p>
            <w:pPr>
              <w:spacing w:after="0"/>
              <w:rPr>
                <w:sz w:val="20"/>
                <w:szCs w:val="20"/>
                <w:color w:val="auto"/>
              </w:rPr>
            </w:pPr>
            <w:r>
              <w:rPr>
                <w:rFonts w:ascii="Arial" w:cs="Arial" w:eastAsia="Arial" w:hAnsi="Arial"/>
                <w:sz w:val="11"/>
                <w:szCs w:val="11"/>
                <w:color w:val="auto"/>
              </w:rPr>
              <w:t>(6)</w:t>
            </w:r>
          </w:p>
        </w:tc>
        <w:tc>
          <w:tcPr>
            <w:tcW w:w="1360" w:type="dxa"/>
            <w:vAlign w:val="bottom"/>
            <w:gridSpan w:val="3"/>
            <w:shd w:val="clear" w:color="auto" w:fill="CFF0FC"/>
          </w:tcPr>
          <w:p>
            <w:pPr>
              <w:ind w:left="40"/>
              <w:spacing w:after="0" w:line="135" w:lineRule="exact"/>
              <w:rPr>
                <w:sz w:val="20"/>
                <w:szCs w:val="20"/>
                <w:color w:val="auto"/>
              </w:rPr>
            </w:pPr>
            <w:r>
              <w:rPr>
                <w:rFonts w:ascii="Arial" w:cs="Arial" w:eastAsia="Arial" w:hAnsi="Arial"/>
                <w:sz w:val="13"/>
                <w:szCs w:val="13"/>
                <w:color w:val="auto"/>
              </w:rPr>
              <w:t>Management</w:t>
            </w: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00" w:type="dxa"/>
            <w:vAlign w:val="bottom"/>
            <w:shd w:val="clear" w:color="auto" w:fill="CFF0FC"/>
          </w:tcPr>
          <w:p>
            <w:pPr>
              <w:spacing w:after="0"/>
              <w:rPr>
                <w:sz w:val="12"/>
                <w:szCs w:val="12"/>
                <w:color w:val="auto"/>
              </w:rPr>
            </w:pPr>
          </w:p>
        </w:tc>
        <w:tc>
          <w:tcPr>
            <w:tcW w:w="1360" w:type="dxa"/>
            <w:vAlign w:val="bottom"/>
            <w:gridSpan w:val="3"/>
            <w:shd w:val="clear" w:color="auto" w:fill="CFF0FC"/>
          </w:tcPr>
          <w:p>
            <w:pPr>
              <w:ind w:left="40"/>
              <w:spacing w:after="0"/>
              <w:rPr>
                <w:sz w:val="20"/>
                <w:szCs w:val="20"/>
                <w:color w:val="auto"/>
              </w:rPr>
            </w:pPr>
            <w:r>
              <w:rPr>
                <w:rFonts w:ascii="Arial" w:cs="Arial" w:eastAsia="Arial" w:hAnsi="Arial"/>
                <w:sz w:val="13"/>
                <w:szCs w:val="13"/>
                <w:color w:val="auto"/>
              </w:rPr>
              <w:t>Company</w:t>
            </w: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58"/>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17"/>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4"/>
              </w:rPr>
              <w:t>$ 17,791,230</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1500" w:type="dxa"/>
            <w:vAlign w:val="bottom"/>
          </w:tcPr>
          <w:p>
            <w:pPr>
              <w:spacing w:after="0" w:line="134" w:lineRule="exact"/>
              <w:rPr>
                <w:sz w:val="20"/>
                <w:szCs w:val="20"/>
                <w:color w:val="auto"/>
              </w:rPr>
            </w:pPr>
            <w:r>
              <w:rPr>
                <w:rFonts w:ascii="Arial" w:cs="Arial" w:eastAsia="Arial" w:hAnsi="Arial"/>
                <w:sz w:val="13"/>
                <w:szCs w:val="13"/>
                <w:color w:val="auto"/>
              </w:rPr>
              <w:t>Tank Partners Equipment</w:t>
            </w:r>
          </w:p>
        </w:tc>
        <w:tc>
          <w:tcPr>
            <w:tcW w:w="1360" w:type="dxa"/>
            <w:vAlign w:val="bottom"/>
            <w:gridSpan w:val="3"/>
          </w:tcPr>
          <w:p>
            <w:pPr>
              <w:ind w:left="40"/>
              <w:spacing w:after="0" w:line="134" w:lineRule="exact"/>
              <w:rPr>
                <w:sz w:val="20"/>
                <w:szCs w:val="20"/>
                <w:color w:val="auto"/>
              </w:rPr>
            </w:pPr>
            <w:r>
              <w:rPr>
                <w:rFonts w:ascii="Arial" w:cs="Arial" w:eastAsia="Arial" w:hAnsi="Arial"/>
                <w:sz w:val="13"/>
                <w:szCs w:val="13"/>
                <w:color w:val="auto"/>
              </w:rPr>
              <w:t>Energy: Oil &amp;</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00" w:type="dxa"/>
            <w:vAlign w:val="bottom"/>
          </w:tcPr>
          <w:p>
            <w:pPr>
              <w:spacing w:after="0"/>
              <w:rPr>
                <w:sz w:val="20"/>
                <w:szCs w:val="20"/>
                <w:color w:val="auto"/>
              </w:rPr>
            </w:pPr>
            <w:r>
              <w:rPr>
                <w:rFonts w:ascii="Arial" w:cs="Arial" w:eastAsia="Arial" w:hAnsi="Arial"/>
                <w:sz w:val="13"/>
                <w:szCs w:val="13"/>
                <w:color w:val="auto"/>
              </w:rPr>
              <w:t>Holdings, LLC(3)(4)(5)(8)</w:t>
            </w:r>
          </w:p>
        </w:tc>
        <w:tc>
          <w:tcPr>
            <w:tcW w:w="1360" w:type="dxa"/>
            <w:vAlign w:val="bottom"/>
            <w:gridSpan w:val="3"/>
          </w:tcPr>
          <w:p>
            <w:pPr>
              <w:ind w:left="40"/>
              <w:spacing w:after="0"/>
              <w:rPr>
                <w:sz w:val="20"/>
                <w:szCs w:val="20"/>
                <w:color w:val="auto"/>
              </w:rPr>
            </w:pPr>
            <w:r>
              <w:rPr>
                <w:rFonts w:ascii="Arial" w:cs="Arial" w:eastAsia="Arial" w:hAnsi="Arial"/>
                <w:sz w:val="13"/>
                <w:szCs w:val="13"/>
                <w:color w:val="auto"/>
              </w:rPr>
              <w:t>Gas</w:t>
            </w: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60" w:type="dxa"/>
            <w:vAlign w:val="bottom"/>
            <w:gridSpan w:val="2"/>
          </w:tcPr>
          <w:p>
            <w:pPr>
              <w:jc w:val="right"/>
              <w:ind w:right="58"/>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17"/>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49,000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15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Tank Partners Equipment</w:t>
            </w:r>
          </w:p>
        </w:tc>
        <w:tc>
          <w:tcPr>
            <w:tcW w:w="1360" w:type="dxa"/>
            <w:vAlign w:val="bottom"/>
            <w:gridSpan w:val="3"/>
            <w:shd w:val="clear" w:color="auto" w:fill="CFF0FC"/>
          </w:tcPr>
          <w:p>
            <w:pPr>
              <w:ind w:left="40"/>
              <w:spacing w:after="0" w:line="134" w:lineRule="exact"/>
              <w:rPr>
                <w:sz w:val="20"/>
                <w:szCs w:val="20"/>
                <w:color w:val="auto"/>
              </w:rPr>
            </w:pPr>
            <w:r>
              <w:rPr>
                <w:rFonts w:ascii="Arial" w:cs="Arial" w:eastAsia="Arial" w:hAnsi="Arial"/>
                <w:sz w:val="13"/>
                <w:szCs w:val="13"/>
                <w:color w:val="auto"/>
              </w:rPr>
              <w:t>Energy: Oil &amp;</w:t>
            </w: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00" w:type="dxa"/>
            <w:vAlign w:val="bottom"/>
            <w:shd w:val="clear" w:color="auto" w:fill="CFF0FC"/>
          </w:tcPr>
          <w:p>
            <w:pPr>
              <w:spacing w:after="0"/>
              <w:rPr>
                <w:sz w:val="20"/>
                <w:szCs w:val="20"/>
                <w:color w:val="auto"/>
              </w:rPr>
            </w:pPr>
            <w:r>
              <w:rPr>
                <w:rFonts w:ascii="Arial" w:cs="Arial" w:eastAsia="Arial" w:hAnsi="Arial"/>
                <w:sz w:val="13"/>
                <w:szCs w:val="13"/>
                <w:color w:val="auto"/>
              </w:rPr>
              <w:t>Holdings, LLC(3)(4)(5)</w:t>
            </w:r>
          </w:p>
        </w:tc>
        <w:tc>
          <w:tcPr>
            <w:tcW w:w="1360" w:type="dxa"/>
            <w:vAlign w:val="bottom"/>
            <w:gridSpan w:val="3"/>
            <w:shd w:val="clear" w:color="auto" w:fill="CFF0FC"/>
          </w:tcPr>
          <w:p>
            <w:pPr>
              <w:ind w:left="40"/>
              <w:spacing w:after="0"/>
              <w:rPr>
                <w:sz w:val="20"/>
                <w:szCs w:val="20"/>
                <w:color w:val="auto"/>
              </w:rPr>
            </w:pPr>
            <w:r>
              <w:rPr>
                <w:rFonts w:ascii="Arial" w:cs="Arial" w:eastAsia="Arial" w:hAnsi="Arial"/>
                <w:sz w:val="13"/>
                <w:szCs w:val="13"/>
                <w:color w:val="auto"/>
              </w:rPr>
              <w:t>Gas</w:t>
            </w: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403,616</w:t>
            </w:r>
          </w:p>
        </w:tc>
        <w:tc>
          <w:tcPr>
            <w:tcW w:w="1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58"/>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57"/>
              <w:spacing w:after="0"/>
              <w:rPr>
                <w:sz w:val="20"/>
                <w:szCs w:val="20"/>
                <w:color w:val="auto"/>
              </w:rPr>
            </w:pPr>
            <w:r>
              <w:rPr>
                <w:rFonts w:ascii="Arial" w:cs="Arial" w:eastAsia="Arial" w:hAnsi="Arial"/>
                <w:sz w:val="13"/>
                <w:szCs w:val="13"/>
                <w:color w:val="auto"/>
              </w:rPr>
              <w:t>(195,850)</w:t>
            </w:r>
          </w:p>
        </w:tc>
        <w:tc>
          <w:tcPr>
            <w:tcW w:w="6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207,766</w:t>
            </w: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699,199</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0"/>
        </w:trPr>
        <w:tc>
          <w:tcPr>
            <w:tcW w:w="1500" w:type="dxa"/>
            <w:vAlign w:val="bottom"/>
          </w:tcPr>
          <w:p>
            <w:pPr>
              <w:spacing w:after="0" w:line="140" w:lineRule="exact"/>
              <w:rPr>
                <w:sz w:val="20"/>
                <w:szCs w:val="20"/>
                <w:color w:val="auto"/>
              </w:rPr>
            </w:pPr>
            <w:r>
              <w:rPr>
                <w:rFonts w:ascii="Arial" w:cs="Arial" w:eastAsia="Arial" w:hAnsi="Arial"/>
                <w:sz w:val="13"/>
                <w:szCs w:val="13"/>
                <w:color w:val="auto"/>
                <w:w w:val="99"/>
              </w:rPr>
              <w:t xml:space="preserve">KCAP Freedom 3, LLC </w:t>
            </w:r>
            <w:r>
              <w:rPr>
                <w:rFonts w:ascii="Arial" w:cs="Arial" w:eastAsia="Arial" w:hAnsi="Arial"/>
                <w:sz w:val="10"/>
                <w:szCs w:val="10"/>
                <w:color w:val="auto"/>
                <w:w w:val="99"/>
              </w:rPr>
              <w:t>(3)</w:t>
            </w:r>
          </w:p>
        </w:tc>
        <w:tc>
          <w:tcPr>
            <w:tcW w:w="1360" w:type="dxa"/>
            <w:vAlign w:val="bottom"/>
            <w:gridSpan w:val="3"/>
          </w:tcPr>
          <w:p>
            <w:pPr>
              <w:ind w:left="40"/>
              <w:spacing w:after="0" w:line="140" w:lineRule="exact"/>
              <w:rPr>
                <w:sz w:val="20"/>
                <w:szCs w:val="20"/>
                <w:color w:val="auto"/>
              </w:rPr>
            </w:pPr>
            <w:r>
              <w:rPr>
                <w:rFonts w:ascii="Arial" w:cs="Arial" w:eastAsia="Arial" w:hAnsi="Arial"/>
                <w:sz w:val="13"/>
                <w:szCs w:val="13"/>
                <w:color w:val="auto"/>
              </w:rPr>
              <w:t>Joint Venture</w:t>
            </w:r>
          </w:p>
        </w:tc>
        <w:tc>
          <w:tcPr>
            <w:tcW w:w="8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w w:val="92"/>
              </w:rPr>
              <w:t>21,307,899</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60" w:type="dxa"/>
            <w:vAlign w:val="bottom"/>
            <w:gridSpan w:val="2"/>
            <w:vMerge w:val="restart"/>
          </w:tcPr>
          <w:p>
            <w:pPr>
              <w:jc w:val="right"/>
              <w:ind w:right="58"/>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right"/>
              <w:ind w:right="57"/>
              <w:spacing w:after="0"/>
              <w:rPr>
                <w:sz w:val="20"/>
                <w:szCs w:val="20"/>
                <w:color w:val="auto"/>
              </w:rPr>
            </w:pPr>
            <w:r>
              <w:rPr>
                <w:rFonts w:ascii="Arial" w:cs="Arial" w:eastAsia="Arial" w:hAnsi="Arial"/>
                <w:sz w:val="13"/>
                <w:szCs w:val="13"/>
                <w:color w:val="auto"/>
              </w:rPr>
              <w:t>(1,559,091)</w:t>
            </w:r>
          </w:p>
        </w:tc>
        <w:tc>
          <w:tcPr>
            <w:tcW w:w="6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w w:val="89"/>
              </w:rPr>
              <w:t>19,748,808</w:t>
            </w:r>
          </w:p>
        </w:tc>
        <w:tc>
          <w:tcPr>
            <w:tcW w:w="16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w w:val="98"/>
              </w:rPr>
              <w:t>24,720,000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w w:val="93"/>
              </w:rPr>
              <w:t>4,262,781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500" w:type="dxa"/>
            <w:vAlign w:val="bottom"/>
          </w:tcPr>
          <w:p>
            <w:pPr>
              <w:spacing w:after="0"/>
              <w:rPr>
                <w:sz w:val="20"/>
                <w:szCs w:val="20"/>
                <w:color w:val="auto"/>
              </w:rPr>
            </w:pPr>
            <w:r>
              <w:rPr>
                <w:rFonts w:ascii="Arial" w:cs="Arial" w:eastAsia="Arial" w:hAnsi="Arial"/>
                <w:sz w:val="11"/>
                <w:szCs w:val="11"/>
                <w:color w:val="auto"/>
              </w:rPr>
              <w:t>(5)</w:t>
            </w: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500" w:type="dxa"/>
            <w:vAlign w:val="bottom"/>
            <w:tcBorders>
              <w:top w:val="single" w:sz="8" w:color="CFF0FC"/>
            </w:tcBorders>
            <w:shd w:val="clear" w:color="auto" w:fill="CFF0FC"/>
          </w:tcPr>
          <w:p>
            <w:pPr>
              <w:spacing w:after="0" w:line="142" w:lineRule="exact"/>
              <w:rPr>
                <w:sz w:val="20"/>
                <w:szCs w:val="20"/>
                <w:color w:val="auto"/>
              </w:rPr>
            </w:pPr>
            <w:r>
              <w:rPr>
                <w:rFonts w:ascii="Arial" w:cs="Arial" w:eastAsia="Arial" w:hAnsi="Arial"/>
                <w:sz w:val="13"/>
                <w:szCs w:val="13"/>
                <w:color w:val="auto"/>
              </w:rPr>
              <w:t>Total controlled affiliates</w:t>
            </w:r>
          </w:p>
        </w:tc>
        <w:tc>
          <w:tcPr>
            <w:tcW w:w="40" w:type="dxa"/>
            <w:vAlign w:val="bottom"/>
            <w:tcBorders>
              <w:top w:val="single" w:sz="8" w:color="CFF0FC"/>
            </w:tcBorders>
            <w:shd w:val="clear" w:color="auto" w:fill="CFF0FC"/>
          </w:tcPr>
          <w:p>
            <w:pPr>
              <w:spacing w:after="0"/>
              <w:rPr>
                <w:sz w:val="12"/>
                <w:szCs w:val="12"/>
                <w:color w:val="auto"/>
              </w:rPr>
            </w:pPr>
          </w:p>
        </w:tc>
        <w:tc>
          <w:tcPr>
            <w:tcW w:w="1280" w:type="dxa"/>
            <w:vAlign w:val="bottom"/>
            <w:tcBorders>
              <w:top w:val="single" w:sz="8" w:color="CFF0FC"/>
            </w:tcBorders>
            <w:shd w:val="clear" w:color="auto" w:fill="CFF0FC"/>
          </w:tcPr>
          <w:p>
            <w:pPr>
              <w:spacing w:after="0"/>
              <w:rPr>
                <w:sz w:val="12"/>
                <w:szCs w:val="12"/>
                <w:color w:val="auto"/>
              </w:rPr>
            </w:pPr>
          </w:p>
        </w:tc>
        <w:tc>
          <w:tcPr>
            <w:tcW w:w="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spacing w:after="0"/>
              <w:rPr>
                <w:sz w:val="12"/>
                <w:szCs w:val="12"/>
                <w:color w:val="auto"/>
              </w:rPr>
            </w:pPr>
          </w:p>
        </w:tc>
        <w:tc>
          <w:tcPr>
            <w:tcW w:w="6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92"/>
              </w:rPr>
              <w:t>21,711,515</w:t>
            </w:r>
          </w:p>
        </w:tc>
        <w:tc>
          <w:tcPr>
            <w:tcW w:w="14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bottom w:val="single" w:sz="8" w:color="auto"/>
            </w:tcBorders>
            <w:shd w:val="clear" w:color="auto" w:fill="CFF0FC"/>
          </w:tcPr>
          <w:p>
            <w:pPr>
              <w:spacing w:after="0"/>
              <w:rPr>
                <w:sz w:val="12"/>
                <w:szCs w:val="12"/>
                <w:color w:val="auto"/>
              </w:rPr>
            </w:pPr>
          </w:p>
        </w:tc>
        <w:tc>
          <w:tcPr>
            <w:tcW w:w="7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60" w:type="dxa"/>
            <w:vAlign w:val="bottom"/>
            <w:tcBorders>
              <w:top w:val="single" w:sz="8" w:color="CFF0FC"/>
            </w:tcBorders>
            <w:shd w:val="clear" w:color="auto" w:fill="CFF0FC"/>
          </w:tcPr>
          <w:p>
            <w:pPr>
              <w:spacing w:after="0"/>
              <w:rPr>
                <w:sz w:val="12"/>
                <w:szCs w:val="12"/>
                <w:color w:val="auto"/>
              </w:rPr>
            </w:pPr>
          </w:p>
        </w:tc>
        <w:tc>
          <w:tcPr>
            <w:tcW w:w="6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spacing w:after="0"/>
              <w:rPr>
                <w:sz w:val="12"/>
                <w:szCs w:val="12"/>
                <w:color w:val="auto"/>
              </w:rPr>
            </w:pPr>
          </w:p>
        </w:tc>
        <w:tc>
          <w:tcPr>
            <w:tcW w:w="6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spacing w:after="0"/>
              <w:rPr>
                <w:sz w:val="12"/>
                <w:szCs w:val="12"/>
                <w:color w:val="auto"/>
              </w:rPr>
            </w:pPr>
          </w:p>
        </w:tc>
        <w:tc>
          <w:tcPr>
            <w:tcW w:w="6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96"/>
              </w:rPr>
              <w:t>(1,754,941)</w:t>
            </w:r>
          </w:p>
        </w:tc>
        <w:tc>
          <w:tcPr>
            <w:tcW w:w="18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bottom w:val="single" w:sz="8" w:color="auto"/>
            </w:tcBorders>
            <w:shd w:val="clear" w:color="auto" w:fill="CFF0FC"/>
          </w:tcPr>
          <w:p>
            <w:pPr>
              <w:spacing w:after="0"/>
              <w:rPr>
                <w:sz w:val="12"/>
                <w:szCs w:val="12"/>
                <w:color w:val="auto"/>
              </w:rPr>
            </w:pPr>
          </w:p>
        </w:tc>
        <w:tc>
          <w:tcPr>
            <w:tcW w:w="5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6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bottom w:val="single" w:sz="8" w:color="auto"/>
            </w:tcBorders>
            <w:shd w:val="clear" w:color="auto" w:fill="CFF0FC"/>
          </w:tcPr>
          <w:p>
            <w:pPr>
              <w:spacing w:after="0"/>
              <w:rPr>
                <w:sz w:val="12"/>
                <w:szCs w:val="12"/>
                <w:color w:val="auto"/>
              </w:rPr>
            </w:pPr>
          </w:p>
        </w:tc>
        <w:tc>
          <w:tcPr>
            <w:tcW w:w="6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9"/>
              </w:rPr>
              <w:t>19,956,574</w:t>
            </w:r>
          </w:p>
        </w:tc>
        <w:tc>
          <w:tcPr>
            <w:tcW w:w="160" w:type="dxa"/>
            <w:vAlign w:val="bottom"/>
            <w:tcBorders>
              <w:top w:val="single" w:sz="8" w:color="CFF0FC"/>
            </w:tcBorders>
            <w:shd w:val="clear" w:color="auto" w:fill="CFF0FC"/>
          </w:tcPr>
          <w:p>
            <w:pPr>
              <w:spacing w:after="0"/>
              <w:rPr>
                <w:sz w:val="12"/>
                <w:szCs w:val="12"/>
                <w:color w:val="auto"/>
              </w:rPr>
            </w:pPr>
          </w:p>
        </w:tc>
        <w:tc>
          <w:tcPr>
            <w:tcW w:w="680" w:type="dxa"/>
            <w:vAlign w:val="bottom"/>
            <w:tcBorders>
              <w:top w:val="single" w:sz="8" w:color="auto"/>
              <w:bottom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spacing w:after="0"/>
              <w:rPr>
                <w:sz w:val="12"/>
                <w:szCs w:val="12"/>
                <w:color w:val="auto"/>
              </w:rPr>
            </w:pPr>
          </w:p>
        </w:tc>
        <w:tc>
          <w:tcPr>
            <w:tcW w:w="5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6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bottom w:val="single" w:sz="8" w:color="auto"/>
            </w:tcBorders>
            <w:shd w:val="clear" w:color="auto" w:fill="CFF0FC"/>
          </w:tcPr>
          <w:p>
            <w:pPr>
              <w:spacing w:after="0"/>
              <w:rPr>
                <w:sz w:val="12"/>
                <w:szCs w:val="12"/>
                <w:color w:val="auto"/>
              </w:rPr>
            </w:pPr>
          </w:p>
        </w:tc>
        <w:tc>
          <w:tcPr>
            <w:tcW w:w="5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93"/>
              </w:rPr>
              <w:t>4,262,781</w:t>
            </w: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76"/>
        </w:trPr>
        <w:tc>
          <w:tcPr>
            <w:tcW w:w="1500" w:type="dxa"/>
            <w:vAlign w:val="bottom"/>
          </w:tcPr>
          <w:p>
            <w:pPr>
              <w:spacing w:after="0"/>
              <w:rPr>
                <w:sz w:val="20"/>
                <w:szCs w:val="20"/>
                <w:color w:val="auto"/>
              </w:rPr>
            </w:pPr>
            <w:r>
              <w:rPr>
                <w:rFonts w:ascii="Arial" w:cs="Arial" w:eastAsia="Arial" w:hAnsi="Arial"/>
                <w:sz w:val="13"/>
                <w:szCs w:val="13"/>
                <w:color w:val="auto"/>
                <w:w w:val="95"/>
              </w:rPr>
              <w:t>BCP Great Lakes Holdings</w:t>
            </w:r>
          </w:p>
        </w:tc>
        <w:tc>
          <w:tcPr>
            <w:tcW w:w="1360" w:type="dxa"/>
            <w:vAlign w:val="bottom"/>
            <w:gridSpan w:val="3"/>
          </w:tcPr>
          <w:p>
            <w:pPr>
              <w:ind w:left="40"/>
              <w:spacing w:after="0"/>
              <w:rPr>
                <w:sz w:val="20"/>
                <w:szCs w:val="20"/>
                <w:color w:val="auto"/>
              </w:rPr>
            </w:pPr>
            <w:r>
              <w:rPr>
                <w:rFonts w:ascii="Arial" w:cs="Arial" w:eastAsia="Arial" w:hAnsi="Arial"/>
                <w:sz w:val="13"/>
                <w:szCs w:val="13"/>
                <w:color w:val="auto"/>
              </w:rPr>
              <w:t>Joint Venture</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500" w:type="dxa"/>
            <w:vAlign w:val="bottom"/>
          </w:tcPr>
          <w:p>
            <w:pPr>
              <w:spacing w:after="0"/>
              <w:rPr>
                <w:sz w:val="20"/>
                <w:szCs w:val="20"/>
                <w:color w:val="auto"/>
              </w:rPr>
            </w:pPr>
            <w:r>
              <w:rPr>
                <w:rFonts w:ascii="Arial" w:cs="Arial" w:eastAsia="Arial" w:hAnsi="Arial"/>
                <w:sz w:val="13"/>
                <w:szCs w:val="13"/>
                <w:color w:val="auto"/>
              </w:rPr>
              <w:t>LP(7)(9)</w:t>
            </w:r>
          </w:p>
        </w:tc>
        <w:tc>
          <w:tcPr>
            <w:tcW w:w="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w w:val="92"/>
              </w:rPr>
              <w:t>23,780,068</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6,337,919</w:t>
            </w:r>
          </w:p>
        </w:tc>
        <w:tc>
          <w:tcPr>
            <w:tcW w:w="16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60" w:type="dxa"/>
            <w:vAlign w:val="bottom"/>
            <w:gridSpan w:val="2"/>
          </w:tcPr>
          <w:p>
            <w:pPr>
              <w:jc w:val="right"/>
              <w:ind w:right="58"/>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57"/>
              <w:spacing w:after="0"/>
              <w:rPr>
                <w:sz w:val="20"/>
                <w:szCs w:val="20"/>
                <w:color w:val="auto"/>
              </w:rPr>
            </w:pPr>
            <w:r>
              <w:rPr>
                <w:rFonts w:ascii="Arial" w:cs="Arial" w:eastAsia="Arial" w:hAnsi="Arial"/>
                <w:sz w:val="13"/>
                <w:szCs w:val="13"/>
                <w:color w:val="auto"/>
              </w:rPr>
              <w:t>(517,632)</w:t>
            </w:r>
          </w:p>
        </w:tc>
        <w:tc>
          <w:tcPr>
            <w:tcW w:w="6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w w:val="89"/>
              </w:rPr>
              <w:t>29,600,355</w:t>
            </w: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w w:val="98"/>
              </w:rPr>
              <w:t>30,077,688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w w:val="93"/>
              </w:rPr>
              <w:t>2,648,637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5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Catamaran CLO 2013-1,</w:t>
            </w:r>
          </w:p>
        </w:tc>
        <w:tc>
          <w:tcPr>
            <w:tcW w:w="1360" w:type="dxa"/>
            <w:vAlign w:val="bottom"/>
            <w:gridSpan w:val="3"/>
            <w:shd w:val="clear" w:color="auto" w:fill="CFF0FC"/>
          </w:tcPr>
          <w:p>
            <w:pPr>
              <w:ind w:left="40"/>
              <w:spacing w:after="0" w:line="134" w:lineRule="exact"/>
              <w:rPr>
                <w:sz w:val="20"/>
                <w:szCs w:val="20"/>
                <w:color w:val="auto"/>
              </w:rPr>
            </w:pPr>
            <w:r>
              <w:rPr>
                <w:rFonts w:ascii="Arial" w:cs="Arial" w:eastAsia="Arial" w:hAnsi="Arial"/>
                <w:sz w:val="13"/>
                <w:szCs w:val="13"/>
                <w:color w:val="auto"/>
              </w:rPr>
              <w:t>CLO Fund</w:t>
            </w: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00" w:type="dxa"/>
            <w:vAlign w:val="bottom"/>
            <w:shd w:val="clear" w:color="auto" w:fill="CFF0FC"/>
          </w:tcPr>
          <w:p>
            <w:pPr>
              <w:spacing w:after="0"/>
              <w:rPr>
                <w:sz w:val="20"/>
                <w:szCs w:val="20"/>
                <w:color w:val="auto"/>
              </w:rPr>
            </w:pPr>
            <w:r>
              <w:rPr>
                <w:rFonts w:ascii="Arial" w:cs="Arial" w:eastAsia="Arial" w:hAnsi="Arial"/>
                <w:sz w:val="13"/>
                <w:szCs w:val="13"/>
                <w:color w:val="auto"/>
              </w:rPr>
              <w:t xml:space="preserve">Ltd. </w:t>
            </w:r>
            <w:r>
              <w:rPr>
                <w:rFonts w:ascii="Arial" w:cs="Arial" w:eastAsia="Arial" w:hAnsi="Arial"/>
                <w:sz w:val="10"/>
                <w:szCs w:val="10"/>
                <w:color w:val="auto"/>
              </w:rPr>
              <w:t>(1)(2)(3)(7)</w:t>
            </w:r>
          </w:p>
        </w:tc>
        <w:tc>
          <w:tcPr>
            <w:tcW w:w="1360" w:type="dxa"/>
            <w:vAlign w:val="bottom"/>
            <w:gridSpan w:val="3"/>
            <w:shd w:val="clear" w:color="auto" w:fill="CFF0FC"/>
          </w:tcPr>
          <w:p>
            <w:pPr>
              <w:ind w:left="40"/>
              <w:spacing w:after="0"/>
              <w:rPr>
                <w:sz w:val="20"/>
                <w:szCs w:val="20"/>
                <w:color w:val="auto"/>
              </w:rPr>
            </w:pPr>
            <w:r>
              <w:rPr>
                <w:rFonts w:ascii="Arial" w:cs="Arial" w:eastAsia="Arial" w:hAnsi="Arial"/>
                <w:sz w:val="13"/>
                <w:szCs w:val="13"/>
                <w:color w:val="auto"/>
              </w:rPr>
              <w:t>Securities</w:t>
            </w: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5,025,536</w:t>
            </w:r>
          </w:p>
        </w:tc>
        <w:tc>
          <w:tcPr>
            <w:tcW w:w="1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(356,296)</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480,782</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8"/>
              <w:spacing w:after="0"/>
              <w:rPr>
                <w:sz w:val="20"/>
                <w:szCs w:val="20"/>
                <w:color w:val="auto"/>
              </w:rPr>
            </w:pPr>
            <w:r>
              <w:rPr>
                <w:rFonts w:ascii="Arial" w:cs="Arial" w:eastAsia="Arial" w:hAnsi="Arial"/>
                <w:sz w:val="13"/>
                <w:szCs w:val="13"/>
                <w:color w:val="auto"/>
              </w:rPr>
              <w:t>(2,611,423)</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57"/>
              <w:spacing w:after="0"/>
              <w:rPr>
                <w:sz w:val="20"/>
                <w:szCs w:val="20"/>
                <w:color w:val="auto"/>
              </w:rPr>
            </w:pPr>
            <w:r>
              <w:rPr>
                <w:rFonts w:ascii="Arial" w:cs="Arial" w:eastAsia="Arial" w:hAnsi="Arial"/>
                <w:sz w:val="13"/>
                <w:szCs w:val="13"/>
                <w:color w:val="auto"/>
              </w:rPr>
              <w:t>(2,538,599)</w:t>
            </w:r>
          </w:p>
        </w:tc>
        <w:tc>
          <w:tcPr>
            <w:tcW w:w="6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8"/>
              </w:rPr>
              <w:t>11,720,000</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480,782</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1500" w:type="dxa"/>
            <w:vAlign w:val="bottom"/>
          </w:tcPr>
          <w:p>
            <w:pPr>
              <w:spacing w:after="0" w:line="134" w:lineRule="exact"/>
              <w:rPr>
                <w:sz w:val="20"/>
                <w:szCs w:val="20"/>
                <w:color w:val="auto"/>
              </w:rPr>
            </w:pPr>
            <w:r>
              <w:rPr>
                <w:rFonts w:ascii="Arial" w:cs="Arial" w:eastAsia="Arial" w:hAnsi="Arial"/>
                <w:sz w:val="13"/>
                <w:szCs w:val="13"/>
                <w:color w:val="auto"/>
              </w:rPr>
              <w:t>Catamaran CLO 2014-1,</w:t>
            </w:r>
          </w:p>
        </w:tc>
        <w:tc>
          <w:tcPr>
            <w:tcW w:w="1360" w:type="dxa"/>
            <w:vAlign w:val="bottom"/>
            <w:gridSpan w:val="3"/>
          </w:tcPr>
          <w:p>
            <w:pPr>
              <w:ind w:left="40"/>
              <w:spacing w:after="0" w:line="134" w:lineRule="exact"/>
              <w:rPr>
                <w:sz w:val="20"/>
                <w:szCs w:val="20"/>
                <w:color w:val="auto"/>
              </w:rPr>
            </w:pPr>
            <w:r>
              <w:rPr>
                <w:rFonts w:ascii="Arial" w:cs="Arial" w:eastAsia="Arial" w:hAnsi="Arial"/>
                <w:sz w:val="13"/>
                <w:szCs w:val="13"/>
                <w:color w:val="auto"/>
              </w:rPr>
              <w:t>CLO Fund</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00" w:type="dxa"/>
            <w:vAlign w:val="bottom"/>
          </w:tcPr>
          <w:p>
            <w:pPr>
              <w:spacing w:after="0"/>
              <w:rPr>
                <w:sz w:val="20"/>
                <w:szCs w:val="20"/>
                <w:color w:val="auto"/>
              </w:rPr>
            </w:pPr>
            <w:r>
              <w:rPr>
                <w:rFonts w:ascii="Arial" w:cs="Arial" w:eastAsia="Arial" w:hAnsi="Arial"/>
                <w:sz w:val="13"/>
                <w:szCs w:val="13"/>
                <w:color w:val="auto"/>
              </w:rPr>
              <w:t xml:space="preserve">Ltd. </w:t>
            </w:r>
            <w:r>
              <w:rPr>
                <w:rFonts w:ascii="Arial" w:cs="Arial" w:eastAsia="Arial" w:hAnsi="Arial"/>
                <w:sz w:val="10"/>
                <w:szCs w:val="10"/>
                <w:color w:val="auto"/>
              </w:rPr>
              <w:t>(1)(2)(3)(7)</w:t>
            </w:r>
          </w:p>
        </w:tc>
        <w:tc>
          <w:tcPr>
            <w:tcW w:w="1360" w:type="dxa"/>
            <w:vAlign w:val="bottom"/>
            <w:gridSpan w:val="3"/>
          </w:tcPr>
          <w:p>
            <w:pPr>
              <w:ind w:left="40"/>
              <w:spacing w:after="0"/>
              <w:rPr>
                <w:sz w:val="20"/>
                <w:szCs w:val="20"/>
                <w:color w:val="auto"/>
              </w:rPr>
            </w:pPr>
            <w:r>
              <w:rPr>
                <w:rFonts w:ascii="Arial" w:cs="Arial" w:eastAsia="Arial" w:hAnsi="Arial"/>
                <w:sz w:val="13"/>
                <w:szCs w:val="13"/>
                <w:color w:val="auto"/>
              </w:rPr>
              <w:t>Securities</w:t>
            </w: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6,379,580</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(579,607)</w:t>
            </w:r>
          </w:p>
        </w:tc>
        <w:tc>
          <w:tcPr>
            <w:tcW w:w="640" w:type="dxa"/>
            <w:vAlign w:val="bottom"/>
          </w:tcPr>
          <w:p>
            <w:pPr>
              <w:jc w:val="right"/>
              <w:spacing w:after="0"/>
              <w:rPr>
                <w:sz w:val="20"/>
                <w:szCs w:val="20"/>
                <w:color w:val="auto"/>
              </w:rPr>
            </w:pPr>
            <w:r>
              <w:rPr>
                <w:rFonts w:ascii="Arial" w:cs="Arial" w:eastAsia="Arial" w:hAnsi="Arial"/>
                <w:sz w:val="13"/>
                <w:szCs w:val="13"/>
                <w:color w:val="auto"/>
              </w:rPr>
              <w:t>582,206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8"/>
              <w:spacing w:after="0"/>
              <w:rPr>
                <w:sz w:val="20"/>
                <w:szCs w:val="20"/>
                <w:color w:val="auto"/>
              </w:rPr>
            </w:pPr>
            <w:r>
              <w:rPr>
                <w:rFonts w:ascii="Arial" w:cs="Arial" w:eastAsia="Arial" w:hAnsi="Arial"/>
                <w:sz w:val="13"/>
                <w:szCs w:val="13"/>
                <w:color w:val="auto"/>
              </w:rPr>
              <w:t>(3,835,632)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57"/>
              <w:spacing w:after="0"/>
              <w:rPr>
                <w:sz w:val="20"/>
                <w:szCs w:val="20"/>
                <w:color w:val="auto"/>
              </w:rPr>
            </w:pPr>
            <w:r>
              <w:rPr>
                <w:rFonts w:ascii="Arial" w:cs="Arial" w:eastAsia="Arial" w:hAnsi="Arial"/>
                <w:sz w:val="13"/>
                <w:szCs w:val="13"/>
                <w:color w:val="auto"/>
              </w:rPr>
              <w:t>(2,546,548)</w:t>
            </w:r>
          </w:p>
        </w:tc>
        <w:tc>
          <w:tcPr>
            <w:tcW w:w="6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w w:val="98"/>
              </w:rPr>
              <w:t>15,160,600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582,206</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15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Catamaran CLO 2014-2,</w:t>
            </w:r>
          </w:p>
        </w:tc>
        <w:tc>
          <w:tcPr>
            <w:tcW w:w="1360" w:type="dxa"/>
            <w:vAlign w:val="bottom"/>
            <w:gridSpan w:val="3"/>
            <w:shd w:val="clear" w:color="auto" w:fill="CFF0FC"/>
          </w:tcPr>
          <w:p>
            <w:pPr>
              <w:ind w:left="40"/>
              <w:spacing w:after="0" w:line="134" w:lineRule="exact"/>
              <w:rPr>
                <w:sz w:val="20"/>
                <w:szCs w:val="20"/>
                <w:color w:val="auto"/>
              </w:rPr>
            </w:pPr>
            <w:r>
              <w:rPr>
                <w:rFonts w:ascii="Arial" w:cs="Arial" w:eastAsia="Arial" w:hAnsi="Arial"/>
                <w:sz w:val="13"/>
                <w:szCs w:val="13"/>
                <w:color w:val="auto"/>
              </w:rPr>
              <w:t>CLO Fund</w:t>
            </w: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00" w:type="dxa"/>
            <w:vAlign w:val="bottom"/>
            <w:shd w:val="clear" w:color="auto" w:fill="CFF0FC"/>
          </w:tcPr>
          <w:p>
            <w:pPr>
              <w:spacing w:after="0"/>
              <w:rPr>
                <w:sz w:val="20"/>
                <w:szCs w:val="20"/>
                <w:color w:val="auto"/>
              </w:rPr>
            </w:pPr>
            <w:r>
              <w:rPr>
                <w:rFonts w:ascii="Arial" w:cs="Arial" w:eastAsia="Arial" w:hAnsi="Arial"/>
                <w:sz w:val="13"/>
                <w:szCs w:val="13"/>
                <w:color w:val="auto"/>
              </w:rPr>
              <w:t xml:space="preserve">Ltd. </w:t>
            </w:r>
            <w:r>
              <w:rPr>
                <w:rFonts w:ascii="Arial" w:cs="Arial" w:eastAsia="Arial" w:hAnsi="Arial"/>
                <w:sz w:val="10"/>
                <w:szCs w:val="10"/>
                <w:color w:val="auto"/>
              </w:rPr>
              <w:t>(1)(2)(3)(7)</w:t>
            </w:r>
          </w:p>
        </w:tc>
        <w:tc>
          <w:tcPr>
            <w:tcW w:w="1360" w:type="dxa"/>
            <w:vAlign w:val="bottom"/>
            <w:gridSpan w:val="3"/>
            <w:shd w:val="clear" w:color="auto" w:fill="CFF0FC"/>
          </w:tcPr>
          <w:p>
            <w:pPr>
              <w:ind w:left="40"/>
              <w:spacing w:after="0"/>
              <w:rPr>
                <w:sz w:val="20"/>
                <w:szCs w:val="20"/>
                <w:color w:val="auto"/>
              </w:rPr>
            </w:pPr>
            <w:r>
              <w:rPr>
                <w:rFonts w:ascii="Arial" w:cs="Arial" w:eastAsia="Arial" w:hAnsi="Arial"/>
                <w:sz w:val="13"/>
                <w:szCs w:val="13"/>
                <w:color w:val="auto"/>
              </w:rPr>
              <w:t>Securities</w:t>
            </w: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1,139,032</w:t>
            </w:r>
          </w:p>
        </w:tc>
        <w:tc>
          <w:tcPr>
            <w:tcW w:w="1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(60,226)</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53,127</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58"/>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57"/>
              <w:spacing w:after="0"/>
              <w:rPr>
                <w:sz w:val="20"/>
                <w:szCs w:val="20"/>
                <w:color w:val="auto"/>
              </w:rPr>
            </w:pPr>
            <w:r>
              <w:rPr>
                <w:rFonts w:ascii="Arial" w:cs="Arial" w:eastAsia="Arial" w:hAnsi="Arial"/>
                <w:sz w:val="13"/>
                <w:szCs w:val="13"/>
                <w:color w:val="auto"/>
              </w:rPr>
              <w:t>(1,131,933)</w:t>
            </w:r>
          </w:p>
        </w:tc>
        <w:tc>
          <w:tcPr>
            <w:tcW w:w="6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9,900,000</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53,127</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1500" w:type="dxa"/>
            <w:vAlign w:val="bottom"/>
          </w:tcPr>
          <w:p>
            <w:pPr>
              <w:spacing w:after="0" w:line="134" w:lineRule="exact"/>
              <w:rPr>
                <w:sz w:val="20"/>
                <w:szCs w:val="20"/>
                <w:color w:val="auto"/>
              </w:rPr>
            </w:pPr>
            <w:r>
              <w:rPr>
                <w:rFonts w:ascii="Arial" w:cs="Arial" w:eastAsia="Arial" w:hAnsi="Arial"/>
                <w:sz w:val="13"/>
                <w:szCs w:val="13"/>
                <w:color w:val="auto"/>
              </w:rPr>
              <w:t>Catamaran CLO 2015-1,</w:t>
            </w:r>
          </w:p>
        </w:tc>
        <w:tc>
          <w:tcPr>
            <w:tcW w:w="1360" w:type="dxa"/>
            <w:vAlign w:val="bottom"/>
            <w:gridSpan w:val="3"/>
          </w:tcPr>
          <w:p>
            <w:pPr>
              <w:ind w:left="40"/>
              <w:spacing w:after="0" w:line="134" w:lineRule="exact"/>
              <w:rPr>
                <w:sz w:val="20"/>
                <w:szCs w:val="20"/>
                <w:color w:val="auto"/>
              </w:rPr>
            </w:pPr>
            <w:r>
              <w:rPr>
                <w:rFonts w:ascii="Arial" w:cs="Arial" w:eastAsia="Arial" w:hAnsi="Arial"/>
                <w:sz w:val="13"/>
                <w:szCs w:val="13"/>
                <w:color w:val="auto"/>
              </w:rPr>
              <w:t>CLO Fund</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00" w:type="dxa"/>
            <w:vAlign w:val="bottom"/>
          </w:tcPr>
          <w:p>
            <w:pPr>
              <w:spacing w:after="0"/>
              <w:rPr>
                <w:sz w:val="20"/>
                <w:szCs w:val="20"/>
                <w:color w:val="auto"/>
              </w:rPr>
            </w:pPr>
            <w:r>
              <w:rPr>
                <w:rFonts w:ascii="Arial" w:cs="Arial" w:eastAsia="Arial" w:hAnsi="Arial"/>
                <w:sz w:val="13"/>
                <w:szCs w:val="13"/>
                <w:color w:val="auto"/>
              </w:rPr>
              <w:t xml:space="preserve">Ltd. </w:t>
            </w:r>
            <w:r>
              <w:rPr>
                <w:rFonts w:ascii="Arial" w:cs="Arial" w:eastAsia="Arial" w:hAnsi="Arial"/>
                <w:sz w:val="10"/>
                <w:szCs w:val="10"/>
                <w:color w:val="auto"/>
              </w:rPr>
              <w:t>(1)(2)(3)(7)</w:t>
            </w:r>
          </w:p>
        </w:tc>
        <w:tc>
          <w:tcPr>
            <w:tcW w:w="1360" w:type="dxa"/>
            <w:vAlign w:val="bottom"/>
            <w:gridSpan w:val="3"/>
          </w:tcPr>
          <w:p>
            <w:pPr>
              <w:ind w:left="40"/>
              <w:spacing w:after="0"/>
              <w:rPr>
                <w:sz w:val="20"/>
                <w:szCs w:val="20"/>
                <w:color w:val="auto"/>
              </w:rPr>
            </w:pPr>
            <w:r>
              <w:rPr>
                <w:rFonts w:ascii="Arial" w:cs="Arial" w:eastAsia="Arial" w:hAnsi="Arial"/>
                <w:sz w:val="13"/>
                <w:szCs w:val="13"/>
                <w:color w:val="auto"/>
              </w:rPr>
              <w:t>Securities</w:t>
            </w: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2,514,130</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(232,157)</w:t>
            </w:r>
          </w:p>
        </w:tc>
        <w:tc>
          <w:tcPr>
            <w:tcW w:w="640" w:type="dxa"/>
            <w:vAlign w:val="bottom"/>
          </w:tcPr>
          <w:p>
            <w:pPr>
              <w:jc w:val="right"/>
              <w:spacing w:after="0"/>
              <w:rPr>
                <w:sz w:val="20"/>
                <w:szCs w:val="20"/>
                <w:color w:val="auto"/>
              </w:rPr>
            </w:pPr>
            <w:r>
              <w:rPr>
                <w:rFonts w:ascii="Arial" w:cs="Arial" w:eastAsia="Arial" w:hAnsi="Arial"/>
                <w:sz w:val="13"/>
                <w:szCs w:val="13"/>
                <w:color w:val="auto"/>
              </w:rPr>
              <w:t>285,634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8"/>
              <w:spacing w:after="0"/>
              <w:rPr>
                <w:sz w:val="20"/>
                <w:szCs w:val="20"/>
                <w:color w:val="auto"/>
              </w:rPr>
            </w:pPr>
            <w:r>
              <w:rPr>
                <w:rFonts w:ascii="Arial" w:cs="Arial" w:eastAsia="Arial" w:hAnsi="Arial"/>
                <w:sz w:val="13"/>
                <w:szCs w:val="13"/>
                <w:color w:val="auto"/>
              </w:rPr>
              <w:t>(1,609,400)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57"/>
              <w:spacing w:after="0"/>
              <w:rPr>
                <w:sz w:val="20"/>
                <w:szCs w:val="20"/>
                <w:color w:val="auto"/>
              </w:rPr>
            </w:pPr>
            <w:r>
              <w:rPr>
                <w:rFonts w:ascii="Arial" w:cs="Arial" w:eastAsia="Arial" w:hAnsi="Arial"/>
                <w:sz w:val="13"/>
                <w:szCs w:val="13"/>
                <w:color w:val="auto"/>
              </w:rPr>
              <w:t>(958,207)</w:t>
            </w:r>
          </w:p>
        </w:tc>
        <w:tc>
          <w:tcPr>
            <w:tcW w:w="6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4,952,000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285,634</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15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Catamaran CLO 2016-1,</w:t>
            </w:r>
          </w:p>
        </w:tc>
        <w:tc>
          <w:tcPr>
            <w:tcW w:w="1360" w:type="dxa"/>
            <w:vAlign w:val="bottom"/>
            <w:gridSpan w:val="3"/>
            <w:shd w:val="clear" w:color="auto" w:fill="CFF0FC"/>
          </w:tcPr>
          <w:p>
            <w:pPr>
              <w:ind w:left="40"/>
              <w:spacing w:after="0" w:line="134" w:lineRule="exact"/>
              <w:rPr>
                <w:sz w:val="20"/>
                <w:szCs w:val="20"/>
                <w:color w:val="auto"/>
              </w:rPr>
            </w:pPr>
            <w:r>
              <w:rPr>
                <w:rFonts w:ascii="Arial" w:cs="Arial" w:eastAsia="Arial" w:hAnsi="Arial"/>
                <w:sz w:val="13"/>
                <w:szCs w:val="13"/>
                <w:color w:val="auto"/>
              </w:rPr>
              <w:t>CLO Fund</w:t>
            </w: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00" w:type="dxa"/>
            <w:vAlign w:val="bottom"/>
            <w:shd w:val="clear" w:color="auto" w:fill="CFF0FC"/>
          </w:tcPr>
          <w:p>
            <w:pPr>
              <w:spacing w:after="0"/>
              <w:rPr>
                <w:sz w:val="20"/>
                <w:szCs w:val="20"/>
                <w:color w:val="auto"/>
              </w:rPr>
            </w:pPr>
            <w:r>
              <w:rPr>
                <w:rFonts w:ascii="Arial" w:cs="Arial" w:eastAsia="Arial" w:hAnsi="Arial"/>
                <w:sz w:val="13"/>
                <w:szCs w:val="13"/>
                <w:color w:val="auto"/>
              </w:rPr>
              <w:t xml:space="preserve">Ltd. </w:t>
            </w:r>
            <w:r>
              <w:rPr>
                <w:rFonts w:ascii="Arial" w:cs="Arial" w:eastAsia="Arial" w:hAnsi="Arial"/>
                <w:sz w:val="10"/>
                <w:szCs w:val="10"/>
                <w:color w:val="auto"/>
              </w:rPr>
              <w:t>(1)(2)(3)(7)</w:t>
            </w:r>
          </w:p>
        </w:tc>
        <w:tc>
          <w:tcPr>
            <w:tcW w:w="1360" w:type="dxa"/>
            <w:vAlign w:val="bottom"/>
            <w:gridSpan w:val="3"/>
            <w:shd w:val="clear" w:color="auto" w:fill="CFF0FC"/>
          </w:tcPr>
          <w:p>
            <w:pPr>
              <w:ind w:left="40"/>
              <w:spacing w:after="0"/>
              <w:rPr>
                <w:sz w:val="20"/>
                <w:szCs w:val="20"/>
                <w:color w:val="auto"/>
              </w:rPr>
            </w:pPr>
            <w:r>
              <w:rPr>
                <w:rFonts w:ascii="Arial" w:cs="Arial" w:eastAsia="Arial" w:hAnsi="Arial"/>
                <w:sz w:val="13"/>
                <w:szCs w:val="13"/>
                <w:color w:val="auto"/>
              </w:rPr>
              <w:t>Securities</w:t>
            </w: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6,395,016</w:t>
            </w:r>
          </w:p>
        </w:tc>
        <w:tc>
          <w:tcPr>
            <w:tcW w:w="1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(1,084,589)</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703,769</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8"/>
              <w:spacing w:after="0"/>
              <w:rPr>
                <w:sz w:val="20"/>
                <w:szCs w:val="20"/>
                <w:color w:val="auto"/>
              </w:rPr>
            </w:pPr>
            <w:r>
              <w:rPr>
                <w:rFonts w:ascii="Arial" w:cs="Arial" w:eastAsia="Arial" w:hAnsi="Arial"/>
                <w:sz w:val="13"/>
                <w:szCs w:val="13"/>
                <w:color w:val="auto"/>
              </w:rPr>
              <w:t>(3,549,000)</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57"/>
              <w:spacing w:after="0"/>
              <w:rPr>
                <w:sz w:val="20"/>
                <w:szCs w:val="20"/>
                <w:color w:val="auto"/>
              </w:rPr>
            </w:pPr>
            <w:r>
              <w:rPr>
                <w:rFonts w:ascii="Arial" w:cs="Arial" w:eastAsia="Arial" w:hAnsi="Arial"/>
                <w:sz w:val="13"/>
                <w:szCs w:val="13"/>
                <w:color w:val="auto"/>
              </w:rPr>
              <w:t>(2,465,197)</w:t>
            </w:r>
          </w:p>
        </w:tc>
        <w:tc>
          <w:tcPr>
            <w:tcW w:w="6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8"/>
              </w:rPr>
              <w:t>10,140,000</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703,769</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1500" w:type="dxa"/>
            <w:vAlign w:val="bottom"/>
          </w:tcPr>
          <w:p>
            <w:pPr>
              <w:spacing w:after="0" w:line="134" w:lineRule="exact"/>
              <w:rPr>
                <w:sz w:val="20"/>
                <w:szCs w:val="20"/>
                <w:color w:val="auto"/>
              </w:rPr>
            </w:pPr>
            <w:r>
              <w:rPr>
                <w:rFonts w:ascii="Arial" w:cs="Arial" w:eastAsia="Arial" w:hAnsi="Arial"/>
                <w:sz w:val="13"/>
                <w:szCs w:val="13"/>
                <w:color w:val="auto"/>
              </w:rPr>
              <w:t>Catamaran CLO 2018-1,</w:t>
            </w:r>
          </w:p>
        </w:tc>
        <w:tc>
          <w:tcPr>
            <w:tcW w:w="1360" w:type="dxa"/>
            <w:vAlign w:val="bottom"/>
            <w:gridSpan w:val="3"/>
          </w:tcPr>
          <w:p>
            <w:pPr>
              <w:ind w:left="40"/>
              <w:spacing w:after="0" w:line="134" w:lineRule="exact"/>
              <w:rPr>
                <w:sz w:val="20"/>
                <w:szCs w:val="20"/>
                <w:color w:val="auto"/>
              </w:rPr>
            </w:pPr>
            <w:r>
              <w:rPr>
                <w:rFonts w:ascii="Arial" w:cs="Arial" w:eastAsia="Arial" w:hAnsi="Arial"/>
                <w:sz w:val="13"/>
                <w:szCs w:val="13"/>
                <w:color w:val="auto"/>
              </w:rPr>
              <w:t>CLO Fund</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00" w:type="dxa"/>
            <w:vAlign w:val="bottom"/>
          </w:tcPr>
          <w:p>
            <w:pPr>
              <w:spacing w:after="0"/>
              <w:rPr>
                <w:sz w:val="20"/>
                <w:szCs w:val="20"/>
                <w:color w:val="auto"/>
              </w:rPr>
            </w:pPr>
            <w:r>
              <w:rPr>
                <w:rFonts w:ascii="Arial" w:cs="Arial" w:eastAsia="Arial" w:hAnsi="Arial"/>
                <w:sz w:val="13"/>
                <w:szCs w:val="13"/>
                <w:color w:val="auto"/>
              </w:rPr>
              <w:t xml:space="preserve">Ltd. </w:t>
            </w:r>
            <w:r>
              <w:rPr>
                <w:rFonts w:ascii="Arial" w:cs="Arial" w:eastAsia="Arial" w:hAnsi="Arial"/>
                <w:sz w:val="10"/>
                <w:szCs w:val="10"/>
                <w:color w:val="auto"/>
              </w:rPr>
              <w:t>(1)(2)(3)(7)</w:t>
            </w:r>
          </w:p>
        </w:tc>
        <w:tc>
          <w:tcPr>
            <w:tcW w:w="1360" w:type="dxa"/>
            <w:vAlign w:val="bottom"/>
            <w:gridSpan w:val="3"/>
          </w:tcPr>
          <w:p>
            <w:pPr>
              <w:ind w:left="40"/>
              <w:spacing w:after="0"/>
              <w:rPr>
                <w:sz w:val="20"/>
                <w:szCs w:val="20"/>
                <w:color w:val="auto"/>
              </w:rPr>
            </w:pPr>
            <w:r>
              <w:rPr>
                <w:rFonts w:ascii="Arial" w:cs="Arial" w:eastAsia="Arial" w:hAnsi="Arial"/>
                <w:sz w:val="13"/>
                <w:szCs w:val="13"/>
                <w:color w:val="auto"/>
              </w:rPr>
              <w:t>Securities</w:t>
            </w: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8,530,751</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(1,552,728)</w:t>
            </w:r>
          </w:p>
        </w:tc>
        <w:tc>
          <w:tcPr>
            <w:tcW w:w="640" w:type="dxa"/>
            <w:vAlign w:val="bottom"/>
          </w:tcPr>
          <w:p>
            <w:pPr>
              <w:jc w:val="right"/>
              <w:spacing w:after="0"/>
              <w:rPr>
                <w:sz w:val="20"/>
                <w:szCs w:val="20"/>
                <w:color w:val="auto"/>
              </w:rPr>
            </w:pPr>
            <w:r>
              <w:rPr>
                <w:rFonts w:ascii="Arial" w:cs="Arial" w:eastAsia="Arial" w:hAnsi="Arial"/>
                <w:sz w:val="13"/>
                <w:szCs w:val="13"/>
                <w:color w:val="auto"/>
              </w:rPr>
              <w:t>1,116,320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8"/>
              <w:spacing w:after="0"/>
              <w:rPr>
                <w:sz w:val="20"/>
                <w:szCs w:val="20"/>
                <w:color w:val="auto"/>
              </w:rPr>
            </w:pPr>
            <w:r>
              <w:rPr>
                <w:rFonts w:ascii="Arial" w:cs="Arial" w:eastAsia="Arial" w:hAnsi="Arial"/>
                <w:sz w:val="13"/>
                <w:szCs w:val="13"/>
                <w:color w:val="auto"/>
              </w:rPr>
              <w:t>(6,655,000)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57"/>
              <w:spacing w:after="0"/>
              <w:rPr>
                <w:sz w:val="20"/>
                <w:szCs w:val="20"/>
                <w:color w:val="auto"/>
              </w:rPr>
            </w:pPr>
            <w:r>
              <w:rPr>
                <w:rFonts w:ascii="Arial" w:cs="Arial" w:eastAsia="Arial" w:hAnsi="Arial"/>
                <w:sz w:val="13"/>
                <w:szCs w:val="13"/>
                <w:color w:val="auto"/>
              </w:rPr>
              <w:t>(1,439,343)</w:t>
            </w:r>
          </w:p>
        </w:tc>
        <w:tc>
          <w:tcPr>
            <w:tcW w:w="6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w w:val="98"/>
              </w:rPr>
              <w:t>10,000,000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w w:val="86"/>
              </w:rPr>
              <w:t>1,116,320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1500" w:type="dxa"/>
            <w:vAlign w:val="bottom"/>
            <w:shd w:val="clear" w:color="auto" w:fill="CFF0FC"/>
          </w:tcPr>
          <w:p>
            <w:pPr>
              <w:spacing w:after="0"/>
              <w:rPr>
                <w:sz w:val="20"/>
                <w:szCs w:val="20"/>
                <w:color w:val="auto"/>
              </w:rPr>
            </w:pPr>
            <w:r>
              <w:rPr>
                <w:rFonts w:ascii="Arial" w:cs="Arial" w:eastAsia="Arial" w:hAnsi="Arial"/>
                <w:sz w:val="13"/>
                <w:szCs w:val="13"/>
                <w:color w:val="auto"/>
                <w:w w:val="97"/>
              </w:rPr>
              <w:t>Navex Topco, Inc.(3)(4)(7)</w:t>
            </w:r>
          </w:p>
        </w:tc>
        <w:tc>
          <w:tcPr>
            <w:tcW w:w="1360" w:type="dxa"/>
            <w:vAlign w:val="bottom"/>
            <w:gridSpan w:val="3"/>
            <w:shd w:val="clear" w:color="auto" w:fill="CFF0FC"/>
          </w:tcPr>
          <w:p>
            <w:pPr>
              <w:ind w:left="40"/>
              <w:spacing w:after="0"/>
              <w:rPr>
                <w:sz w:val="20"/>
                <w:szCs w:val="20"/>
                <w:color w:val="auto"/>
              </w:rPr>
            </w:pPr>
            <w:r>
              <w:rPr>
                <w:rFonts w:ascii="Arial" w:cs="Arial" w:eastAsia="Arial" w:hAnsi="Arial"/>
                <w:sz w:val="13"/>
                <w:szCs w:val="13"/>
                <w:color w:val="auto"/>
              </w:rPr>
              <w:t>Electronics</w:t>
            </w: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7,636,090</w:t>
            </w:r>
          </w:p>
        </w:tc>
        <w:tc>
          <w:tcPr>
            <w:tcW w:w="1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83,487</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58"/>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57"/>
              <w:spacing w:after="0"/>
              <w:rPr>
                <w:sz w:val="20"/>
                <w:szCs w:val="20"/>
                <w:color w:val="auto"/>
              </w:rPr>
            </w:pPr>
            <w:r>
              <w:rPr>
                <w:rFonts w:ascii="Arial" w:cs="Arial" w:eastAsia="Arial" w:hAnsi="Arial"/>
                <w:sz w:val="13"/>
                <w:szCs w:val="13"/>
                <w:color w:val="auto"/>
              </w:rPr>
              <w:t>(231,327)</w:t>
            </w:r>
          </w:p>
        </w:tc>
        <w:tc>
          <w:tcPr>
            <w:tcW w:w="6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7,488,250</w:t>
            </w: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7,700,000</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575,477</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1500" w:type="dxa"/>
            <w:vAlign w:val="bottom"/>
          </w:tcPr>
          <w:p>
            <w:pPr>
              <w:spacing w:after="0" w:line="134" w:lineRule="exact"/>
              <w:rPr>
                <w:sz w:val="20"/>
                <w:szCs w:val="20"/>
                <w:color w:val="auto"/>
              </w:rPr>
            </w:pPr>
            <w:r>
              <w:rPr>
                <w:rFonts w:ascii="Arial" w:cs="Arial" w:eastAsia="Arial" w:hAnsi="Arial"/>
                <w:sz w:val="13"/>
                <w:szCs w:val="13"/>
                <w:color w:val="auto"/>
                <w:w w:val="93"/>
              </w:rPr>
              <w:t>Zest Acquisition Corp.(3)(4)</w:t>
            </w:r>
          </w:p>
        </w:tc>
        <w:tc>
          <w:tcPr>
            <w:tcW w:w="1360" w:type="dxa"/>
            <w:vAlign w:val="bottom"/>
            <w:gridSpan w:val="3"/>
          </w:tcPr>
          <w:p>
            <w:pPr>
              <w:ind w:left="40"/>
              <w:spacing w:after="0" w:line="134" w:lineRule="exact"/>
              <w:rPr>
                <w:sz w:val="20"/>
                <w:szCs w:val="20"/>
                <w:color w:val="auto"/>
              </w:rPr>
            </w:pPr>
            <w:r>
              <w:rPr>
                <w:rFonts w:ascii="Arial" w:cs="Arial" w:eastAsia="Arial" w:hAnsi="Arial"/>
                <w:sz w:val="13"/>
                <w:szCs w:val="13"/>
                <w:color w:val="auto"/>
              </w:rPr>
              <w:t>Healthcare, Education</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00" w:type="dxa"/>
            <w:vAlign w:val="bottom"/>
          </w:tcPr>
          <w:p>
            <w:pPr>
              <w:spacing w:after="0"/>
              <w:rPr>
                <w:sz w:val="20"/>
                <w:szCs w:val="20"/>
                <w:color w:val="auto"/>
              </w:rPr>
            </w:pPr>
            <w:r>
              <w:rPr>
                <w:rFonts w:ascii="Arial" w:cs="Arial" w:eastAsia="Arial" w:hAnsi="Arial"/>
                <w:sz w:val="13"/>
                <w:szCs w:val="13"/>
                <w:color w:val="auto"/>
              </w:rPr>
              <w:t>(7)</w:t>
            </w:r>
          </w:p>
        </w:tc>
        <w:tc>
          <w:tcPr>
            <w:tcW w:w="1360" w:type="dxa"/>
            <w:vAlign w:val="bottom"/>
            <w:gridSpan w:val="3"/>
          </w:tcPr>
          <w:p>
            <w:pPr>
              <w:ind w:left="40"/>
              <w:spacing w:after="0"/>
              <w:rPr>
                <w:sz w:val="20"/>
                <w:szCs w:val="20"/>
                <w:color w:val="auto"/>
              </w:rPr>
            </w:pPr>
            <w:r>
              <w:rPr>
                <w:rFonts w:ascii="Arial" w:cs="Arial" w:eastAsia="Arial" w:hAnsi="Arial"/>
                <w:sz w:val="13"/>
                <w:szCs w:val="13"/>
                <w:color w:val="auto"/>
              </w:rPr>
              <w:t>and Childcare</w:t>
            </w: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3,306,092</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2,808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58"/>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57"/>
              <w:spacing w:after="0"/>
              <w:rPr>
                <w:sz w:val="20"/>
                <w:szCs w:val="20"/>
                <w:color w:val="auto"/>
              </w:rPr>
            </w:pPr>
            <w:r>
              <w:rPr>
                <w:rFonts w:ascii="Arial" w:cs="Arial" w:eastAsia="Arial" w:hAnsi="Arial"/>
                <w:sz w:val="13"/>
                <w:szCs w:val="13"/>
                <w:color w:val="auto"/>
              </w:rPr>
              <w:t>(17,500)</w:t>
            </w:r>
          </w:p>
        </w:tc>
        <w:tc>
          <w:tcPr>
            <w:tcW w:w="6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3,291,400</w:t>
            </w: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3,500,000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310,292</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15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w w:val="94"/>
              </w:rPr>
              <w:t>OCI Holdings, LLC(3)(4)(7)</w:t>
            </w:r>
          </w:p>
        </w:tc>
        <w:tc>
          <w:tcPr>
            <w:tcW w:w="1360" w:type="dxa"/>
            <w:vAlign w:val="bottom"/>
            <w:gridSpan w:val="3"/>
            <w:shd w:val="clear" w:color="auto" w:fill="CFF0FC"/>
          </w:tcPr>
          <w:p>
            <w:pPr>
              <w:ind w:left="40"/>
              <w:spacing w:after="0" w:line="134" w:lineRule="exact"/>
              <w:rPr>
                <w:sz w:val="20"/>
                <w:szCs w:val="20"/>
                <w:color w:val="auto"/>
              </w:rPr>
            </w:pPr>
            <w:r>
              <w:rPr>
                <w:rFonts w:ascii="Arial" w:cs="Arial" w:eastAsia="Arial" w:hAnsi="Arial"/>
                <w:sz w:val="13"/>
                <w:szCs w:val="13"/>
                <w:color w:val="auto"/>
              </w:rPr>
              <w:t>Healthcare &amp;</w:t>
            </w: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00" w:type="dxa"/>
            <w:vAlign w:val="bottom"/>
            <w:shd w:val="clear" w:color="auto" w:fill="CFF0FC"/>
          </w:tcPr>
          <w:p>
            <w:pPr>
              <w:spacing w:after="0"/>
              <w:rPr>
                <w:sz w:val="12"/>
                <w:szCs w:val="12"/>
                <w:color w:val="auto"/>
              </w:rPr>
            </w:pPr>
          </w:p>
        </w:tc>
        <w:tc>
          <w:tcPr>
            <w:tcW w:w="1360" w:type="dxa"/>
            <w:vAlign w:val="bottom"/>
            <w:gridSpan w:val="3"/>
            <w:shd w:val="clear" w:color="auto" w:fill="CFF0FC"/>
          </w:tcPr>
          <w:p>
            <w:pPr>
              <w:ind w:left="40"/>
              <w:spacing w:after="0"/>
              <w:rPr>
                <w:sz w:val="20"/>
                <w:szCs w:val="20"/>
                <w:color w:val="auto"/>
              </w:rPr>
            </w:pPr>
            <w:r>
              <w:rPr>
                <w:rFonts w:ascii="Arial" w:cs="Arial" w:eastAsia="Arial" w:hAnsi="Arial"/>
                <w:sz w:val="13"/>
                <w:szCs w:val="13"/>
                <w:color w:val="auto"/>
              </w:rPr>
              <w:t>Pharmaceuticals</w:t>
            </w: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2,422,281</w:t>
            </w:r>
          </w:p>
        </w:tc>
        <w:tc>
          <w:tcPr>
            <w:tcW w:w="1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(2,706,977)</w:t>
            </w:r>
          </w:p>
        </w:tc>
        <w:tc>
          <w:tcPr>
            <w:tcW w:w="7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58"/>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17"/>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284,696</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1500" w:type="dxa"/>
            <w:vAlign w:val="bottom"/>
          </w:tcPr>
          <w:p>
            <w:pPr>
              <w:spacing w:after="0" w:line="134" w:lineRule="exact"/>
              <w:rPr>
                <w:sz w:val="20"/>
                <w:szCs w:val="20"/>
                <w:color w:val="auto"/>
              </w:rPr>
            </w:pPr>
            <w:r>
              <w:rPr>
                <w:rFonts w:ascii="Arial" w:cs="Arial" w:eastAsia="Arial" w:hAnsi="Arial"/>
                <w:sz w:val="13"/>
                <w:szCs w:val="13"/>
                <w:color w:val="auto"/>
              </w:rPr>
              <w:t>GIG Rooster Holdings I,</w:t>
            </w:r>
          </w:p>
        </w:tc>
        <w:tc>
          <w:tcPr>
            <w:tcW w:w="1360" w:type="dxa"/>
            <w:vAlign w:val="bottom"/>
            <w:gridSpan w:val="3"/>
          </w:tcPr>
          <w:p>
            <w:pPr>
              <w:ind w:left="40"/>
              <w:spacing w:after="0" w:line="134" w:lineRule="exact"/>
              <w:rPr>
                <w:sz w:val="20"/>
                <w:szCs w:val="20"/>
                <w:color w:val="auto"/>
              </w:rPr>
            </w:pPr>
            <w:r>
              <w:rPr>
                <w:rFonts w:ascii="Arial" w:cs="Arial" w:eastAsia="Arial" w:hAnsi="Arial"/>
                <w:sz w:val="13"/>
                <w:szCs w:val="13"/>
                <w:color w:val="auto"/>
              </w:rPr>
              <w:t>Energy: Oil &amp;</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00" w:type="dxa"/>
            <w:vAlign w:val="bottom"/>
          </w:tcPr>
          <w:p>
            <w:pPr>
              <w:spacing w:after="0"/>
              <w:rPr>
                <w:sz w:val="20"/>
                <w:szCs w:val="20"/>
                <w:color w:val="auto"/>
              </w:rPr>
            </w:pPr>
            <w:r>
              <w:rPr>
                <w:rFonts w:ascii="Arial" w:cs="Arial" w:eastAsia="Arial" w:hAnsi="Arial"/>
                <w:sz w:val="13"/>
                <w:szCs w:val="13"/>
                <w:color w:val="auto"/>
              </w:rPr>
              <w:t>LLC (10)</w:t>
            </w:r>
          </w:p>
        </w:tc>
        <w:tc>
          <w:tcPr>
            <w:tcW w:w="1360" w:type="dxa"/>
            <w:vAlign w:val="bottom"/>
            <w:gridSpan w:val="3"/>
          </w:tcPr>
          <w:p>
            <w:pPr>
              <w:ind w:left="40"/>
              <w:spacing w:after="0"/>
              <w:rPr>
                <w:sz w:val="20"/>
                <w:szCs w:val="20"/>
                <w:color w:val="auto"/>
              </w:rPr>
            </w:pPr>
            <w:r>
              <w:rPr>
                <w:rFonts w:ascii="Arial" w:cs="Arial" w:eastAsia="Arial" w:hAnsi="Arial"/>
                <w:sz w:val="13"/>
                <w:szCs w:val="13"/>
                <w:color w:val="auto"/>
              </w:rPr>
              <w:t>Gas</w:t>
            </w: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(200,156)</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60" w:type="dxa"/>
            <w:vAlign w:val="bottom"/>
            <w:gridSpan w:val="2"/>
          </w:tcPr>
          <w:p>
            <w:pPr>
              <w:jc w:val="right"/>
              <w:ind w:right="58"/>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123,354</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200,156</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123,354</w:t>
            </w: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8"/>
        </w:trPr>
        <w:tc>
          <w:tcPr>
            <w:tcW w:w="1500" w:type="dxa"/>
            <w:vAlign w:val="bottom"/>
            <w:tcBorders>
              <w:top w:val="single" w:sz="8" w:color="CFF0FC"/>
            </w:tcBorders>
            <w:shd w:val="clear" w:color="auto" w:fill="CFF0FC"/>
          </w:tcPr>
          <w:p>
            <w:pPr>
              <w:spacing w:after="0" w:line="128" w:lineRule="exact"/>
              <w:rPr>
                <w:sz w:val="20"/>
                <w:szCs w:val="20"/>
                <w:color w:val="auto"/>
              </w:rPr>
            </w:pPr>
            <w:r>
              <w:rPr>
                <w:rFonts w:ascii="Arial" w:cs="Arial" w:eastAsia="Arial" w:hAnsi="Arial"/>
                <w:sz w:val="13"/>
                <w:szCs w:val="13"/>
                <w:color w:val="auto"/>
              </w:rPr>
              <w:t>Total Non-controlled</w:t>
            </w:r>
          </w:p>
        </w:tc>
        <w:tc>
          <w:tcPr>
            <w:tcW w:w="40" w:type="dxa"/>
            <w:vAlign w:val="bottom"/>
            <w:tcBorders>
              <w:top w:val="single" w:sz="8" w:color="CFF0FC"/>
            </w:tcBorders>
            <w:shd w:val="clear" w:color="auto" w:fill="CFF0FC"/>
          </w:tcPr>
          <w:p>
            <w:pPr>
              <w:spacing w:after="0"/>
              <w:rPr>
                <w:sz w:val="11"/>
                <w:szCs w:val="11"/>
                <w:color w:val="auto"/>
              </w:rPr>
            </w:pPr>
          </w:p>
        </w:tc>
        <w:tc>
          <w:tcPr>
            <w:tcW w:w="1280" w:type="dxa"/>
            <w:vAlign w:val="bottom"/>
            <w:tcBorders>
              <w:top w:val="single" w:sz="8" w:color="CFF0FC"/>
            </w:tcBorders>
            <w:shd w:val="clear" w:color="auto" w:fill="CFF0FC"/>
          </w:tcPr>
          <w:p>
            <w:pPr>
              <w:spacing w:after="0"/>
              <w:rPr>
                <w:sz w:val="11"/>
                <w:szCs w:val="11"/>
                <w:color w:val="auto"/>
              </w:rPr>
            </w:pPr>
          </w:p>
        </w:tc>
        <w:tc>
          <w:tcPr>
            <w:tcW w:w="4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18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54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00" w:type="dxa"/>
            <w:vAlign w:val="bottom"/>
            <w:shd w:val="clear" w:color="auto" w:fill="CFF0FC"/>
          </w:tcPr>
          <w:p>
            <w:pPr>
              <w:spacing w:after="0"/>
              <w:rPr>
                <w:sz w:val="20"/>
                <w:szCs w:val="20"/>
                <w:color w:val="auto"/>
              </w:rPr>
            </w:pPr>
            <w:r>
              <w:rPr>
                <w:rFonts w:ascii="Arial" w:cs="Arial" w:eastAsia="Arial" w:hAnsi="Arial"/>
                <w:sz w:val="13"/>
                <w:szCs w:val="13"/>
                <w:color w:val="auto"/>
              </w:rPr>
              <w:t>affiliates</w:t>
            </w:r>
          </w:p>
        </w:tc>
        <w:tc>
          <w:tcPr>
            <w:tcW w:w="4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2"/>
              </w:rPr>
              <w:t>67,128,578</w:t>
            </w:r>
          </w:p>
        </w:tc>
        <w:tc>
          <w:tcPr>
            <w:tcW w:w="1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(434,817)</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3,308,133</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8"/>
              <w:spacing w:after="0"/>
              <w:rPr>
                <w:sz w:val="20"/>
                <w:szCs w:val="20"/>
                <w:color w:val="auto"/>
              </w:rPr>
            </w:pPr>
            <w:r>
              <w:rPr>
                <w:rFonts w:ascii="Arial" w:cs="Arial" w:eastAsia="Arial" w:hAnsi="Arial"/>
                <w:sz w:val="13"/>
                <w:szCs w:val="13"/>
                <w:color w:val="auto"/>
                <w:w w:val="92"/>
              </w:rPr>
              <w:t>(18,260,455)</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57"/>
              <w:spacing w:after="0"/>
              <w:rPr>
                <w:sz w:val="20"/>
                <w:szCs w:val="20"/>
                <w:color w:val="auto"/>
              </w:rPr>
            </w:pPr>
            <w:r>
              <w:rPr>
                <w:rFonts w:ascii="Arial" w:cs="Arial" w:eastAsia="Arial" w:hAnsi="Arial"/>
                <w:sz w:val="13"/>
                <w:szCs w:val="13"/>
                <w:color w:val="auto"/>
                <w:w w:val="94"/>
              </w:rPr>
              <w:t>(11,722,931)</w:t>
            </w:r>
          </w:p>
        </w:tc>
        <w:tc>
          <w:tcPr>
            <w:tcW w:w="6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484,852</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9"/>
              </w:rPr>
              <w:t>40,503,359</w:t>
            </w: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6"/>
              </w:rPr>
              <w:t>4,107,606</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3"/>
              </w:rPr>
              <w:t>2,648,637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500" w:type="dxa"/>
            <w:vAlign w:val="bottom"/>
            <w:tcBorders>
              <w:bottom w:val="single" w:sz="8" w:color="CFF0FC"/>
            </w:tcBorders>
          </w:tcPr>
          <w:p>
            <w:pPr>
              <w:spacing w:after="0"/>
              <w:rPr>
                <w:sz w:val="12"/>
                <w:szCs w:val="12"/>
                <w:color w:val="auto"/>
              </w:rPr>
            </w:pPr>
          </w:p>
        </w:tc>
        <w:tc>
          <w:tcPr>
            <w:tcW w:w="40" w:type="dxa"/>
            <w:vAlign w:val="bottom"/>
            <w:tcBorders>
              <w:bottom w:val="single" w:sz="8" w:color="CFF0FC"/>
            </w:tcBorders>
          </w:tcPr>
          <w:p>
            <w:pPr>
              <w:spacing w:after="0"/>
              <w:rPr>
                <w:sz w:val="12"/>
                <w:szCs w:val="12"/>
                <w:color w:val="auto"/>
              </w:rPr>
            </w:pPr>
          </w:p>
        </w:tc>
        <w:tc>
          <w:tcPr>
            <w:tcW w:w="1280" w:type="dxa"/>
            <w:vAlign w:val="bottom"/>
            <w:tcBorders>
              <w:bottom w:val="single" w:sz="8" w:color="CFF0FC"/>
            </w:tcBorders>
          </w:tcPr>
          <w:p>
            <w:pPr>
              <w:spacing w:after="0"/>
              <w:rPr>
                <w:sz w:val="12"/>
                <w:szCs w:val="12"/>
                <w:color w:val="auto"/>
              </w:rPr>
            </w:pPr>
          </w:p>
        </w:tc>
        <w:tc>
          <w:tcPr>
            <w:tcW w:w="40" w:type="dxa"/>
            <w:vAlign w:val="bottom"/>
            <w:tcBorders>
              <w:bottom w:val="single" w:sz="8" w:color="CFF0FC"/>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640" w:type="dxa"/>
            <w:vAlign w:val="bottom"/>
            <w:tcBorders>
              <w:top w:val="single" w:sz="8" w:color="auto"/>
              <w:bottom w:val="single" w:sz="8" w:color="auto"/>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60" w:type="dxa"/>
            <w:vAlign w:val="bottom"/>
            <w:tcBorders>
              <w:bottom w:val="single" w:sz="8" w:color="CFF0FC"/>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500" w:type="dxa"/>
            <w:vAlign w:val="bottom"/>
            <w:tcBorders>
              <w:bottom w:val="single" w:sz="8" w:color="CFF0FC"/>
            </w:tcBorders>
            <w:shd w:val="clear" w:color="auto" w:fill="CFF0FC"/>
          </w:tcPr>
          <w:p>
            <w:pPr>
              <w:spacing w:after="0" w:line="142" w:lineRule="exact"/>
              <w:rPr>
                <w:sz w:val="20"/>
                <w:szCs w:val="20"/>
                <w:color w:val="auto"/>
              </w:rPr>
            </w:pPr>
            <w:r>
              <w:rPr>
                <w:rFonts w:ascii="Arial" w:cs="Arial" w:eastAsia="Arial" w:hAnsi="Arial"/>
                <w:sz w:val="13"/>
                <w:szCs w:val="13"/>
                <w:color w:val="auto"/>
                <w:w w:val="94"/>
              </w:rPr>
              <w:t>Total Affiliated Investments</w:t>
            </w:r>
          </w:p>
        </w:tc>
        <w:tc>
          <w:tcPr>
            <w:tcW w:w="40" w:type="dxa"/>
            <w:vAlign w:val="bottom"/>
            <w:tcBorders>
              <w:bottom w:val="single" w:sz="8" w:color="CFF0FC"/>
            </w:tcBorders>
            <w:shd w:val="clear" w:color="auto" w:fill="CFF0FC"/>
          </w:tcPr>
          <w:p>
            <w:pPr>
              <w:spacing w:after="0"/>
              <w:rPr>
                <w:sz w:val="12"/>
                <w:szCs w:val="12"/>
                <w:color w:val="auto"/>
              </w:rPr>
            </w:pPr>
          </w:p>
        </w:tc>
        <w:tc>
          <w:tcPr>
            <w:tcW w:w="1280" w:type="dxa"/>
            <w:vAlign w:val="bottom"/>
            <w:tcBorders>
              <w:bottom w:val="single" w:sz="8" w:color="CFF0FC"/>
            </w:tcBorders>
            <w:shd w:val="clear" w:color="auto" w:fill="CFF0FC"/>
          </w:tcPr>
          <w:p>
            <w:pPr>
              <w:spacing w:after="0"/>
              <w:rPr>
                <w:sz w:val="12"/>
                <w:szCs w:val="12"/>
                <w:color w:val="auto"/>
              </w:rPr>
            </w:pPr>
          </w:p>
        </w:tc>
        <w:tc>
          <w:tcPr>
            <w:tcW w:w="4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92"/>
              </w:rPr>
              <w:t>88,840,092</w:t>
            </w:r>
          </w:p>
        </w:tc>
        <w:tc>
          <w:tcPr>
            <w:tcW w:w="14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(434,817)</w:t>
            </w:r>
          </w:p>
        </w:tc>
        <w:tc>
          <w:tcPr>
            <w:tcW w:w="160" w:type="dxa"/>
            <w:vAlign w:val="bottom"/>
            <w:tcBorders>
              <w:bottom w:val="single" w:sz="8" w:color="CFF0FC"/>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7"/>
              </w:rPr>
              <w:t>$ 3,308,133</w:t>
            </w:r>
          </w:p>
        </w:tc>
        <w:tc>
          <w:tcPr>
            <w:tcW w:w="14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92"/>
              </w:rPr>
              <w:t>(18,260,455</w:t>
            </w:r>
          </w:p>
        </w:tc>
        <w:tc>
          <w:tcPr>
            <w:tcW w:w="100" w:type="dxa"/>
            <w:vAlign w:val="bottom"/>
            <w:tcBorders>
              <w:bottom w:val="single" w:sz="8" w:color="CFF0FC"/>
            </w:tcBorders>
            <w:shd w:val="clear" w:color="auto" w:fill="CFF0FC"/>
          </w:tcPr>
          <w:p>
            <w:pPr>
              <w:jc w:val="right"/>
              <w:ind w:right="18"/>
              <w:spacing w:after="0"/>
              <w:rPr>
                <w:sz w:val="20"/>
                <w:szCs w:val="20"/>
                <w:color w:val="auto"/>
              </w:rPr>
            </w:pPr>
            <w:r>
              <w:rPr>
                <w:rFonts w:ascii="Arial" w:cs="Arial" w:eastAsia="Arial" w:hAnsi="Arial"/>
                <w:sz w:val="8"/>
                <w:szCs w:val="8"/>
                <w:color w:val="auto"/>
                <w:w w:val="73"/>
              </w:rPr>
              <w:t>)</w:t>
            </w:r>
          </w:p>
        </w:tc>
        <w:tc>
          <w:tcPr>
            <w:tcW w:w="6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92"/>
              </w:rPr>
              <w:t>(13,477,872</w:t>
            </w:r>
          </w:p>
        </w:tc>
        <w:tc>
          <w:tcPr>
            <w:tcW w:w="180" w:type="dxa"/>
            <w:vAlign w:val="bottom"/>
            <w:tcBorders>
              <w:bottom w:val="single" w:sz="8" w:color="CFF0FC"/>
            </w:tcBorders>
            <w:shd w:val="clear" w:color="auto" w:fill="CFF0FC"/>
          </w:tcPr>
          <w:p>
            <w:pPr>
              <w:jc w:val="right"/>
              <w:ind w:right="57"/>
              <w:spacing w:after="0" w:line="142" w:lineRule="exact"/>
              <w:rPr>
                <w:sz w:val="20"/>
                <w:szCs w:val="20"/>
                <w:color w:val="auto"/>
              </w:rPr>
            </w:pPr>
            <w:r>
              <w:rPr>
                <w:rFonts w:ascii="Arial" w:cs="Arial" w:eastAsia="Arial" w:hAnsi="Arial"/>
                <w:sz w:val="13"/>
                <w:szCs w:val="13"/>
                <w:color w:val="auto"/>
                <w:w w:val="91"/>
              </w:rPr>
              <w:t>)</w:t>
            </w:r>
          </w:p>
        </w:tc>
        <w:tc>
          <w:tcPr>
            <w:tcW w:w="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484,852</w:t>
            </w:r>
          </w:p>
        </w:tc>
        <w:tc>
          <w:tcPr>
            <w:tcW w:w="16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9"/>
              </w:rPr>
              <w:t>60,459,933</w:t>
            </w:r>
          </w:p>
        </w:tc>
        <w:tc>
          <w:tcPr>
            <w:tcW w:w="160" w:type="dxa"/>
            <w:vAlign w:val="bottom"/>
            <w:tcBorders>
              <w:bottom w:val="single" w:sz="8" w:color="CFF0FC"/>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6"/>
              </w:rPr>
              <w:t>4,107,607</w:t>
            </w:r>
          </w:p>
        </w:tc>
        <w:tc>
          <w:tcPr>
            <w:tcW w:w="16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93"/>
              </w:rPr>
              <w:t>6,911,418</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380" w:hanging="372"/>
        <w:spacing w:after="0"/>
        <w:tabs>
          <w:tab w:leader="none" w:pos="380" w:val="left"/>
        </w:tabs>
        <w:numPr>
          <w:ilvl w:val="0"/>
          <w:numId w:val="40"/>
        </w:numPr>
        <w:rPr>
          <w:rFonts w:ascii="Arial" w:cs="Arial" w:eastAsia="Arial" w:hAnsi="Arial"/>
          <w:sz w:val="15"/>
          <w:szCs w:val="15"/>
          <w:color w:val="auto"/>
        </w:rPr>
      </w:pPr>
      <w:r>
        <w:rPr>
          <w:rFonts w:ascii="Arial" w:cs="Arial" w:eastAsia="Arial" w:hAnsi="Arial"/>
          <w:sz w:val="18"/>
          <w:szCs w:val="18"/>
          <w:color w:val="auto"/>
        </w:rPr>
        <w:t>Non-U.S. company or principal place of business outside the U.S.</w:t>
      </w:r>
    </w:p>
    <w:p>
      <w:pPr>
        <w:spacing w:after="0" w:line="117" w:lineRule="exact"/>
        <w:rPr>
          <w:sz w:val="20"/>
          <w:szCs w:val="20"/>
          <w:color w:val="auto"/>
        </w:rPr>
      </w:pPr>
    </w:p>
    <w:p>
      <w:pPr>
        <w:ind w:left="380" w:hanging="372"/>
        <w:spacing w:after="0"/>
        <w:tabs>
          <w:tab w:leader="none" w:pos="380" w:val="left"/>
        </w:tabs>
        <w:numPr>
          <w:ilvl w:val="0"/>
          <w:numId w:val="41"/>
        </w:numPr>
        <w:rPr>
          <w:rFonts w:ascii="Arial" w:cs="Arial" w:eastAsia="Arial" w:hAnsi="Arial"/>
          <w:sz w:val="15"/>
          <w:szCs w:val="15"/>
          <w:color w:val="auto"/>
        </w:rPr>
      </w:pPr>
      <w:r>
        <w:rPr>
          <w:rFonts w:ascii="Arial" w:cs="Arial" w:eastAsia="Arial" w:hAnsi="Arial"/>
          <w:sz w:val="18"/>
          <w:szCs w:val="18"/>
          <w:color w:val="auto"/>
        </w:rPr>
        <w:t>A CLO Fund managed by an affiliate of LibreMax.</w:t>
      </w:r>
    </w:p>
    <w:p>
      <w:pPr>
        <w:spacing w:after="0" w:line="117" w:lineRule="exact"/>
        <w:rPr>
          <w:sz w:val="20"/>
          <w:szCs w:val="20"/>
          <w:color w:val="auto"/>
        </w:rPr>
      </w:pPr>
    </w:p>
    <w:p>
      <w:pPr>
        <w:ind w:left="380" w:hanging="372"/>
        <w:spacing w:after="0"/>
        <w:tabs>
          <w:tab w:leader="none" w:pos="380" w:val="left"/>
        </w:tabs>
        <w:numPr>
          <w:ilvl w:val="0"/>
          <w:numId w:val="42"/>
        </w:numPr>
        <w:rPr>
          <w:rFonts w:ascii="Arial" w:cs="Arial" w:eastAsia="Arial" w:hAnsi="Arial"/>
          <w:sz w:val="15"/>
          <w:szCs w:val="15"/>
          <w:color w:val="auto"/>
        </w:rPr>
      </w:pPr>
      <w:r>
        <w:rPr>
          <w:rFonts w:ascii="Arial" w:cs="Arial" w:eastAsia="Arial" w:hAnsi="Arial"/>
          <w:sz w:val="18"/>
          <w:szCs w:val="18"/>
          <w:color w:val="auto"/>
        </w:rPr>
        <w:t>Fair value of this investment was determined using significant unobservable inputs.</w:t>
      </w:r>
    </w:p>
    <w:p>
      <w:pPr>
        <w:spacing w:after="0" w:line="117" w:lineRule="exact"/>
        <w:rPr>
          <w:sz w:val="20"/>
          <w:szCs w:val="20"/>
          <w:color w:val="auto"/>
        </w:rPr>
      </w:pPr>
    </w:p>
    <w:p>
      <w:pPr>
        <w:ind w:left="380" w:hanging="372"/>
        <w:spacing w:after="0"/>
        <w:tabs>
          <w:tab w:leader="none" w:pos="380" w:val="left"/>
        </w:tabs>
        <w:numPr>
          <w:ilvl w:val="0"/>
          <w:numId w:val="43"/>
        </w:numPr>
        <w:rPr>
          <w:rFonts w:ascii="Arial" w:cs="Arial" w:eastAsia="Arial" w:hAnsi="Arial"/>
          <w:sz w:val="15"/>
          <w:szCs w:val="15"/>
          <w:color w:val="auto"/>
        </w:rPr>
      </w:pPr>
      <w:r>
        <w:rPr>
          <w:rFonts w:ascii="Arial" w:cs="Arial" w:eastAsia="Arial" w:hAnsi="Arial"/>
          <w:sz w:val="18"/>
          <w:szCs w:val="18"/>
          <w:color w:val="auto"/>
        </w:rPr>
        <w:t>Qualified asset for purposes of section 55(a) of the Investment Company Act of 1940.</w:t>
      </w:r>
    </w:p>
    <w:p>
      <w:pPr>
        <w:spacing w:after="0" w:line="117" w:lineRule="exact"/>
        <w:rPr>
          <w:sz w:val="20"/>
          <w:szCs w:val="20"/>
          <w:color w:val="auto"/>
        </w:rPr>
      </w:pPr>
    </w:p>
    <w:p>
      <w:pPr>
        <w:ind w:left="380" w:right="220" w:hanging="372"/>
        <w:spacing w:after="0" w:line="301" w:lineRule="auto"/>
        <w:tabs>
          <w:tab w:leader="none" w:pos="380" w:val="left"/>
        </w:tabs>
        <w:numPr>
          <w:ilvl w:val="0"/>
          <w:numId w:val="44"/>
        </w:numPr>
        <w:rPr>
          <w:rFonts w:ascii="Arial" w:cs="Arial" w:eastAsia="Arial" w:hAnsi="Arial"/>
          <w:sz w:val="13"/>
          <w:szCs w:val="13"/>
          <w:color w:val="auto"/>
        </w:rPr>
      </w:pPr>
      <w:r>
        <w:rPr>
          <w:rFonts w:ascii="Arial" w:cs="Arial" w:eastAsia="Arial" w:hAnsi="Arial"/>
          <w:sz w:val="16"/>
          <w:szCs w:val="16"/>
          <w:color w:val="auto"/>
        </w:rPr>
        <w:t>As defined in the 1940 Act, the Company is deemed to be both an “Affiliated Person” and has “Control” of this portfolio company as the Company owns more than 25% of the portfolio company’s outstanding voting securities or has the power to exercise control over management or policies of such portfolio company securities or has the power to exercise control over management or policies of such portfolio company (including through a management agreement). Other than for purposes of the 1940 Act, the Company does not believe that it has control over this portfolio company.</w:t>
      </w:r>
    </w:p>
    <w:p>
      <w:pPr>
        <w:spacing w:after="0" w:line="49" w:lineRule="exact"/>
        <w:rPr>
          <w:sz w:val="20"/>
          <w:szCs w:val="20"/>
          <w:color w:val="auto"/>
        </w:rPr>
      </w:pPr>
    </w:p>
    <w:p>
      <w:pPr>
        <w:ind w:left="380" w:right="260" w:hanging="372"/>
        <w:spacing w:after="0" w:line="263" w:lineRule="auto"/>
        <w:tabs>
          <w:tab w:leader="none" w:pos="380" w:val="left"/>
        </w:tabs>
        <w:numPr>
          <w:ilvl w:val="0"/>
          <w:numId w:val="45"/>
        </w:numPr>
        <w:rPr>
          <w:rFonts w:ascii="Arial" w:cs="Arial" w:eastAsia="Arial" w:hAnsi="Arial"/>
          <w:sz w:val="15"/>
          <w:szCs w:val="15"/>
          <w:color w:val="auto"/>
        </w:rPr>
      </w:pPr>
      <w:r>
        <w:rPr>
          <w:rFonts w:ascii="Arial" w:cs="Arial" w:eastAsia="Arial" w:hAnsi="Arial"/>
          <w:sz w:val="18"/>
          <w:szCs w:val="18"/>
          <w:color w:val="auto"/>
        </w:rPr>
        <w:t>As defined in the 1940 Act, the Company is deemed to be both an “Affiliated Person” and has “Control” of this portfolio company as the Company owns more than 25% of the portfolio company’s outstanding voting securities or has the power to exercise control over management or policies of such portfolio company.</w:t>
      </w:r>
    </w:p>
    <w:p>
      <w:pPr>
        <w:spacing w:after="0" w:line="76" w:lineRule="exact"/>
        <w:rPr>
          <w:sz w:val="20"/>
          <w:szCs w:val="20"/>
          <w:color w:val="auto"/>
        </w:rPr>
      </w:pPr>
    </w:p>
    <w:p>
      <w:pPr>
        <w:ind w:left="380" w:right="40" w:hanging="372"/>
        <w:spacing w:after="0" w:line="286" w:lineRule="auto"/>
        <w:tabs>
          <w:tab w:leader="none" w:pos="380" w:val="left"/>
        </w:tabs>
        <w:numPr>
          <w:ilvl w:val="0"/>
          <w:numId w:val="46"/>
        </w:numPr>
        <w:rPr>
          <w:rFonts w:ascii="Arial" w:cs="Arial" w:eastAsia="Arial" w:hAnsi="Arial"/>
          <w:sz w:val="14"/>
          <w:szCs w:val="14"/>
          <w:color w:val="auto"/>
        </w:rPr>
      </w:pPr>
      <w:r>
        <w:rPr>
          <w:rFonts w:ascii="Arial" w:cs="Arial" w:eastAsia="Arial" w:hAnsi="Arial"/>
          <w:sz w:val="17"/>
          <w:szCs w:val="17"/>
          <w:color w:val="auto"/>
        </w:rPr>
        <w:t>Under the 1940 Act, the Company is deemed to be an “Affiliated Person” of, as defined in the 1940 Act, this portfolio company as the Company owns at least 5% but no more than 25% of the portfolio company’s outstanding voting securities or is under common control with such portfolio company. Other than for purposes of the 1940 Act, the Company does not believe that it has control over this portfolio company.</w:t>
      </w:r>
    </w:p>
    <w:p>
      <w:pPr>
        <w:spacing w:after="0" w:line="57" w:lineRule="exact"/>
        <w:rPr>
          <w:sz w:val="20"/>
          <w:szCs w:val="20"/>
          <w:color w:val="auto"/>
        </w:rPr>
      </w:pPr>
    </w:p>
    <w:p>
      <w:pPr>
        <w:ind w:left="380" w:hanging="372"/>
        <w:spacing w:after="0"/>
        <w:tabs>
          <w:tab w:leader="none" w:pos="380" w:val="left"/>
        </w:tabs>
        <w:numPr>
          <w:ilvl w:val="0"/>
          <w:numId w:val="47"/>
        </w:numPr>
        <w:rPr>
          <w:rFonts w:ascii="Arial" w:cs="Arial" w:eastAsia="Arial" w:hAnsi="Arial"/>
          <w:sz w:val="15"/>
          <w:szCs w:val="15"/>
          <w:color w:val="auto"/>
        </w:rPr>
      </w:pPr>
      <w:r>
        <w:rPr>
          <w:rFonts w:ascii="Arial" w:cs="Arial" w:eastAsia="Arial" w:hAnsi="Arial"/>
          <w:sz w:val="18"/>
          <w:szCs w:val="18"/>
          <w:color w:val="auto"/>
        </w:rPr>
        <w:t>Number of shares held.</w:t>
      </w:r>
    </w:p>
    <w:p>
      <w:pPr>
        <w:spacing w:after="0" w:line="17" w:lineRule="exact"/>
        <w:rPr>
          <w:sz w:val="20"/>
          <w:szCs w:val="20"/>
          <w:color w:val="auto"/>
        </w:rPr>
      </w:pPr>
    </w:p>
    <w:p>
      <w:pPr>
        <w:ind w:left="380" w:hanging="372"/>
        <w:spacing w:after="0"/>
        <w:tabs>
          <w:tab w:leader="none" w:pos="380" w:val="left"/>
        </w:tabs>
        <w:numPr>
          <w:ilvl w:val="0"/>
          <w:numId w:val="48"/>
        </w:numPr>
        <w:rPr>
          <w:rFonts w:ascii="Arial" w:cs="Arial" w:eastAsia="Arial" w:hAnsi="Arial"/>
          <w:sz w:val="27"/>
          <w:szCs w:val="27"/>
          <w:color w:val="auto"/>
          <w:vertAlign w:val="superscript"/>
        </w:rPr>
      </w:pPr>
      <w:r>
        <w:rPr>
          <w:rFonts w:ascii="Arial" w:cs="Arial" w:eastAsia="Arial" w:hAnsi="Arial"/>
          <w:sz w:val="15"/>
          <w:szCs w:val="15"/>
          <w:color w:val="auto"/>
        </w:rPr>
        <w:t>Ownership of LP interest held through the holding company BCP Great Lakes Fund, L.P, a non-U.S. company or principal place of business outside the U.S.</w:t>
      </w:r>
    </w:p>
    <w:p>
      <w:pPr>
        <w:spacing w:after="0" w:line="113" w:lineRule="exact"/>
        <w:rPr>
          <w:sz w:val="20"/>
          <w:szCs w:val="20"/>
          <w:color w:val="auto"/>
        </w:rPr>
      </w:pPr>
    </w:p>
    <w:p>
      <w:pPr>
        <w:ind w:left="380" w:right="320" w:hanging="372"/>
        <w:spacing w:after="0" w:line="262" w:lineRule="auto"/>
        <w:tabs>
          <w:tab w:leader="none" w:pos="380" w:val="left"/>
        </w:tabs>
        <w:numPr>
          <w:ilvl w:val="0"/>
          <w:numId w:val="49"/>
        </w:numPr>
        <w:rPr>
          <w:rFonts w:ascii="Arial" w:cs="Arial" w:eastAsia="Arial" w:hAnsi="Arial"/>
          <w:sz w:val="15"/>
          <w:szCs w:val="15"/>
          <w:color w:val="auto"/>
        </w:rPr>
      </w:pPr>
      <w:r>
        <w:rPr>
          <w:rFonts w:ascii="Arial" w:cs="Arial" w:eastAsia="Arial" w:hAnsi="Arial"/>
          <w:sz w:val="18"/>
          <w:szCs w:val="18"/>
          <w:color w:val="auto"/>
        </w:rPr>
        <w:t>Underlying assets of investment were liquidated in December 2020, remaining fair value of investment is based on future cash flow payment to be received in the first quarter of 2021.</w:t>
      </w:r>
    </w:p>
    <w:p>
      <w:pPr>
        <w:spacing w:after="0" w:line="183" w:lineRule="exact"/>
        <w:rPr>
          <w:sz w:val="20"/>
          <w:szCs w:val="20"/>
          <w:color w:val="auto"/>
        </w:rPr>
      </w:pPr>
    </w:p>
    <w:p>
      <w:pPr>
        <w:ind w:right="80" w:firstLine="374"/>
        <w:spacing w:after="0" w:line="277" w:lineRule="auto"/>
        <w:rPr>
          <w:sz w:val="20"/>
          <w:szCs w:val="20"/>
          <w:color w:val="auto"/>
        </w:rPr>
      </w:pPr>
      <w:r>
        <w:rPr>
          <w:rFonts w:ascii="Arial" w:cs="Arial" w:eastAsia="Arial" w:hAnsi="Arial"/>
          <w:sz w:val="18"/>
          <w:szCs w:val="18"/>
          <w:color w:val="auto"/>
        </w:rPr>
        <w:t>During the third quarter of 2019, the Company sold its entire investment in Bristol Hospice, LLC to an affiliate. This transaction was approved by the Board of Directors of the Company.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Investment in Joint Ventures:</w:t>
      </w:r>
    </w:p>
    <w:p>
      <w:pPr>
        <w:spacing w:after="0" w:line="189" w:lineRule="exact"/>
        <w:rPr>
          <w:sz w:val="20"/>
          <w:szCs w:val="20"/>
          <w:color w:val="auto"/>
        </w:rPr>
      </w:pPr>
    </w:p>
    <w:p>
      <w:pPr>
        <w:ind w:right="300" w:firstLine="374"/>
        <w:spacing w:after="0" w:line="263" w:lineRule="auto"/>
        <w:rPr>
          <w:sz w:val="20"/>
          <w:szCs w:val="20"/>
          <w:color w:val="auto"/>
        </w:rPr>
      </w:pPr>
      <w:r>
        <w:rPr>
          <w:rFonts w:ascii="Arial" w:cs="Arial" w:eastAsia="Arial" w:hAnsi="Arial"/>
          <w:sz w:val="18"/>
          <w:szCs w:val="18"/>
          <w:color w:val="auto"/>
        </w:rPr>
        <w:t>For the three months ended March 31, 2021 and 2020, the Company recognized $2.0 million and $1.6 million, respectively, in investment income from its investments in Joint Ventures. As of March 31, 2021 and December 31, 2020, the aggregate fair value of the Company’s investments in Joint Ventures was approximately $56.7 million and $49.3 million, respectively.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KCAP Freedom 3 LLC</w:t>
      </w:r>
    </w:p>
    <w:p>
      <w:pPr>
        <w:spacing w:after="0" w:line="189" w:lineRule="exact"/>
        <w:rPr>
          <w:sz w:val="20"/>
          <w:szCs w:val="20"/>
          <w:color w:val="auto"/>
        </w:rPr>
      </w:pPr>
    </w:p>
    <w:p>
      <w:pPr>
        <w:ind w:right="20" w:firstLine="374"/>
        <w:spacing w:after="0" w:line="293" w:lineRule="auto"/>
        <w:rPr>
          <w:sz w:val="20"/>
          <w:szCs w:val="20"/>
          <w:color w:val="auto"/>
        </w:rPr>
      </w:pPr>
      <w:r>
        <w:rPr>
          <w:rFonts w:ascii="Arial" w:cs="Arial" w:eastAsia="Arial" w:hAnsi="Arial"/>
          <w:sz w:val="16"/>
          <w:szCs w:val="16"/>
          <w:color w:val="auto"/>
        </w:rPr>
        <w:t>During the third quarter of 2017, the Company and Freedom 3 Opportunities, an affiliate of Freedom 3 Capital LLC, entered into an agreement to create the Joint Venture. The Company and Freedom 3 Opportunities contributed approximately $37 million and $25 million, respectively, in assets to the Joint Venture, which in turn used the assets to capitalize the Fund managed by KCAP Management, LLC, one of the Asset Manager Affiliates. In addition, the Fund used cash on hand and borrowings under a credit facility to purchase approximately $184 million of primarily middle-market loans from the Company and the Company used the proceeds from such sale to redeem approximately $147 million in debt issued by KCAP Senior Funding. The Fund invests primarily in middle-market loans and the Joint Ventures partners may source middle-market loans from time-to-time for the Fund.</w:t>
      </w:r>
    </w:p>
    <w:p>
      <w:pPr>
        <w:spacing w:after="0" w:line="56" w:lineRule="exact"/>
        <w:rPr>
          <w:sz w:val="20"/>
          <w:szCs w:val="20"/>
          <w:color w:val="auto"/>
        </w:rPr>
      </w:pPr>
    </w:p>
    <w:p>
      <w:pPr>
        <w:ind w:firstLine="374"/>
        <w:spacing w:after="0" w:line="255" w:lineRule="auto"/>
        <w:rPr>
          <w:sz w:val="20"/>
          <w:szCs w:val="20"/>
          <w:color w:val="auto"/>
        </w:rPr>
      </w:pPr>
      <w:r>
        <w:rPr>
          <w:rFonts w:ascii="Arial" w:cs="Arial" w:eastAsia="Arial" w:hAnsi="Arial"/>
          <w:sz w:val="18"/>
          <w:szCs w:val="18"/>
          <w:color w:val="auto"/>
        </w:rPr>
        <w:t>During the fourth quarter of 2017, the Fund was refinanced through the issuance of senior and subordinated notes. The Joint Venture purchased 100% of the subordinated notes issued by the Fund. In connection with the refinancing, the Joint Venture made a cash distribution to the Company of approximately $12.6 million. $11.8 million of this distribution was a return of capital, reducing the cost basis of its investment in the Joint Venture by that amount. The final determination of the tax attributes of distributions from the Joint Venture is made on an annual (full calendar year) basis at the end of the year, therefore, any estimate of tax attributes of distributions made on an interim basis may not be representative of the actual tax attributes of distributions for the full year.</w:t>
      </w:r>
    </w:p>
    <w:p>
      <w:pPr>
        <w:spacing w:after="0" w:line="84" w:lineRule="exact"/>
        <w:rPr>
          <w:sz w:val="20"/>
          <w:szCs w:val="20"/>
          <w:color w:val="auto"/>
        </w:rPr>
      </w:pPr>
    </w:p>
    <w:p>
      <w:pPr>
        <w:ind w:right="40" w:firstLine="374"/>
        <w:spacing w:after="0" w:line="296" w:lineRule="auto"/>
        <w:rPr>
          <w:sz w:val="20"/>
          <w:szCs w:val="20"/>
          <w:color w:val="auto"/>
        </w:rPr>
      </w:pPr>
      <w:r>
        <w:rPr>
          <w:rFonts w:ascii="Arial" w:cs="Arial" w:eastAsia="Arial" w:hAnsi="Arial"/>
          <w:sz w:val="16"/>
          <w:szCs w:val="16"/>
          <w:color w:val="auto"/>
        </w:rPr>
        <w:t>The Company owns a 60% equity investment in the Joint Venture. The Joint Venture is structured as an unconsolidated Delaware limited liability company. All portfolio and other material decisions regarding the Joint Venture must be submitted to its board of managers, which is comprised of four members, two of whom were selected by the Company and two of whom were selected by Freedom 3 Opportunities, and must be approved by at least one member appointed by the Company and one appointed by Freedom 3 Opportunities. In addition, certain matters may be approved by the Joint Venture’s investment committee, which is comprised of one member appointed by the Company and one member appointed by Freedom 3 Opportunities.</w:t>
      </w:r>
    </w:p>
    <w:p>
      <w:pPr>
        <w:spacing w:after="0" w:line="53" w:lineRule="exact"/>
        <w:rPr>
          <w:sz w:val="20"/>
          <w:szCs w:val="20"/>
          <w:color w:val="auto"/>
        </w:rPr>
      </w:pPr>
    </w:p>
    <w:p>
      <w:pPr>
        <w:ind w:right="20" w:firstLine="374"/>
        <w:spacing w:after="0" w:line="293" w:lineRule="auto"/>
        <w:rPr>
          <w:sz w:val="20"/>
          <w:szCs w:val="20"/>
          <w:color w:val="auto"/>
        </w:rPr>
      </w:pPr>
      <w:r>
        <w:rPr>
          <w:rFonts w:ascii="Arial" w:cs="Arial" w:eastAsia="Arial" w:hAnsi="Arial"/>
          <w:sz w:val="16"/>
          <w:szCs w:val="16"/>
          <w:color w:val="auto"/>
        </w:rPr>
        <w:t>In connection with the Externalization, during the first quarter of 2019, KCAP Management agreed to waive management fees it is otherwise entitled to receive for managing the Fund. In addition, the Joint Venture was restructured such that the Company is now entitled to receive a preferred distribution in an amount equal to the fees waived by KCAP Management. The impact of these transactions was a reduction in the fair value of the Asset Manager Affiliates and an increase in the fair value of the Company’s investment in the Joint Venture during the first quarter of 2019. The reduction in the fair value of the Asset Manager Affiliates was recognized as a realized loss on the consolidated statement of operations. The increase in the fair value of the Company’s investment in the Joint Venture was recognized as an unrealized gain in the consolidated statement of operations.</w:t>
      </w:r>
    </w:p>
    <w:p>
      <w:pPr>
        <w:spacing w:after="0" w:line="5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Company has determined that the Joint Venture is an investment company under Accounting Standards Codification (“ASC”), Financial Services</w:t>
      </w:r>
    </w:p>
    <w:p>
      <w:pPr>
        <w:spacing w:after="0" w:line="4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 Investment Companies (“ASC 946”), however, in accordance with such guidance, the Company will generally not consolidate its investment in a company other than a wholly owned investment company subsidiary or a controlled operating company whose business consists of providing services to the Company. The Company does not consolidate its interest in the Joint Venture because the Company does not control the Joint Venture due to allocation of the voting rights among the Joint Venture partners.</w:t>
      </w:r>
    </w:p>
    <w:p>
      <w:pPr>
        <w:spacing w:after="0" w:line="1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20"/>
        </w:trPr>
        <w:tc>
          <w:tcPr>
            <w:tcW w:w="3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20" w:type="dxa"/>
            <w:vAlign w:val="bottom"/>
            <w:gridSpan w:val="3"/>
          </w:tcPr>
          <w:p>
            <w:pPr>
              <w:jc w:val="center"/>
              <w:ind w:left="450"/>
              <w:spacing w:after="0"/>
              <w:rPr>
                <w:sz w:val="20"/>
                <w:szCs w:val="20"/>
                <w:color w:val="auto"/>
              </w:rPr>
            </w:pPr>
            <w:r>
              <w:rPr>
                <w:rFonts w:ascii="Arial" w:cs="Arial" w:eastAsia="Arial" w:hAnsi="Arial"/>
                <w:sz w:val="18"/>
                <w:szCs w:val="18"/>
                <w:b w:val="1"/>
                <w:bCs w:val="1"/>
                <w:color w:val="auto"/>
                <w:w w:val="96"/>
              </w:rPr>
              <w:t>KCAP Freedom 3 LLC</w:t>
            </w: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p>
        </w:tc>
        <w:tc>
          <w:tcPr>
            <w:tcW w:w="4420" w:type="dxa"/>
            <w:vAlign w:val="bottom"/>
            <w:gridSpan w:val="8"/>
          </w:tcPr>
          <w:p>
            <w:pPr>
              <w:jc w:val="center"/>
              <w:ind w:right="70"/>
              <w:spacing w:after="0"/>
              <w:rPr>
                <w:sz w:val="20"/>
                <w:szCs w:val="20"/>
                <w:color w:val="auto"/>
              </w:rPr>
            </w:pPr>
            <w:r>
              <w:rPr>
                <w:rFonts w:ascii="Arial" w:cs="Arial" w:eastAsia="Arial" w:hAnsi="Arial"/>
                <w:sz w:val="18"/>
                <w:szCs w:val="18"/>
                <w:color w:val="auto"/>
                <w:w w:val="91"/>
              </w:rPr>
              <w:t>Summarized Statement of Financial Condition</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3"/>
            <w:vMerge w:val="restart"/>
          </w:tcPr>
          <w:p>
            <w:pPr>
              <w:jc w:val="right"/>
              <w:ind w:right="780"/>
              <w:spacing w:after="0"/>
              <w:rPr>
                <w:sz w:val="20"/>
                <w:szCs w:val="20"/>
                <w:color w:val="auto"/>
              </w:rPr>
            </w:pPr>
            <w:r>
              <w:rPr>
                <w:rFonts w:ascii="Arial" w:cs="Arial" w:eastAsia="Arial" w:hAnsi="Arial"/>
                <w:sz w:val="18"/>
                <w:szCs w:val="18"/>
                <w:b w:val="1"/>
                <w:bCs w:val="1"/>
                <w:color w:val="auto"/>
              </w:rPr>
              <w:t>As of</w:t>
            </w:r>
          </w:p>
        </w:tc>
        <w:tc>
          <w:tcPr>
            <w:tcW w:w="0" w:type="dxa"/>
            <w:vAlign w:val="bottom"/>
          </w:tcPr>
          <w:p>
            <w:pPr>
              <w:spacing w:after="0"/>
              <w:rPr>
                <w:sz w:val="1"/>
                <w:szCs w:val="1"/>
                <w:color w:val="auto"/>
              </w:rPr>
            </w:pPr>
          </w:p>
        </w:tc>
      </w:tr>
      <w:tr>
        <w:trPr>
          <w:trHeight w:val="211"/>
        </w:trPr>
        <w:tc>
          <w:tcPr>
            <w:tcW w:w="3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80" w:type="dxa"/>
            <w:vAlign w:val="bottom"/>
            <w:gridSpan w:val="6"/>
          </w:tcPr>
          <w:p>
            <w:pPr>
              <w:jc w:val="center"/>
              <w:ind w:right="300"/>
              <w:spacing w:after="0"/>
              <w:rPr>
                <w:sz w:val="20"/>
                <w:szCs w:val="20"/>
                <w:color w:val="auto"/>
              </w:rPr>
            </w:pPr>
            <w:r>
              <w:rPr>
                <w:rFonts w:ascii="Arial" w:cs="Arial" w:eastAsia="Arial" w:hAnsi="Arial"/>
                <w:sz w:val="18"/>
                <w:szCs w:val="18"/>
                <w:b w:val="1"/>
                <w:bCs w:val="1"/>
                <w:color w:val="auto"/>
                <w:w w:val="91"/>
              </w:rPr>
              <w:t>As of March 31,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5"/>
          </w:tcPr>
          <w:p>
            <w:pPr>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9"/>
        </w:trPr>
        <w:tc>
          <w:tcPr>
            <w:tcW w:w="3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center"/>
              <w:ind w:right="450"/>
              <w:spacing w:after="0"/>
              <w:rPr>
                <w:sz w:val="20"/>
                <w:szCs w:val="20"/>
                <w:color w:val="auto"/>
              </w:rPr>
            </w:pPr>
            <w:r>
              <w:rPr>
                <w:rFonts w:ascii="Arial" w:cs="Arial" w:eastAsia="Arial" w:hAnsi="Arial"/>
                <w:sz w:val="18"/>
                <w:szCs w:val="18"/>
                <w:b w:val="1"/>
                <w:bCs w:val="1"/>
                <w:color w:val="auto"/>
                <w:w w:val="89"/>
              </w:rPr>
              <w:t>2021</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5"/>
          </w:tcPr>
          <w:p>
            <w:pPr>
              <w:jc w:val="center"/>
              <w:ind w:right="500"/>
              <w:spacing w:after="0"/>
              <w:rPr>
                <w:sz w:val="20"/>
                <w:szCs w:val="20"/>
                <w:color w:val="auto"/>
              </w:rPr>
            </w:pPr>
            <w:r>
              <w:rPr>
                <w:rFonts w:ascii="Arial" w:cs="Arial" w:eastAsia="Arial" w:hAnsi="Arial"/>
                <w:sz w:val="18"/>
                <w:szCs w:val="18"/>
                <w:b w:val="1"/>
                <w:bCs w:val="1"/>
                <w:color w:val="auto"/>
                <w:w w:val="91"/>
              </w:rPr>
              <w:t>(unaudited)</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Investment at fair value</w:t>
            </w:r>
          </w:p>
        </w:tc>
        <w:tc>
          <w:tcPr>
            <w:tcW w:w="4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0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gridSpan w:val="2"/>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32,800,691</w:t>
            </w:r>
          </w:p>
        </w:tc>
        <w:tc>
          <w:tcPr>
            <w:tcW w:w="2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gridSpan w:val="3"/>
            <w:shd w:val="clear" w:color="auto" w:fill="CFF0FC"/>
          </w:tcPr>
          <w:p>
            <w:pPr>
              <w:jc w:val="right"/>
              <w:ind w:right="220"/>
              <w:spacing w:after="0"/>
              <w:rPr>
                <w:sz w:val="20"/>
                <w:szCs w:val="20"/>
                <w:color w:val="auto"/>
              </w:rPr>
            </w:pPr>
            <w:r>
              <w:rPr>
                <w:rFonts w:ascii="Arial" w:cs="Arial" w:eastAsia="Arial" w:hAnsi="Arial"/>
                <w:sz w:val="18"/>
                <w:szCs w:val="18"/>
                <w:color w:val="auto"/>
                <w:w w:val="79"/>
              </w:rPr>
              <w:t>$</w:t>
            </w:r>
          </w:p>
        </w:tc>
        <w:tc>
          <w:tcPr>
            <w:tcW w:w="40" w:type="dxa"/>
            <w:vAlign w:val="bottom"/>
            <w:tcBorders>
              <w:top w:val="single" w:sz="8" w:color="auto"/>
              <w:bottom w:val="single" w:sz="8" w:color="auto"/>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31,404,100</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Assets</w:t>
            </w:r>
          </w:p>
        </w:tc>
        <w:tc>
          <w:tcPr>
            <w:tcW w:w="480" w:type="dxa"/>
            <w:vAlign w:val="bottom"/>
            <w:tcBorders>
              <w:bottom w:val="single" w:sz="8" w:color="CFF0FC"/>
            </w:tcBorders>
          </w:tcPr>
          <w:p>
            <w:pPr>
              <w:spacing w:after="0"/>
              <w:rPr>
                <w:sz w:val="22"/>
                <w:szCs w:val="22"/>
                <w:color w:val="auto"/>
              </w:rPr>
            </w:pPr>
          </w:p>
        </w:tc>
        <w:tc>
          <w:tcPr>
            <w:tcW w:w="160" w:type="dxa"/>
            <w:vAlign w:val="bottom"/>
            <w:tcBorders>
              <w:bottom w:val="single" w:sz="8" w:color="CFF0FC"/>
            </w:tcBorders>
          </w:tcPr>
          <w:p>
            <w:pPr>
              <w:spacing w:after="0"/>
              <w:rPr>
                <w:sz w:val="22"/>
                <w:szCs w:val="22"/>
                <w:color w:val="auto"/>
              </w:rPr>
            </w:pPr>
          </w:p>
        </w:tc>
        <w:tc>
          <w:tcPr>
            <w:tcW w:w="2020" w:type="dxa"/>
            <w:vAlign w:val="bottom"/>
            <w:tcBorders>
              <w:bottom w:val="single" w:sz="8" w:color="CFF0FC"/>
            </w:tcBorders>
          </w:tcPr>
          <w:p>
            <w:pPr>
              <w:spacing w:after="0"/>
              <w:rPr>
                <w:sz w:val="22"/>
                <w:szCs w:val="22"/>
                <w:color w:val="auto"/>
              </w:rPr>
            </w:pPr>
          </w:p>
        </w:tc>
        <w:tc>
          <w:tcPr>
            <w:tcW w:w="160" w:type="dxa"/>
            <w:vAlign w:val="bottom"/>
            <w:tcBorders>
              <w:bottom w:val="single" w:sz="8" w:color="CFF0FC"/>
            </w:tcBorders>
          </w:tcPr>
          <w:p>
            <w:pPr>
              <w:spacing w:after="0"/>
              <w:rPr>
                <w:sz w:val="22"/>
                <w:szCs w:val="22"/>
                <w:color w:val="auto"/>
              </w:rPr>
            </w:pPr>
          </w:p>
        </w:tc>
        <w:tc>
          <w:tcPr>
            <w:tcW w:w="240" w:type="dxa"/>
            <w:vAlign w:val="bottom"/>
            <w:tcBorders>
              <w:bottom w:val="single" w:sz="8" w:color="CFF0FC"/>
            </w:tcBorders>
          </w:tcPr>
          <w:p>
            <w:pPr>
              <w:spacing w:after="0"/>
              <w:rPr>
                <w:sz w:val="22"/>
                <w:szCs w:val="22"/>
                <w:color w:val="auto"/>
              </w:rPr>
            </w:pPr>
          </w:p>
        </w:tc>
        <w:tc>
          <w:tcPr>
            <w:tcW w:w="114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32,800,691</w:t>
            </w:r>
          </w:p>
        </w:tc>
        <w:tc>
          <w:tcPr>
            <w:tcW w:w="28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8"/>
                <w:szCs w:val="18"/>
                <w:color w:val="auto"/>
                <w:w w:val="79"/>
              </w:rPr>
              <w:t>$</w:t>
            </w:r>
          </w:p>
        </w:tc>
        <w:tc>
          <w:tcPr>
            <w:tcW w:w="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31,404,100</w:t>
            </w:r>
          </w:p>
        </w:tc>
        <w:tc>
          <w:tcPr>
            <w:tcW w:w="2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4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20" w:type="dxa"/>
            <w:vAlign w:val="bottom"/>
            <w:tcBorders>
              <w:bottom w:val="single" w:sz="8" w:color="auto"/>
            </w:tcBorders>
            <w:gridSpan w:val="2"/>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182,389</w:t>
            </w:r>
          </w:p>
        </w:tc>
        <w:tc>
          <w:tcPr>
            <w:tcW w:w="280" w:type="dxa"/>
            <w:vAlign w:val="bottom"/>
            <w:shd w:val="clear" w:color="auto" w:fill="CFF0FC"/>
          </w:tcPr>
          <w:p>
            <w:pPr>
              <w:spacing w:after="0"/>
              <w:rPr>
                <w:sz w:val="18"/>
                <w:szCs w:val="18"/>
                <w:color w:val="auto"/>
              </w:rPr>
            </w:pPr>
          </w:p>
        </w:tc>
        <w:tc>
          <w:tcPr>
            <w:tcW w:w="320" w:type="dxa"/>
            <w:vAlign w:val="bottom"/>
            <w:tcBorders>
              <w:bottom w:val="single" w:sz="8" w:color="auto"/>
            </w:tcBorders>
            <w:gridSpan w:val="3"/>
            <w:shd w:val="clear" w:color="auto" w:fill="CFF0FC"/>
          </w:tcPr>
          <w:p>
            <w:pPr>
              <w:jc w:val="right"/>
              <w:ind w:right="220"/>
              <w:spacing w:after="0"/>
              <w:rPr>
                <w:sz w:val="20"/>
                <w:szCs w:val="20"/>
                <w:color w:val="auto"/>
              </w:rPr>
            </w:pPr>
            <w:r>
              <w:rPr>
                <w:rFonts w:ascii="Arial" w:cs="Arial" w:eastAsia="Arial" w:hAnsi="Arial"/>
                <w:sz w:val="18"/>
                <w:szCs w:val="18"/>
                <w:color w:val="auto"/>
                <w:w w:val="79"/>
              </w:rPr>
              <w:t>$</w:t>
            </w:r>
          </w:p>
        </w:tc>
        <w:tc>
          <w:tcPr>
            <w:tcW w:w="4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167,389</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Equity</w:t>
            </w:r>
          </w:p>
        </w:tc>
        <w:tc>
          <w:tcPr>
            <w:tcW w:w="4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0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14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32,618,302</w:t>
            </w:r>
          </w:p>
        </w:tc>
        <w:tc>
          <w:tcPr>
            <w:tcW w:w="28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31,236,711</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and Equity</w:t>
            </w:r>
          </w:p>
        </w:tc>
        <w:tc>
          <w:tcPr>
            <w:tcW w:w="4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20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gridSpan w:val="2"/>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32,800,691</w:t>
            </w:r>
          </w:p>
        </w:tc>
        <w:tc>
          <w:tcPr>
            <w:tcW w:w="2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gridSpan w:val="3"/>
            <w:shd w:val="clear" w:color="auto" w:fill="CFF0FC"/>
          </w:tcPr>
          <w:p>
            <w:pPr>
              <w:jc w:val="right"/>
              <w:ind w:right="220"/>
              <w:spacing w:after="0"/>
              <w:rPr>
                <w:sz w:val="20"/>
                <w:szCs w:val="20"/>
                <w:color w:val="auto"/>
              </w:rPr>
            </w:pPr>
            <w:r>
              <w:rPr>
                <w:rFonts w:ascii="Arial" w:cs="Arial" w:eastAsia="Arial" w:hAnsi="Arial"/>
                <w:sz w:val="18"/>
                <w:szCs w:val="18"/>
                <w:color w:val="auto"/>
                <w:w w:val="79"/>
              </w:rPr>
              <w:t>$</w:t>
            </w:r>
          </w:p>
        </w:tc>
        <w:tc>
          <w:tcPr>
            <w:tcW w:w="4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31,404,100</w:t>
            </w: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20" w:type="dxa"/>
            <w:vAlign w:val="bottom"/>
            <w:gridSpan w:val="3"/>
            <w:vMerge w:val="restart"/>
          </w:tcPr>
          <w:p>
            <w:pPr>
              <w:jc w:val="center"/>
              <w:ind w:left="450"/>
              <w:spacing w:after="0"/>
              <w:rPr>
                <w:sz w:val="20"/>
                <w:szCs w:val="20"/>
                <w:color w:val="auto"/>
              </w:rPr>
            </w:pPr>
            <w:r>
              <w:rPr>
                <w:rFonts w:ascii="Arial" w:cs="Arial" w:eastAsia="Arial" w:hAnsi="Arial"/>
                <w:sz w:val="18"/>
                <w:szCs w:val="18"/>
                <w:b w:val="1"/>
                <w:bCs w:val="1"/>
                <w:color w:val="auto"/>
                <w:w w:val="96"/>
              </w:rPr>
              <w:t>KCAP Freedom 3 LLC</w:t>
            </w:r>
          </w:p>
        </w:tc>
        <w:tc>
          <w:tcPr>
            <w:tcW w:w="1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3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20" w:type="dxa"/>
            <w:vAlign w:val="bottom"/>
            <w:gridSpan w:val="3"/>
            <w:vMerge w:val="continue"/>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80" w:type="dxa"/>
            <w:vAlign w:val="bottom"/>
            <w:gridSpan w:val="6"/>
          </w:tcPr>
          <w:p>
            <w:pPr>
              <w:jc w:val="center"/>
              <w:ind w:right="710"/>
              <w:spacing w:after="0"/>
              <w:rPr>
                <w:sz w:val="20"/>
                <w:szCs w:val="20"/>
                <w:color w:val="auto"/>
              </w:rPr>
            </w:pPr>
            <w:r>
              <w:rPr>
                <w:rFonts w:ascii="Arial" w:cs="Arial" w:eastAsia="Arial" w:hAnsi="Arial"/>
                <w:sz w:val="18"/>
                <w:szCs w:val="18"/>
                <w:color w:val="auto"/>
                <w:w w:val="89"/>
              </w:rPr>
              <w:t>Summarized Statement of Operations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20" w:type="dxa"/>
            <w:vAlign w:val="bottom"/>
            <w:gridSpan w:val="3"/>
          </w:tcPr>
          <w:p>
            <w:pPr>
              <w:jc w:val="center"/>
              <w:ind w:left="450"/>
              <w:spacing w:after="0"/>
              <w:rPr>
                <w:sz w:val="20"/>
                <w:szCs w:val="20"/>
                <w:color w:val="auto"/>
              </w:rPr>
            </w:pPr>
            <w:r>
              <w:rPr>
                <w:rFonts w:ascii="Arial" w:cs="Arial" w:eastAsia="Arial" w:hAnsi="Arial"/>
                <w:sz w:val="18"/>
                <w:szCs w:val="18"/>
                <w:color w:val="auto"/>
                <w:w w:val="92"/>
              </w:rPr>
              <w:t>(unaudited)</w:t>
            </w: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3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20" w:type="dxa"/>
            <w:vAlign w:val="bottom"/>
            <w:gridSpan w:val="10"/>
          </w:tcPr>
          <w:p>
            <w:pPr>
              <w:ind w:left="18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34"/>
        </w:trPr>
        <w:tc>
          <w:tcPr>
            <w:tcW w:w="3500" w:type="dxa"/>
            <w:vAlign w:val="bottom"/>
            <w:tcBorders>
              <w:bottom w:val="single" w:sz="8" w:color="CFF0FC"/>
            </w:tcBorders>
          </w:tcPr>
          <w:p>
            <w:pPr>
              <w:spacing w:after="0"/>
              <w:rPr>
                <w:sz w:val="20"/>
                <w:szCs w:val="20"/>
                <w:color w:val="auto"/>
              </w:rPr>
            </w:pPr>
          </w:p>
        </w:tc>
        <w:tc>
          <w:tcPr>
            <w:tcW w:w="480" w:type="dxa"/>
            <w:vAlign w:val="bottom"/>
            <w:tcBorders>
              <w:bottom w:val="single" w:sz="8" w:color="CFF0FC"/>
            </w:tcBorders>
          </w:tcPr>
          <w:p>
            <w:pPr>
              <w:spacing w:after="0"/>
              <w:rPr>
                <w:sz w:val="20"/>
                <w:szCs w:val="20"/>
                <w:color w:val="auto"/>
              </w:rPr>
            </w:pPr>
          </w:p>
        </w:tc>
        <w:tc>
          <w:tcPr>
            <w:tcW w:w="160" w:type="dxa"/>
            <w:vAlign w:val="bottom"/>
            <w:tcBorders>
              <w:bottom w:val="single" w:sz="8" w:color="CFF0FC"/>
            </w:tcBorders>
          </w:tcPr>
          <w:p>
            <w:pPr>
              <w:spacing w:after="0"/>
              <w:rPr>
                <w:sz w:val="20"/>
                <w:szCs w:val="20"/>
                <w:color w:val="auto"/>
              </w:rPr>
            </w:pPr>
          </w:p>
        </w:tc>
        <w:tc>
          <w:tcPr>
            <w:tcW w:w="2020" w:type="dxa"/>
            <w:vAlign w:val="bottom"/>
            <w:tcBorders>
              <w:bottom w:val="single" w:sz="8" w:color="CFF0FC"/>
            </w:tcBorders>
          </w:tcPr>
          <w:p>
            <w:pPr>
              <w:spacing w:after="0"/>
              <w:rPr>
                <w:sz w:val="20"/>
                <w:szCs w:val="20"/>
                <w:color w:val="auto"/>
              </w:rPr>
            </w:pPr>
          </w:p>
        </w:tc>
        <w:tc>
          <w:tcPr>
            <w:tcW w:w="160" w:type="dxa"/>
            <w:vAlign w:val="bottom"/>
            <w:tcBorders>
              <w:bottom w:val="single" w:sz="8" w:color="CFF0FC"/>
            </w:tcBorders>
          </w:tcPr>
          <w:p>
            <w:pPr>
              <w:spacing w:after="0"/>
              <w:rPr>
                <w:sz w:val="20"/>
                <w:szCs w:val="20"/>
                <w:color w:val="auto"/>
              </w:rPr>
            </w:pPr>
          </w:p>
        </w:tc>
        <w:tc>
          <w:tcPr>
            <w:tcW w:w="240" w:type="dxa"/>
            <w:vAlign w:val="bottom"/>
            <w:tcBorders>
              <w:bottom w:val="single" w:sz="8" w:color="CFF0FC"/>
            </w:tcBorders>
          </w:tcPr>
          <w:p>
            <w:pPr>
              <w:spacing w:after="0"/>
              <w:rPr>
                <w:sz w:val="20"/>
                <w:szCs w:val="20"/>
                <w:color w:val="auto"/>
              </w:rPr>
            </w:pPr>
          </w:p>
        </w:tc>
        <w:tc>
          <w:tcPr>
            <w:tcW w:w="114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CFF0FC"/>
            </w:tcBorders>
          </w:tcPr>
          <w:p>
            <w:pPr>
              <w:spacing w:after="0"/>
              <w:rPr>
                <w:sz w:val="20"/>
                <w:szCs w:val="20"/>
                <w:color w:val="auto"/>
              </w:rPr>
            </w:pPr>
          </w:p>
        </w:tc>
        <w:tc>
          <w:tcPr>
            <w:tcW w:w="4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Investment income</w:t>
            </w:r>
          </w:p>
        </w:tc>
        <w:tc>
          <w:tcPr>
            <w:tcW w:w="4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1,534,839</w:t>
            </w: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1,217,413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expenses</w:t>
            </w:r>
          </w:p>
        </w:tc>
        <w:tc>
          <w:tcPr>
            <w:tcW w:w="4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0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1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16,155</w:t>
            </w:r>
          </w:p>
        </w:tc>
        <w:tc>
          <w:tcPr>
            <w:tcW w:w="24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20,000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Net investment income</w:t>
            </w:r>
          </w:p>
        </w:tc>
        <w:tc>
          <w:tcPr>
            <w:tcW w:w="4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6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1,518,684</w:t>
            </w: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1,197,413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Unrealized appreciation on investments</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4"/>
          </w:tcPr>
          <w:p>
            <w:pPr>
              <w:jc w:val="right"/>
              <w:spacing w:after="0"/>
              <w:rPr>
                <w:sz w:val="20"/>
                <w:szCs w:val="20"/>
                <w:color w:val="auto"/>
              </w:rPr>
            </w:pPr>
            <w:r>
              <w:rPr>
                <w:rFonts w:ascii="Arial" w:cs="Arial" w:eastAsia="Arial" w:hAnsi="Arial"/>
                <w:sz w:val="18"/>
                <w:szCs w:val="18"/>
                <w:color w:val="auto"/>
              </w:rPr>
              <w:t>1,766,005</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3"/>
          </w:tcPr>
          <w:p>
            <w:pPr>
              <w:jc w:val="right"/>
              <w:ind w:right="40"/>
              <w:spacing w:after="0"/>
              <w:rPr>
                <w:sz w:val="20"/>
                <w:szCs w:val="20"/>
                <w:color w:val="auto"/>
              </w:rPr>
            </w:pPr>
            <w:r>
              <w:rPr>
                <w:rFonts w:ascii="Arial" w:cs="Arial" w:eastAsia="Arial" w:hAnsi="Arial"/>
                <w:sz w:val="18"/>
                <w:szCs w:val="18"/>
                <w:color w:val="auto"/>
              </w:rPr>
              <w:t>(11,199,316)</w:t>
            </w:r>
          </w:p>
        </w:tc>
        <w:tc>
          <w:tcPr>
            <w:tcW w:w="0" w:type="dxa"/>
            <w:vAlign w:val="bottom"/>
          </w:tcPr>
          <w:p>
            <w:pPr>
              <w:spacing w:after="0"/>
              <w:rPr>
                <w:sz w:val="1"/>
                <w:szCs w:val="1"/>
                <w:color w:val="auto"/>
              </w:rPr>
            </w:pPr>
          </w:p>
        </w:tc>
      </w:tr>
      <w:tr>
        <w:trPr>
          <w:trHeight w:val="223"/>
        </w:trPr>
        <w:tc>
          <w:tcPr>
            <w:tcW w:w="35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4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0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3,284,689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(10,001,903)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20" w:type="dxa"/>
            <w:vAlign w:val="bottom"/>
            <w:gridSpan w:val="3"/>
            <w:vMerge w:val="restart"/>
          </w:tcPr>
          <w:p>
            <w:pPr>
              <w:jc w:val="center"/>
              <w:ind w:left="450"/>
              <w:spacing w:after="0"/>
              <w:rPr>
                <w:sz w:val="20"/>
                <w:szCs w:val="20"/>
                <w:color w:val="auto"/>
              </w:rPr>
            </w:pPr>
            <w:r>
              <w:rPr>
                <w:rFonts w:ascii="Arial" w:cs="Arial" w:eastAsia="Arial" w:hAnsi="Arial"/>
                <w:sz w:val="18"/>
                <w:szCs w:val="18"/>
                <w:b w:val="1"/>
                <w:bCs w:val="1"/>
                <w:color w:val="auto"/>
                <w:w w:val="96"/>
              </w:rPr>
              <w:t>KCAP Freedom 3 LLC</w:t>
            </w: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3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20" w:type="dxa"/>
            <w:vAlign w:val="bottom"/>
            <w:gridSpan w:val="3"/>
            <w:vMerge w:val="continue"/>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gridSpan w:val="3"/>
          </w:tcPr>
          <w:p>
            <w:pPr>
              <w:jc w:val="center"/>
              <w:ind w:left="450"/>
              <w:spacing w:after="0"/>
              <w:rPr>
                <w:sz w:val="20"/>
                <w:szCs w:val="20"/>
                <w:color w:val="auto"/>
              </w:rPr>
            </w:pPr>
            <w:r>
              <w:rPr>
                <w:rFonts w:ascii="Arial" w:cs="Arial" w:eastAsia="Arial" w:hAnsi="Arial"/>
                <w:sz w:val="18"/>
                <w:szCs w:val="18"/>
                <w:color w:val="auto"/>
                <w:w w:val="89"/>
              </w:rPr>
              <w:t>Schedule of Investments</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gridSpan w:val="3"/>
          </w:tcPr>
          <w:p>
            <w:pPr>
              <w:jc w:val="center"/>
              <w:ind w:left="470"/>
              <w:spacing w:after="0"/>
              <w:rPr>
                <w:sz w:val="20"/>
                <w:szCs w:val="20"/>
                <w:color w:val="auto"/>
              </w:rPr>
            </w:pPr>
            <w:r>
              <w:rPr>
                <w:rFonts w:ascii="Arial" w:cs="Arial" w:eastAsia="Arial" w:hAnsi="Arial"/>
                <w:sz w:val="18"/>
                <w:szCs w:val="18"/>
                <w:color w:val="auto"/>
                <w:w w:val="91"/>
              </w:rPr>
              <w:t>March 31, 2021</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20" w:type="dxa"/>
            <w:vAlign w:val="bottom"/>
            <w:gridSpan w:val="3"/>
          </w:tcPr>
          <w:p>
            <w:pPr>
              <w:jc w:val="center"/>
              <w:ind w:left="450"/>
              <w:spacing w:after="0"/>
              <w:rPr>
                <w:sz w:val="20"/>
                <w:szCs w:val="20"/>
                <w:color w:val="auto"/>
              </w:rPr>
            </w:pPr>
            <w:r>
              <w:rPr>
                <w:rFonts w:ascii="Arial" w:cs="Arial" w:eastAsia="Arial" w:hAnsi="Arial"/>
                <w:sz w:val="18"/>
                <w:szCs w:val="18"/>
                <w:color w:val="auto"/>
                <w:w w:val="92"/>
              </w:rPr>
              <w:t>(unaudited)</w:t>
            </w: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3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gridSpan w:val="3"/>
          </w:tcPr>
          <w:p>
            <w:pPr>
              <w:jc w:val="center"/>
              <w:ind w:right="370"/>
              <w:spacing w:after="0"/>
              <w:rPr>
                <w:sz w:val="20"/>
                <w:szCs w:val="20"/>
                <w:color w:val="auto"/>
              </w:rPr>
            </w:pPr>
            <w:r>
              <w:rPr>
                <w:rFonts w:ascii="Arial" w:cs="Arial" w:eastAsia="Arial" w:hAnsi="Arial"/>
                <w:sz w:val="18"/>
                <w:szCs w:val="18"/>
                <w:b w:val="1"/>
                <w:bCs w:val="1"/>
                <w:color w:val="auto"/>
                <w:w w:val="88"/>
              </w:rPr>
              <w:t>Percentage</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3"/>
          </w:tcPr>
          <w:p>
            <w:pPr>
              <w:jc w:val="center"/>
              <w:ind w:right="370"/>
              <w:spacing w:after="0"/>
              <w:rPr>
                <w:sz w:val="20"/>
                <w:szCs w:val="20"/>
                <w:color w:val="auto"/>
              </w:rPr>
            </w:pPr>
            <w:r>
              <w:rPr>
                <w:rFonts w:ascii="Arial" w:cs="Arial" w:eastAsia="Arial" w:hAnsi="Arial"/>
                <w:sz w:val="18"/>
                <w:szCs w:val="18"/>
                <w:b w:val="1"/>
                <w:bCs w:val="1"/>
                <w:color w:val="auto"/>
                <w:w w:val="92"/>
              </w:rPr>
              <w:t>Ownership</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3"/>
          </w:tcPr>
          <w:p>
            <w:pPr>
              <w:jc w:val="center"/>
              <w:ind w:right="370"/>
              <w:spacing w:after="0"/>
              <w:rPr>
                <w:sz w:val="20"/>
                <w:szCs w:val="20"/>
                <w:color w:val="auto"/>
              </w:rPr>
            </w:pPr>
            <w:r>
              <w:rPr>
                <w:rFonts w:ascii="Arial" w:cs="Arial" w:eastAsia="Arial" w:hAnsi="Arial"/>
                <w:sz w:val="18"/>
                <w:szCs w:val="18"/>
                <w:b w:val="1"/>
                <w:bCs w:val="1"/>
                <w:color w:val="auto"/>
                <w:w w:val="89"/>
              </w:rPr>
              <w:t>by Joint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Amortized</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00" w:type="dxa"/>
            <w:vAlign w:val="bottom"/>
          </w:tcPr>
          <w:p>
            <w:pPr>
              <w:spacing w:after="0"/>
              <w:rPr>
                <w:sz w:val="20"/>
                <w:szCs w:val="20"/>
                <w:color w:val="auto"/>
              </w:rPr>
            </w:pPr>
            <w:r>
              <w:rPr>
                <w:rFonts w:ascii="Arial" w:cs="Arial" w:eastAsia="Arial" w:hAnsi="Arial"/>
                <w:sz w:val="18"/>
                <w:szCs w:val="18"/>
                <w:b w:val="1"/>
                <w:bCs w:val="1"/>
                <w:color w:val="auto"/>
              </w:rPr>
              <w:t>Portfolio Company</w:t>
            </w: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20" w:type="dxa"/>
            <w:vAlign w:val="bottom"/>
            <w:gridSpan w:val="3"/>
          </w:tcPr>
          <w:p>
            <w:pPr>
              <w:ind w:left="560"/>
              <w:spacing w:after="0"/>
              <w:rPr>
                <w:sz w:val="20"/>
                <w:szCs w:val="20"/>
                <w:color w:val="auto"/>
              </w:rPr>
            </w:pPr>
            <w:r>
              <w:rPr>
                <w:rFonts w:ascii="Arial" w:cs="Arial" w:eastAsia="Arial" w:hAnsi="Arial"/>
                <w:sz w:val="18"/>
                <w:szCs w:val="18"/>
                <w:b w:val="1"/>
                <w:bCs w:val="1"/>
                <w:color w:val="auto"/>
              </w:rPr>
              <w:t>Investment</w:t>
            </w:r>
          </w:p>
        </w:tc>
        <w:tc>
          <w:tcPr>
            <w:tcW w:w="1360" w:type="dxa"/>
            <w:vAlign w:val="bottom"/>
            <w:gridSpan w:val="3"/>
          </w:tcPr>
          <w:p>
            <w:pPr>
              <w:jc w:val="center"/>
              <w:ind w:right="370"/>
              <w:spacing w:after="0"/>
              <w:rPr>
                <w:sz w:val="20"/>
                <w:szCs w:val="20"/>
                <w:color w:val="auto"/>
              </w:rPr>
            </w:pPr>
            <w:r>
              <w:rPr>
                <w:rFonts w:ascii="Arial" w:cs="Arial" w:eastAsia="Arial" w:hAnsi="Arial"/>
                <w:sz w:val="18"/>
                <w:szCs w:val="18"/>
                <w:b w:val="1"/>
                <w:bCs w:val="1"/>
                <w:color w:val="auto"/>
                <w:w w:val="92"/>
              </w:rPr>
              <w:t>Venture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4"/>
              </w:rPr>
              <w:t>Cost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w w:val="99"/>
              </w:rPr>
              <w:t>Fair Value</w:t>
            </w:r>
          </w:p>
        </w:tc>
        <w:tc>
          <w:tcPr>
            <w:tcW w:w="0" w:type="dxa"/>
            <w:vAlign w:val="bottom"/>
          </w:tcPr>
          <w:p>
            <w:pPr>
              <w:spacing w:after="0"/>
              <w:rPr>
                <w:sz w:val="1"/>
                <w:szCs w:val="1"/>
                <w:color w:val="auto"/>
              </w:rPr>
            </w:pPr>
          </w:p>
        </w:tc>
      </w:tr>
      <w:tr>
        <w:trPr>
          <w:trHeight w:val="209"/>
        </w:trPr>
        <w:tc>
          <w:tcPr>
            <w:tcW w:w="35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Great Lakes KCAP F3C Senior, LLC</w:t>
            </w:r>
            <w:r>
              <w:rPr>
                <w:rFonts w:ascii="Arial" w:cs="Arial" w:eastAsia="Arial" w:hAnsi="Arial"/>
                <w:sz w:val="15"/>
                <w:szCs w:val="15"/>
                <w:color w:val="auto"/>
              </w:rPr>
              <w:t>(1)(2)</w:t>
            </w:r>
          </w:p>
        </w:tc>
        <w:tc>
          <w:tcPr>
            <w:tcW w:w="48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20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Subordinated Securities,</w:t>
            </w:r>
          </w:p>
        </w:tc>
        <w:tc>
          <w:tcPr>
            <w:tcW w:w="16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effective interest 6.8%,</w:t>
            </w:r>
          </w:p>
        </w:tc>
        <w:tc>
          <w:tcPr>
            <w:tcW w:w="1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4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12/29 maturity</w:t>
            </w:r>
          </w:p>
        </w:tc>
        <w:tc>
          <w:tcPr>
            <w:tcW w:w="13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00" w:type="dxa"/>
            <w:vAlign w:val="bottom"/>
            <w:gridSpan w:val="3"/>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FF0FC"/>
          </w:tcPr>
          <w:p>
            <w:pPr>
              <w:ind w:left="420"/>
              <w:spacing w:after="0"/>
              <w:rPr>
                <w:sz w:val="20"/>
                <w:szCs w:val="20"/>
                <w:color w:val="auto"/>
              </w:rPr>
            </w:pPr>
            <w:r>
              <w:rPr>
                <w:rFonts w:ascii="Arial" w:cs="Arial" w:eastAsia="Arial" w:hAnsi="Arial"/>
                <w:sz w:val="18"/>
                <w:szCs w:val="18"/>
                <w:color w:val="auto"/>
                <w:w w:val="88"/>
              </w:rPr>
              <w:t>38,616,799</w:t>
            </w: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32,800,691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500" w:type="dxa"/>
            <w:vAlign w:val="bottom"/>
          </w:tcPr>
          <w:p>
            <w:pPr>
              <w:spacing w:after="0"/>
              <w:rPr>
                <w:sz w:val="20"/>
                <w:szCs w:val="20"/>
                <w:color w:val="auto"/>
              </w:rPr>
            </w:pPr>
            <w:r>
              <w:rPr>
                <w:rFonts w:ascii="Arial" w:cs="Arial" w:eastAsia="Arial" w:hAnsi="Arial"/>
                <w:sz w:val="18"/>
                <w:szCs w:val="18"/>
                <w:b w:val="1"/>
                <w:bCs w:val="1"/>
                <w:color w:val="auto"/>
              </w:rPr>
              <w:t>Total Investments</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240" w:type="dxa"/>
            <w:vAlign w:val="bottom"/>
            <w:tcBorders>
              <w:top w:val="single" w:sz="8" w:color="auto"/>
              <w:bottom w:val="single" w:sz="8" w:color="auto"/>
            </w:tcBorders>
            <w:gridSpan w:val="3"/>
          </w:tcPr>
          <w:p>
            <w:pPr>
              <w:ind w:left="420"/>
              <w:spacing w:after="0"/>
              <w:rPr>
                <w:sz w:val="20"/>
                <w:szCs w:val="20"/>
                <w:color w:val="auto"/>
              </w:rPr>
            </w:pPr>
            <w:r>
              <w:rPr>
                <w:rFonts w:ascii="Arial" w:cs="Arial" w:eastAsia="Arial" w:hAnsi="Arial"/>
                <w:sz w:val="18"/>
                <w:szCs w:val="18"/>
                <w:b w:val="1"/>
                <w:bCs w:val="1"/>
                <w:color w:val="auto"/>
                <w:w w:val="88"/>
              </w:rPr>
              <w:t>38,616,799</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w:t>
            </w:r>
          </w:p>
        </w:tc>
        <w:tc>
          <w:tcPr>
            <w:tcW w:w="12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32,800,691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80" w:right="160" w:hanging="372"/>
        <w:spacing w:after="0" w:line="254" w:lineRule="auto"/>
        <w:tabs>
          <w:tab w:leader="none" w:pos="380" w:val="left"/>
        </w:tabs>
        <w:numPr>
          <w:ilvl w:val="0"/>
          <w:numId w:val="51"/>
        </w:numPr>
        <w:rPr>
          <w:rFonts w:ascii="Arial" w:cs="Arial" w:eastAsia="Arial" w:hAnsi="Arial"/>
          <w:sz w:val="15"/>
          <w:szCs w:val="15"/>
          <w:color w:val="auto"/>
        </w:rPr>
      </w:pPr>
      <w:r>
        <w:rPr>
          <w:rFonts w:ascii="Arial" w:cs="Arial" w:eastAsia="Arial" w:hAnsi="Arial"/>
          <w:sz w:val="18"/>
          <w:szCs w:val="18"/>
          <w:color w:val="auto"/>
        </w:rPr>
        <w:t>CLO Subordinated Investments 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spacing w:after="0" w:line="2" w:lineRule="exact"/>
        <w:rPr>
          <w:rFonts w:ascii="Arial" w:cs="Arial" w:eastAsia="Arial" w:hAnsi="Arial"/>
          <w:sz w:val="15"/>
          <w:szCs w:val="15"/>
          <w:color w:val="auto"/>
        </w:rPr>
      </w:pPr>
    </w:p>
    <w:p>
      <w:pPr>
        <w:ind w:left="380" w:right="640" w:hanging="372"/>
        <w:spacing w:after="0" w:line="260" w:lineRule="auto"/>
        <w:tabs>
          <w:tab w:leader="none" w:pos="380" w:val="left"/>
        </w:tabs>
        <w:numPr>
          <w:ilvl w:val="0"/>
          <w:numId w:val="51"/>
        </w:numPr>
        <w:rPr>
          <w:rFonts w:ascii="Arial" w:cs="Arial" w:eastAsia="Arial" w:hAnsi="Arial"/>
          <w:sz w:val="15"/>
          <w:szCs w:val="15"/>
          <w:color w:val="auto"/>
        </w:rPr>
      </w:pPr>
      <w:r>
        <w:rPr>
          <w:rFonts w:ascii="Arial" w:cs="Arial" w:eastAsia="Arial" w:hAnsi="Arial"/>
          <w:sz w:val="18"/>
          <w:szCs w:val="18"/>
          <w:color w:val="auto"/>
        </w:rPr>
        <w:t>Fair value of this investment was determined using significant unobservable inputs, including default rates, prepayment rates, spreads, and the discount rate by which to value the resulting cash flows.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KCAP Freedom 3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2020</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Percentage</w:t>
            </w: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Ownership</w:t>
            </w: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by Joint</w:t>
            </w:r>
          </w:p>
        </w:tc>
        <w:tc>
          <w:tcPr>
            <w:tcW w:w="180" w:type="dxa"/>
            <w:vAlign w:val="bottom"/>
          </w:tcPr>
          <w:p>
            <w:pPr>
              <w:spacing w:after="0"/>
              <w:rPr>
                <w:sz w:val="18"/>
                <w:szCs w:val="18"/>
                <w:color w:val="auto"/>
              </w:rPr>
            </w:pPr>
          </w:p>
        </w:tc>
        <w:tc>
          <w:tcPr>
            <w:tcW w:w="14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3"/>
              </w:rPr>
              <w:t>Amortized</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140" w:type="dxa"/>
            <w:vAlign w:val="bottom"/>
            <w:gridSpan w:val="2"/>
          </w:tcPr>
          <w:p>
            <w:pPr>
              <w:spacing w:after="0"/>
              <w:rPr>
                <w:sz w:val="20"/>
                <w:szCs w:val="20"/>
                <w:color w:val="auto"/>
              </w:rPr>
            </w:pPr>
            <w:r>
              <w:rPr>
                <w:rFonts w:ascii="Arial" w:cs="Arial" w:eastAsia="Arial" w:hAnsi="Arial"/>
                <w:sz w:val="18"/>
                <w:szCs w:val="18"/>
                <w:b w:val="1"/>
                <w:bCs w:val="1"/>
                <w:color w:val="auto"/>
              </w:rPr>
              <w:t>Portfolio Company</w:t>
            </w:r>
          </w:p>
        </w:tc>
        <w:tc>
          <w:tcPr>
            <w:tcW w:w="2180" w:type="dxa"/>
            <w:vAlign w:val="bottom"/>
            <w:gridSpan w:val="2"/>
          </w:tcPr>
          <w:p>
            <w:pPr>
              <w:ind w:left="560"/>
              <w:spacing w:after="0"/>
              <w:rPr>
                <w:sz w:val="20"/>
                <w:szCs w:val="20"/>
                <w:color w:val="auto"/>
              </w:rPr>
            </w:pPr>
            <w:r>
              <w:rPr>
                <w:rFonts w:ascii="Arial" w:cs="Arial" w:eastAsia="Arial" w:hAnsi="Arial"/>
                <w:sz w:val="18"/>
                <w:szCs w:val="18"/>
                <w:b w:val="1"/>
                <w:bCs w:val="1"/>
                <w:color w:val="auto"/>
              </w:rPr>
              <w:t>Investment</w:t>
            </w:r>
          </w:p>
        </w:tc>
        <w:tc>
          <w:tcPr>
            <w:tcW w:w="17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Venture</w:t>
            </w:r>
          </w:p>
        </w:tc>
        <w:tc>
          <w:tcPr>
            <w:tcW w:w="180" w:type="dxa"/>
            <w:vAlign w:val="bottom"/>
          </w:tcPr>
          <w:p>
            <w:pPr>
              <w:spacing w:after="0"/>
              <w:rPr>
                <w:sz w:val="20"/>
                <w:szCs w:val="20"/>
                <w:color w:val="auto"/>
              </w:rPr>
            </w:pPr>
          </w:p>
        </w:tc>
        <w:tc>
          <w:tcPr>
            <w:tcW w:w="14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4"/>
              </w:rPr>
              <w:t>Cost</w:t>
            </w:r>
          </w:p>
        </w:tc>
        <w:tc>
          <w:tcPr>
            <w:tcW w:w="200" w:type="dxa"/>
            <w:vAlign w:val="bottom"/>
          </w:tcPr>
          <w:p>
            <w:pPr>
              <w:spacing w:after="0"/>
              <w:rPr>
                <w:sz w:val="20"/>
                <w:szCs w:val="20"/>
                <w:color w:val="auto"/>
              </w:rPr>
            </w:pPr>
          </w:p>
        </w:tc>
        <w:tc>
          <w:tcPr>
            <w:tcW w:w="1320" w:type="dxa"/>
            <w:vAlign w:val="bottom"/>
            <w:gridSpan w:val="2"/>
          </w:tcPr>
          <w:p>
            <w:pPr>
              <w:ind w:left="100"/>
              <w:spacing w:after="0"/>
              <w:rPr>
                <w:sz w:val="20"/>
                <w:szCs w:val="20"/>
                <w:color w:val="auto"/>
              </w:rPr>
            </w:pPr>
            <w:r>
              <w:rPr>
                <w:rFonts w:ascii="Arial" w:cs="Arial" w:eastAsia="Arial" w:hAnsi="Arial"/>
                <w:sz w:val="18"/>
                <w:szCs w:val="18"/>
                <w:b w:val="1"/>
                <w:bCs w:val="1"/>
                <w:color w:val="auto"/>
              </w:rPr>
              <w:t>Fair Value</w:t>
            </w:r>
          </w:p>
        </w:tc>
      </w:tr>
      <w:tr>
        <w:trPr>
          <w:trHeight w:val="209"/>
        </w:trPr>
        <w:tc>
          <w:tcPr>
            <w:tcW w:w="39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Great Lakes KCAP F3C Senior, LLC</w:t>
            </w:r>
            <w:r>
              <w:rPr>
                <w:rFonts w:ascii="Arial" w:cs="Arial" w:eastAsia="Arial" w:hAnsi="Arial"/>
                <w:sz w:val="15"/>
                <w:szCs w:val="15"/>
                <w:color w:val="auto"/>
              </w:rPr>
              <w:t>(1)(2)</w:t>
            </w:r>
          </w:p>
        </w:tc>
        <w:tc>
          <w:tcPr>
            <w:tcW w:w="160" w:type="dxa"/>
            <w:vAlign w:val="bottom"/>
            <w:tcBorders>
              <w:top w:val="single" w:sz="8" w:color="CFF0FC"/>
            </w:tcBorders>
            <w:shd w:val="clear" w:color="auto" w:fill="CFF0FC"/>
          </w:tcPr>
          <w:p>
            <w:pPr>
              <w:spacing w:after="0"/>
              <w:rPr>
                <w:sz w:val="18"/>
                <w:szCs w:val="18"/>
                <w:color w:val="auto"/>
              </w:rPr>
            </w:pPr>
          </w:p>
        </w:tc>
        <w:tc>
          <w:tcPr>
            <w:tcW w:w="20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Subordinated Securities,</w:t>
            </w:r>
          </w:p>
        </w:tc>
        <w:tc>
          <w:tcPr>
            <w:tcW w:w="160" w:type="dxa"/>
            <w:vAlign w:val="bottom"/>
            <w:tcBorders>
              <w:top w:val="single" w:sz="8" w:color="CFF0FC"/>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39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effective interest 12.3%,</w:t>
            </w:r>
          </w:p>
        </w:tc>
        <w:tc>
          <w:tcPr>
            <w:tcW w:w="14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39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12/29 maturity</w:t>
            </w:r>
          </w:p>
        </w:tc>
        <w:tc>
          <w:tcPr>
            <w:tcW w:w="17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100.0%</w:t>
            </w: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38,986,212</w:t>
            </w:r>
          </w:p>
        </w:tc>
        <w:tc>
          <w:tcPr>
            <w:tcW w:w="26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31,404,100</w:t>
            </w:r>
          </w:p>
        </w:tc>
        <w:tc>
          <w:tcPr>
            <w:tcW w:w="100" w:type="dxa"/>
            <w:vAlign w:val="bottom"/>
            <w:shd w:val="clear" w:color="auto" w:fill="CFF0FC"/>
          </w:tcPr>
          <w:p>
            <w:pPr>
              <w:spacing w:after="0"/>
              <w:rPr>
                <w:sz w:val="20"/>
                <w:szCs w:val="20"/>
                <w:color w:val="auto"/>
              </w:rPr>
            </w:pPr>
          </w:p>
        </w:tc>
      </w:tr>
      <w:tr>
        <w:trPr>
          <w:trHeight w:val="223"/>
        </w:trPr>
        <w:tc>
          <w:tcPr>
            <w:tcW w:w="4140" w:type="dxa"/>
            <w:vAlign w:val="bottom"/>
            <w:gridSpan w:val="2"/>
          </w:tcPr>
          <w:p>
            <w:pPr>
              <w:spacing w:after="0"/>
              <w:rPr>
                <w:sz w:val="20"/>
                <w:szCs w:val="20"/>
                <w:color w:val="auto"/>
              </w:rPr>
            </w:pPr>
            <w:r>
              <w:rPr>
                <w:rFonts w:ascii="Arial" w:cs="Arial" w:eastAsia="Arial" w:hAnsi="Arial"/>
                <w:sz w:val="18"/>
                <w:szCs w:val="18"/>
                <w:b w:val="1"/>
                <w:bCs w:val="1"/>
                <w:color w:val="auto"/>
              </w:rPr>
              <w:t>Total Investments</w:t>
            </w:r>
          </w:p>
        </w:tc>
        <w:tc>
          <w:tcPr>
            <w:tcW w:w="2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38,986,212</w:t>
            </w:r>
          </w:p>
        </w:tc>
        <w:tc>
          <w:tcPr>
            <w:tcW w:w="2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31,404,100</w:t>
            </w:r>
          </w:p>
        </w:tc>
        <w:tc>
          <w:tcPr>
            <w:tcW w:w="100" w:type="dxa"/>
            <w:vAlign w:val="bottom"/>
          </w:tcPr>
          <w:p>
            <w:pPr>
              <w:spacing w:after="0"/>
              <w:rPr>
                <w:sz w:val="19"/>
                <w:szCs w:val="19"/>
                <w:color w:val="auto"/>
              </w:rPr>
            </w:pPr>
          </w:p>
        </w:tc>
      </w:tr>
    </w:tbl>
    <w:p>
      <w:pPr>
        <w:spacing w:after="0" w:line="202" w:lineRule="exact"/>
        <w:rPr>
          <w:sz w:val="20"/>
          <w:szCs w:val="20"/>
          <w:color w:val="auto"/>
        </w:rPr>
      </w:pPr>
    </w:p>
    <w:p>
      <w:pPr>
        <w:ind w:left="380" w:right="160" w:hanging="372"/>
        <w:spacing w:after="0" w:line="254" w:lineRule="auto"/>
        <w:tabs>
          <w:tab w:leader="none" w:pos="380" w:val="left"/>
        </w:tabs>
        <w:numPr>
          <w:ilvl w:val="0"/>
          <w:numId w:val="52"/>
        </w:numPr>
        <w:rPr>
          <w:rFonts w:ascii="Arial" w:cs="Arial" w:eastAsia="Arial" w:hAnsi="Arial"/>
          <w:sz w:val="15"/>
          <w:szCs w:val="15"/>
          <w:color w:val="auto"/>
        </w:rPr>
      </w:pPr>
      <w:r>
        <w:rPr>
          <w:rFonts w:ascii="Arial" w:cs="Arial" w:eastAsia="Arial" w:hAnsi="Arial"/>
          <w:sz w:val="18"/>
          <w:szCs w:val="18"/>
          <w:color w:val="auto"/>
        </w:rPr>
        <w:t>CLO Subordinated Investments 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spacing w:after="0" w:line="2" w:lineRule="exact"/>
        <w:rPr>
          <w:rFonts w:ascii="Arial" w:cs="Arial" w:eastAsia="Arial" w:hAnsi="Arial"/>
          <w:sz w:val="15"/>
          <w:szCs w:val="15"/>
          <w:color w:val="auto"/>
        </w:rPr>
      </w:pPr>
    </w:p>
    <w:p>
      <w:pPr>
        <w:ind w:left="380" w:right="640" w:hanging="372"/>
        <w:spacing w:after="0" w:line="260" w:lineRule="auto"/>
        <w:tabs>
          <w:tab w:leader="none" w:pos="380" w:val="left"/>
        </w:tabs>
        <w:numPr>
          <w:ilvl w:val="0"/>
          <w:numId w:val="52"/>
        </w:numPr>
        <w:rPr>
          <w:rFonts w:ascii="Arial" w:cs="Arial" w:eastAsia="Arial" w:hAnsi="Arial"/>
          <w:sz w:val="15"/>
          <w:szCs w:val="15"/>
          <w:color w:val="auto"/>
        </w:rPr>
      </w:pPr>
      <w:r>
        <w:rPr>
          <w:rFonts w:ascii="Arial" w:cs="Arial" w:eastAsia="Arial" w:hAnsi="Arial"/>
          <w:sz w:val="18"/>
          <w:szCs w:val="18"/>
          <w:color w:val="auto"/>
        </w:rPr>
        <w:t>Fair value of this investment was determined using significant unobservable inputs, including default rates, prepayment rates, spreads, and the discount rate by which to value the resulting cash flows.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BCP Great Lakes Partnership LP</w:t>
      </w:r>
    </w:p>
    <w:p>
      <w:pPr>
        <w:spacing w:after="0" w:line="121" w:lineRule="exact"/>
        <w:rPr>
          <w:sz w:val="20"/>
          <w:szCs w:val="20"/>
          <w:color w:val="auto"/>
        </w:rPr>
      </w:pPr>
    </w:p>
    <w:p>
      <w:pPr>
        <w:ind w:right="80" w:firstLine="374"/>
        <w:spacing w:after="0" w:line="290" w:lineRule="auto"/>
        <w:rPr>
          <w:sz w:val="20"/>
          <w:szCs w:val="20"/>
          <w:color w:val="auto"/>
        </w:rPr>
      </w:pPr>
      <w:r>
        <w:rPr>
          <w:rFonts w:ascii="Arial" w:cs="Arial" w:eastAsia="Arial" w:hAnsi="Arial"/>
          <w:sz w:val="16"/>
          <w:szCs w:val="16"/>
          <w:color w:val="auto"/>
        </w:rPr>
        <w:t>BCP Great Lakes Fund LP (the “BCP Great Lakes Partnership”) has invested in BCP Great Lakes Holdings LP, a vehicle formed as a co-investment vehicle to facilitate the participation of certain co-investors to invest, directly or indirectly, in BCP Great Lakes Funding, LLC. (the “Great Lakes Joint Venture”). The Company is a limited partner in the BCP Great Lakes Partnership and does not have any direct or indirect voting interests in the Great Lakes Joint Venture, and treats the investment as a joint venture since an affiliate of the Adviser manages BCP Great Lakes Holdings LP and controls a 50% voting interest in the Great Lakes Joint Venture. This investment was made prior to the Externalization and as such the Company has changed its characterization from an equity investment prior to the Externalization to a joint venture investment once the Company became externally managed and an affiliate of the Adviser. The investment strategy of BCP Great Lakes Funding, LLC is to underwrite and hold senior, secured unitranche loans made to middle-market companies. The Company does not pay any advisory fees in connection with its investment in the BCP Great Lakes Partnership.</w:t>
      </w:r>
    </w:p>
    <w:p>
      <w:pPr>
        <w:spacing w:after="0" w:line="5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fair value of the Company’s investment in the BCP Great Lakes Partnership at March 31, 2021 and December 31, 2020 was $36.2 million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$29.6 million. Fair value has been determined utilizing the practical expedient pursuant to ASC 820-10. Pursuant to the terms of the BCP Great Lakes Fund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LP Amended and Restated Exempted Limited Partnership Agreement (the “BCP Great Lakes Partnership Agreement”), the Company generally may not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sell, exchange, assign, pledge or otherwise transfer its interest, in whole or in part, without the prior written consent of the General Partner which consent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may be given or withheld in its sole and absolute discretion, and may be conditioned upon repayment of its share of indebtedness incurred by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partnership.</w:t>
      </w:r>
    </w:p>
    <w:p>
      <w:pPr>
        <w:spacing w:after="0" w:line="184" w:lineRule="exact"/>
        <w:rPr>
          <w:sz w:val="20"/>
          <w:szCs w:val="20"/>
          <w:color w:val="auto"/>
        </w:rPr>
      </w:pPr>
    </w:p>
    <w:p>
      <w:pPr>
        <w:ind w:right="200" w:firstLine="374"/>
        <w:spacing w:after="0" w:line="259" w:lineRule="auto"/>
        <w:rPr>
          <w:sz w:val="20"/>
          <w:szCs w:val="20"/>
          <w:color w:val="auto"/>
        </w:rPr>
      </w:pPr>
      <w:r>
        <w:rPr>
          <w:rFonts w:ascii="Arial" w:cs="Arial" w:eastAsia="Arial" w:hAnsi="Arial"/>
          <w:sz w:val="18"/>
          <w:szCs w:val="18"/>
          <w:color w:val="auto"/>
        </w:rPr>
        <w:t>In March 2019, prior to the Externalization, the Company increased its aggregate commitment to the BCP Great Lakes Partnership to $50 million, subject to certain limitations (including that the Company is not obligated to fund capital calls if such funding would cause the Company to be out of compliance with certain provisions of the 1940 Act). As of March 31, 2021 and December 31, 2020, the Company has a $13.8 million and $20.0 million, respectively unfunded commitment to the BCP Great Lakes Partnership.</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89" w:lineRule="exact"/>
        <w:rPr>
          <w:sz w:val="20"/>
          <w:szCs w:val="20"/>
          <w:color w:val="auto"/>
        </w:rPr>
      </w:pPr>
    </w:p>
    <w:p>
      <w:pPr>
        <w:ind w:right="40" w:firstLine="374"/>
        <w:spacing w:after="0" w:line="287" w:lineRule="auto"/>
        <w:rPr>
          <w:sz w:val="20"/>
          <w:szCs w:val="20"/>
          <w:color w:val="auto"/>
        </w:rPr>
      </w:pPr>
      <w:r>
        <w:rPr>
          <w:rFonts w:ascii="Arial" w:cs="Arial" w:eastAsia="Arial" w:hAnsi="Arial"/>
          <w:sz w:val="16"/>
          <w:szCs w:val="16"/>
          <w:color w:val="auto"/>
        </w:rPr>
        <w:t>The Company follows the provisions of ASC 820: Fair Value, which among other matters, requires enhanced disclosures about investments that are measured and reported at fair value. This standard defines fair value and establishes a hierarchal disclosure framework which prioritizes and ranks the level of market price observability used in measuring investments at fair value and expands disclosures about assets and liabilities measured at fair value. ASC</w:t>
      </w:r>
    </w:p>
    <w:p>
      <w:pPr>
        <w:spacing w:after="0" w:line="2" w:lineRule="exact"/>
        <w:rPr>
          <w:sz w:val="20"/>
          <w:szCs w:val="20"/>
          <w:color w:val="auto"/>
        </w:rPr>
      </w:pPr>
    </w:p>
    <w:p>
      <w:pPr>
        <w:ind w:right="120" w:firstLine="8"/>
        <w:spacing w:after="0" w:line="252" w:lineRule="auto"/>
        <w:tabs>
          <w:tab w:leader="none" w:pos="365" w:val="left"/>
        </w:tabs>
        <w:numPr>
          <w:ilvl w:val="0"/>
          <w:numId w:val="53"/>
        </w:numPr>
        <w:rPr>
          <w:rFonts w:ascii="Arial" w:cs="Arial" w:eastAsia="Arial" w:hAnsi="Arial"/>
          <w:sz w:val="18"/>
          <w:szCs w:val="18"/>
          <w:color w:val="auto"/>
        </w:rPr>
      </w:pPr>
      <w:r>
        <w:rPr>
          <w:rFonts w:ascii="Arial" w:cs="Arial" w:eastAsia="Arial" w:hAnsi="Arial"/>
          <w:sz w:val="18"/>
          <w:szCs w:val="18"/>
          <w:color w:val="auto"/>
        </w:rPr>
        <w:t>Fair Value defines “fair value” as the price that would be received to sell an asset or paid to transfer a liability in an orderly transaction between market participants at the measurement date. This fair value definition focuses on an exit price in the principle, or most advantageous market, and prioritizes, within a measurement of fair value, the use of market-based inputs (which may be weighted or adjusted for relevance, reliability and specific attributes relative to the subject investment) over entity-specific inputs. Market price observability is affected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6" w:name="page57"/>
    <w:bookmarkEnd w:id="56"/>
    <w:p>
      <w:pPr>
        <w:ind w:right="200" w:firstLine="374"/>
        <w:spacing w:after="0" w:line="277" w:lineRule="auto"/>
        <w:rPr>
          <w:sz w:val="20"/>
          <w:szCs w:val="20"/>
          <w:color w:val="auto"/>
        </w:rPr>
      </w:pPr>
      <w:r>
        <w:rPr>
          <w:rFonts w:ascii="Arial" w:cs="Arial" w:eastAsia="Arial" w:hAnsi="Arial"/>
          <w:sz w:val="18"/>
          <w:szCs w:val="18"/>
          <w:color w:val="auto"/>
        </w:rPr>
        <w:t>ASC 820: Fair Value establishes the following three-level hierarchy, based upon the transparency of inputs to the fair value measurement of an asset or liability as of the measurement date:</w:t>
      </w:r>
    </w:p>
    <w:p>
      <w:pPr>
        <w:spacing w:after="0" w:line="143" w:lineRule="exact"/>
        <w:rPr>
          <w:sz w:val="20"/>
          <w:szCs w:val="20"/>
          <w:color w:val="auto"/>
        </w:rPr>
      </w:pPr>
    </w:p>
    <w:p>
      <w:pPr>
        <w:ind w:right="80" w:firstLine="374"/>
        <w:spacing w:after="0" w:line="286" w:lineRule="auto"/>
        <w:rPr>
          <w:sz w:val="20"/>
          <w:szCs w:val="20"/>
          <w:color w:val="auto"/>
        </w:rPr>
      </w:pPr>
      <w:r>
        <w:rPr>
          <w:rFonts w:ascii="Arial" w:cs="Arial" w:eastAsia="Arial" w:hAnsi="Arial"/>
          <w:sz w:val="17"/>
          <w:szCs w:val="17"/>
          <w:color w:val="auto"/>
        </w:rPr>
        <w:t>Level I – Unadjusted quoted prices are available in active markets for identical investments as of the reporting date. The type of investments included in Level I include listed equities and listed securities. As required by ASC 820: Fair Value, the Company does not adjust the quoted price for these investments, even in situations where the Company holds a large position and a sale could reasonably affect the quoted price.</w:t>
      </w:r>
    </w:p>
    <w:p>
      <w:pPr>
        <w:spacing w:after="0" w:line="125" w:lineRule="exact"/>
        <w:rPr>
          <w:sz w:val="20"/>
          <w:szCs w:val="20"/>
          <w:color w:val="auto"/>
        </w:rPr>
      </w:pPr>
    </w:p>
    <w:p>
      <w:pPr>
        <w:ind w:right="40" w:firstLine="374"/>
        <w:spacing w:after="0" w:line="275" w:lineRule="auto"/>
        <w:rPr>
          <w:sz w:val="20"/>
          <w:szCs w:val="20"/>
          <w:color w:val="auto"/>
        </w:rPr>
      </w:pPr>
      <w:r>
        <w:rPr>
          <w:rFonts w:ascii="Arial" w:cs="Arial" w:eastAsia="Arial" w:hAnsi="Arial"/>
          <w:sz w:val="17"/>
          <w:szCs w:val="17"/>
          <w:color w:val="auto"/>
        </w:rPr>
        <w:t>Level II – Pricing inputs are other than quoted prices in active markets, which are either directly or indirectly observable as of the reporting date. Such inputs may be quoted prices for similar assets or liabilities, quoted markets that are not active, or other inputs that are observable or can be corroborated by observable market data for substantially the full character of the financial instrument, or inputs that are derived principally from, or corroborated by, observable market information. Investments which are generally included in this category include illiquid debt securities and less liquid, privately held or restricted equity securities for which some level of recent trading activity has been observed.</w:t>
      </w:r>
    </w:p>
    <w:p>
      <w:pPr>
        <w:spacing w:after="0" w:line="136" w:lineRule="exact"/>
        <w:rPr>
          <w:sz w:val="20"/>
          <w:szCs w:val="20"/>
          <w:color w:val="auto"/>
        </w:rPr>
      </w:pPr>
    </w:p>
    <w:p>
      <w:pPr>
        <w:ind w:right="40" w:firstLine="374"/>
        <w:spacing w:after="0" w:line="273" w:lineRule="auto"/>
        <w:rPr>
          <w:sz w:val="20"/>
          <w:szCs w:val="20"/>
          <w:color w:val="auto"/>
        </w:rPr>
      </w:pPr>
      <w:r>
        <w:rPr>
          <w:rFonts w:ascii="Arial" w:cs="Arial" w:eastAsia="Arial" w:hAnsi="Arial"/>
          <w:sz w:val="17"/>
          <w:szCs w:val="17"/>
          <w:color w:val="auto"/>
        </w:rPr>
        <w:t>Level III – Pricing inputs are unobservable for the investment and includes situations where there is little, if any, market activity for the investment. The inputs may be based on the Company’s own assumptions about how market participants would price the asset or liability or may use Level II inputs, as adjusted, to reflect specific investment attributes relative to a broader market assumption. These inputs into the determination of fair value may require significant management judgment or estimation. Even if observable market data for comparable performance or valuation measures (earnings multiples, discount rates, other financial/valuation ratios, etc.) are available, such investments are grouped as Level III if any significant data point that is not also market observable (private company earnings, cash flows, etc.) is used in the valuation methodology.</w:t>
      </w:r>
    </w:p>
    <w:p>
      <w:pPr>
        <w:spacing w:after="0" w:line="151" w:lineRule="exact"/>
        <w:rPr>
          <w:sz w:val="20"/>
          <w:szCs w:val="20"/>
          <w:color w:val="auto"/>
        </w:rPr>
      </w:pPr>
    </w:p>
    <w:p>
      <w:pPr>
        <w:ind w:right="20" w:firstLine="374"/>
        <w:spacing w:after="0" w:line="270" w:lineRule="auto"/>
        <w:rPr>
          <w:sz w:val="20"/>
          <w:szCs w:val="20"/>
          <w:color w:val="auto"/>
        </w:rPr>
      </w:pPr>
      <w:r>
        <w:rPr>
          <w:rFonts w:ascii="Arial" w:cs="Arial" w:eastAsia="Arial" w:hAnsi="Arial"/>
          <w:sz w:val="17"/>
          <w:szCs w:val="17"/>
          <w:color w:val="auto"/>
        </w:rPr>
        <w:t>In certain cases, the inputs used to measure fair value may fall into different levels of the fair value hierarchy. In such cases, an investment’s level within the fair value hierarchy is based on the lowest level of input that is significant to the fair value measurement. The Company’s assessment of the significance of a particular input to the fair value measurement in its entirety requires judgment, and the Company considers factors specific to the investment. A majority of the Company’s investments are classified as Level III. The Company evaluates the source of inputs, including any markets in which its investments are trading, in determining fair value. Inputs that are highly correlated to the specific investment being valued and those derived from reliable or knowledgeable sources will tend to have a higher weighting in determining fair value. The Company’s fair value determinations may include factors such as an assessment of each underlying investment, its current and prospective operating and financial performance, consideration of financing and sale transactions with third parties, expected cash flows and market-based information, including comparable transactions, performance factors, and other investment or industry specific market data, among other factors.</w:t>
      </w:r>
    </w:p>
    <w:p>
      <w:pPr>
        <w:spacing w:after="0" w:line="140" w:lineRule="exact"/>
        <w:rPr>
          <w:sz w:val="20"/>
          <w:szCs w:val="20"/>
          <w:color w:val="auto"/>
        </w:rPr>
      </w:pPr>
    </w:p>
    <w:p>
      <w:pPr>
        <w:ind w:right="260" w:firstLine="374"/>
        <w:spacing w:after="0" w:line="277" w:lineRule="auto"/>
        <w:rPr>
          <w:sz w:val="20"/>
          <w:szCs w:val="20"/>
          <w:color w:val="auto"/>
        </w:rPr>
      </w:pPr>
      <w:r>
        <w:rPr>
          <w:rFonts w:ascii="Arial" w:cs="Arial" w:eastAsia="Arial" w:hAnsi="Arial"/>
          <w:sz w:val="18"/>
          <w:szCs w:val="18"/>
          <w:color w:val="auto"/>
        </w:rPr>
        <w:t>The following table summarizes the fair value of investments by fair value hierarchy levels provided by ASC 820: Fair Value as of March 31, 2021 (unaudited) and December 31, 2020, respectively:</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0" w:type="dxa"/>
            <w:vAlign w:val="bottom"/>
            <w:gridSpan w:val="5"/>
          </w:tcPr>
          <w:p>
            <w:pPr>
              <w:jc w:val="right"/>
              <w:spacing w:after="0"/>
              <w:rPr>
                <w:sz w:val="20"/>
                <w:szCs w:val="20"/>
                <w:color w:val="auto"/>
              </w:rPr>
            </w:pPr>
            <w:r>
              <w:rPr>
                <w:rFonts w:ascii="Arial" w:cs="Arial" w:eastAsia="Arial" w:hAnsi="Arial"/>
                <w:sz w:val="18"/>
                <w:szCs w:val="18"/>
                <w:b w:val="1"/>
                <w:bCs w:val="1"/>
                <w:color w:val="auto"/>
              </w:rPr>
              <w:t>As of March 31, 2021</w:t>
            </w: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3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5"/>
              </w:rPr>
              <w:t>(Unaudited)</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33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b w:val="1"/>
                <w:bCs w:val="1"/>
                <w:color w:val="auto"/>
              </w:rPr>
              <w:t>Level I</w:t>
            </w:r>
          </w:p>
        </w:tc>
        <w:tc>
          <w:tcPr>
            <w:tcW w:w="220" w:type="dxa"/>
            <w:vAlign w:val="bottom"/>
          </w:tcPr>
          <w:p>
            <w:pPr>
              <w:spacing w:after="0"/>
              <w:rPr>
                <w:sz w:val="20"/>
                <w:szCs w:val="20"/>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b w:val="1"/>
                <w:bCs w:val="1"/>
                <w:color w:val="auto"/>
              </w:rPr>
              <w:t>Level II</w:t>
            </w:r>
          </w:p>
        </w:tc>
        <w:tc>
          <w:tcPr>
            <w:tcW w:w="200" w:type="dxa"/>
            <w:vAlign w:val="bottom"/>
          </w:tcPr>
          <w:p>
            <w:pPr>
              <w:spacing w:after="0"/>
              <w:rPr>
                <w:sz w:val="20"/>
                <w:szCs w:val="20"/>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Level III</w:t>
            </w:r>
          </w:p>
        </w:tc>
        <w:tc>
          <w:tcPr>
            <w:tcW w:w="140" w:type="dxa"/>
            <w:vAlign w:val="bottom"/>
          </w:tcPr>
          <w:p>
            <w:pPr>
              <w:spacing w:after="0"/>
              <w:rPr>
                <w:sz w:val="20"/>
                <w:szCs w:val="20"/>
                <w:color w:val="auto"/>
              </w:rPr>
            </w:pPr>
          </w:p>
        </w:tc>
        <w:tc>
          <w:tcPr>
            <w:tcW w:w="1100" w:type="dxa"/>
            <w:vAlign w:val="bottom"/>
            <w:gridSpan w:val="2"/>
          </w:tcPr>
          <w:p>
            <w:pPr>
              <w:ind w:left="180"/>
              <w:spacing w:after="0"/>
              <w:rPr>
                <w:sz w:val="20"/>
                <w:szCs w:val="20"/>
                <w:color w:val="auto"/>
              </w:rPr>
            </w:pPr>
            <w:r>
              <w:rPr>
                <w:rFonts w:ascii="Arial" w:cs="Arial" w:eastAsia="Arial" w:hAnsi="Arial"/>
                <w:sz w:val="18"/>
                <w:szCs w:val="18"/>
                <w:b w:val="1"/>
                <w:bCs w:val="1"/>
                <w:color w:val="auto"/>
              </w:rPr>
              <w:t>NAV</w:t>
            </w:r>
          </w:p>
        </w:tc>
        <w:tc>
          <w:tcPr>
            <w:tcW w:w="20" w:type="dxa"/>
            <w:vAlign w:val="bottom"/>
          </w:tcPr>
          <w:p>
            <w:pPr>
              <w:spacing w:after="0"/>
              <w:rPr>
                <w:sz w:val="20"/>
                <w:szCs w:val="20"/>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Total</w:t>
            </w:r>
          </w:p>
        </w:tc>
      </w:tr>
      <w:tr>
        <w:trPr>
          <w:trHeight w:val="223"/>
        </w:trPr>
        <w:tc>
          <w:tcPr>
            <w:tcW w:w="3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Debt securities</w:t>
            </w:r>
          </w:p>
        </w:tc>
        <w:tc>
          <w:tcPr>
            <w:tcW w:w="184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79,728,150</w:t>
            </w:r>
          </w:p>
        </w:tc>
        <w:tc>
          <w:tcPr>
            <w:tcW w:w="2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307,315,839</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387,043,989</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CLO Fund securities</w:t>
            </w:r>
          </w:p>
        </w:tc>
        <w:tc>
          <w:tcPr>
            <w:tcW w:w="18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16,021,434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16,021,434</w:t>
            </w:r>
          </w:p>
        </w:tc>
        <w:tc>
          <w:tcPr>
            <w:tcW w:w="100" w:type="dxa"/>
            <w:vAlign w:val="bottom"/>
          </w:tcPr>
          <w:p>
            <w:pPr>
              <w:spacing w:after="0"/>
              <w:rPr>
                <w:sz w:val="19"/>
                <w:szCs w:val="19"/>
                <w:color w:val="auto"/>
              </w:rPr>
            </w:pPr>
          </w:p>
        </w:tc>
      </w:tr>
      <w:tr>
        <w:trPr>
          <w:trHeight w:val="230"/>
        </w:trPr>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Equity securities</w:t>
            </w:r>
          </w:p>
        </w:tc>
        <w:tc>
          <w:tcPr>
            <w:tcW w:w="2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1,406,376</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13,244,653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14,651,029</w:t>
            </w:r>
          </w:p>
        </w:tc>
        <w:tc>
          <w:tcPr>
            <w:tcW w:w="100" w:type="dxa"/>
            <w:vAlign w:val="bottom"/>
            <w:shd w:val="clear" w:color="auto" w:fill="CFF0FC"/>
          </w:tcPr>
          <w:p>
            <w:pPr>
              <w:spacing w:after="0"/>
              <w:rPr>
                <w:sz w:val="19"/>
                <w:szCs w:val="19"/>
                <w:color w:val="auto"/>
              </w:rPr>
            </w:pPr>
          </w:p>
        </w:tc>
      </w:tr>
      <w:tr>
        <w:trPr>
          <w:trHeight w:val="229"/>
        </w:trPr>
        <w:tc>
          <w:tcPr>
            <w:tcW w:w="3340" w:type="dxa"/>
            <w:vAlign w:val="bottom"/>
          </w:tcPr>
          <w:p>
            <w:pPr>
              <w:spacing w:after="0"/>
              <w:rPr>
                <w:sz w:val="20"/>
                <w:szCs w:val="20"/>
                <w:color w:val="auto"/>
              </w:rPr>
            </w:pPr>
            <w:r>
              <w:rPr>
                <w:rFonts w:ascii="Arial" w:cs="Arial" w:eastAsia="Arial" w:hAnsi="Arial"/>
                <w:sz w:val="18"/>
                <w:szCs w:val="18"/>
                <w:color w:val="auto"/>
              </w:rPr>
              <w:t>Joint Ventures</w:t>
            </w:r>
          </w:p>
        </w:tc>
        <w:tc>
          <w:tcPr>
            <w:tcW w:w="18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20,539,848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36,191,108</w:t>
            </w:r>
          </w:p>
        </w:tc>
        <w:tc>
          <w:tcPr>
            <w:tcW w:w="22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56,730,956</w:t>
            </w:r>
          </w:p>
        </w:tc>
        <w:tc>
          <w:tcPr>
            <w:tcW w:w="100" w:type="dxa"/>
            <w:vAlign w:val="bottom"/>
          </w:tcPr>
          <w:p>
            <w:pPr>
              <w:spacing w:after="0"/>
              <w:rPr>
                <w:sz w:val="19"/>
                <w:szCs w:val="19"/>
                <w:color w:val="auto"/>
              </w:rPr>
            </w:pPr>
          </w:p>
        </w:tc>
      </w:tr>
      <w:tr>
        <w:trPr>
          <w:trHeight w:val="230"/>
        </w:trPr>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Derivatives</w:t>
            </w:r>
          </w:p>
        </w:tc>
        <w:tc>
          <w:tcPr>
            <w:tcW w:w="18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(1,582,963)</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(1,582,963)</w:t>
            </w:r>
          </w:p>
        </w:tc>
      </w:tr>
      <w:tr>
        <w:trPr>
          <w:trHeight w:val="223"/>
        </w:trPr>
        <w:tc>
          <w:tcPr>
            <w:tcW w:w="3340" w:type="dxa"/>
            <w:vAlign w:val="bottom"/>
          </w:tcPr>
          <w:p>
            <w:pPr>
              <w:spacing w:after="0"/>
              <w:rPr>
                <w:sz w:val="20"/>
                <w:szCs w:val="20"/>
                <w:color w:val="auto"/>
              </w:rPr>
            </w:pPr>
            <w:r>
              <w:rPr>
                <w:rFonts w:ascii="Arial" w:cs="Arial" w:eastAsia="Arial" w:hAnsi="Arial"/>
                <w:sz w:val="18"/>
                <w:szCs w:val="18"/>
                <w:color w:val="auto"/>
              </w:rPr>
              <w:t>Total</w:t>
            </w:r>
          </w:p>
        </w:tc>
        <w:tc>
          <w:tcPr>
            <w:tcW w:w="184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  1,406,376</w:t>
            </w:r>
          </w:p>
        </w:tc>
        <w:tc>
          <w:tcPr>
            <w:tcW w:w="2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$ 79,728,150</w:t>
            </w:r>
          </w:p>
        </w:tc>
        <w:tc>
          <w:tcPr>
            <w:tcW w:w="20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$ 355,538,811</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36,191,108</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$ 472,864,444</w:t>
            </w:r>
          </w:p>
        </w:tc>
        <w:tc>
          <w:tcPr>
            <w:tcW w:w="100" w:type="dxa"/>
            <w:vAlign w:val="bottom"/>
          </w:tcPr>
          <w:p>
            <w:pPr>
              <w:spacing w:after="0"/>
              <w:rPr>
                <w:sz w:val="19"/>
                <w:szCs w:val="19"/>
                <w:color w:val="auto"/>
              </w:rPr>
            </w:pPr>
          </w:p>
        </w:tc>
      </w:tr>
      <w:tr>
        <w:trPr>
          <w:trHeight w:val="20"/>
        </w:trPr>
        <w:tc>
          <w:tcPr>
            <w:tcW w:w="33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60" w:type="dxa"/>
            <w:vAlign w:val="bottom"/>
            <w:gridSpan w:val="6"/>
          </w:tcPr>
          <w:p>
            <w:pPr>
              <w:ind w:left="760"/>
              <w:spacing w:after="0"/>
              <w:rPr>
                <w:sz w:val="20"/>
                <w:szCs w:val="20"/>
                <w:color w:val="auto"/>
              </w:rPr>
            </w:pPr>
            <w:r>
              <w:rPr>
                <w:rFonts w:ascii="Arial" w:cs="Arial" w:eastAsia="Arial" w:hAnsi="Arial"/>
                <w:sz w:val="18"/>
                <w:szCs w:val="18"/>
                <w:b w:val="1"/>
                <w:bCs w:val="1"/>
                <w:color w:val="auto"/>
              </w:rPr>
              <w:t>As of December 31, 2020</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5200" w:type="dxa"/>
            <w:vAlign w:val="bottom"/>
          </w:tcPr>
          <w:p>
            <w:pPr>
              <w:spacing w:after="0"/>
              <w:rPr>
                <w:sz w:val="20"/>
                <w:szCs w:val="20"/>
                <w:color w:val="auto"/>
              </w:rPr>
            </w:pPr>
          </w:p>
        </w:tc>
        <w:tc>
          <w:tcPr>
            <w:tcW w:w="1240" w:type="dxa"/>
            <w:vAlign w:val="bottom"/>
            <w:gridSpan w:val="2"/>
          </w:tcPr>
          <w:p>
            <w:pPr>
              <w:ind w:left="240"/>
              <w:spacing w:after="0"/>
              <w:rPr>
                <w:sz w:val="20"/>
                <w:szCs w:val="20"/>
                <w:color w:val="auto"/>
              </w:rPr>
            </w:pPr>
            <w:r>
              <w:rPr>
                <w:rFonts w:ascii="Arial" w:cs="Arial" w:eastAsia="Arial" w:hAnsi="Arial"/>
                <w:sz w:val="18"/>
                <w:szCs w:val="18"/>
                <w:b w:val="1"/>
                <w:bCs w:val="1"/>
                <w:color w:val="auto"/>
              </w:rPr>
              <w:t>Level I</w:t>
            </w:r>
          </w:p>
        </w:tc>
        <w:tc>
          <w:tcPr>
            <w:tcW w:w="120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II</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Level III</w:t>
            </w:r>
          </w:p>
        </w:tc>
        <w:tc>
          <w:tcPr>
            <w:tcW w:w="1200" w:type="dxa"/>
            <w:vAlign w:val="bottom"/>
            <w:gridSpan w:val="2"/>
          </w:tcPr>
          <w:p>
            <w:pPr>
              <w:ind w:left="300"/>
              <w:spacing w:after="0"/>
              <w:rPr>
                <w:sz w:val="20"/>
                <w:szCs w:val="20"/>
                <w:color w:val="auto"/>
              </w:rPr>
            </w:pPr>
            <w:r>
              <w:rPr>
                <w:rFonts w:ascii="Arial" w:cs="Arial" w:eastAsia="Arial" w:hAnsi="Arial"/>
                <w:sz w:val="18"/>
                <w:szCs w:val="18"/>
                <w:b w:val="1"/>
                <w:bCs w:val="1"/>
                <w:color w:val="auto"/>
              </w:rPr>
              <w:t>NAV</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Total</w:t>
            </w:r>
          </w:p>
        </w:tc>
      </w:tr>
      <w:tr>
        <w:trPr>
          <w:trHeight w:val="223"/>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Debt securities</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70,615,841</w:t>
            </w:r>
          </w:p>
        </w:tc>
        <w:tc>
          <w:tcPr>
            <w:tcW w:w="2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334,245,014</w:t>
            </w:r>
          </w:p>
        </w:tc>
        <w:tc>
          <w:tcPr>
            <w:tcW w:w="22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404,860,855</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CLO Fund securities</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19,582,555</w:t>
            </w:r>
          </w:p>
        </w:tc>
        <w:tc>
          <w:tcPr>
            <w:tcW w:w="2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19,582,555</w:t>
            </w:r>
          </w:p>
        </w:tc>
        <w:tc>
          <w:tcPr>
            <w:tcW w:w="100" w:type="dxa"/>
            <w:vAlign w:val="bottom"/>
          </w:tcPr>
          <w:p>
            <w:pPr>
              <w:spacing w:after="0"/>
              <w:rPr>
                <w:sz w:val="19"/>
                <w:szCs w:val="19"/>
                <w:color w:val="auto"/>
              </w:rPr>
            </w:pPr>
          </w:p>
        </w:tc>
      </w:tr>
      <w:tr>
        <w:trPr>
          <w:trHeight w:val="229"/>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Equity securities</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1,407,907</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12,536,969</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13,944,876</w:t>
            </w:r>
          </w:p>
        </w:tc>
        <w:tc>
          <w:tcPr>
            <w:tcW w:w="100" w:type="dxa"/>
            <w:vAlign w:val="bottom"/>
            <w:shd w:val="clear" w:color="auto" w:fill="CFF0FC"/>
          </w:tcPr>
          <w:p>
            <w:pPr>
              <w:spacing w:after="0"/>
              <w:rPr>
                <w:sz w:val="19"/>
                <w:szCs w:val="19"/>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Joint Ventures</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19,748,808</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29,600,355</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49,349,163</w:t>
            </w:r>
          </w:p>
        </w:tc>
        <w:tc>
          <w:tcPr>
            <w:tcW w:w="100" w:type="dxa"/>
            <w:vAlign w:val="bottom"/>
          </w:tcPr>
          <w:p>
            <w:pPr>
              <w:spacing w:after="0"/>
              <w:rPr>
                <w:sz w:val="19"/>
                <w:szCs w:val="19"/>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Derivatives</w:t>
            </w: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(1,108,618)</w:t>
            </w: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(1,108,618)</w:t>
            </w:r>
          </w:p>
        </w:tc>
      </w:tr>
      <w:tr>
        <w:trPr>
          <w:trHeight w:val="223"/>
        </w:trPr>
        <w:tc>
          <w:tcPr>
            <w:tcW w:w="5200" w:type="dxa"/>
            <w:vAlign w:val="bottom"/>
          </w:tcPr>
          <w:p>
            <w:pPr>
              <w:spacing w:after="0"/>
              <w:rPr>
                <w:sz w:val="20"/>
                <w:szCs w:val="20"/>
                <w:color w:val="auto"/>
              </w:rPr>
            </w:pPr>
            <w:r>
              <w:rPr>
                <w:rFonts w:ascii="Arial" w:cs="Arial" w:eastAsia="Arial" w:hAnsi="Arial"/>
                <w:sz w:val="18"/>
                <w:szCs w:val="18"/>
                <w:color w:val="auto"/>
              </w:rPr>
              <w:t>Total</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   1,407,907</w:t>
            </w:r>
          </w:p>
        </w:tc>
        <w:tc>
          <w:tcPr>
            <w:tcW w:w="2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$ 70,615,841</w:t>
            </w:r>
          </w:p>
        </w:tc>
        <w:tc>
          <w:tcPr>
            <w:tcW w:w="20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$ 385,004,728</w:t>
            </w:r>
          </w:p>
        </w:tc>
        <w:tc>
          <w:tcPr>
            <w:tcW w:w="22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$ 29,600,355</w:t>
            </w:r>
          </w:p>
        </w:tc>
        <w:tc>
          <w:tcPr>
            <w:tcW w:w="22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$ 486,628,831</w:t>
            </w:r>
          </w:p>
        </w:tc>
        <w:tc>
          <w:tcPr>
            <w:tcW w:w="100" w:type="dxa"/>
            <w:vAlign w:val="bottom"/>
          </w:tcPr>
          <w:p>
            <w:pPr>
              <w:spacing w:after="0"/>
              <w:rPr>
                <w:sz w:val="19"/>
                <w:szCs w:val="19"/>
                <w:color w:val="auto"/>
              </w:rPr>
            </w:pPr>
          </w:p>
        </w:tc>
      </w:tr>
      <w:tr>
        <w:trPr>
          <w:trHeight w:val="20"/>
        </w:trPr>
        <w:tc>
          <w:tcPr>
            <w:tcW w:w="5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374"/>
        <w:spacing w:after="0" w:line="259" w:lineRule="auto"/>
        <w:rPr>
          <w:sz w:val="20"/>
          <w:szCs w:val="20"/>
          <w:color w:val="auto"/>
        </w:rPr>
      </w:pPr>
      <w:r>
        <w:rPr>
          <w:rFonts w:ascii="Arial" w:cs="Arial" w:eastAsia="Arial" w:hAnsi="Arial"/>
          <w:sz w:val="18"/>
          <w:szCs w:val="18"/>
          <w:color w:val="auto"/>
        </w:rPr>
        <w:t>As a BDC, the Company is required to invest primarily in the debt and equity of non-public companies for which there is little, if any, market-observable information. As a result, a significant portion of the Company’s investments at any given time will likely be Level III investments. Investment values derived by a third-party pricing service are generally deemed to be Level III values. For those that have observable trades, the Company considers them to be Level II.</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57" w:name="page58"/>
    <w:bookmarkEnd w:id="57"/>
    <w:p>
      <w:pPr>
        <w:ind w:right="300" w:firstLine="374"/>
        <w:spacing w:after="0" w:line="277" w:lineRule="auto"/>
        <w:rPr>
          <w:sz w:val="20"/>
          <w:szCs w:val="20"/>
          <w:color w:val="auto"/>
        </w:rPr>
      </w:pPr>
      <w:r>
        <w:rPr>
          <w:rFonts w:ascii="Arial" w:cs="Arial" w:eastAsia="Arial" w:hAnsi="Arial"/>
          <w:sz w:val="18"/>
          <w:szCs w:val="18"/>
          <w:color w:val="auto"/>
        </w:rPr>
        <w:t>The fair value of the Company’s investment in the BCP Great Lakes Partnership at March 31, 2021 and December 31, 2020 was $29.6 million and $23.8 million. Fair value has been determined utilizing the practical expedient pursuant to ASC 820-10.</w:t>
      </w:r>
    </w:p>
    <w:p>
      <w:pPr>
        <w:spacing w:after="0" w:line="143" w:lineRule="exact"/>
        <w:rPr>
          <w:sz w:val="20"/>
          <w:szCs w:val="20"/>
          <w:color w:val="auto"/>
        </w:rPr>
      </w:pPr>
    </w:p>
    <w:p>
      <w:pPr>
        <w:ind w:right="100" w:firstLine="374"/>
        <w:spacing w:after="0" w:line="296" w:lineRule="auto"/>
        <w:rPr>
          <w:sz w:val="20"/>
          <w:szCs w:val="20"/>
          <w:color w:val="auto"/>
        </w:rPr>
      </w:pPr>
      <w:r>
        <w:rPr>
          <w:rFonts w:ascii="Arial" w:cs="Arial" w:eastAsia="Arial" w:hAnsi="Arial"/>
          <w:sz w:val="16"/>
          <w:szCs w:val="16"/>
          <w:color w:val="auto"/>
        </w:rPr>
        <w:t>Subject to the limitations noted above, values derived for debt and equity securities using comparable public/private companies generally utilize market-observable data from such comparables and specific, non-public and non-observable financial measures (such as earnings or cash flows) for the private, underlying company/issuer. Such non-observable company/issuer data is typically provided on a monthly or quarterly basis, is certified as correct by the management of the company/issuer and/or audited by an independent accounting firm on an annual basis. Since such private company/issuer data is not publicly available it is not deemed market-observable data and, as a result, such investment values are grouped as Level III assets.</w:t>
      </w:r>
    </w:p>
    <w:p>
      <w:pPr>
        <w:spacing w:after="0" w:line="121" w:lineRule="exact"/>
        <w:rPr>
          <w:sz w:val="20"/>
          <w:szCs w:val="20"/>
          <w:color w:val="auto"/>
        </w:rPr>
      </w:pPr>
    </w:p>
    <w:p>
      <w:pPr>
        <w:ind w:right="120" w:firstLine="374"/>
        <w:spacing w:after="0" w:line="259" w:lineRule="auto"/>
        <w:rPr>
          <w:sz w:val="20"/>
          <w:szCs w:val="20"/>
          <w:color w:val="auto"/>
        </w:rPr>
      </w:pPr>
      <w:r>
        <w:rPr>
          <w:rFonts w:ascii="Arial" w:cs="Arial" w:eastAsia="Arial" w:hAnsi="Arial"/>
          <w:sz w:val="18"/>
          <w:szCs w:val="18"/>
          <w:color w:val="auto"/>
        </w:rPr>
        <w:t>The Company’s policy for determining transfers between levels is based solely on the previously defined three-level hierarchy for fair value measurement. Transfers between the levels of the fair value hierarchy are separately noted in the tables below and the reason for such transfer described in each table’s respective footnotes. Certain information relating to investments measured at fair value for which the Company has used unobservable inputs to determine fair value is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5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8"/>
          </w:tcPr>
          <w:p>
            <w:pPr>
              <w:ind w:left="120"/>
              <w:spacing w:after="0"/>
              <w:rPr>
                <w:sz w:val="20"/>
                <w:szCs w:val="20"/>
                <w:color w:val="auto"/>
              </w:rPr>
            </w:pPr>
            <w:r>
              <w:rPr>
                <w:rFonts w:ascii="Arial" w:cs="Arial" w:eastAsia="Arial" w:hAnsi="Arial"/>
                <w:sz w:val="16"/>
                <w:szCs w:val="16"/>
                <w:b w:val="1"/>
                <w:bCs w:val="1"/>
                <w:color w:val="auto"/>
              </w:rPr>
              <w:t>Three Months Ended March 31, 2021</w:t>
            </w:r>
          </w:p>
        </w:tc>
        <w:tc>
          <w:tcPr>
            <w:tcW w:w="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7"/>
              </w:rPr>
              <w:t>Asset</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Debt</w:t>
            </w:r>
          </w:p>
        </w:tc>
        <w:tc>
          <w:tcPr>
            <w:tcW w:w="80" w:type="dxa"/>
            <w:vAlign w:val="bottom"/>
          </w:tcPr>
          <w:p>
            <w:pPr>
              <w:spacing w:after="0"/>
              <w:rPr>
                <w:sz w:val="17"/>
                <w:szCs w:val="17"/>
                <w:color w:val="auto"/>
              </w:rPr>
            </w:pPr>
          </w:p>
        </w:tc>
        <w:tc>
          <w:tcPr>
            <w:tcW w:w="1120" w:type="dxa"/>
            <w:vAlign w:val="bottom"/>
            <w:gridSpan w:val="3"/>
          </w:tcPr>
          <w:p>
            <w:pPr>
              <w:jc w:val="right"/>
              <w:ind w:right="280"/>
              <w:spacing w:after="0"/>
              <w:rPr>
                <w:sz w:val="20"/>
                <w:szCs w:val="20"/>
                <w:color w:val="auto"/>
              </w:rPr>
            </w:pPr>
            <w:r>
              <w:rPr>
                <w:rFonts w:ascii="Arial" w:cs="Arial" w:eastAsia="Arial" w:hAnsi="Arial"/>
                <w:sz w:val="16"/>
                <w:szCs w:val="16"/>
                <w:b w:val="1"/>
                <w:bCs w:val="1"/>
                <w:color w:val="auto"/>
              </w:rPr>
              <w:t>CLO Fund</w:t>
            </w:r>
          </w:p>
        </w:tc>
        <w:tc>
          <w:tcPr>
            <w:tcW w:w="100" w:type="dxa"/>
            <w:vAlign w:val="bottom"/>
          </w:tcPr>
          <w:p>
            <w:pPr>
              <w:spacing w:after="0"/>
              <w:rPr>
                <w:sz w:val="17"/>
                <w:szCs w:val="17"/>
                <w:color w:val="auto"/>
              </w:rPr>
            </w:pPr>
          </w:p>
        </w:tc>
        <w:tc>
          <w:tcPr>
            <w:tcW w:w="940" w:type="dxa"/>
            <w:vAlign w:val="bottom"/>
            <w:gridSpan w:val="2"/>
          </w:tcPr>
          <w:p>
            <w:pPr>
              <w:ind w:left="120"/>
              <w:spacing w:after="0"/>
              <w:rPr>
                <w:sz w:val="20"/>
                <w:szCs w:val="20"/>
                <w:color w:val="auto"/>
              </w:rPr>
            </w:pPr>
            <w:r>
              <w:rPr>
                <w:rFonts w:ascii="Arial" w:cs="Arial" w:eastAsia="Arial" w:hAnsi="Arial"/>
                <w:sz w:val="16"/>
                <w:szCs w:val="16"/>
                <w:b w:val="1"/>
                <w:bCs w:val="1"/>
                <w:color w:val="auto"/>
              </w:rPr>
              <w:t>Equity</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4"/>
              </w:rPr>
              <w:t>Manager</w:t>
            </w:r>
          </w:p>
        </w:tc>
        <w:tc>
          <w:tcPr>
            <w:tcW w:w="120" w:type="dxa"/>
            <w:vAlign w:val="bottom"/>
          </w:tcPr>
          <w:p>
            <w:pPr>
              <w:spacing w:after="0"/>
              <w:rPr>
                <w:sz w:val="17"/>
                <w:szCs w:val="17"/>
                <w:color w:val="auto"/>
              </w:rPr>
            </w:pPr>
          </w:p>
        </w:tc>
        <w:tc>
          <w:tcPr>
            <w:tcW w:w="800" w:type="dxa"/>
            <w:vAlign w:val="bottom"/>
          </w:tcPr>
          <w:p>
            <w:pPr>
              <w:jc w:val="right"/>
              <w:ind w:right="219"/>
              <w:spacing w:after="0"/>
              <w:rPr>
                <w:sz w:val="20"/>
                <w:szCs w:val="20"/>
                <w:color w:val="auto"/>
              </w:rPr>
            </w:pPr>
            <w:r>
              <w:rPr>
                <w:rFonts w:ascii="Arial" w:cs="Arial" w:eastAsia="Arial" w:hAnsi="Arial"/>
                <w:sz w:val="16"/>
                <w:szCs w:val="16"/>
                <w:b w:val="1"/>
                <w:bCs w:val="1"/>
                <w:color w:val="auto"/>
              </w:rPr>
              <w:t>Joint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5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8"/>
              </w:rPr>
              <w:t>Securities</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6"/>
              </w:rPr>
              <w:t>Securities</w:t>
            </w:r>
          </w:p>
        </w:tc>
        <w:tc>
          <w:tcPr>
            <w:tcW w:w="2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6"/>
              </w:rPr>
              <w:t>Securities</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8"/>
              </w:rPr>
              <w:t>Affiliate</w:t>
            </w:r>
          </w:p>
        </w:tc>
        <w:tc>
          <w:tcPr>
            <w:tcW w:w="2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90"/>
              </w:rPr>
              <w:t>Ventures</w:t>
            </w:r>
          </w:p>
        </w:tc>
        <w:tc>
          <w:tcPr>
            <w:tcW w:w="180" w:type="dxa"/>
            <w:vAlign w:val="bottom"/>
            <w:tcBorders>
              <w:bottom w:val="single" w:sz="8" w:color="CFF0FC"/>
            </w:tcBorders>
          </w:tcPr>
          <w:p>
            <w:pPr>
              <w:spacing w:after="0"/>
              <w:rPr>
                <w:sz w:val="18"/>
                <w:szCs w:val="18"/>
                <w:color w:val="auto"/>
              </w:rPr>
            </w:pPr>
          </w:p>
        </w:tc>
        <w:tc>
          <w:tcPr>
            <w:tcW w:w="82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w w:val="93"/>
              </w:rPr>
              <w:t>Derivatives</w:t>
            </w:r>
          </w:p>
        </w:tc>
        <w:tc>
          <w:tcPr>
            <w:tcW w:w="2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8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6"/>
                <w:szCs w:val="16"/>
                <w:color w:val="auto"/>
              </w:rPr>
              <w:t>Balance, December 31, 2020</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334,245,014</w:t>
            </w:r>
          </w:p>
        </w:tc>
        <w:tc>
          <w:tcPr>
            <w:tcW w:w="12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7"/>
              </w:rPr>
              <w:t>19,582,555</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7"/>
              </w:rPr>
              <w:t>12,536,969</w:t>
            </w:r>
          </w:p>
        </w:tc>
        <w:tc>
          <w:tcPr>
            <w:tcW w:w="12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FF0FC"/>
          </w:tcPr>
          <w:p>
            <w:pPr>
              <w:ind w:left="6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4"/>
              </w:rPr>
              <w:t>19,748,808</w:t>
            </w:r>
          </w:p>
        </w:tc>
        <w:tc>
          <w:tcPr>
            <w:tcW w:w="260" w:type="dxa"/>
            <w:vAlign w:val="bottom"/>
            <w:gridSpan w:val="2"/>
            <w:shd w:val="clear" w:color="auto" w:fill="CFF0FC"/>
          </w:tcPr>
          <w:p>
            <w:pPr>
              <w:ind w:left="180"/>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w w:val="95"/>
              </w:rPr>
              <w:t>(1,108,618)</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385,004,728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Transfers out of Level III¹</w:t>
            </w: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w w:val="96"/>
              </w:rPr>
              <w:t>(14,475,066)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w w:val="94"/>
              </w:rPr>
              <w:t>(14,475,066)</w:t>
            </w:r>
          </w:p>
        </w:tc>
        <w:tc>
          <w:tcPr>
            <w:tcW w:w="0" w:type="dxa"/>
            <w:vAlign w:val="bottom"/>
          </w:tcPr>
          <w:p>
            <w:pPr>
              <w:spacing w:after="0"/>
              <w:rPr>
                <w:sz w:val="1"/>
                <w:szCs w:val="1"/>
                <w:color w:val="auto"/>
              </w:rPr>
            </w:pPr>
          </w:p>
        </w:tc>
      </w:tr>
      <w:tr>
        <w:trPr>
          <w:trHeight w:val="219"/>
        </w:trPr>
        <w:tc>
          <w:tcPr>
            <w:tcW w:w="358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6"/>
                <w:szCs w:val="16"/>
                <w:color w:val="auto"/>
              </w:rPr>
              <w:t>Transfers into Level III²</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7,493,120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ind w:left="6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7,493,120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Net accretion</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4,737,275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617,256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5,354,531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8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6"/>
                <w:szCs w:val="16"/>
                <w:color w:val="auto"/>
              </w:rPr>
              <w:t>Purchases</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30,243,992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ind w:left="6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30,243,992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rPr>
              <w:t>Sales/Paydowns/Return of Capital</w:t>
            </w: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w w:val="96"/>
              </w:rPr>
              <w:t>(54,152,294)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(5,757,044)</w:t>
            </w: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(569,791)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(440,000)</w:t>
            </w: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w w:val="94"/>
              </w:rPr>
              <w:t>(60,919,130)</w:t>
            </w:r>
          </w:p>
        </w:tc>
        <w:tc>
          <w:tcPr>
            <w:tcW w:w="0" w:type="dxa"/>
            <w:vAlign w:val="bottom"/>
          </w:tcPr>
          <w:p>
            <w:pPr>
              <w:spacing w:after="0"/>
              <w:rPr>
                <w:sz w:val="1"/>
                <w:szCs w:val="1"/>
                <w:color w:val="auto"/>
              </w:rPr>
            </w:pPr>
          </w:p>
        </w:tc>
      </w:tr>
      <w:tr>
        <w:trPr>
          <w:trHeight w:val="219"/>
        </w:trPr>
        <w:tc>
          <w:tcPr>
            <w:tcW w:w="358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 realized gain (loss) included in earnings</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1,272,312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(5,323,484)</w:t>
            </w: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(73,100)</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ind w:left="6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440,000</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(3,684,272)</w:t>
            </w:r>
          </w:p>
        </w:tc>
        <w:tc>
          <w:tcPr>
            <w:tcW w:w="0" w:type="dxa"/>
            <w:vAlign w:val="bottom"/>
          </w:tcPr>
          <w:p>
            <w:pPr>
              <w:spacing w:after="0"/>
              <w:rPr>
                <w:sz w:val="1"/>
                <w:szCs w:val="1"/>
                <w:color w:val="auto"/>
              </w:rPr>
            </w:pPr>
          </w:p>
        </w:tc>
      </w:tr>
      <w:tr>
        <w:trPr>
          <w:trHeight w:val="213"/>
        </w:trPr>
        <w:tc>
          <w:tcPr>
            <w:tcW w:w="3580" w:type="dxa"/>
            <w:vAlign w:val="bottom"/>
          </w:tcPr>
          <w:p>
            <w:pPr>
              <w:spacing w:after="0"/>
              <w:rPr>
                <w:sz w:val="20"/>
                <w:szCs w:val="20"/>
                <w:color w:val="auto"/>
              </w:rPr>
            </w:pPr>
            <w:r>
              <w:rPr>
                <w:rFonts w:ascii="Arial" w:cs="Arial" w:eastAsia="Arial" w:hAnsi="Arial"/>
                <w:sz w:val="16"/>
                <w:szCs w:val="16"/>
                <w:color w:val="auto"/>
                <w:w w:val="94"/>
              </w:rPr>
              <w:t>Change in unrealized gain (loss) included in earnings</w:t>
            </w: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(2,048,514)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6,902,151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1,350,576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791,040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(474,345)</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6,520,907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80" w:type="dxa"/>
            <w:vAlign w:val="bottom"/>
            <w:tcBorders>
              <w:right w:val="single" w:sz="8" w:color="CFF0FC"/>
            </w:tcBorders>
            <w:vMerge w:val="restart"/>
            <w:shd w:val="clear" w:color="auto" w:fill="CFF0FC"/>
          </w:tcPr>
          <w:p>
            <w:pPr>
              <w:spacing w:after="0"/>
              <w:rPr>
                <w:sz w:val="20"/>
                <w:szCs w:val="20"/>
                <w:color w:val="auto"/>
              </w:rPr>
            </w:pPr>
            <w:r>
              <w:rPr>
                <w:rFonts w:ascii="Arial" w:cs="Arial" w:eastAsia="Arial" w:hAnsi="Arial"/>
                <w:sz w:val="16"/>
                <w:szCs w:val="16"/>
                <w:color w:val="auto"/>
              </w:rPr>
              <w:t>Balance, March 31, 2021</w:t>
            </w: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80" w:type="dxa"/>
            <w:vAlign w:val="bottom"/>
            <w:tcBorders>
              <w:right w:val="single" w:sz="8" w:color="CFF0FC"/>
            </w:tcBorders>
            <w:vMerge w:val="continue"/>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307,315,839</w:t>
            </w:r>
          </w:p>
        </w:tc>
        <w:tc>
          <w:tcPr>
            <w:tcW w:w="12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7"/>
              </w:rPr>
              <w:t>16,021,434</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7"/>
              </w:rPr>
              <w:t>13,244,653</w:t>
            </w:r>
          </w:p>
        </w:tc>
        <w:tc>
          <w:tcPr>
            <w:tcW w:w="12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FF0FC"/>
          </w:tcPr>
          <w:p>
            <w:pPr>
              <w:ind w:left="6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4"/>
              </w:rPr>
              <w:t>20,539,848</w:t>
            </w:r>
          </w:p>
        </w:tc>
        <w:tc>
          <w:tcPr>
            <w:tcW w:w="260" w:type="dxa"/>
            <w:vAlign w:val="bottom"/>
            <w:gridSpan w:val="2"/>
            <w:shd w:val="clear" w:color="auto" w:fill="CFF0FC"/>
          </w:tcPr>
          <w:p>
            <w:pPr>
              <w:ind w:left="180"/>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w w:val="95"/>
              </w:rPr>
              <w:t>(1,582,962)</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355,538,811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color w:val="auto"/>
              </w:rPr>
              <w:t>Changes in unrealized gains (losses) included in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5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580" w:type="dxa"/>
            <w:vAlign w:val="bottom"/>
          </w:tcPr>
          <w:p>
            <w:pPr>
              <w:spacing w:after="0"/>
              <w:rPr>
                <w:sz w:val="20"/>
                <w:szCs w:val="20"/>
                <w:color w:val="auto"/>
              </w:rPr>
            </w:pPr>
            <w:r>
              <w:rPr>
                <w:rFonts w:ascii="Arial" w:cs="Arial" w:eastAsia="Arial" w:hAnsi="Arial"/>
                <w:sz w:val="16"/>
                <w:szCs w:val="16"/>
                <w:color w:val="auto"/>
                <w:w w:val="95"/>
              </w:rPr>
              <w:t>earnings related to investments still held at reporting</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580" w:type="dxa"/>
            <w:vAlign w:val="bottom"/>
          </w:tcPr>
          <w:p>
            <w:pPr>
              <w:spacing w:after="0"/>
              <w:rPr>
                <w:sz w:val="20"/>
                <w:szCs w:val="20"/>
                <w:color w:val="auto"/>
              </w:rPr>
            </w:pPr>
            <w:r>
              <w:rPr>
                <w:rFonts w:ascii="Arial" w:cs="Arial" w:eastAsia="Arial" w:hAnsi="Arial"/>
                <w:sz w:val="16"/>
                <w:szCs w:val="16"/>
                <w:color w:val="auto"/>
              </w:rPr>
              <w:t>date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4,528,168</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6,902,151</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1,350,576</w:t>
            </w:r>
          </w:p>
        </w:tc>
        <w:tc>
          <w:tcPr>
            <w:tcW w:w="12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2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791,040</w:t>
            </w:r>
          </w:p>
        </w:tc>
        <w:tc>
          <w:tcPr>
            <w:tcW w:w="260" w:type="dxa"/>
            <w:vAlign w:val="bottom"/>
            <w:gridSpan w:val="2"/>
          </w:tcPr>
          <w:p>
            <w:pPr>
              <w:ind w:left="180"/>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(474,345)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w w:val="99"/>
              </w:rPr>
              <w:t>13,097,590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hanging="372"/>
        <w:spacing w:after="0"/>
        <w:tabs>
          <w:tab w:leader="none" w:pos="380" w:val="left"/>
        </w:tabs>
        <w:numPr>
          <w:ilvl w:val="0"/>
          <w:numId w:val="54"/>
        </w:numPr>
        <w:rPr>
          <w:rFonts w:ascii="Arial" w:cs="Arial" w:eastAsia="Arial" w:hAnsi="Arial"/>
          <w:sz w:val="14"/>
          <w:szCs w:val="14"/>
          <w:color w:val="auto"/>
        </w:rPr>
      </w:pPr>
      <w:r>
        <w:rPr>
          <w:rFonts w:ascii="Arial" w:cs="Arial" w:eastAsia="Arial" w:hAnsi="Arial"/>
          <w:sz w:val="17"/>
          <w:szCs w:val="17"/>
          <w:color w:val="auto"/>
        </w:rPr>
        <w:t>Transfers out of Level III represent a transfer of $14.5 million relating to debt securities for which pricing inputs, other than their quoted prices in</w:t>
      </w:r>
    </w:p>
    <w:p>
      <w:pPr>
        <w:spacing w:after="0" w:line="3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active markets were observable as of March 31, 2021.</w:t>
      </w:r>
    </w:p>
    <w:p>
      <w:pPr>
        <w:spacing w:after="0" w:line="8" w:lineRule="exact"/>
        <w:rPr>
          <w:sz w:val="20"/>
          <w:szCs w:val="20"/>
          <w:color w:val="auto"/>
        </w:rPr>
      </w:pPr>
    </w:p>
    <w:p>
      <w:pPr>
        <w:ind w:left="380" w:right="160" w:hanging="372"/>
        <w:spacing w:after="0" w:line="262" w:lineRule="auto"/>
        <w:tabs>
          <w:tab w:leader="none" w:pos="380" w:val="left"/>
        </w:tabs>
        <w:numPr>
          <w:ilvl w:val="0"/>
          <w:numId w:val="55"/>
        </w:numPr>
        <w:rPr>
          <w:rFonts w:ascii="Arial" w:cs="Arial" w:eastAsia="Arial" w:hAnsi="Arial"/>
          <w:sz w:val="15"/>
          <w:szCs w:val="15"/>
          <w:color w:val="auto"/>
        </w:rPr>
      </w:pPr>
      <w:r>
        <w:rPr>
          <w:rFonts w:ascii="Arial" w:cs="Arial" w:eastAsia="Arial" w:hAnsi="Arial"/>
          <w:sz w:val="18"/>
          <w:szCs w:val="18"/>
          <w:color w:val="auto"/>
        </w:rPr>
        <w:t>Transfers into Level III represent a transfer of $7.5 million relating to debt securities for which pricing inputs, other than their quoted prices in active markets were unobservable as of March 31, 2021.</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8"/>
          </w:tcPr>
          <w:p>
            <w:pPr>
              <w:jc w:val="right"/>
              <w:ind w:right="540"/>
              <w:spacing w:after="0"/>
              <w:rPr>
                <w:sz w:val="20"/>
                <w:szCs w:val="20"/>
                <w:color w:val="auto"/>
              </w:rPr>
            </w:pPr>
            <w:r>
              <w:rPr>
                <w:rFonts w:ascii="Arial" w:cs="Arial" w:eastAsia="Arial" w:hAnsi="Arial"/>
                <w:sz w:val="18"/>
                <w:szCs w:val="18"/>
                <w:b w:val="1"/>
                <w:bCs w:val="1"/>
                <w:color w:val="auto"/>
                <w:w w:val="95"/>
              </w:rPr>
              <w:t>Year Ended December 31, 2020</w:t>
            </w: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3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center"/>
              <w:ind w:right="71"/>
              <w:spacing w:after="0" w:line="205" w:lineRule="exact"/>
              <w:rPr>
                <w:sz w:val="20"/>
                <w:szCs w:val="20"/>
                <w:color w:val="auto"/>
              </w:rPr>
            </w:pPr>
            <w:r>
              <w:rPr>
                <w:rFonts w:ascii="Arial" w:cs="Arial" w:eastAsia="Arial" w:hAnsi="Arial"/>
                <w:sz w:val="18"/>
                <w:szCs w:val="18"/>
                <w:b w:val="1"/>
                <w:bCs w:val="1"/>
                <w:color w:val="auto"/>
                <w:w w:val="81"/>
              </w:rPr>
              <w:t>Asset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Debt</w:t>
            </w:r>
          </w:p>
        </w:tc>
        <w:tc>
          <w:tcPr>
            <w:tcW w:w="1100" w:type="dxa"/>
            <w:vAlign w:val="bottom"/>
            <w:gridSpan w:val="3"/>
          </w:tcPr>
          <w:p>
            <w:pPr>
              <w:ind w:left="60"/>
              <w:spacing w:after="0"/>
              <w:rPr>
                <w:sz w:val="20"/>
                <w:szCs w:val="20"/>
                <w:color w:val="auto"/>
              </w:rPr>
            </w:pPr>
            <w:r>
              <w:rPr>
                <w:rFonts w:ascii="Arial" w:cs="Arial" w:eastAsia="Arial" w:hAnsi="Arial"/>
                <w:sz w:val="18"/>
                <w:szCs w:val="18"/>
                <w:b w:val="1"/>
                <w:bCs w:val="1"/>
                <w:color w:val="auto"/>
              </w:rPr>
              <w:t>CLO Fund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Equity</w:t>
            </w:r>
          </w:p>
        </w:tc>
        <w:tc>
          <w:tcPr>
            <w:tcW w:w="7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Manager</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Joint</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0"/>
              </w:rPr>
              <w:t>Securities</w:t>
            </w:r>
          </w:p>
        </w:tc>
        <w:tc>
          <w:tcPr>
            <w:tcW w:w="10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5"/>
              </w:rPr>
              <w:t>Securities</w:t>
            </w:r>
          </w:p>
        </w:tc>
        <w:tc>
          <w:tcPr>
            <w:tcW w:w="60" w:type="dxa"/>
            <w:vAlign w:val="bottom"/>
          </w:tcPr>
          <w:p>
            <w:pPr>
              <w:spacing w:after="0"/>
              <w:rPr>
                <w:sz w:val="20"/>
                <w:szCs w:val="20"/>
                <w:color w:val="auto"/>
              </w:rPr>
            </w:pPr>
          </w:p>
        </w:tc>
        <w:tc>
          <w:tcPr>
            <w:tcW w:w="1120" w:type="dxa"/>
            <w:vAlign w:val="bottom"/>
            <w:gridSpan w:val="3"/>
          </w:tcPr>
          <w:p>
            <w:pPr>
              <w:ind w:left="80"/>
              <w:spacing w:after="0"/>
              <w:rPr>
                <w:sz w:val="20"/>
                <w:szCs w:val="20"/>
                <w:color w:val="auto"/>
              </w:rPr>
            </w:pPr>
            <w:r>
              <w:rPr>
                <w:rFonts w:ascii="Arial" w:cs="Arial" w:eastAsia="Arial" w:hAnsi="Arial"/>
                <w:sz w:val="18"/>
                <w:szCs w:val="18"/>
                <w:b w:val="1"/>
                <w:bCs w:val="1"/>
                <w:color w:val="auto"/>
              </w:rPr>
              <w:t>Securities</w:t>
            </w:r>
          </w:p>
        </w:tc>
        <w:tc>
          <w:tcPr>
            <w:tcW w:w="7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6"/>
              </w:rPr>
              <w:t>Affiliate</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8"/>
              </w:rPr>
              <w:t>Ventures</w:t>
            </w:r>
          </w:p>
        </w:tc>
        <w:tc>
          <w:tcPr>
            <w:tcW w:w="1100" w:type="dxa"/>
            <w:vAlign w:val="bottom"/>
            <w:gridSpan w:val="3"/>
          </w:tcPr>
          <w:p>
            <w:pPr>
              <w:jc w:val="right"/>
              <w:ind w:right="141"/>
              <w:spacing w:after="0"/>
              <w:rPr>
                <w:sz w:val="20"/>
                <w:szCs w:val="20"/>
                <w:color w:val="auto"/>
              </w:rPr>
            </w:pPr>
            <w:r>
              <w:rPr>
                <w:rFonts w:ascii="Arial" w:cs="Arial" w:eastAsia="Arial" w:hAnsi="Arial"/>
                <w:sz w:val="18"/>
                <w:szCs w:val="18"/>
                <w:b w:val="1"/>
                <w:bCs w:val="1"/>
                <w:color w:val="auto"/>
                <w:w w:val="89"/>
              </w:rPr>
              <w:t>Derivatives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3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December 31, 2019</w:t>
            </w:r>
          </w:p>
        </w:tc>
        <w:tc>
          <w:tcPr>
            <w:tcW w:w="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148,382,726</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31,968,202</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9,864,419</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21,307,899</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(33,437)</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211,489,810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40" w:type="dxa"/>
            <w:vAlign w:val="bottom"/>
          </w:tcPr>
          <w:p>
            <w:pPr>
              <w:spacing w:after="0"/>
              <w:rPr>
                <w:sz w:val="20"/>
                <w:szCs w:val="20"/>
                <w:color w:val="auto"/>
              </w:rPr>
            </w:pPr>
            <w:r>
              <w:rPr>
                <w:rFonts w:ascii="Arial" w:cs="Arial" w:eastAsia="Arial" w:hAnsi="Arial"/>
                <w:sz w:val="18"/>
                <w:szCs w:val="18"/>
                <w:color w:val="auto"/>
              </w:rPr>
              <w:t>Transfers out of Level III¹</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(5,522,415)</w:t>
            </w:r>
          </w:p>
        </w:tc>
        <w:tc>
          <w:tcPr>
            <w:tcW w:w="10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(5,522,415)</w:t>
            </w:r>
          </w:p>
        </w:tc>
        <w:tc>
          <w:tcPr>
            <w:tcW w:w="0" w:type="dxa"/>
            <w:vAlign w:val="bottom"/>
          </w:tcPr>
          <w:p>
            <w:pPr>
              <w:spacing w:after="0"/>
              <w:rPr>
                <w:sz w:val="1"/>
                <w:szCs w:val="1"/>
                <w:color w:val="auto"/>
              </w:rPr>
            </w:pPr>
          </w:p>
        </w:tc>
      </w:tr>
      <w:tr>
        <w:trPr>
          <w:trHeight w:val="230"/>
        </w:trPr>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Transfers into Level III²</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5,292,441</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5,292,441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Net accretion</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7,414,985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3,541,296</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10,956,281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Purchases</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297,330,176</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3,529,804</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300,859,980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40" w:type="dxa"/>
            <w:vAlign w:val="bottom"/>
          </w:tcPr>
          <w:p>
            <w:pPr>
              <w:spacing w:after="0"/>
              <w:rPr>
                <w:sz w:val="20"/>
                <w:szCs w:val="20"/>
                <w:color w:val="auto"/>
              </w:rPr>
            </w:pPr>
            <w:r>
              <w:rPr>
                <w:rFonts w:ascii="Arial" w:cs="Arial" w:eastAsia="Arial" w:hAnsi="Arial"/>
                <w:sz w:val="18"/>
                <w:szCs w:val="18"/>
                <w:color w:val="auto"/>
              </w:rPr>
              <w:t>Sales/Paydowns/Return of Capital</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(100,652,817)</w:t>
            </w:r>
          </w:p>
        </w:tc>
        <w:tc>
          <w:tcPr>
            <w:tcW w:w="10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(4,432,200)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(1,515,936)</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0" w:type="dxa"/>
            <w:vAlign w:val="bottom"/>
            <w:gridSpan w:val="2"/>
          </w:tcPr>
          <w:p>
            <w:pPr>
              <w:jc w:val="right"/>
              <w:ind w:right="61"/>
              <w:spacing w:after="0"/>
              <w:rPr>
                <w:sz w:val="20"/>
                <w:szCs w:val="20"/>
                <w:color w:val="auto"/>
              </w:rPr>
            </w:pPr>
            <w:r>
              <w:rPr>
                <w:rFonts w:ascii="Arial" w:cs="Arial" w:eastAsia="Arial" w:hAnsi="Arial"/>
                <w:sz w:val="18"/>
                <w:szCs w:val="18"/>
                <w:color w:val="auto"/>
              </w:rPr>
              <w:t>(976,968)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(107,577,921)</w:t>
            </w:r>
          </w:p>
        </w:tc>
        <w:tc>
          <w:tcPr>
            <w:tcW w:w="0" w:type="dxa"/>
            <w:vAlign w:val="bottom"/>
          </w:tcPr>
          <w:p>
            <w:pPr>
              <w:spacing w:after="0"/>
              <w:rPr>
                <w:sz w:val="1"/>
                <w:szCs w:val="1"/>
                <w:color w:val="auto"/>
              </w:rPr>
            </w:pPr>
          </w:p>
        </w:tc>
      </w:tr>
      <w:tr>
        <w:trPr>
          <w:trHeight w:val="215"/>
        </w:trPr>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Total realized gain (loss) included in</w:t>
            </w: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earnings</w:t>
            </w:r>
          </w:p>
        </w:tc>
        <w:tc>
          <w:tcPr>
            <w:tcW w:w="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7,928,224</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(989,131)</w:t>
            </w:r>
          </w:p>
        </w:tc>
        <w:tc>
          <w:tcPr>
            <w:tcW w:w="14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976,968</w:t>
            </w: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7,916,061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240" w:type="dxa"/>
            <w:vAlign w:val="bottom"/>
          </w:tcPr>
          <w:p>
            <w:pPr>
              <w:spacing w:after="0"/>
              <w:rPr>
                <w:sz w:val="20"/>
                <w:szCs w:val="20"/>
                <w:color w:val="auto"/>
              </w:rPr>
            </w:pPr>
            <w:r>
              <w:rPr>
                <w:rFonts w:ascii="Arial" w:cs="Arial" w:eastAsia="Arial" w:hAnsi="Arial"/>
                <w:sz w:val="18"/>
                <w:szCs w:val="18"/>
                <w:color w:val="auto"/>
                <w:w w:val="92"/>
              </w:rPr>
              <w:t>Change in unrealized gain (loss) included in</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earnings</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(25,928,306)</w:t>
            </w:r>
          </w:p>
        </w:tc>
        <w:tc>
          <w:tcPr>
            <w:tcW w:w="10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(11,494,743)</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1,647,812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(1,559,091)</w:t>
            </w:r>
          </w:p>
        </w:tc>
        <w:tc>
          <w:tcPr>
            <w:tcW w:w="100" w:type="dxa"/>
            <w:vAlign w:val="bottom"/>
          </w:tcPr>
          <w:p>
            <w:pPr>
              <w:spacing w:after="0"/>
              <w:rPr>
                <w:sz w:val="20"/>
                <w:szCs w:val="20"/>
                <w:color w:val="auto"/>
              </w:rPr>
            </w:pPr>
          </w:p>
        </w:tc>
        <w:tc>
          <w:tcPr>
            <w:tcW w:w="1000" w:type="dxa"/>
            <w:vAlign w:val="bottom"/>
            <w:gridSpan w:val="2"/>
          </w:tcPr>
          <w:p>
            <w:pPr>
              <w:jc w:val="right"/>
              <w:ind w:right="61"/>
              <w:spacing w:after="0"/>
              <w:rPr>
                <w:sz w:val="20"/>
                <w:szCs w:val="20"/>
                <w:color w:val="auto"/>
              </w:rPr>
            </w:pPr>
            <w:r>
              <w:rPr>
                <w:rFonts w:ascii="Arial" w:cs="Arial" w:eastAsia="Arial" w:hAnsi="Arial"/>
                <w:sz w:val="18"/>
                <w:szCs w:val="18"/>
                <w:color w:val="auto"/>
                <w:w w:val="91"/>
              </w:rPr>
              <w:t>(1,075,182)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(38,409,510)</w:t>
            </w:r>
          </w:p>
        </w:tc>
        <w:tc>
          <w:tcPr>
            <w:tcW w:w="0" w:type="dxa"/>
            <w:vAlign w:val="bottom"/>
          </w:tcPr>
          <w:p>
            <w:pPr>
              <w:spacing w:after="0"/>
              <w:rPr>
                <w:sz w:val="1"/>
                <w:szCs w:val="1"/>
                <w:color w:val="auto"/>
              </w:rPr>
            </w:pPr>
          </w:p>
        </w:tc>
      </w:tr>
      <w:tr>
        <w:trPr>
          <w:trHeight w:val="223"/>
        </w:trPr>
        <w:tc>
          <w:tcPr>
            <w:tcW w:w="32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March 31, 2021</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334,245,014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19,582,555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u w:val="single" w:color="auto"/>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12,536,969</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u w:val="single" w:color="auto"/>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19,748,808</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(1,108,618</w:t>
            </w:r>
          </w:p>
        </w:tc>
        <w:tc>
          <w:tcPr>
            <w:tcW w:w="200" w:type="dxa"/>
            <w:vAlign w:val="bottom"/>
            <w:tcBorders>
              <w:top w:val="single" w:sz="8" w:color="CFF0FC"/>
              <w:bottom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385,004,728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40" w:type="dxa"/>
            <w:vAlign w:val="bottom"/>
            <w:vMerge w:val="restart"/>
          </w:tcPr>
          <w:p>
            <w:pPr>
              <w:spacing w:after="0"/>
              <w:rPr>
                <w:sz w:val="20"/>
                <w:szCs w:val="20"/>
                <w:color w:val="auto"/>
              </w:rPr>
            </w:pPr>
            <w:r>
              <w:rPr>
                <w:rFonts w:ascii="Arial" w:cs="Arial" w:eastAsia="Arial" w:hAnsi="Arial"/>
                <w:sz w:val="18"/>
                <w:szCs w:val="18"/>
                <w:color w:val="auto"/>
              </w:rPr>
              <w:t>Changes in unrealized gains (losses)</w:t>
            </w: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4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w w:val="94"/>
              </w:rPr>
              <w:t>included in earnings related to investments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still held at reporting date</w:t>
            </w:r>
          </w:p>
        </w:tc>
        <w:tc>
          <w:tcPr>
            <w:tcW w:w="16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(7,416,722)</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(11,494,743)</w:t>
            </w:r>
          </w:p>
        </w:tc>
        <w:tc>
          <w:tcPr>
            <w:tcW w:w="160" w:type="dxa"/>
            <w:vAlign w:val="bottom"/>
            <w:gridSpan w:val="2"/>
          </w:tcPr>
          <w:p>
            <w:pPr>
              <w:ind w:left="60"/>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1,647,812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tcPr>
          <w:p>
            <w:pPr>
              <w:ind w:left="180"/>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(1,559,091)</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1000" w:type="dxa"/>
            <w:vAlign w:val="bottom"/>
            <w:gridSpan w:val="2"/>
          </w:tcPr>
          <w:p>
            <w:pPr>
              <w:jc w:val="right"/>
              <w:ind w:right="61"/>
              <w:spacing w:after="0"/>
              <w:rPr>
                <w:sz w:val="20"/>
                <w:szCs w:val="20"/>
                <w:color w:val="auto"/>
              </w:rPr>
            </w:pPr>
            <w:r>
              <w:rPr>
                <w:rFonts w:ascii="Arial" w:cs="Arial" w:eastAsia="Arial" w:hAnsi="Arial"/>
                <w:sz w:val="16"/>
                <w:szCs w:val="16"/>
                <w:color w:val="auto"/>
              </w:rPr>
              <w:t>(1,075,182)</w:t>
            </w:r>
          </w:p>
        </w:tc>
        <w:tc>
          <w:tcPr>
            <w:tcW w:w="100" w:type="dxa"/>
            <w:vAlign w:val="bottom"/>
            <w:gridSpan w:val="2"/>
          </w:tcPr>
          <w:p>
            <w:pPr>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(19,897,926)</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hanging="372"/>
        <w:spacing w:after="0" w:line="277" w:lineRule="auto"/>
        <w:tabs>
          <w:tab w:leader="none" w:pos="380" w:val="left"/>
        </w:tabs>
        <w:numPr>
          <w:ilvl w:val="0"/>
          <w:numId w:val="56"/>
        </w:numPr>
        <w:rPr>
          <w:rFonts w:ascii="Arial" w:cs="Arial" w:eastAsia="Arial" w:hAnsi="Arial"/>
          <w:sz w:val="15"/>
          <w:szCs w:val="15"/>
          <w:color w:val="auto"/>
        </w:rPr>
      </w:pPr>
      <w:r>
        <w:rPr>
          <w:rFonts w:ascii="Arial" w:cs="Arial" w:eastAsia="Arial" w:hAnsi="Arial"/>
          <w:sz w:val="18"/>
          <w:szCs w:val="18"/>
          <w:color w:val="auto"/>
        </w:rPr>
        <w:t>Transfers out of Level III represent a transfer of $5.5 million relating to debt securities for which pricing inputs, other than their quoted prices in active markets were observable as of December 31, 2020.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58" w:name="page59"/>
    <w:bookmarkEnd w:id="58"/>
    <w:p>
      <w:pPr>
        <w:ind w:left="380" w:right="160" w:hanging="372"/>
        <w:spacing w:after="0" w:line="277" w:lineRule="auto"/>
        <w:tabs>
          <w:tab w:leader="none" w:pos="380" w:val="left"/>
        </w:tabs>
        <w:numPr>
          <w:ilvl w:val="0"/>
          <w:numId w:val="57"/>
        </w:numPr>
        <w:rPr>
          <w:rFonts w:ascii="Arial" w:cs="Arial" w:eastAsia="Arial" w:hAnsi="Arial"/>
          <w:sz w:val="15"/>
          <w:szCs w:val="15"/>
          <w:color w:val="auto"/>
        </w:rPr>
      </w:pPr>
      <w:r>
        <w:rPr>
          <w:rFonts w:ascii="Arial" w:cs="Arial" w:eastAsia="Arial" w:hAnsi="Arial"/>
          <w:sz w:val="18"/>
          <w:szCs w:val="18"/>
          <w:color w:val="auto"/>
        </w:rPr>
        <w:t>Transfers into Level III represent a transfer of $5.3 million relating to debt securities for which pricing inputs, other than their quoted prices in active markets were unobservable as of December 31, 2020.</w:t>
      </w:r>
    </w:p>
    <w:p>
      <w:pPr>
        <w:spacing w:after="0" w:line="130" w:lineRule="exact"/>
        <w:rPr>
          <w:sz w:val="20"/>
          <w:szCs w:val="20"/>
          <w:color w:val="auto"/>
        </w:rPr>
      </w:pPr>
    </w:p>
    <w:p>
      <w:pPr>
        <w:ind w:right="140" w:firstLine="374"/>
        <w:spacing w:after="0" w:line="279" w:lineRule="auto"/>
        <w:rPr>
          <w:sz w:val="20"/>
          <w:szCs w:val="20"/>
          <w:color w:val="auto"/>
        </w:rPr>
      </w:pPr>
      <w:r>
        <w:rPr>
          <w:rFonts w:ascii="Arial" w:cs="Arial" w:eastAsia="Arial" w:hAnsi="Arial"/>
          <w:sz w:val="17"/>
          <w:szCs w:val="17"/>
          <w:color w:val="auto"/>
        </w:rPr>
        <w:t>As of March 31, 2021 and December 31, 2020, the Company’s Level II portfolio investments were valued by a third party pricing services for which the prices are not adjusted and for which inputs are observable or can be corroborated by observable market data for substantially the full character of the financial instrument, or by inputs that are derived principally from, or corroborated by, observable market information. The fair value of the Company’s Level II portfolio investments was $79.7 million and $70.6 million as of March 31, 2021 and December 31, 2020, respectively.</w:t>
      </w:r>
    </w:p>
    <w:p>
      <w:pPr>
        <w:spacing w:after="0" w:line="14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As of March 31, 2021, the Company’s Level III portfolio investments had the following valuation techniques and significant inputs:</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4020" w:type="dxa"/>
            <w:vAlign w:val="bottom"/>
            <w:tcBorders>
              <w:top w:val="single" w:sz="8" w:color="auto"/>
              <w:left w:val="single" w:sz="8" w:color="auto"/>
              <w:right w:val="single" w:sz="8" w:color="auto"/>
            </w:tcBorders>
            <w:shd w:val="clear" w:color="auto" w:fill="DAEEF3"/>
          </w:tcPr>
          <w:p>
            <w:pPr>
              <w:spacing w:after="0"/>
              <w:rPr>
                <w:sz w:val="18"/>
                <w:szCs w:val="18"/>
                <w:color w:val="auto"/>
              </w:rPr>
            </w:pPr>
          </w:p>
        </w:tc>
        <w:tc>
          <w:tcPr>
            <w:tcW w:w="360" w:type="dxa"/>
            <w:vAlign w:val="bottom"/>
            <w:tcBorders>
              <w:top w:val="single" w:sz="8" w:color="auto"/>
            </w:tcBorders>
            <w:shd w:val="clear" w:color="auto" w:fill="DAEEF3"/>
          </w:tcPr>
          <w:p>
            <w:pPr>
              <w:spacing w:after="0"/>
              <w:rPr>
                <w:sz w:val="18"/>
                <w:szCs w:val="18"/>
                <w:color w:val="auto"/>
              </w:rPr>
            </w:pPr>
          </w:p>
        </w:tc>
        <w:tc>
          <w:tcPr>
            <w:tcW w:w="1400" w:type="dxa"/>
            <w:vAlign w:val="bottom"/>
            <w:tcBorders>
              <w:top w:val="single" w:sz="8" w:color="auto"/>
              <w:right w:val="single" w:sz="8" w:color="auto"/>
            </w:tcBorders>
            <w:shd w:val="clear" w:color="auto" w:fill="DAEEF3"/>
          </w:tcPr>
          <w:p>
            <w:pPr>
              <w:spacing w:after="0"/>
              <w:rPr>
                <w:sz w:val="18"/>
                <w:szCs w:val="18"/>
                <w:color w:val="auto"/>
              </w:rPr>
            </w:pPr>
          </w:p>
        </w:tc>
        <w:tc>
          <w:tcPr>
            <w:tcW w:w="1760" w:type="dxa"/>
            <w:vAlign w:val="bottom"/>
            <w:tcBorders>
              <w:top w:val="single" w:sz="8" w:color="auto"/>
              <w:right w:val="single" w:sz="8" w:color="auto"/>
            </w:tcBorders>
            <w:shd w:val="clear" w:color="auto" w:fill="DAEEF3"/>
          </w:tcPr>
          <w:p>
            <w:pPr>
              <w:ind w:left="280"/>
              <w:spacing w:after="0"/>
              <w:rPr>
                <w:sz w:val="20"/>
                <w:szCs w:val="20"/>
                <w:color w:val="auto"/>
              </w:rPr>
            </w:pPr>
            <w:r>
              <w:rPr>
                <w:rFonts w:ascii="Arial" w:cs="Arial" w:eastAsia="Arial" w:hAnsi="Arial"/>
                <w:sz w:val="16"/>
                <w:szCs w:val="16"/>
                <w:b w:val="1"/>
                <w:bCs w:val="1"/>
                <w:color w:val="auto"/>
              </w:rPr>
              <w:t>Primary Valuation</w:t>
            </w:r>
          </w:p>
        </w:tc>
        <w:tc>
          <w:tcPr>
            <w:tcW w:w="1780" w:type="dxa"/>
            <w:vAlign w:val="bottom"/>
            <w:tcBorders>
              <w:top w:val="single" w:sz="8" w:color="auto"/>
              <w:right w:val="single" w:sz="8" w:color="auto"/>
            </w:tcBorders>
            <w:shd w:val="clear" w:color="auto" w:fill="DAEEF3"/>
          </w:tcPr>
          <w:p>
            <w:pPr>
              <w:ind w:left="460"/>
              <w:spacing w:after="0"/>
              <w:rPr>
                <w:sz w:val="20"/>
                <w:szCs w:val="20"/>
                <w:color w:val="auto"/>
              </w:rPr>
            </w:pPr>
            <w:r>
              <w:rPr>
                <w:rFonts w:ascii="Arial" w:cs="Arial" w:eastAsia="Arial" w:hAnsi="Arial"/>
                <w:sz w:val="16"/>
                <w:szCs w:val="16"/>
                <w:b w:val="1"/>
                <w:bCs w:val="1"/>
                <w:color w:val="auto"/>
              </w:rPr>
              <w:t>Unobservable</w:t>
            </w:r>
          </w:p>
        </w:tc>
        <w:tc>
          <w:tcPr>
            <w:tcW w:w="1920" w:type="dxa"/>
            <w:vAlign w:val="bottom"/>
            <w:tcBorders>
              <w:top w:val="single" w:sz="8" w:color="auto"/>
              <w:right w:val="single" w:sz="8" w:color="auto"/>
            </w:tcBorders>
            <w:shd w:val="clear" w:color="auto" w:fill="DAEEF3"/>
          </w:tcPr>
          <w:p>
            <w:pPr>
              <w:ind w:left="440"/>
              <w:spacing w:after="0"/>
              <w:rPr>
                <w:sz w:val="20"/>
                <w:szCs w:val="20"/>
                <w:color w:val="auto"/>
              </w:rPr>
            </w:pPr>
            <w:r>
              <w:rPr>
                <w:rFonts w:ascii="Arial" w:cs="Arial" w:eastAsia="Arial" w:hAnsi="Arial"/>
                <w:sz w:val="16"/>
                <w:szCs w:val="16"/>
                <w:b w:val="1"/>
                <w:bCs w:val="1"/>
                <w:color w:val="auto"/>
              </w:rPr>
              <w:t>Range of Inputs</w:t>
            </w:r>
          </w:p>
        </w:tc>
        <w:tc>
          <w:tcPr>
            <w:tcW w:w="0" w:type="dxa"/>
            <w:vAlign w:val="bottom"/>
          </w:tcPr>
          <w:p>
            <w:pPr>
              <w:spacing w:after="0"/>
              <w:rPr>
                <w:sz w:val="1"/>
                <w:szCs w:val="1"/>
                <w:color w:val="auto"/>
              </w:rPr>
            </w:pPr>
          </w:p>
        </w:tc>
      </w:tr>
      <w:tr>
        <w:trPr>
          <w:trHeight w:val="213"/>
        </w:trPr>
        <w:tc>
          <w:tcPr>
            <w:tcW w:w="4020" w:type="dxa"/>
            <w:vAlign w:val="bottom"/>
            <w:tcBorders>
              <w:left w:val="single" w:sz="8" w:color="auto"/>
              <w:bottom w:val="single" w:sz="8" w:color="auto"/>
              <w:right w:val="single" w:sz="8" w:color="auto"/>
            </w:tcBorders>
            <w:shd w:val="clear" w:color="auto" w:fill="DAEEF3"/>
          </w:tcPr>
          <w:p>
            <w:pPr>
              <w:jc w:val="center"/>
              <w:spacing w:after="0"/>
              <w:rPr>
                <w:sz w:val="20"/>
                <w:szCs w:val="20"/>
                <w:color w:val="auto"/>
              </w:rPr>
            </w:pPr>
            <w:r>
              <w:rPr>
                <w:rFonts w:ascii="Arial" w:cs="Arial" w:eastAsia="Arial" w:hAnsi="Arial"/>
                <w:sz w:val="16"/>
                <w:szCs w:val="16"/>
                <w:b w:val="1"/>
                <w:bCs w:val="1"/>
                <w:color w:val="auto"/>
                <w:w w:val="90"/>
              </w:rPr>
              <w:t>Type</w:t>
            </w:r>
          </w:p>
        </w:tc>
        <w:tc>
          <w:tcPr>
            <w:tcW w:w="360" w:type="dxa"/>
            <w:vAlign w:val="bottom"/>
            <w:tcBorders>
              <w:bottom w:val="single" w:sz="8" w:color="auto"/>
            </w:tcBorders>
            <w:shd w:val="clear" w:color="auto" w:fill="DAEEF3"/>
          </w:tcPr>
          <w:p>
            <w:pPr>
              <w:spacing w:after="0"/>
              <w:rPr>
                <w:sz w:val="18"/>
                <w:szCs w:val="18"/>
                <w:color w:val="auto"/>
              </w:rPr>
            </w:pPr>
          </w:p>
        </w:tc>
        <w:tc>
          <w:tcPr>
            <w:tcW w:w="1400" w:type="dxa"/>
            <w:vAlign w:val="bottom"/>
            <w:tcBorders>
              <w:bottom w:val="single" w:sz="8" w:color="auto"/>
              <w:right w:val="single" w:sz="8" w:color="auto"/>
            </w:tcBorders>
            <w:shd w:val="clear" w:color="auto" w:fill="DAEEF3"/>
          </w:tcPr>
          <w:p>
            <w:pPr>
              <w:jc w:val="right"/>
              <w:ind w:right="439"/>
              <w:spacing w:after="0"/>
              <w:rPr>
                <w:sz w:val="20"/>
                <w:szCs w:val="20"/>
                <w:color w:val="auto"/>
              </w:rPr>
            </w:pPr>
            <w:r>
              <w:rPr>
                <w:rFonts w:ascii="Arial" w:cs="Arial" w:eastAsia="Arial" w:hAnsi="Arial"/>
                <w:sz w:val="16"/>
                <w:szCs w:val="16"/>
                <w:b w:val="1"/>
                <w:bCs w:val="1"/>
                <w:color w:val="auto"/>
              </w:rPr>
              <w:t>Fair Value</w:t>
            </w:r>
          </w:p>
        </w:tc>
        <w:tc>
          <w:tcPr>
            <w:tcW w:w="1760" w:type="dxa"/>
            <w:vAlign w:val="bottom"/>
            <w:tcBorders>
              <w:bottom w:val="single" w:sz="8" w:color="auto"/>
              <w:right w:val="single" w:sz="8" w:color="auto"/>
            </w:tcBorders>
            <w:shd w:val="clear" w:color="auto" w:fill="DAEEF3"/>
          </w:tcPr>
          <w:p>
            <w:pPr>
              <w:ind w:left="540"/>
              <w:spacing w:after="0"/>
              <w:rPr>
                <w:sz w:val="20"/>
                <w:szCs w:val="20"/>
                <w:color w:val="auto"/>
              </w:rPr>
            </w:pPr>
            <w:r>
              <w:rPr>
                <w:rFonts w:ascii="Arial" w:cs="Arial" w:eastAsia="Arial" w:hAnsi="Arial"/>
                <w:sz w:val="16"/>
                <w:szCs w:val="16"/>
                <w:b w:val="1"/>
                <w:bCs w:val="1"/>
                <w:color w:val="auto"/>
              </w:rPr>
              <w:t>Techniques</w:t>
            </w:r>
          </w:p>
        </w:tc>
        <w:tc>
          <w:tcPr>
            <w:tcW w:w="1780" w:type="dxa"/>
            <w:vAlign w:val="bottom"/>
            <w:tcBorders>
              <w:bottom w:val="single" w:sz="8" w:color="auto"/>
              <w:right w:val="single" w:sz="8" w:color="auto"/>
            </w:tcBorders>
            <w:shd w:val="clear" w:color="auto" w:fill="DAEEF3"/>
          </w:tcPr>
          <w:p>
            <w:pPr>
              <w:ind w:left="700"/>
              <w:spacing w:after="0"/>
              <w:rPr>
                <w:sz w:val="20"/>
                <w:szCs w:val="20"/>
                <w:color w:val="auto"/>
              </w:rPr>
            </w:pPr>
            <w:r>
              <w:rPr>
                <w:rFonts w:ascii="Arial" w:cs="Arial" w:eastAsia="Arial" w:hAnsi="Arial"/>
                <w:sz w:val="16"/>
                <w:szCs w:val="16"/>
                <w:b w:val="1"/>
                <w:bCs w:val="1"/>
                <w:color w:val="auto"/>
              </w:rPr>
              <w:t>Inputs</w:t>
            </w:r>
          </w:p>
        </w:tc>
        <w:tc>
          <w:tcPr>
            <w:tcW w:w="1920" w:type="dxa"/>
            <w:vAlign w:val="bottom"/>
            <w:tcBorders>
              <w:bottom w:val="single" w:sz="8" w:color="auto"/>
              <w:right w:val="single" w:sz="8" w:color="auto"/>
            </w:tcBorders>
            <w:shd w:val="clear" w:color="auto" w:fill="DAEEF3"/>
          </w:tcPr>
          <w:p>
            <w:pPr>
              <w:ind w:left="320"/>
              <w:spacing w:after="0"/>
              <w:rPr>
                <w:sz w:val="20"/>
                <w:szCs w:val="20"/>
                <w:color w:val="auto"/>
              </w:rPr>
            </w:pPr>
            <w:r>
              <w:rPr>
                <w:rFonts w:ascii="Arial" w:cs="Arial" w:eastAsia="Arial" w:hAnsi="Arial"/>
                <w:sz w:val="16"/>
                <w:szCs w:val="16"/>
                <w:b w:val="1"/>
                <w:bCs w:val="1"/>
                <w:color w:val="auto"/>
              </w:rPr>
              <w:t>(Weighted Average)</w:t>
            </w:r>
          </w:p>
        </w:tc>
        <w:tc>
          <w:tcPr>
            <w:tcW w:w="0" w:type="dxa"/>
            <w:vAlign w:val="bottom"/>
          </w:tcPr>
          <w:p>
            <w:pPr>
              <w:spacing w:after="0"/>
              <w:rPr>
                <w:sz w:val="1"/>
                <w:szCs w:val="1"/>
                <w:color w:val="auto"/>
              </w:rPr>
            </w:pPr>
          </w:p>
        </w:tc>
      </w:tr>
      <w:tr>
        <w:trPr>
          <w:trHeight w:val="203"/>
        </w:trPr>
        <w:tc>
          <w:tcPr>
            <w:tcW w:w="4020" w:type="dxa"/>
            <w:vAlign w:val="bottom"/>
            <w:tcBorders>
              <w:left w:val="single" w:sz="8" w:color="auto"/>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76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Average</w:t>
            </w:r>
          </w:p>
        </w:tc>
        <w:tc>
          <w:tcPr>
            <w:tcW w:w="19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tcBorders>
              <w:left w:val="single" w:sz="8" w:color="auto"/>
              <w:right w:val="single" w:sz="8" w:color="auto"/>
            </w:tcBorders>
          </w:tcPr>
          <w:p>
            <w:pPr>
              <w:spacing w:after="0"/>
              <w:rPr>
                <w:sz w:val="17"/>
                <w:szCs w:val="17"/>
                <w:color w:val="auto"/>
              </w:rPr>
            </w:pP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40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7,787,157</w:t>
            </w:r>
          </w:p>
        </w:tc>
        <w:tc>
          <w:tcPr>
            <w:tcW w:w="176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Enterprise Value</w:t>
            </w:r>
          </w:p>
        </w:tc>
        <w:tc>
          <w:tcPr>
            <w:tcW w:w="178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EBITDA</w:t>
            </w:r>
          </w:p>
        </w:tc>
        <w:tc>
          <w:tcPr>
            <w:tcW w:w="192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4.8x-7.0x (5.5x)</w:t>
            </w:r>
          </w:p>
        </w:tc>
        <w:tc>
          <w:tcPr>
            <w:tcW w:w="0" w:type="dxa"/>
            <w:vAlign w:val="bottom"/>
          </w:tcPr>
          <w:p>
            <w:pPr>
              <w:spacing w:after="0"/>
              <w:rPr>
                <w:sz w:val="1"/>
                <w:szCs w:val="1"/>
                <w:color w:val="auto"/>
              </w:rPr>
            </w:pPr>
          </w:p>
        </w:tc>
      </w:tr>
      <w:tr>
        <w:trPr>
          <w:trHeight w:val="206"/>
        </w:trPr>
        <w:tc>
          <w:tcPr>
            <w:tcW w:w="4020" w:type="dxa"/>
            <w:vAlign w:val="bottom"/>
            <w:tcBorders>
              <w:left w:val="single" w:sz="8" w:color="auto"/>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760" w:type="dxa"/>
            <w:vAlign w:val="bottom"/>
            <w:tcBorders>
              <w:right w:val="single" w:sz="8" w:color="auto"/>
            </w:tcBorders>
          </w:tcPr>
          <w:p>
            <w:pPr>
              <w:spacing w:after="0"/>
              <w:rPr>
                <w:sz w:val="17"/>
                <w:szCs w:val="17"/>
                <w:color w:val="auto"/>
              </w:rPr>
            </w:pPr>
          </w:p>
        </w:tc>
        <w:tc>
          <w:tcPr>
            <w:tcW w:w="17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Multiple</w:t>
            </w:r>
          </w:p>
        </w:tc>
        <w:tc>
          <w:tcPr>
            <w:tcW w:w="19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Debt Securities</w:t>
            </w:r>
          </w:p>
        </w:tc>
        <w:tc>
          <w:tcPr>
            <w:tcW w:w="360" w:type="dxa"/>
            <w:vAlign w:val="bottom"/>
            <w:tcBorders>
              <w:bottom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w w:val="97"/>
              </w:rPr>
              <w:t>Recovery Rate Multiple</w:t>
            </w:r>
          </w:p>
        </w:tc>
        <w:tc>
          <w:tcPr>
            <w:tcW w:w="19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0.0x-1.0x (0.7x)</w:t>
            </w:r>
          </w:p>
        </w:tc>
        <w:tc>
          <w:tcPr>
            <w:tcW w:w="0" w:type="dxa"/>
            <w:vAlign w:val="bottom"/>
          </w:tcPr>
          <w:p>
            <w:pPr>
              <w:spacing w:after="0"/>
              <w:rPr>
                <w:sz w:val="1"/>
                <w:szCs w:val="1"/>
                <w:color w:val="auto"/>
              </w:rPr>
            </w:pPr>
          </w:p>
        </w:tc>
      </w:tr>
      <w:tr>
        <w:trPr>
          <w:trHeight w:val="203"/>
        </w:trPr>
        <w:tc>
          <w:tcPr>
            <w:tcW w:w="4020" w:type="dxa"/>
            <w:vAlign w:val="bottom"/>
            <w:tcBorders>
              <w:left w:val="single" w:sz="8" w:color="auto"/>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tcBorders>
              <w:right w:val="single" w:sz="8" w:color="auto"/>
            </w:tcBorders>
            <w:vMerge w:val="restart"/>
          </w:tcPr>
          <w:p>
            <w:pPr>
              <w:jc w:val="right"/>
              <w:ind w:right="59"/>
              <w:spacing w:after="0"/>
              <w:rPr>
                <w:sz w:val="20"/>
                <w:szCs w:val="20"/>
                <w:color w:val="auto"/>
              </w:rPr>
            </w:pPr>
            <w:r>
              <w:rPr>
                <w:rFonts w:ascii="Arial" w:cs="Arial" w:eastAsia="Arial" w:hAnsi="Arial"/>
                <w:sz w:val="16"/>
                <w:szCs w:val="16"/>
                <w:color w:val="auto"/>
              </w:rPr>
              <w:t>299,528,682</w:t>
            </w:r>
          </w:p>
        </w:tc>
        <w:tc>
          <w:tcPr>
            <w:tcW w:w="1760" w:type="dxa"/>
            <w:vAlign w:val="bottom"/>
            <w:tcBorders>
              <w:right w:val="single" w:sz="8" w:color="auto"/>
            </w:tcBorders>
            <w:vMerge w:val="restart"/>
          </w:tcPr>
          <w:p>
            <w:pPr>
              <w:ind w:left="120"/>
              <w:spacing w:after="0"/>
              <w:rPr>
                <w:sz w:val="20"/>
                <w:szCs w:val="20"/>
                <w:color w:val="auto"/>
              </w:rPr>
            </w:pPr>
            <w:r>
              <w:rPr>
                <w:rFonts w:ascii="Arial" w:cs="Arial" w:eastAsia="Arial" w:hAnsi="Arial"/>
                <w:sz w:val="16"/>
                <w:szCs w:val="16"/>
                <w:color w:val="auto"/>
              </w:rPr>
              <w:t>Income Approach</w:t>
            </w:r>
          </w:p>
        </w:tc>
        <w:tc>
          <w:tcPr>
            <w:tcW w:w="178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Implied</w:t>
            </w:r>
          </w:p>
        </w:tc>
        <w:tc>
          <w:tcPr>
            <w:tcW w:w="1920" w:type="dxa"/>
            <w:vAlign w:val="bottom"/>
            <w:tcBorders>
              <w:right w:val="single" w:sz="8" w:color="auto"/>
            </w:tcBorders>
            <w:vMerge w:val="restart"/>
          </w:tcPr>
          <w:p>
            <w:pPr>
              <w:ind w:left="120"/>
              <w:spacing w:after="0"/>
              <w:rPr>
                <w:sz w:val="20"/>
                <w:szCs w:val="20"/>
                <w:color w:val="auto"/>
              </w:rPr>
            </w:pPr>
            <w:r>
              <w:rPr>
                <w:rFonts w:ascii="Arial" w:cs="Arial" w:eastAsia="Arial" w:hAnsi="Arial"/>
                <w:sz w:val="16"/>
                <w:szCs w:val="16"/>
                <w:color w:val="auto"/>
              </w:rPr>
              <w:t>5.0%-25.1% (9.4%)</w:t>
            </w:r>
          </w:p>
        </w:tc>
        <w:tc>
          <w:tcPr>
            <w:tcW w:w="0" w:type="dxa"/>
            <w:vAlign w:val="bottom"/>
          </w:tcPr>
          <w:p>
            <w:pPr>
              <w:spacing w:after="0"/>
              <w:rPr>
                <w:sz w:val="1"/>
                <w:szCs w:val="1"/>
                <w:color w:val="auto"/>
              </w:rPr>
            </w:pPr>
          </w:p>
        </w:tc>
      </w:tr>
      <w:tr>
        <w:trPr>
          <w:trHeight w:val="98"/>
        </w:trPr>
        <w:tc>
          <w:tcPr>
            <w:tcW w:w="4020" w:type="dxa"/>
            <w:vAlign w:val="bottom"/>
            <w:tcBorders>
              <w:left w:val="single" w:sz="8" w:color="auto"/>
              <w:right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400" w:type="dxa"/>
            <w:vAlign w:val="bottom"/>
            <w:tcBorders>
              <w:right w:val="single" w:sz="8" w:color="auto"/>
            </w:tcBorders>
            <w:vMerge w:val="continue"/>
          </w:tcPr>
          <w:p>
            <w:pPr>
              <w:spacing w:after="0"/>
              <w:rPr>
                <w:sz w:val="8"/>
                <w:szCs w:val="8"/>
                <w:color w:val="auto"/>
              </w:rPr>
            </w:pPr>
          </w:p>
        </w:tc>
        <w:tc>
          <w:tcPr>
            <w:tcW w:w="1760" w:type="dxa"/>
            <w:vAlign w:val="bottom"/>
            <w:tcBorders>
              <w:right w:val="single" w:sz="8" w:color="auto"/>
            </w:tcBorders>
            <w:vMerge w:val="continue"/>
          </w:tcPr>
          <w:p>
            <w:pPr>
              <w:spacing w:after="0"/>
              <w:rPr>
                <w:sz w:val="8"/>
                <w:szCs w:val="8"/>
                <w:color w:val="auto"/>
              </w:rPr>
            </w:pPr>
          </w:p>
        </w:tc>
        <w:tc>
          <w:tcPr>
            <w:tcW w:w="1780" w:type="dxa"/>
            <w:vAlign w:val="bottom"/>
            <w:tcBorders>
              <w:right w:val="single" w:sz="8" w:color="auto"/>
            </w:tcBorders>
            <w:vMerge w:val="restart"/>
          </w:tcPr>
          <w:p>
            <w:pPr>
              <w:ind w:left="120"/>
              <w:spacing w:after="0"/>
              <w:rPr>
                <w:sz w:val="20"/>
                <w:szCs w:val="20"/>
                <w:color w:val="auto"/>
              </w:rPr>
            </w:pPr>
            <w:r>
              <w:rPr>
                <w:rFonts w:ascii="Arial" w:cs="Arial" w:eastAsia="Arial" w:hAnsi="Arial"/>
                <w:sz w:val="16"/>
                <w:szCs w:val="16"/>
                <w:color w:val="auto"/>
              </w:rPr>
              <w:t>Discount Rate</w:t>
            </w:r>
          </w:p>
        </w:tc>
        <w:tc>
          <w:tcPr>
            <w:tcW w:w="19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4020" w:type="dxa"/>
            <w:vAlign w:val="bottom"/>
            <w:tcBorders>
              <w:left w:val="single" w:sz="8" w:color="auto"/>
              <w:bottom w:val="single" w:sz="8" w:color="auto"/>
              <w:right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400" w:type="dxa"/>
            <w:vAlign w:val="bottom"/>
            <w:tcBorders>
              <w:bottom w:val="single" w:sz="8" w:color="auto"/>
              <w:right w:val="single" w:sz="8" w:color="auto"/>
            </w:tcBorders>
          </w:tcPr>
          <w:p>
            <w:pPr>
              <w:spacing w:after="0"/>
              <w:rPr>
                <w:sz w:val="9"/>
                <w:szCs w:val="9"/>
                <w:color w:val="auto"/>
              </w:rPr>
            </w:pPr>
          </w:p>
        </w:tc>
        <w:tc>
          <w:tcPr>
            <w:tcW w:w="1760" w:type="dxa"/>
            <w:vAlign w:val="bottom"/>
            <w:tcBorders>
              <w:bottom w:val="single" w:sz="8" w:color="auto"/>
              <w:right w:val="single" w:sz="8" w:color="auto"/>
            </w:tcBorders>
          </w:tcPr>
          <w:p>
            <w:pPr>
              <w:spacing w:after="0"/>
              <w:rPr>
                <w:sz w:val="9"/>
                <w:szCs w:val="9"/>
                <w:color w:val="auto"/>
              </w:rPr>
            </w:pPr>
          </w:p>
        </w:tc>
        <w:tc>
          <w:tcPr>
            <w:tcW w:w="1780" w:type="dxa"/>
            <w:vAlign w:val="bottom"/>
            <w:tcBorders>
              <w:bottom w:val="single" w:sz="8" w:color="auto"/>
              <w:right w:val="single" w:sz="8" w:color="auto"/>
            </w:tcBorders>
            <w:vMerge w:val="continue"/>
          </w:tcPr>
          <w:p>
            <w:pPr>
              <w:spacing w:after="0"/>
              <w:rPr>
                <w:sz w:val="9"/>
                <w:szCs w:val="9"/>
                <w:color w:val="auto"/>
              </w:rPr>
            </w:pPr>
          </w:p>
        </w:tc>
        <w:tc>
          <w:tcPr>
            <w:tcW w:w="19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4020" w:type="dxa"/>
            <w:vAlign w:val="bottom"/>
            <w:tcBorders>
              <w:left w:val="single" w:sz="8" w:color="auto"/>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76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Average</w:t>
            </w:r>
          </w:p>
        </w:tc>
        <w:tc>
          <w:tcPr>
            <w:tcW w:w="19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tcBorders>
              <w:left w:val="single" w:sz="8" w:color="auto"/>
              <w:right w:val="single" w:sz="8" w:color="auto"/>
            </w:tcBorders>
          </w:tcPr>
          <w:p>
            <w:pPr>
              <w:spacing w:after="0"/>
              <w:rPr>
                <w:sz w:val="17"/>
                <w:szCs w:val="17"/>
                <w:color w:val="auto"/>
              </w:rPr>
            </w:pPr>
          </w:p>
        </w:tc>
        <w:tc>
          <w:tcPr>
            <w:tcW w:w="360" w:type="dxa"/>
            <w:vAlign w:val="bottom"/>
            <w:vMerge w:val="restart"/>
          </w:tcPr>
          <w:p>
            <w:pPr>
              <w:jc w:val="right"/>
              <w:ind w:right="79"/>
              <w:spacing w:after="0"/>
              <w:rPr>
                <w:sz w:val="20"/>
                <w:szCs w:val="20"/>
                <w:color w:val="auto"/>
              </w:rPr>
            </w:pPr>
            <w:r>
              <w:rPr>
                <w:rFonts w:ascii="Arial" w:cs="Arial" w:eastAsia="Arial" w:hAnsi="Arial"/>
                <w:sz w:val="16"/>
                <w:szCs w:val="16"/>
                <w:color w:val="auto"/>
              </w:rPr>
              <w:t>$</w:t>
            </w:r>
          </w:p>
        </w:tc>
        <w:tc>
          <w:tcPr>
            <w:tcW w:w="1400" w:type="dxa"/>
            <w:vAlign w:val="bottom"/>
            <w:tcBorders>
              <w:right w:val="single" w:sz="8" w:color="auto"/>
            </w:tcBorders>
            <w:vMerge w:val="restart"/>
          </w:tcPr>
          <w:p>
            <w:pPr>
              <w:jc w:val="right"/>
              <w:ind w:right="59"/>
              <w:spacing w:after="0"/>
              <w:rPr>
                <w:sz w:val="20"/>
                <w:szCs w:val="20"/>
                <w:color w:val="auto"/>
              </w:rPr>
            </w:pPr>
            <w:r>
              <w:rPr>
                <w:rFonts w:ascii="Arial" w:cs="Arial" w:eastAsia="Arial" w:hAnsi="Arial"/>
                <w:sz w:val="16"/>
                <w:szCs w:val="16"/>
                <w:color w:val="auto"/>
              </w:rPr>
              <w:t>7,744,653</w:t>
            </w:r>
          </w:p>
        </w:tc>
        <w:tc>
          <w:tcPr>
            <w:tcW w:w="1760" w:type="dxa"/>
            <w:vAlign w:val="bottom"/>
            <w:tcBorders>
              <w:right w:val="single" w:sz="8" w:color="auto"/>
            </w:tcBorders>
            <w:vMerge w:val="restart"/>
          </w:tcPr>
          <w:p>
            <w:pPr>
              <w:ind w:left="120"/>
              <w:spacing w:after="0"/>
              <w:rPr>
                <w:sz w:val="20"/>
                <w:szCs w:val="20"/>
                <w:color w:val="auto"/>
              </w:rPr>
            </w:pPr>
            <w:r>
              <w:rPr>
                <w:rFonts w:ascii="Arial" w:cs="Arial" w:eastAsia="Arial" w:hAnsi="Arial"/>
                <w:sz w:val="16"/>
                <w:szCs w:val="16"/>
                <w:color w:val="auto"/>
              </w:rPr>
              <w:t>Enterprise Value</w:t>
            </w:r>
          </w:p>
        </w:tc>
        <w:tc>
          <w:tcPr>
            <w:tcW w:w="178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EBITDA</w:t>
            </w:r>
          </w:p>
        </w:tc>
        <w:tc>
          <w:tcPr>
            <w:tcW w:w="1920" w:type="dxa"/>
            <w:vAlign w:val="bottom"/>
            <w:tcBorders>
              <w:right w:val="single" w:sz="8" w:color="auto"/>
            </w:tcBorders>
            <w:vMerge w:val="restart"/>
          </w:tcPr>
          <w:p>
            <w:pPr>
              <w:ind w:left="120"/>
              <w:spacing w:after="0"/>
              <w:rPr>
                <w:sz w:val="20"/>
                <w:szCs w:val="20"/>
                <w:color w:val="auto"/>
              </w:rPr>
            </w:pPr>
            <w:r>
              <w:rPr>
                <w:rFonts w:ascii="Arial" w:cs="Arial" w:eastAsia="Arial" w:hAnsi="Arial"/>
                <w:sz w:val="16"/>
                <w:szCs w:val="16"/>
                <w:color w:val="auto"/>
              </w:rPr>
              <w:t>1.0x-9.0x (5.9x)</w:t>
            </w:r>
          </w:p>
        </w:tc>
        <w:tc>
          <w:tcPr>
            <w:tcW w:w="0" w:type="dxa"/>
            <w:vAlign w:val="bottom"/>
          </w:tcPr>
          <w:p>
            <w:pPr>
              <w:spacing w:after="0"/>
              <w:rPr>
                <w:sz w:val="1"/>
                <w:szCs w:val="1"/>
                <w:color w:val="auto"/>
              </w:rPr>
            </w:pPr>
          </w:p>
        </w:tc>
      </w:tr>
      <w:tr>
        <w:trPr>
          <w:trHeight w:val="98"/>
        </w:trPr>
        <w:tc>
          <w:tcPr>
            <w:tcW w:w="4020" w:type="dxa"/>
            <w:vAlign w:val="bottom"/>
            <w:tcBorders>
              <w:left w:val="single" w:sz="8" w:color="auto"/>
              <w:right w:val="single" w:sz="8" w:color="auto"/>
            </w:tcBorders>
          </w:tcPr>
          <w:p>
            <w:pPr>
              <w:spacing w:after="0"/>
              <w:rPr>
                <w:sz w:val="8"/>
                <w:szCs w:val="8"/>
                <w:color w:val="auto"/>
              </w:rPr>
            </w:pPr>
          </w:p>
        </w:tc>
        <w:tc>
          <w:tcPr>
            <w:tcW w:w="360" w:type="dxa"/>
            <w:vAlign w:val="bottom"/>
            <w:vMerge w:val="continue"/>
          </w:tcPr>
          <w:p>
            <w:pPr>
              <w:spacing w:after="0"/>
              <w:rPr>
                <w:sz w:val="8"/>
                <w:szCs w:val="8"/>
                <w:color w:val="auto"/>
              </w:rPr>
            </w:pPr>
          </w:p>
        </w:tc>
        <w:tc>
          <w:tcPr>
            <w:tcW w:w="1400" w:type="dxa"/>
            <w:vAlign w:val="bottom"/>
            <w:tcBorders>
              <w:right w:val="single" w:sz="8" w:color="auto"/>
            </w:tcBorders>
            <w:vMerge w:val="continue"/>
          </w:tcPr>
          <w:p>
            <w:pPr>
              <w:spacing w:after="0"/>
              <w:rPr>
                <w:sz w:val="8"/>
                <w:szCs w:val="8"/>
                <w:color w:val="auto"/>
              </w:rPr>
            </w:pPr>
          </w:p>
        </w:tc>
        <w:tc>
          <w:tcPr>
            <w:tcW w:w="1760" w:type="dxa"/>
            <w:vAlign w:val="bottom"/>
            <w:tcBorders>
              <w:right w:val="single" w:sz="8" w:color="auto"/>
            </w:tcBorders>
            <w:vMerge w:val="continue"/>
          </w:tcPr>
          <w:p>
            <w:pPr>
              <w:spacing w:after="0"/>
              <w:rPr>
                <w:sz w:val="8"/>
                <w:szCs w:val="8"/>
                <w:color w:val="auto"/>
              </w:rPr>
            </w:pPr>
          </w:p>
        </w:tc>
        <w:tc>
          <w:tcPr>
            <w:tcW w:w="1780" w:type="dxa"/>
            <w:vAlign w:val="bottom"/>
            <w:tcBorders>
              <w:right w:val="single" w:sz="8" w:color="auto"/>
            </w:tcBorders>
            <w:vMerge w:val="restart"/>
          </w:tcPr>
          <w:p>
            <w:pPr>
              <w:ind w:left="120"/>
              <w:spacing w:after="0"/>
              <w:rPr>
                <w:sz w:val="20"/>
                <w:szCs w:val="20"/>
                <w:color w:val="auto"/>
              </w:rPr>
            </w:pPr>
            <w:r>
              <w:rPr>
                <w:rFonts w:ascii="Arial" w:cs="Arial" w:eastAsia="Arial" w:hAnsi="Arial"/>
                <w:sz w:val="16"/>
                <w:szCs w:val="16"/>
                <w:color w:val="auto"/>
              </w:rPr>
              <w:t>Multiple /</w:t>
            </w:r>
          </w:p>
        </w:tc>
        <w:tc>
          <w:tcPr>
            <w:tcW w:w="19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4020" w:type="dxa"/>
            <w:vAlign w:val="bottom"/>
            <w:tcBorders>
              <w:left w:val="single" w:sz="8" w:color="auto"/>
              <w:right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400" w:type="dxa"/>
            <w:vAlign w:val="bottom"/>
            <w:tcBorders>
              <w:right w:val="single" w:sz="8" w:color="auto"/>
            </w:tcBorders>
          </w:tcPr>
          <w:p>
            <w:pPr>
              <w:spacing w:after="0"/>
              <w:rPr>
                <w:sz w:val="9"/>
                <w:szCs w:val="9"/>
                <w:color w:val="auto"/>
              </w:rPr>
            </w:pPr>
          </w:p>
        </w:tc>
        <w:tc>
          <w:tcPr>
            <w:tcW w:w="1760" w:type="dxa"/>
            <w:vAlign w:val="bottom"/>
            <w:tcBorders>
              <w:right w:val="single" w:sz="8" w:color="auto"/>
            </w:tcBorders>
          </w:tcPr>
          <w:p>
            <w:pPr>
              <w:spacing w:after="0"/>
              <w:rPr>
                <w:sz w:val="9"/>
                <w:szCs w:val="9"/>
                <w:color w:val="auto"/>
              </w:rPr>
            </w:pPr>
          </w:p>
        </w:tc>
        <w:tc>
          <w:tcPr>
            <w:tcW w:w="1780" w:type="dxa"/>
            <w:vAlign w:val="bottom"/>
            <w:tcBorders>
              <w:right w:val="single" w:sz="8" w:color="auto"/>
            </w:tcBorders>
            <w:vMerge w:val="continue"/>
          </w:tcPr>
          <w:p>
            <w:pPr>
              <w:spacing w:after="0"/>
              <w:rPr>
                <w:sz w:val="9"/>
                <w:szCs w:val="9"/>
                <w:color w:val="auto"/>
              </w:rPr>
            </w:pPr>
          </w:p>
        </w:tc>
        <w:tc>
          <w:tcPr>
            <w:tcW w:w="19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4020" w:type="dxa"/>
            <w:vAlign w:val="bottom"/>
            <w:tcBorders>
              <w:left w:val="single" w:sz="8" w:color="auto"/>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WACC</w:t>
            </w:r>
          </w:p>
        </w:tc>
        <w:tc>
          <w:tcPr>
            <w:tcW w:w="1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20" w:type="dxa"/>
            <w:vAlign w:val="bottom"/>
            <w:tcBorders>
              <w:left w:val="single" w:sz="8" w:color="auto"/>
              <w:right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w w:val="97"/>
              </w:rPr>
              <w:t>Recovery Rate Multiple</w:t>
            </w:r>
          </w:p>
        </w:tc>
        <w:tc>
          <w:tcPr>
            <w:tcW w:w="19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0.0x-12.5x (0.6x)</w:t>
            </w:r>
          </w:p>
        </w:tc>
        <w:tc>
          <w:tcPr>
            <w:tcW w:w="0" w:type="dxa"/>
            <w:vAlign w:val="bottom"/>
          </w:tcPr>
          <w:p>
            <w:pPr>
              <w:spacing w:after="0"/>
              <w:rPr>
                <w:sz w:val="1"/>
                <w:szCs w:val="1"/>
                <w:color w:val="auto"/>
              </w:rPr>
            </w:pPr>
          </w:p>
        </w:tc>
      </w:tr>
      <w:tr>
        <w:trPr>
          <w:trHeight w:val="203"/>
        </w:trPr>
        <w:tc>
          <w:tcPr>
            <w:tcW w:w="40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0"/>
              </w:rPr>
              <w:t>Equity Securities</w:t>
            </w:r>
          </w:p>
        </w:tc>
        <w:tc>
          <w:tcPr>
            <w:tcW w:w="360" w:type="dxa"/>
            <w:vAlign w:val="bottom"/>
          </w:tcPr>
          <w:p>
            <w:pPr>
              <w:spacing w:after="0"/>
              <w:rPr>
                <w:sz w:val="17"/>
                <w:szCs w:val="17"/>
                <w:color w:val="auto"/>
              </w:rPr>
            </w:pPr>
          </w:p>
        </w:tc>
        <w:tc>
          <w:tcPr>
            <w:tcW w:w="1400" w:type="dxa"/>
            <w:vAlign w:val="bottom"/>
            <w:tcBorders>
              <w:right w:val="single" w:sz="8" w:color="auto"/>
            </w:tcBorders>
            <w:vMerge w:val="restart"/>
          </w:tcPr>
          <w:p>
            <w:pPr>
              <w:jc w:val="right"/>
              <w:ind w:right="59"/>
              <w:spacing w:after="0"/>
              <w:rPr>
                <w:sz w:val="20"/>
                <w:szCs w:val="20"/>
                <w:color w:val="auto"/>
              </w:rPr>
            </w:pPr>
            <w:r>
              <w:rPr>
                <w:rFonts w:ascii="Arial" w:cs="Arial" w:eastAsia="Arial" w:hAnsi="Arial"/>
                <w:sz w:val="16"/>
                <w:szCs w:val="16"/>
                <w:color w:val="auto"/>
              </w:rPr>
              <w:t>5,500,000</w:t>
            </w:r>
          </w:p>
        </w:tc>
        <w:tc>
          <w:tcPr>
            <w:tcW w:w="1760" w:type="dxa"/>
            <w:vAlign w:val="bottom"/>
            <w:tcBorders>
              <w:right w:val="single" w:sz="8" w:color="auto"/>
            </w:tcBorders>
            <w:vMerge w:val="restart"/>
          </w:tcPr>
          <w:p>
            <w:pPr>
              <w:ind w:left="120"/>
              <w:spacing w:after="0"/>
              <w:rPr>
                <w:sz w:val="20"/>
                <w:szCs w:val="20"/>
                <w:color w:val="auto"/>
              </w:rPr>
            </w:pPr>
            <w:r>
              <w:rPr>
                <w:rFonts w:ascii="Arial" w:cs="Arial" w:eastAsia="Arial" w:hAnsi="Arial"/>
                <w:sz w:val="16"/>
                <w:szCs w:val="16"/>
                <w:color w:val="auto"/>
              </w:rPr>
              <w:t>Income Approach</w:t>
            </w:r>
          </w:p>
        </w:tc>
        <w:tc>
          <w:tcPr>
            <w:tcW w:w="178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Implied</w:t>
            </w:r>
          </w:p>
        </w:tc>
        <w:tc>
          <w:tcPr>
            <w:tcW w:w="1920" w:type="dxa"/>
            <w:vAlign w:val="bottom"/>
            <w:tcBorders>
              <w:right w:val="single" w:sz="8" w:color="auto"/>
            </w:tcBorders>
            <w:vMerge w:val="restart"/>
          </w:tcPr>
          <w:p>
            <w:pPr>
              <w:ind w:left="120"/>
              <w:spacing w:after="0"/>
              <w:rPr>
                <w:sz w:val="20"/>
                <w:szCs w:val="20"/>
                <w:color w:val="auto"/>
              </w:rPr>
            </w:pPr>
            <w:r>
              <w:rPr>
                <w:rFonts w:ascii="Arial" w:cs="Arial" w:eastAsia="Arial" w:hAnsi="Arial"/>
                <w:sz w:val="16"/>
                <w:szCs w:val="16"/>
                <w:color w:val="auto"/>
              </w:rPr>
              <w:t>18.3%-18.8% (18.6%)</w:t>
            </w:r>
          </w:p>
        </w:tc>
        <w:tc>
          <w:tcPr>
            <w:tcW w:w="0" w:type="dxa"/>
            <w:vAlign w:val="bottom"/>
          </w:tcPr>
          <w:p>
            <w:pPr>
              <w:spacing w:after="0"/>
              <w:rPr>
                <w:sz w:val="1"/>
                <w:szCs w:val="1"/>
                <w:color w:val="auto"/>
              </w:rPr>
            </w:pPr>
          </w:p>
        </w:tc>
      </w:tr>
      <w:tr>
        <w:trPr>
          <w:trHeight w:val="98"/>
        </w:trPr>
        <w:tc>
          <w:tcPr>
            <w:tcW w:w="4020" w:type="dxa"/>
            <w:vAlign w:val="bottom"/>
            <w:tcBorders>
              <w:left w:val="single" w:sz="8" w:color="auto"/>
              <w:right w:val="single" w:sz="8" w:color="auto"/>
            </w:tcBorders>
            <w:vMerge w:val="continue"/>
          </w:tcPr>
          <w:p>
            <w:pPr>
              <w:spacing w:after="0"/>
              <w:rPr>
                <w:sz w:val="8"/>
                <w:szCs w:val="8"/>
                <w:color w:val="auto"/>
              </w:rPr>
            </w:pPr>
          </w:p>
        </w:tc>
        <w:tc>
          <w:tcPr>
            <w:tcW w:w="360" w:type="dxa"/>
            <w:vAlign w:val="bottom"/>
          </w:tcPr>
          <w:p>
            <w:pPr>
              <w:spacing w:after="0"/>
              <w:rPr>
                <w:sz w:val="8"/>
                <w:szCs w:val="8"/>
                <w:color w:val="auto"/>
              </w:rPr>
            </w:pPr>
          </w:p>
        </w:tc>
        <w:tc>
          <w:tcPr>
            <w:tcW w:w="1400" w:type="dxa"/>
            <w:vAlign w:val="bottom"/>
            <w:tcBorders>
              <w:right w:val="single" w:sz="8" w:color="auto"/>
            </w:tcBorders>
            <w:vMerge w:val="continue"/>
          </w:tcPr>
          <w:p>
            <w:pPr>
              <w:spacing w:after="0"/>
              <w:rPr>
                <w:sz w:val="8"/>
                <w:szCs w:val="8"/>
                <w:color w:val="auto"/>
              </w:rPr>
            </w:pPr>
          </w:p>
        </w:tc>
        <w:tc>
          <w:tcPr>
            <w:tcW w:w="1760" w:type="dxa"/>
            <w:vAlign w:val="bottom"/>
            <w:tcBorders>
              <w:right w:val="single" w:sz="8" w:color="auto"/>
            </w:tcBorders>
            <w:vMerge w:val="continue"/>
          </w:tcPr>
          <w:p>
            <w:pPr>
              <w:spacing w:after="0"/>
              <w:rPr>
                <w:sz w:val="8"/>
                <w:szCs w:val="8"/>
                <w:color w:val="auto"/>
              </w:rPr>
            </w:pPr>
          </w:p>
        </w:tc>
        <w:tc>
          <w:tcPr>
            <w:tcW w:w="1780" w:type="dxa"/>
            <w:vAlign w:val="bottom"/>
            <w:tcBorders>
              <w:right w:val="single" w:sz="8" w:color="auto"/>
            </w:tcBorders>
            <w:vMerge w:val="restart"/>
          </w:tcPr>
          <w:p>
            <w:pPr>
              <w:ind w:left="120"/>
              <w:spacing w:after="0"/>
              <w:rPr>
                <w:sz w:val="20"/>
                <w:szCs w:val="20"/>
                <w:color w:val="auto"/>
              </w:rPr>
            </w:pPr>
            <w:r>
              <w:rPr>
                <w:rFonts w:ascii="Arial" w:cs="Arial" w:eastAsia="Arial" w:hAnsi="Arial"/>
                <w:sz w:val="16"/>
                <w:szCs w:val="16"/>
                <w:color w:val="auto"/>
              </w:rPr>
              <w:t>Discount Rate</w:t>
            </w:r>
          </w:p>
        </w:tc>
        <w:tc>
          <w:tcPr>
            <w:tcW w:w="19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4020" w:type="dxa"/>
            <w:vAlign w:val="bottom"/>
            <w:tcBorders>
              <w:left w:val="single" w:sz="8" w:color="auto"/>
              <w:bottom w:val="single" w:sz="8" w:color="auto"/>
              <w:right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400" w:type="dxa"/>
            <w:vAlign w:val="bottom"/>
            <w:tcBorders>
              <w:bottom w:val="single" w:sz="8" w:color="auto"/>
              <w:right w:val="single" w:sz="8" w:color="auto"/>
            </w:tcBorders>
          </w:tcPr>
          <w:p>
            <w:pPr>
              <w:spacing w:after="0"/>
              <w:rPr>
                <w:sz w:val="9"/>
                <w:szCs w:val="9"/>
                <w:color w:val="auto"/>
              </w:rPr>
            </w:pPr>
          </w:p>
        </w:tc>
        <w:tc>
          <w:tcPr>
            <w:tcW w:w="1760" w:type="dxa"/>
            <w:vAlign w:val="bottom"/>
            <w:tcBorders>
              <w:bottom w:val="single" w:sz="8" w:color="auto"/>
              <w:right w:val="single" w:sz="8" w:color="auto"/>
            </w:tcBorders>
          </w:tcPr>
          <w:p>
            <w:pPr>
              <w:spacing w:after="0"/>
              <w:rPr>
                <w:sz w:val="9"/>
                <w:szCs w:val="9"/>
                <w:color w:val="auto"/>
              </w:rPr>
            </w:pPr>
          </w:p>
        </w:tc>
        <w:tc>
          <w:tcPr>
            <w:tcW w:w="1780" w:type="dxa"/>
            <w:vAlign w:val="bottom"/>
            <w:tcBorders>
              <w:bottom w:val="single" w:sz="8" w:color="auto"/>
              <w:right w:val="single" w:sz="8" w:color="auto"/>
            </w:tcBorders>
            <w:vMerge w:val="continue"/>
          </w:tcPr>
          <w:p>
            <w:pPr>
              <w:spacing w:after="0"/>
              <w:rPr>
                <w:sz w:val="9"/>
                <w:szCs w:val="9"/>
                <w:color w:val="auto"/>
              </w:rPr>
            </w:pPr>
          </w:p>
        </w:tc>
        <w:tc>
          <w:tcPr>
            <w:tcW w:w="19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4020" w:type="dxa"/>
            <w:vAlign w:val="bottom"/>
            <w:tcBorders>
              <w:left w:val="single" w:sz="8" w:color="auto"/>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Discount Rate</w:t>
            </w:r>
          </w:p>
        </w:tc>
        <w:tc>
          <w:tcPr>
            <w:tcW w:w="19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12.5%-14.0% (11.1%)</w:t>
            </w:r>
          </w:p>
        </w:tc>
        <w:tc>
          <w:tcPr>
            <w:tcW w:w="0" w:type="dxa"/>
            <w:vAlign w:val="bottom"/>
          </w:tcPr>
          <w:p>
            <w:pPr>
              <w:spacing w:after="0"/>
              <w:rPr>
                <w:sz w:val="1"/>
                <w:szCs w:val="1"/>
                <w:color w:val="auto"/>
              </w:rPr>
            </w:pPr>
          </w:p>
        </w:tc>
      </w:tr>
      <w:tr>
        <w:trPr>
          <w:trHeight w:val="203"/>
        </w:trPr>
        <w:tc>
          <w:tcPr>
            <w:tcW w:w="4020" w:type="dxa"/>
            <w:vAlign w:val="bottom"/>
            <w:tcBorders>
              <w:left w:val="single" w:sz="8" w:color="auto"/>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76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Probability of</w:t>
            </w:r>
          </w:p>
        </w:tc>
        <w:tc>
          <w:tcPr>
            <w:tcW w:w="19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020" w:type="dxa"/>
            <w:vAlign w:val="bottom"/>
            <w:tcBorders>
              <w:left w:val="single" w:sz="8" w:color="auto"/>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760" w:type="dxa"/>
            <w:vAlign w:val="bottom"/>
            <w:tcBorders>
              <w:right w:val="single" w:sz="8" w:color="auto"/>
            </w:tcBorders>
          </w:tcPr>
          <w:p>
            <w:pPr>
              <w:spacing w:after="0"/>
              <w:rPr>
                <w:sz w:val="17"/>
                <w:szCs w:val="17"/>
                <w:color w:val="auto"/>
              </w:rPr>
            </w:pPr>
          </w:p>
        </w:tc>
        <w:tc>
          <w:tcPr>
            <w:tcW w:w="17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Default</w:t>
            </w:r>
          </w:p>
        </w:tc>
        <w:tc>
          <w:tcPr>
            <w:tcW w:w="19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1.5%-3.0% (1.8%)</w:t>
            </w:r>
          </w:p>
        </w:tc>
        <w:tc>
          <w:tcPr>
            <w:tcW w:w="0" w:type="dxa"/>
            <w:vAlign w:val="bottom"/>
          </w:tcPr>
          <w:p>
            <w:pPr>
              <w:spacing w:after="0"/>
              <w:rPr>
                <w:sz w:val="1"/>
                <w:szCs w:val="1"/>
                <w:color w:val="auto"/>
              </w:rPr>
            </w:pPr>
          </w:p>
        </w:tc>
      </w:tr>
      <w:tr>
        <w:trPr>
          <w:trHeight w:val="212"/>
        </w:trPr>
        <w:tc>
          <w:tcPr>
            <w:tcW w:w="40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CLO Fund Securities</w:t>
            </w:r>
          </w:p>
        </w:tc>
        <w:tc>
          <w:tcPr>
            <w:tcW w:w="360" w:type="dxa"/>
            <w:vAlign w:val="bottom"/>
          </w:tcPr>
          <w:p>
            <w:pPr>
              <w:spacing w:after="0"/>
              <w:rPr>
                <w:sz w:val="18"/>
                <w:szCs w:val="18"/>
                <w:color w:val="auto"/>
              </w:rPr>
            </w:pPr>
          </w:p>
        </w:tc>
        <w:tc>
          <w:tcPr>
            <w:tcW w:w="140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16,021,434</w:t>
            </w:r>
          </w:p>
        </w:tc>
        <w:tc>
          <w:tcPr>
            <w:tcW w:w="176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w w:val="99"/>
              </w:rPr>
              <w:t>Discounted Cash Flow</w:t>
            </w:r>
          </w:p>
        </w:tc>
        <w:tc>
          <w:tcPr>
            <w:tcW w:w="17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Loss Severity</w:t>
            </w:r>
          </w:p>
        </w:tc>
        <w:tc>
          <w:tcPr>
            <w:tcW w:w="19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20.5%-30.5% (36.1%)</w:t>
            </w:r>
          </w:p>
        </w:tc>
        <w:tc>
          <w:tcPr>
            <w:tcW w:w="0" w:type="dxa"/>
            <w:vAlign w:val="bottom"/>
          </w:tcPr>
          <w:p>
            <w:pPr>
              <w:spacing w:after="0"/>
              <w:rPr>
                <w:sz w:val="1"/>
                <w:szCs w:val="1"/>
                <w:color w:val="auto"/>
              </w:rPr>
            </w:pPr>
          </w:p>
        </w:tc>
      </w:tr>
      <w:tr>
        <w:trPr>
          <w:trHeight w:val="210"/>
        </w:trPr>
        <w:tc>
          <w:tcPr>
            <w:tcW w:w="4020" w:type="dxa"/>
            <w:vAlign w:val="bottom"/>
            <w:tcBorders>
              <w:left w:val="single" w:sz="8" w:color="auto"/>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Recovery Rate</w:t>
            </w:r>
          </w:p>
        </w:tc>
        <w:tc>
          <w:tcPr>
            <w:tcW w:w="19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69.5%-79.5% (63.9%)</w:t>
            </w:r>
          </w:p>
        </w:tc>
        <w:tc>
          <w:tcPr>
            <w:tcW w:w="0" w:type="dxa"/>
            <w:vAlign w:val="bottom"/>
          </w:tcPr>
          <w:p>
            <w:pPr>
              <w:spacing w:after="0"/>
              <w:rPr>
                <w:sz w:val="1"/>
                <w:szCs w:val="1"/>
                <w:color w:val="auto"/>
              </w:rPr>
            </w:pPr>
          </w:p>
        </w:tc>
      </w:tr>
      <w:tr>
        <w:trPr>
          <w:trHeight w:val="203"/>
        </w:trPr>
        <w:tc>
          <w:tcPr>
            <w:tcW w:w="4020" w:type="dxa"/>
            <w:vAlign w:val="bottom"/>
            <w:tcBorders>
              <w:left w:val="single" w:sz="8" w:color="auto"/>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76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Prepayment</w:t>
            </w:r>
          </w:p>
        </w:tc>
        <w:tc>
          <w:tcPr>
            <w:tcW w:w="19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20" w:type="dxa"/>
            <w:vAlign w:val="bottom"/>
            <w:tcBorders>
              <w:left w:val="single" w:sz="8" w:color="auto"/>
              <w:bottom w:val="single" w:sz="8" w:color="auto"/>
              <w:right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Rate</w:t>
            </w:r>
          </w:p>
        </w:tc>
        <w:tc>
          <w:tcPr>
            <w:tcW w:w="19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0.0%-25.0% (10.7%)</w:t>
            </w:r>
          </w:p>
        </w:tc>
        <w:tc>
          <w:tcPr>
            <w:tcW w:w="0" w:type="dxa"/>
            <w:vAlign w:val="bottom"/>
          </w:tcPr>
          <w:p>
            <w:pPr>
              <w:spacing w:after="0"/>
              <w:rPr>
                <w:sz w:val="1"/>
                <w:szCs w:val="1"/>
                <w:color w:val="auto"/>
              </w:rPr>
            </w:pPr>
          </w:p>
        </w:tc>
      </w:tr>
      <w:tr>
        <w:trPr>
          <w:trHeight w:val="210"/>
        </w:trPr>
        <w:tc>
          <w:tcPr>
            <w:tcW w:w="4020" w:type="dxa"/>
            <w:vAlign w:val="bottom"/>
            <w:tcBorders>
              <w:left w:val="single" w:sz="8" w:color="auto"/>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Discount Rate</w:t>
            </w:r>
          </w:p>
        </w:tc>
        <w:tc>
          <w:tcPr>
            <w:tcW w:w="19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14.0%-15.0% (14.5%)</w:t>
            </w:r>
          </w:p>
        </w:tc>
        <w:tc>
          <w:tcPr>
            <w:tcW w:w="0" w:type="dxa"/>
            <w:vAlign w:val="bottom"/>
          </w:tcPr>
          <w:p>
            <w:pPr>
              <w:spacing w:after="0"/>
              <w:rPr>
                <w:sz w:val="1"/>
                <w:szCs w:val="1"/>
                <w:color w:val="auto"/>
              </w:rPr>
            </w:pPr>
          </w:p>
        </w:tc>
      </w:tr>
      <w:tr>
        <w:trPr>
          <w:trHeight w:val="203"/>
        </w:trPr>
        <w:tc>
          <w:tcPr>
            <w:tcW w:w="4020" w:type="dxa"/>
            <w:vAlign w:val="bottom"/>
            <w:tcBorders>
              <w:left w:val="single" w:sz="8" w:color="auto"/>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76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Probability of</w:t>
            </w:r>
          </w:p>
        </w:tc>
        <w:tc>
          <w:tcPr>
            <w:tcW w:w="19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020" w:type="dxa"/>
            <w:vAlign w:val="bottom"/>
            <w:tcBorders>
              <w:left w:val="single" w:sz="8" w:color="auto"/>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760" w:type="dxa"/>
            <w:vAlign w:val="bottom"/>
            <w:tcBorders>
              <w:right w:val="single" w:sz="8" w:color="auto"/>
            </w:tcBorders>
          </w:tcPr>
          <w:p>
            <w:pPr>
              <w:spacing w:after="0"/>
              <w:rPr>
                <w:sz w:val="17"/>
                <w:szCs w:val="17"/>
                <w:color w:val="auto"/>
              </w:rPr>
            </w:pPr>
          </w:p>
        </w:tc>
        <w:tc>
          <w:tcPr>
            <w:tcW w:w="17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Default</w:t>
            </w:r>
          </w:p>
        </w:tc>
        <w:tc>
          <w:tcPr>
            <w:tcW w:w="19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2.8%-3.3% (3.0%)</w:t>
            </w:r>
          </w:p>
        </w:tc>
        <w:tc>
          <w:tcPr>
            <w:tcW w:w="0" w:type="dxa"/>
            <w:vAlign w:val="bottom"/>
          </w:tcPr>
          <w:p>
            <w:pPr>
              <w:spacing w:after="0"/>
              <w:rPr>
                <w:sz w:val="1"/>
                <w:szCs w:val="1"/>
                <w:color w:val="auto"/>
              </w:rPr>
            </w:pPr>
          </w:p>
        </w:tc>
      </w:tr>
      <w:tr>
        <w:trPr>
          <w:trHeight w:val="213"/>
        </w:trPr>
        <w:tc>
          <w:tcPr>
            <w:tcW w:w="40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Joint Ventures</w:t>
            </w:r>
          </w:p>
        </w:tc>
        <w:tc>
          <w:tcPr>
            <w:tcW w:w="360" w:type="dxa"/>
            <w:vAlign w:val="bottom"/>
          </w:tcPr>
          <w:p>
            <w:pPr>
              <w:spacing w:after="0"/>
              <w:rPr>
                <w:sz w:val="18"/>
                <w:szCs w:val="18"/>
                <w:color w:val="auto"/>
              </w:rPr>
            </w:pPr>
          </w:p>
        </w:tc>
        <w:tc>
          <w:tcPr>
            <w:tcW w:w="140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20,539,848</w:t>
            </w:r>
          </w:p>
        </w:tc>
        <w:tc>
          <w:tcPr>
            <w:tcW w:w="176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w w:val="99"/>
              </w:rPr>
              <w:t>Discounted Cash Flow</w:t>
            </w:r>
          </w:p>
        </w:tc>
        <w:tc>
          <w:tcPr>
            <w:tcW w:w="17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Loss Severity</w:t>
            </w:r>
          </w:p>
        </w:tc>
        <w:tc>
          <w:tcPr>
            <w:tcW w:w="19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21.5%-31.5% (26.5%)</w:t>
            </w:r>
          </w:p>
        </w:tc>
        <w:tc>
          <w:tcPr>
            <w:tcW w:w="0" w:type="dxa"/>
            <w:vAlign w:val="bottom"/>
          </w:tcPr>
          <w:p>
            <w:pPr>
              <w:spacing w:after="0"/>
              <w:rPr>
                <w:sz w:val="1"/>
                <w:szCs w:val="1"/>
                <w:color w:val="auto"/>
              </w:rPr>
            </w:pPr>
          </w:p>
        </w:tc>
      </w:tr>
      <w:tr>
        <w:trPr>
          <w:trHeight w:val="210"/>
        </w:trPr>
        <w:tc>
          <w:tcPr>
            <w:tcW w:w="4020" w:type="dxa"/>
            <w:vAlign w:val="bottom"/>
            <w:tcBorders>
              <w:left w:val="single" w:sz="8" w:color="auto"/>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Recovery Rate</w:t>
            </w:r>
          </w:p>
        </w:tc>
        <w:tc>
          <w:tcPr>
            <w:tcW w:w="19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68.5%-78.5% (73.5%)</w:t>
            </w:r>
          </w:p>
        </w:tc>
        <w:tc>
          <w:tcPr>
            <w:tcW w:w="0" w:type="dxa"/>
            <w:vAlign w:val="bottom"/>
          </w:tcPr>
          <w:p>
            <w:pPr>
              <w:spacing w:after="0"/>
              <w:rPr>
                <w:sz w:val="1"/>
                <w:szCs w:val="1"/>
                <w:color w:val="auto"/>
              </w:rPr>
            </w:pPr>
          </w:p>
        </w:tc>
      </w:tr>
      <w:tr>
        <w:trPr>
          <w:trHeight w:val="203"/>
        </w:trPr>
        <w:tc>
          <w:tcPr>
            <w:tcW w:w="4020" w:type="dxa"/>
            <w:vAlign w:val="bottom"/>
            <w:tcBorders>
              <w:left w:val="single" w:sz="8" w:color="auto"/>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76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Prepayment</w:t>
            </w:r>
          </w:p>
        </w:tc>
        <w:tc>
          <w:tcPr>
            <w:tcW w:w="19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20" w:type="dxa"/>
            <w:vAlign w:val="bottom"/>
            <w:tcBorders>
              <w:left w:val="single" w:sz="8" w:color="auto"/>
              <w:bottom w:val="single" w:sz="8" w:color="auto"/>
              <w:right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Rate</w:t>
            </w:r>
          </w:p>
        </w:tc>
        <w:tc>
          <w:tcPr>
            <w:tcW w:w="19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15.0%-25.0% (20.0%)</w:t>
            </w:r>
          </w:p>
        </w:tc>
        <w:tc>
          <w:tcPr>
            <w:tcW w:w="0" w:type="dxa"/>
            <w:vAlign w:val="bottom"/>
          </w:tcPr>
          <w:p>
            <w:pPr>
              <w:spacing w:after="0"/>
              <w:rPr>
                <w:sz w:val="1"/>
                <w:szCs w:val="1"/>
                <w:color w:val="auto"/>
              </w:rPr>
            </w:pPr>
          </w:p>
        </w:tc>
      </w:tr>
      <w:tr>
        <w:trPr>
          <w:trHeight w:val="203"/>
        </w:trPr>
        <w:tc>
          <w:tcPr>
            <w:tcW w:w="40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1"/>
              </w:rPr>
              <w:t>Derivatives</w:t>
            </w:r>
          </w:p>
        </w:tc>
        <w:tc>
          <w:tcPr>
            <w:tcW w:w="360" w:type="dxa"/>
            <w:vAlign w:val="bottom"/>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76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Transacted</w:t>
            </w:r>
          </w:p>
        </w:tc>
        <w:tc>
          <w:tcPr>
            <w:tcW w:w="19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tcBorders>
              <w:left w:val="single" w:sz="8" w:color="auto"/>
              <w:right w:val="single" w:sz="8" w:color="auto"/>
            </w:tcBorders>
            <w:vMerge w:val="continue"/>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(1,582,963)</w:t>
            </w:r>
          </w:p>
        </w:tc>
        <w:tc>
          <w:tcPr>
            <w:tcW w:w="176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Market Approach</w:t>
            </w:r>
          </w:p>
        </w:tc>
        <w:tc>
          <w:tcPr>
            <w:tcW w:w="178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Value/Contractual</w:t>
            </w:r>
          </w:p>
        </w:tc>
        <w:tc>
          <w:tcPr>
            <w:tcW w:w="19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20" w:type="dxa"/>
            <w:vAlign w:val="bottom"/>
            <w:tcBorders>
              <w:left w:val="single" w:sz="8" w:color="auto"/>
              <w:bottom w:val="single" w:sz="8" w:color="auto"/>
              <w:right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Financing Rate</w:t>
            </w:r>
          </w:p>
        </w:tc>
        <w:tc>
          <w:tcPr>
            <w:tcW w:w="1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20" w:type="dxa"/>
            <w:vAlign w:val="bottom"/>
          </w:tcPr>
          <w:p>
            <w:pPr>
              <w:jc w:val="center"/>
              <w:spacing w:after="0"/>
              <w:rPr>
                <w:sz w:val="20"/>
                <w:szCs w:val="20"/>
                <w:color w:val="auto"/>
              </w:rPr>
            </w:pPr>
            <w:r>
              <w:rPr>
                <w:rFonts w:ascii="Arial" w:cs="Arial" w:eastAsia="Arial" w:hAnsi="Arial"/>
                <w:sz w:val="16"/>
                <w:szCs w:val="16"/>
                <w:b w:val="1"/>
                <w:bCs w:val="1"/>
                <w:color w:val="auto"/>
                <w:w w:val="94"/>
              </w:rPr>
              <w:t>Total Level III Investments</w:t>
            </w:r>
          </w:p>
        </w:tc>
        <w:tc>
          <w:tcPr>
            <w:tcW w:w="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355,538,811</w:t>
            </w:r>
          </w:p>
        </w:tc>
        <w:tc>
          <w:tcPr>
            <w:tcW w:w="17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hanging="372"/>
        <w:spacing w:after="0"/>
        <w:tabs>
          <w:tab w:leader="none" w:pos="380" w:val="left"/>
        </w:tabs>
        <w:numPr>
          <w:ilvl w:val="0"/>
          <w:numId w:val="58"/>
        </w:numPr>
        <w:rPr>
          <w:rFonts w:ascii="Arial" w:cs="Arial" w:eastAsia="Arial" w:hAnsi="Arial"/>
          <w:sz w:val="13"/>
          <w:szCs w:val="13"/>
          <w:color w:val="auto"/>
        </w:rPr>
      </w:pPr>
      <w:r>
        <w:rPr>
          <w:rFonts w:ascii="Arial" w:cs="Arial" w:eastAsia="Arial" w:hAnsi="Arial"/>
          <w:sz w:val="16"/>
          <w:szCs w:val="16"/>
          <w:color w:val="auto"/>
        </w:rPr>
        <w:t>The qualitative inputs used in the fair value measurements of Equity Securities include estimates of the distressed liquidation value of the pledged</w:t>
      </w:r>
    </w:p>
    <w:p>
      <w:pPr>
        <w:spacing w:after="0" w:line="46" w:lineRule="exact"/>
        <w:rPr>
          <w:sz w:val="20"/>
          <w:szCs w:val="20"/>
          <w:color w:val="auto"/>
        </w:rPr>
      </w:pPr>
    </w:p>
    <w:p>
      <w:pPr>
        <w:ind w:left="380" w:right="80"/>
        <w:spacing w:after="0" w:line="249" w:lineRule="auto"/>
        <w:rPr>
          <w:sz w:val="20"/>
          <w:szCs w:val="20"/>
          <w:color w:val="auto"/>
        </w:rPr>
      </w:pPr>
      <w:r>
        <w:rPr>
          <w:rFonts w:ascii="Arial" w:cs="Arial" w:eastAsia="Arial" w:hAnsi="Arial"/>
          <w:sz w:val="18"/>
          <w:szCs w:val="18"/>
          <w:color w:val="auto"/>
        </w:rPr>
        <w:t>collateral. In cases where Portman Ridge’s analysis ascribes no residual value to a portfolio company’s equity, Portman Ridge typically elects to mark its position at a nominal amount to account for the investment’s option value.</w:t>
      </w:r>
    </w:p>
    <w:p>
      <w:pPr>
        <w:spacing w:after="0" w:line="1" w:lineRule="exact"/>
        <w:rPr>
          <w:sz w:val="20"/>
          <w:szCs w:val="20"/>
          <w:color w:val="auto"/>
        </w:rPr>
      </w:pPr>
    </w:p>
    <w:p>
      <w:pPr>
        <w:ind w:left="5540" w:right="3560" w:hanging="5532"/>
        <w:spacing w:after="0" w:line="512" w:lineRule="auto"/>
        <w:tabs>
          <w:tab w:leader="none" w:pos="378" w:val="left"/>
        </w:tabs>
        <w:numPr>
          <w:ilvl w:val="0"/>
          <w:numId w:val="59"/>
        </w:numPr>
        <w:rPr>
          <w:rFonts w:ascii="Arial" w:cs="Arial" w:eastAsia="Arial" w:hAnsi="Arial"/>
          <w:sz w:val="15"/>
          <w:szCs w:val="15"/>
          <w:color w:val="auto"/>
        </w:rPr>
      </w:pPr>
      <w:r>
        <w:rPr>
          <w:rFonts w:ascii="Arial" w:cs="Arial" w:eastAsia="Arial" w:hAnsi="Arial"/>
          <w:sz w:val="18"/>
          <w:szCs w:val="18"/>
          <w:color w:val="auto"/>
        </w:rPr>
        <w:t>The qualitative inputs used in the fair value measurements include the value of the pledged collateral.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748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ind w:left="380"/>
        <w:spacing w:after="0"/>
        <w:rPr>
          <w:sz w:val="20"/>
          <w:szCs w:val="20"/>
          <w:color w:val="auto"/>
        </w:rPr>
      </w:pPr>
      <w:r>
        <w:rPr>
          <w:rFonts w:ascii="Arial" w:cs="Arial" w:eastAsia="Arial" w:hAnsi="Arial"/>
          <w:sz w:val="18"/>
          <w:szCs w:val="18"/>
          <w:color w:val="auto"/>
        </w:rPr>
        <w:t>As of December 31, 2020, the Company’s Level III portfolio investments had the following valuation techniques and significant inputs:</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4020" w:type="dxa"/>
            <w:vAlign w:val="bottom"/>
            <w:tcBorders>
              <w:top w:val="single" w:sz="8" w:color="auto"/>
              <w:left w:val="single" w:sz="8" w:color="auto"/>
              <w:right w:val="single" w:sz="8" w:color="auto"/>
            </w:tcBorders>
            <w:shd w:val="clear" w:color="auto" w:fill="DAEEF3"/>
          </w:tcPr>
          <w:p>
            <w:pPr>
              <w:spacing w:after="0"/>
              <w:rPr>
                <w:sz w:val="18"/>
                <w:szCs w:val="18"/>
                <w:color w:val="auto"/>
              </w:rPr>
            </w:pPr>
          </w:p>
        </w:tc>
        <w:tc>
          <w:tcPr>
            <w:tcW w:w="360" w:type="dxa"/>
            <w:vAlign w:val="bottom"/>
            <w:tcBorders>
              <w:top w:val="single" w:sz="8" w:color="auto"/>
            </w:tcBorders>
            <w:shd w:val="clear" w:color="auto" w:fill="DAEEF3"/>
          </w:tcPr>
          <w:p>
            <w:pPr>
              <w:spacing w:after="0"/>
              <w:rPr>
                <w:sz w:val="18"/>
                <w:szCs w:val="18"/>
                <w:color w:val="auto"/>
              </w:rPr>
            </w:pPr>
          </w:p>
        </w:tc>
        <w:tc>
          <w:tcPr>
            <w:tcW w:w="1400" w:type="dxa"/>
            <w:vAlign w:val="bottom"/>
            <w:tcBorders>
              <w:top w:val="single" w:sz="8" w:color="auto"/>
              <w:right w:val="single" w:sz="8" w:color="auto"/>
            </w:tcBorders>
            <w:shd w:val="clear" w:color="auto" w:fill="DAEEF3"/>
          </w:tcPr>
          <w:p>
            <w:pPr>
              <w:spacing w:after="0"/>
              <w:rPr>
                <w:sz w:val="18"/>
                <w:szCs w:val="18"/>
                <w:color w:val="auto"/>
              </w:rPr>
            </w:pPr>
          </w:p>
        </w:tc>
        <w:tc>
          <w:tcPr>
            <w:tcW w:w="1760" w:type="dxa"/>
            <w:vAlign w:val="bottom"/>
            <w:tcBorders>
              <w:top w:val="single" w:sz="8" w:color="auto"/>
              <w:right w:val="single" w:sz="8" w:color="auto"/>
            </w:tcBorders>
            <w:shd w:val="clear" w:color="auto" w:fill="DAEEF3"/>
          </w:tcPr>
          <w:p>
            <w:pPr>
              <w:ind w:left="280"/>
              <w:spacing w:after="0"/>
              <w:rPr>
                <w:sz w:val="20"/>
                <w:szCs w:val="20"/>
                <w:color w:val="auto"/>
              </w:rPr>
            </w:pPr>
            <w:r>
              <w:rPr>
                <w:rFonts w:ascii="Arial" w:cs="Arial" w:eastAsia="Arial" w:hAnsi="Arial"/>
                <w:sz w:val="16"/>
                <w:szCs w:val="16"/>
                <w:b w:val="1"/>
                <w:bCs w:val="1"/>
                <w:color w:val="auto"/>
              </w:rPr>
              <w:t>Primary Valuation</w:t>
            </w:r>
          </w:p>
        </w:tc>
        <w:tc>
          <w:tcPr>
            <w:tcW w:w="1780" w:type="dxa"/>
            <w:vAlign w:val="bottom"/>
            <w:tcBorders>
              <w:top w:val="single" w:sz="8" w:color="auto"/>
              <w:right w:val="single" w:sz="8" w:color="auto"/>
            </w:tcBorders>
            <w:shd w:val="clear" w:color="auto" w:fill="DAEEF3"/>
          </w:tcPr>
          <w:p>
            <w:pPr>
              <w:ind w:left="460"/>
              <w:spacing w:after="0"/>
              <w:rPr>
                <w:sz w:val="20"/>
                <w:szCs w:val="20"/>
                <w:color w:val="auto"/>
              </w:rPr>
            </w:pPr>
            <w:r>
              <w:rPr>
                <w:rFonts w:ascii="Arial" w:cs="Arial" w:eastAsia="Arial" w:hAnsi="Arial"/>
                <w:sz w:val="16"/>
                <w:szCs w:val="16"/>
                <w:b w:val="1"/>
                <w:bCs w:val="1"/>
                <w:color w:val="auto"/>
              </w:rPr>
              <w:t>Unobservable</w:t>
            </w:r>
          </w:p>
        </w:tc>
        <w:tc>
          <w:tcPr>
            <w:tcW w:w="1920" w:type="dxa"/>
            <w:vAlign w:val="bottom"/>
            <w:tcBorders>
              <w:top w:val="single" w:sz="8" w:color="auto"/>
              <w:right w:val="single" w:sz="8" w:color="auto"/>
            </w:tcBorders>
            <w:shd w:val="clear" w:color="auto" w:fill="DAEEF3"/>
          </w:tcPr>
          <w:p>
            <w:pPr>
              <w:ind w:left="440"/>
              <w:spacing w:after="0"/>
              <w:rPr>
                <w:sz w:val="20"/>
                <w:szCs w:val="20"/>
                <w:color w:val="auto"/>
              </w:rPr>
            </w:pPr>
            <w:r>
              <w:rPr>
                <w:rFonts w:ascii="Arial" w:cs="Arial" w:eastAsia="Arial" w:hAnsi="Arial"/>
                <w:sz w:val="16"/>
                <w:szCs w:val="16"/>
                <w:b w:val="1"/>
                <w:bCs w:val="1"/>
                <w:color w:val="auto"/>
              </w:rPr>
              <w:t>Range of Inputs</w:t>
            </w:r>
          </w:p>
        </w:tc>
        <w:tc>
          <w:tcPr>
            <w:tcW w:w="0" w:type="dxa"/>
            <w:vAlign w:val="bottom"/>
          </w:tcPr>
          <w:p>
            <w:pPr>
              <w:spacing w:after="0"/>
              <w:rPr>
                <w:sz w:val="1"/>
                <w:szCs w:val="1"/>
                <w:color w:val="auto"/>
              </w:rPr>
            </w:pPr>
          </w:p>
        </w:tc>
      </w:tr>
      <w:tr>
        <w:trPr>
          <w:trHeight w:val="213"/>
        </w:trPr>
        <w:tc>
          <w:tcPr>
            <w:tcW w:w="4020" w:type="dxa"/>
            <w:vAlign w:val="bottom"/>
            <w:tcBorders>
              <w:left w:val="single" w:sz="8" w:color="auto"/>
              <w:bottom w:val="single" w:sz="8" w:color="auto"/>
              <w:right w:val="single" w:sz="8" w:color="auto"/>
            </w:tcBorders>
            <w:shd w:val="clear" w:color="auto" w:fill="DAEEF3"/>
          </w:tcPr>
          <w:p>
            <w:pPr>
              <w:jc w:val="center"/>
              <w:spacing w:after="0"/>
              <w:rPr>
                <w:sz w:val="20"/>
                <w:szCs w:val="20"/>
                <w:color w:val="auto"/>
              </w:rPr>
            </w:pPr>
            <w:r>
              <w:rPr>
                <w:rFonts w:ascii="Arial" w:cs="Arial" w:eastAsia="Arial" w:hAnsi="Arial"/>
                <w:sz w:val="16"/>
                <w:szCs w:val="16"/>
                <w:b w:val="1"/>
                <w:bCs w:val="1"/>
                <w:color w:val="auto"/>
                <w:w w:val="90"/>
              </w:rPr>
              <w:t>Type</w:t>
            </w:r>
          </w:p>
        </w:tc>
        <w:tc>
          <w:tcPr>
            <w:tcW w:w="360" w:type="dxa"/>
            <w:vAlign w:val="bottom"/>
            <w:tcBorders>
              <w:bottom w:val="single" w:sz="8" w:color="auto"/>
            </w:tcBorders>
            <w:shd w:val="clear" w:color="auto" w:fill="DAEEF3"/>
          </w:tcPr>
          <w:p>
            <w:pPr>
              <w:spacing w:after="0"/>
              <w:rPr>
                <w:sz w:val="18"/>
                <w:szCs w:val="18"/>
                <w:color w:val="auto"/>
              </w:rPr>
            </w:pPr>
          </w:p>
        </w:tc>
        <w:tc>
          <w:tcPr>
            <w:tcW w:w="1400" w:type="dxa"/>
            <w:vAlign w:val="bottom"/>
            <w:tcBorders>
              <w:bottom w:val="single" w:sz="8" w:color="auto"/>
              <w:right w:val="single" w:sz="8" w:color="auto"/>
            </w:tcBorders>
            <w:shd w:val="clear" w:color="auto" w:fill="DAEEF3"/>
          </w:tcPr>
          <w:p>
            <w:pPr>
              <w:jc w:val="right"/>
              <w:ind w:right="439"/>
              <w:spacing w:after="0"/>
              <w:rPr>
                <w:sz w:val="20"/>
                <w:szCs w:val="20"/>
                <w:color w:val="auto"/>
              </w:rPr>
            </w:pPr>
            <w:r>
              <w:rPr>
                <w:rFonts w:ascii="Arial" w:cs="Arial" w:eastAsia="Arial" w:hAnsi="Arial"/>
                <w:sz w:val="16"/>
                <w:szCs w:val="16"/>
                <w:b w:val="1"/>
                <w:bCs w:val="1"/>
                <w:color w:val="auto"/>
              </w:rPr>
              <w:t>Fair Value</w:t>
            </w:r>
          </w:p>
        </w:tc>
        <w:tc>
          <w:tcPr>
            <w:tcW w:w="1760" w:type="dxa"/>
            <w:vAlign w:val="bottom"/>
            <w:tcBorders>
              <w:bottom w:val="single" w:sz="8" w:color="auto"/>
              <w:right w:val="single" w:sz="8" w:color="auto"/>
            </w:tcBorders>
            <w:shd w:val="clear" w:color="auto" w:fill="DAEEF3"/>
          </w:tcPr>
          <w:p>
            <w:pPr>
              <w:ind w:left="540"/>
              <w:spacing w:after="0"/>
              <w:rPr>
                <w:sz w:val="20"/>
                <w:szCs w:val="20"/>
                <w:color w:val="auto"/>
              </w:rPr>
            </w:pPr>
            <w:r>
              <w:rPr>
                <w:rFonts w:ascii="Arial" w:cs="Arial" w:eastAsia="Arial" w:hAnsi="Arial"/>
                <w:sz w:val="16"/>
                <w:szCs w:val="16"/>
                <w:b w:val="1"/>
                <w:bCs w:val="1"/>
                <w:color w:val="auto"/>
              </w:rPr>
              <w:t>Techniques</w:t>
            </w:r>
          </w:p>
        </w:tc>
        <w:tc>
          <w:tcPr>
            <w:tcW w:w="1780" w:type="dxa"/>
            <w:vAlign w:val="bottom"/>
            <w:tcBorders>
              <w:bottom w:val="single" w:sz="8" w:color="auto"/>
              <w:right w:val="single" w:sz="8" w:color="auto"/>
            </w:tcBorders>
            <w:shd w:val="clear" w:color="auto" w:fill="DAEEF3"/>
          </w:tcPr>
          <w:p>
            <w:pPr>
              <w:ind w:left="700"/>
              <w:spacing w:after="0"/>
              <w:rPr>
                <w:sz w:val="20"/>
                <w:szCs w:val="20"/>
                <w:color w:val="auto"/>
              </w:rPr>
            </w:pPr>
            <w:r>
              <w:rPr>
                <w:rFonts w:ascii="Arial" w:cs="Arial" w:eastAsia="Arial" w:hAnsi="Arial"/>
                <w:sz w:val="16"/>
                <w:szCs w:val="16"/>
                <w:b w:val="1"/>
                <w:bCs w:val="1"/>
                <w:color w:val="auto"/>
              </w:rPr>
              <w:t>Inputs</w:t>
            </w:r>
          </w:p>
        </w:tc>
        <w:tc>
          <w:tcPr>
            <w:tcW w:w="1920" w:type="dxa"/>
            <w:vAlign w:val="bottom"/>
            <w:tcBorders>
              <w:bottom w:val="single" w:sz="8" w:color="auto"/>
              <w:right w:val="single" w:sz="8" w:color="auto"/>
            </w:tcBorders>
            <w:shd w:val="clear" w:color="auto" w:fill="DAEEF3"/>
          </w:tcPr>
          <w:p>
            <w:pPr>
              <w:ind w:left="320"/>
              <w:spacing w:after="0"/>
              <w:rPr>
                <w:sz w:val="20"/>
                <w:szCs w:val="20"/>
                <w:color w:val="auto"/>
              </w:rPr>
            </w:pPr>
            <w:r>
              <w:rPr>
                <w:rFonts w:ascii="Arial" w:cs="Arial" w:eastAsia="Arial" w:hAnsi="Arial"/>
                <w:sz w:val="16"/>
                <w:szCs w:val="16"/>
                <w:b w:val="1"/>
                <w:bCs w:val="1"/>
                <w:color w:val="auto"/>
              </w:rPr>
              <w:t>(Weighted Average)</w:t>
            </w:r>
          </w:p>
        </w:tc>
        <w:tc>
          <w:tcPr>
            <w:tcW w:w="0" w:type="dxa"/>
            <w:vAlign w:val="bottom"/>
          </w:tcPr>
          <w:p>
            <w:pPr>
              <w:spacing w:after="0"/>
              <w:rPr>
                <w:sz w:val="1"/>
                <w:szCs w:val="1"/>
                <w:color w:val="auto"/>
              </w:rPr>
            </w:pPr>
          </w:p>
        </w:tc>
      </w:tr>
      <w:tr>
        <w:trPr>
          <w:trHeight w:val="203"/>
        </w:trPr>
        <w:tc>
          <w:tcPr>
            <w:tcW w:w="4020" w:type="dxa"/>
            <w:vAlign w:val="bottom"/>
            <w:tcBorders>
              <w:left w:val="single" w:sz="8" w:color="auto"/>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76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Average</w:t>
            </w:r>
          </w:p>
        </w:tc>
        <w:tc>
          <w:tcPr>
            <w:tcW w:w="19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tcBorders>
              <w:left w:val="single" w:sz="8" w:color="auto"/>
              <w:right w:val="single" w:sz="8" w:color="auto"/>
            </w:tcBorders>
          </w:tcPr>
          <w:p>
            <w:pPr>
              <w:spacing w:after="0"/>
              <w:rPr>
                <w:sz w:val="17"/>
                <w:szCs w:val="17"/>
                <w:color w:val="auto"/>
              </w:rPr>
            </w:pP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40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8,651,448</w:t>
            </w:r>
          </w:p>
        </w:tc>
        <w:tc>
          <w:tcPr>
            <w:tcW w:w="176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Enterprise Value</w:t>
            </w:r>
          </w:p>
        </w:tc>
        <w:tc>
          <w:tcPr>
            <w:tcW w:w="178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EBITDA</w:t>
            </w:r>
          </w:p>
        </w:tc>
        <w:tc>
          <w:tcPr>
            <w:tcW w:w="192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4.8x-7.5x (5.6x)</w:t>
            </w:r>
          </w:p>
        </w:tc>
        <w:tc>
          <w:tcPr>
            <w:tcW w:w="0" w:type="dxa"/>
            <w:vAlign w:val="bottom"/>
          </w:tcPr>
          <w:p>
            <w:pPr>
              <w:spacing w:after="0"/>
              <w:rPr>
                <w:sz w:val="1"/>
                <w:szCs w:val="1"/>
                <w:color w:val="auto"/>
              </w:rPr>
            </w:pPr>
          </w:p>
        </w:tc>
      </w:tr>
      <w:tr>
        <w:trPr>
          <w:trHeight w:val="206"/>
        </w:trPr>
        <w:tc>
          <w:tcPr>
            <w:tcW w:w="4020" w:type="dxa"/>
            <w:vAlign w:val="bottom"/>
            <w:tcBorders>
              <w:left w:val="single" w:sz="8" w:color="auto"/>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760" w:type="dxa"/>
            <w:vAlign w:val="bottom"/>
            <w:tcBorders>
              <w:right w:val="single" w:sz="8" w:color="auto"/>
            </w:tcBorders>
          </w:tcPr>
          <w:p>
            <w:pPr>
              <w:spacing w:after="0"/>
              <w:rPr>
                <w:sz w:val="17"/>
                <w:szCs w:val="17"/>
                <w:color w:val="auto"/>
              </w:rPr>
            </w:pPr>
          </w:p>
        </w:tc>
        <w:tc>
          <w:tcPr>
            <w:tcW w:w="17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Multiple</w:t>
            </w:r>
          </w:p>
        </w:tc>
        <w:tc>
          <w:tcPr>
            <w:tcW w:w="19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Debt Securities</w:t>
            </w:r>
          </w:p>
        </w:tc>
        <w:tc>
          <w:tcPr>
            <w:tcW w:w="360" w:type="dxa"/>
            <w:vAlign w:val="bottom"/>
            <w:tcBorders>
              <w:bottom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w w:val="97"/>
              </w:rPr>
              <w:t>Recovery Rate Multiple</w:t>
            </w:r>
          </w:p>
        </w:tc>
        <w:tc>
          <w:tcPr>
            <w:tcW w:w="19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0.0x-1.0x (0.7x)</w:t>
            </w:r>
          </w:p>
        </w:tc>
        <w:tc>
          <w:tcPr>
            <w:tcW w:w="0" w:type="dxa"/>
            <w:vAlign w:val="bottom"/>
          </w:tcPr>
          <w:p>
            <w:pPr>
              <w:spacing w:after="0"/>
              <w:rPr>
                <w:sz w:val="1"/>
                <w:szCs w:val="1"/>
                <w:color w:val="auto"/>
              </w:rPr>
            </w:pPr>
          </w:p>
        </w:tc>
      </w:tr>
      <w:tr>
        <w:trPr>
          <w:trHeight w:val="203"/>
        </w:trPr>
        <w:tc>
          <w:tcPr>
            <w:tcW w:w="4020" w:type="dxa"/>
            <w:vAlign w:val="bottom"/>
            <w:tcBorders>
              <w:left w:val="single" w:sz="8" w:color="auto"/>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tcBorders>
              <w:right w:val="single" w:sz="8" w:color="auto"/>
            </w:tcBorders>
            <w:vMerge w:val="restart"/>
          </w:tcPr>
          <w:p>
            <w:pPr>
              <w:jc w:val="right"/>
              <w:ind w:right="59"/>
              <w:spacing w:after="0"/>
              <w:rPr>
                <w:sz w:val="20"/>
                <w:szCs w:val="20"/>
                <w:color w:val="auto"/>
              </w:rPr>
            </w:pPr>
            <w:r>
              <w:rPr>
                <w:rFonts w:ascii="Arial" w:cs="Arial" w:eastAsia="Arial" w:hAnsi="Arial"/>
                <w:sz w:val="16"/>
                <w:szCs w:val="16"/>
                <w:color w:val="auto"/>
              </w:rPr>
              <w:t>325,593,566</w:t>
            </w:r>
          </w:p>
        </w:tc>
        <w:tc>
          <w:tcPr>
            <w:tcW w:w="1760" w:type="dxa"/>
            <w:vAlign w:val="bottom"/>
            <w:tcBorders>
              <w:right w:val="single" w:sz="8" w:color="auto"/>
            </w:tcBorders>
            <w:vMerge w:val="restart"/>
          </w:tcPr>
          <w:p>
            <w:pPr>
              <w:ind w:left="120"/>
              <w:spacing w:after="0"/>
              <w:rPr>
                <w:sz w:val="20"/>
                <w:szCs w:val="20"/>
                <w:color w:val="auto"/>
              </w:rPr>
            </w:pPr>
            <w:r>
              <w:rPr>
                <w:rFonts w:ascii="Arial" w:cs="Arial" w:eastAsia="Arial" w:hAnsi="Arial"/>
                <w:sz w:val="16"/>
                <w:szCs w:val="16"/>
                <w:color w:val="auto"/>
              </w:rPr>
              <w:t>Income Approach</w:t>
            </w:r>
          </w:p>
        </w:tc>
        <w:tc>
          <w:tcPr>
            <w:tcW w:w="178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Implied</w:t>
            </w:r>
          </w:p>
        </w:tc>
        <w:tc>
          <w:tcPr>
            <w:tcW w:w="1920" w:type="dxa"/>
            <w:vAlign w:val="bottom"/>
            <w:tcBorders>
              <w:right w:val="single" w:sz="8" w:color="auto"/>
            </w:tcBorders>
            <w:vMerge w:val="restart"/>
          </w:tcPr>
          <w:p>
            <w:pPr>
              <w:ind w:left="120"/>
              <w:spacing w:after="0"/>
              <w:rPr>
                <w:sz w:val="20"/>
                <w:szCs w:val="20"/>
                <w:color w:val="auto"/>
              </w:rPr>
            </w:pPr>
            <w:r>
              <w:rPr>
                <w:rFonts w:ascii="Arial" w:cs="Arial" w:eastAsia="Arial" w:hAnsi="Arial"/>
                <w:sz w:val="16"/>
                <w:szCs w:val="16"/>
                <w:color w:val="auto"/>
              </w:rPr>
              <w:t>5.2%-27.6% (10.2%)</w:t>
            </w:r>
          </w:p>
        </w:tc>
        <w:tc>
          <w:tcPr>
            <w:tcW w:w="0" w:type="dxa"/>
            <w:vAlign w:val="bottom"/>
          </w:tcPr>
          <w:p>
            <w:pPr>
              <w:spacing w:after="0"/>
              <w:rPr>
                <w:sz w:val="1"/>
                <w:szCs w:val="1"/>
                <w:color w:val="auto"/>
              </w:rPr>
            </w:pPr>
          </w:p>
        </w:tc>
      </w:tr>
      <w:tr>
        <w:trPr>
          <w:trHeight w:val="98"/>
        </w:trPr>
        <w:tc>
          <w:tcPr>
            <w:tcW w:w="4020" w:type="dxa"/>
            <w:vAlign w:val="bottom"/>
            <w:tcBorders>
              <w:left w:val="single" w:sz="8" w:color="auto"/>
              <w:right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400" w:type="dxa"/>
            <w:vAlign w:val="bottom"/>
            <w:tcBorders>
              <w:right w:val="single" w:sz="8" w:color="auto"/>
            </w:tcBorders>
            <w:vMerge w:val="continue"/>
          </w:tcPr>
          <w:p>
            <w:pPr>
              <w:spacing w:after="0"/>
              <w:rPr>
                <w:sz w:val="8"/>
                <w:szCs w:val="8"/>
                <w:color w:val="auto"/>
              </w:rPr>
            </w:pPr>
          </w:p>
        </w:tc>
        <w:tc>
          <w:tcPr>
            <w:tcW w:w="1760" w:type="dxa"/>
            <w:vAlign w:val="bottom"/>
            <w:tcBorders>
              <w:right w:val="single" w:sz="8" w:color="auto"/>
            </w:tcBorders>
            <w:vMerge w:val="continue"/>
          </w:tcPr>
          <w:p>
            <w:pPr>
              <w:spacing w:after="0"/>
              <w:rPr>
                <w:sz w:val="8"/>
                <w:szCs w:val="8"/>
                <w:color w:val="auto"/>
              </w:rPr>
            </w:pPr>
          </w:p>
        </w:tc>
        <w:tc>
          <w:tcPr>
            <w:tcW w:w="1780" w:type="dxa"/>
            <w:vAlign w:val="bottom"/>
            <w:tcBorders>
              <w:right w:val="single" w:sz="8" w:color="auto"/>
            </w:tcBorders>
            <w:vMerge w:val="restart"/>
          </w:tcPr>
          <w:p>
            <w:pPr>
              <w:ind w:left="120"/>
              <w:spacing w:after="0"/>
              <w:rPr>
                <w:sz w:val="20"/>
                <w:szCs w:val="20"/>
                <w:color w:val="auto"/>
              </w:rPr>
            </w:pPr>
            <w:r>
              <w:rPr>
                <w:rFonts w:ascii="Arial" w:cs="Arial" w:eastAsia="Arial" w:hAnsi="Arial"/>
                <w:sz w:val="16"/>
                <w:szCs w:val="16"/>
                <w:color w:val="auto"/>
              </w:rPr>
              <w:t>Discount Rate</w:t>
            </w:r>
          </w:p>
        </w:tc>
        <w:tc>
          <w:tcPr>
            <w:tcW w:w="19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4020" w:type="dxa"/>
            <w:vAlign w:val="bottom"/>
            <w:tcBorders>
              <w:left w:val="single" w:sz="8" w:color="auto"/>
              <w:bottom w:val="single" w:sz="8" w:color="auto"/>
              <w:right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400" w:type="dxa"/>
            <w:vAlign w:val="bottom"/>
            <w:tcBorders>
              <w:bottom w:val="single" w:sz="8" w:color="auto"/>
              <w:right w:val="single" w:sz="8" w:color="auto"/>
            </w:tcBorders>
          </w:tcPr>
          <w:p>
            <w:pPr>
              <w:spacing w:after="0"/>
              <w:rPr>
                <w:sz w:val="9"/>
                <w:szCs w:val="9"/>
                <w:color w:val="auto"/>
              </w:rPr>
            </w:pPr>
          </w:p>
        </w:tc>
        <w:tc>
          <w:tcPr>
            <w:tcW w:w="1760" w:type="dxa"/>
            <w:vAlign w:val="bottom"/>
            <w:tcBorders>
              <w:bottom w:val="single" w:sz="8" w:color="auto"/>
              <w:right w:val="single" w:sz="8" w:color="auto"/>
            </w:tcBorders>
          </w:tcPr>
          <w:p>
            <w:pPr>
              <w:spacing w:after="0"/>
              <w:rPr>
                <w:sz w:val="9"/>
                <w:szCs w:val="9"/>
                <w:color w:val="auto"/>
              </w:rPr>
            </w:pPr>
          </w:p>
        </w:tc>
        <w:tc>
          <w:tcPr>
            <w:tcW w:w="1780" w:type="dxa"/>
            <w:vAlign w:val="bottom"/>
            <w:tcBorders>
              <w:bottom w:val="single" w:sz="8" w:color="auto"/>
              <w:right w:val="single" w:sz="8" w:color="auto"/>
            </w:tcBorders>
            <w:vMerge w:val="continue"/>
          </w:tcPr>
          <w:p>
            <w:pPr>
              <w:spacing w:after="0"/>
              <w:rPr>
                <w:sz w:val="9"/>
                <w:szCs w:val="9"/>
                <w:color w:val="auto"/>
              </w:rPr>
            </w:pPr>
          </w:p>
        </w:tc>
        <w:tc>
          <w:tcPr>
            <w:tcW w:w="19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4020" w:type="dxa"/>
            <w:vAlign w:val="bottom"/>
            <w:tcBorders>
              <w:left w:val="single" w:sz="8" w:color="auto"/>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76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Average</w:t>
            </w:r>
          </w:p>
        </w:tc>
        <w:tc>
          <w:tcPr>
            <w:tcW w:w="19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tcBorders>
              <w:left w:val="single" w:sz="8" w:color="auto"/>
              <w:right w:val="single" w:sz="8" w:color="auto"/>
            </w:tcBorders>
          </w:tcPr>
          <w:p>
            <w:pPr>
              <w:spacing w:after="0"/>
              <w:rPr>
                <w:sz w:val="17"/>
                <w:szCs w:val="17"/>
                <w:color w:val="auto"/>
              </w:rPr>
            </w:pPr>
          </w:p>
        </w:tc>
        <w:tc>
          <w:tcPr>
            <w:tcW w:w="360" w:type="dxa"/>
            <w:vAlign w:val="bottom"/>
            <w:vMerge w:val="restart"/>
          </w:tcPr>
          <w:p>
            <w:pPr>
              <w:jc w:val="right"/>
              <w:ind w:right="79"/>
              <w:spacing w:after="0"/>
              <w:rPr>
                <w:sz w:val="20"/>
                <w:szCs w:val="20"/>
                <w:color w:val="auto"/>
              </w:rPr>
            </w:pPr>
            <w:r>
              <w:rPr>
                <w:rFonts w:ascii="Arial" w:cs="Arial" w:eastAsia="Arial" w:hAnsi="Arial"/>
                <w:sz w:val="16"/>
                <w:szCs w:val="16"/>
                <w:color w:val="auto"/>
              </w:rPr>
              <w:t>$</w:t>
            </w:r>
          </w:p>
        </w:tc>
        <w:tc>
          <w:tcPr>
            <w:tcW w:w="1400" w:type="dxa"/>
            <w:vAlign w:val="bottom"/>
            <w:tcBorders>
              <w:right w:val="single" w:sz="8" w:color="auto"/>
            </w:tcBorders>
            <w:vMerge w:val="restart"/>
          </w:tcPr>
          <w:p>
            <w:pPr>
              <w:jc w:val="right"/>
              <w:ind w:right="59"/>
              <w:spacing w:after="0"/>
              <w:rPr>
                <w:sz w:val="20"/>
                <w:szCs w:val="20"/>
                <w:color w:val="auto"/>
              </w:rPr>
            </w:pPr>
            <w:r>
              <w:rPr>
                <w:rFonts w:ascii="Arial" w:cs="Arial" w:eastAsia="Arial" w:hAnsi="Arial"/>
                <w:sz w:val="16"/>
                <w:szCs w:val="16"/>
                <w:color w:val="auto"/>
              </w:rPr>
              <w:t>7,036,969</w:t>
            </w:r>
          </w:p>
        </w:tc>
        <w:tc>
          <w:tcPr>
            <w:tcW w:w="1760" w:type="dxa"/>
            <w:vAlign w:val="bottom"/>
            <w:tcBorders>
              <w:right w:val="single" w:sz="8" w:color="auto"/>
            </w:tcBorders>
            <w:vMerge w:val="restart"/>
          </w:tcPr>
          <w:p>
            <w:pPr>
              <w:ind w:left="120"/>
              <w:spacing w:after="0"/>
              <w:rPr>
                <w:sz w:val="20"/>
                <w:szCs w:val="20"/>
                <w:color w:val="auto"/>
              </w:rPr>
            </w:pPr>
            <w:r>
              <w:rPr>
                <w:rFonts w:ascii="Arial" w:cs="Arial" w:eastAsia="Arial" w:hAnsi="Arial"/>
                <w:sz w:val="16"/>
                <w:szCs w:val="16"/>
                <w:color w:val="auto"/>
              </w:rPr>
              <w:t>Enterprise Value</w:t>
            </w:r>
          </w:p>
        </w:tc>
        <w:tc>
          <w:tcPr>
            <w:tcW w:w="178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EBITDA</w:t>
            </w:r>
          </w:p>
        </w:tc>
        <w:tc>
          <w:tcPr>
            <w:tcW w:w="1920" w:type="dxa"/>
            <w:vAlign w:val="bottom"/>
            <w:tcBorders>
              <w:right w:val="single" w:sz="8" w:color="auto"/>
            </w:tcBorders>
            <w:vMerge w:val="restart"/>
          </w:tcPr>
          <w:p>
            <w:pPr>
              <w:ind w:left="120"/>
              <w:spacing w:after="0"/>
              <w:rPr>
                <w:sz w:val="20"/>
                <w:szCs w:val="20"/>
                <w:color w:val="auto"/>
              </w:rPr>
            </w:pPr>
            <w:r>
              <w:rPr>
                <w:rFonts w:ascii="Arial" w:cs="Arial" w:eastAsia="Arial" w:hAnsi="Arial"/>
                <w:sz w:val="16"/>
                <w:szCs w:val="16"/>
                <w:color w:val="auto"/>
              </w:rPr>
              <w:t>1.0x-9.0x (5.9x)</w:t>
            </w:r>
          </w:p>
        </w:tc>
        <w:tc>
          <w:tcPr>
            <w:tcW w:w="0" w:type="dxa"/>
            <w:vAlign w:val="bottom"/>
          </w:tcPr>
          <w:p>
            <w:pPr>
              <w:spacing w:after="0"/>
              <w:rPr>
                <w:sz w:val="1"/>
                <w:szCs w:val="1"/>
                <w:color w:val="auto"/>
              </w:rPr>
            </w:pPr>
          </w:p>
        </w:tc>
      </w:tr>
      <w:tr>
        <w:trPr>
          <w:trHeight w:val="98"/>
        </w:trPr>
        <w:tc>
          <w:tcPr>
            <w:tcW w:w="4020" w:type="dxa"/>
            <w:vAlign w:val="bottom"/>
            <w:tcBorders>
              <w:left w:val="single" w:sz="8" w:color="auto"/>
              <w:right w:val="single" w:sz="8" w:color="auto"/>
            </w:tcBorders>
          </w:tcPr>
          <w:p>
            <w:pPr>
              <w:spacing w:after="0"/>
              <w:rPr>
                <w:sz w:val="8"/>
                <w:szCs w:val="8"/>
                <w:color w:val="auto"/>
              </w:rPr>
            </w:pPr>
          </w:p>
        </w:tc>
        <w:tc>
          <w:tcPr>
            <w:tcW w:w="360" w:type="dxa"/>
            <w:vAlign w:val="bottom"/>
            <w:vMerge w:val="continue"/>
          </w:tcPr>
          <w:p>
            <w:pPr>
              <w:spacing w:after="0"/>
              <w:rPr>
                <w:sz w:val="8"/>
                <w:szCs w:val="8"/>
                <w:color w:val="auto"/>
              </w:rPr>
            </w:pPr>
          </w:p>
        </w:tc>
        <w:tc>
          <w:tcPr>
            <w:tcW w:w="1400" w:type="dxa"/>
            <w:vAlign w:val="bottom"/>
            <w:tcBorders>
              <w:right w:val="single" w:sz="8" w:color="auto"/>
            </w:tcBorders>
            <w:vMerge w:val="continue"/>
          </w:tcPr>
          <w:p>
            <w:pPr>
              <w:spacing w:after="0"/>
              <w:rPr>
                <w:sz w:val="8"/>
                <w:szCs w:val="8"/>
                <w:color w:val="auto"/>
              </w:rPr>
            </w:pPr>
          </w:p>
        </w:tc>
        <w:tc>
          <w:tcPr>
            <w:tcW w:w="1760" w:type="dxa"/>
            <w:vAlign w:val="bottom"/>
            <w:tcBorders>
              <w:right w:val="single" w:sz="8" w:color="auto"/>
            </w:tcBorders>
            <w:vMerge w:val="continue"/>
          </w:tcPr>
          <w:p>
            <w:pPr>
              <w:spacing w:after="0"/>
              <w:rPr>
                <w:sz w:val="8"/>
                <w:szCs w:val="8"/>
                <w:color w:val="auto"/>
              </w:rPr>
            </w:pPr>
          </w:p>
        </w:tc>
        <w:tc>
          <w:tcPr>
            <w:tcW w:w="1780" w:type="dxa"/>
            <w:vAlign w:val="bottom"/>
            <w:tcBorders>
              <w:right w:val="single" w:sz="8" w:color="auto"/>
            </w:tcBorders>
            <w:vMerge w:val="restart"/>
          </w:tcPr>
          <w:p>
            <w:pPr>
              <w:ind w:left="120"/>
              <w:spacing w:after="0"/>
              <w:rPr>
                <w:sz w:val="20"/>
                <w:szCs w:val="20"/>
                <w:color w:val="auto"/>
              </w:rPr>
            </w:pPr>
            <w:r>
              <w:rPr>
                <w:rFonts w:ascii="Arial" w:cs="Arial" w:eastAsia="Arial" w:hAnsi="Arial"/>
                <w:sz w:val="16"/>
                <w:szCs w:val="16"/>
                <w:color w:val="auto"/>
              </w:rPr>
              <w:t>Multiple /</w:t>
            </w:r>
          </w:p>
        </w:tc>
        <w:tc>
          <w:tcPr>
            <w:tcW w:w="19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4020" w:type="dxa"/>
            <w:vAlign w:val="bottom"/>
            <w:tcBorders>
              <w:left w:val="single" w:sz="8" w:color="auto"/>
              <w:right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400" w:type="dxa"/>
            <w:vAlign w:val="bottom"/>
            <w:tcBorders>
              <w:right w:val="single" w:sz="8" w:color="auto"/>
            </w:tcBorders>
          </w:tcPr>
          <w:p>
            <w:pPr>
              <w:spacing w:after="0"/>
              <w:rPr>
                <w:sz w:val="9"/>
                <w:szCs w:val="9"/>
                <w:color w:val="auto"/>
              </w:rPr>
            </w:pPr>
          </w:p>
        </w:tc>
        <w:tc>
          <w:tcPr>
            <w:tcW w:w="1760" w:type="dxa"/>
            <w:vAlign w:val="bottom"/>
            <w:tcBorders>
              <w:right w:val="single" w:sz="8" w:color="auto"/>
            </w:tcBorders>
          </w:tcPr>
          <w:p>
            <w:pPr>
              <w:spacing w:after="0"/>
              <w:rPr>
                <w:sz w:val="9"/>
                <w:szCs w:val="9"/>
                <w:color w:val="auto"/>
              </w:rPr>
            </w:pPr>
          </w:p>
        </w:tc>
        <w:tc>
          <w:tcPr>
            <w:tcW w:w="1780" w:type="dxa"/>
            <w:vAlign w:val="bottom"/>
            <w:tcBorders>
              <w:right w:val="single" w:sz="8" w:color="auto"/>
            </w:tcBorders>
            <w:vMerge w:val="continue"/>
          </w:tcPr>
          <w:p>
            <w:pPr>
              <w:spacing w:after="0"/>
              <w:rPr>
                <w:sz w:val="9"/>
                <w:szCs w:val="9"/>
                <w:color w:val="auto"/>
              </w:rPr>
            </w:pPr>
          </w:p>
        </w:tc>
        <w:tc>
          <w:tcPr>
            <w:tcW w:w="19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4020" w:type="dxa"/>
            <w:vAlign w:val="bottom"/>
            <w:tcBorders>
              <w:left w:val="single" w:sz="8" w:color="auto"/>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WACC</w:t>
            </w:r>
          </w:p>
        </w:tc>
        <w:tc>
          <w:tcPr>
            <w:tcW w:w="1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20" w:type="dxa"/>
            <w:vAlign w:val="bottom"/>
            <w:tcBorders>
              <w:left w:val="single" w:sz="8" w:color="auto"/>
              <w:right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w w:val="97"/>
              </w:rPr>
              <w:t>Recovery Rate Multiple</w:t>
            </w:r>
          </w:p>
        </w:tc>
        <w:tc>
          <w:tcPr>
            <w:tcW w:w="19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0.0x-12.5x (0.6x)</w:t>
            </w:r>
          </w:p>
        </w:tc>
        <w:tc>
          <w:tcPr>
            <w:tcW w:w="0" w:type="dxa"/>
            <w:vAlign w:val="bottom"/>
          </w:tcPr>
          <w:p>
            <w:pPr>
              <w:spacing w:after="0"/>
              <w:rPr>
                <w:sz w:val="1"/>
                <w:szCs w:val="1"/>
                <w:color w:val="auto"/>
              </w:rPr>
            </w:pPr>
          </w:p>
        </w:tc>
      </w:tr>
      <w:tr>
        <w:trPr>
          <w:trHeight w:val="203"/>
        </w:trPr>
        <w:tc>
          <w:tcPr>
            <w:tcW w:w="40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0"/>
              </w:rPr>
              <w:t>Equity Securities</w:t>
            </w:r>
          </w:p>
        </w:tc>
        <w:tc>
          <w:tcPr>
            <w:tcW w:w="360" w:type="dxa"/>
            <w:vAlign w:val="bottom"/>
          </w:tcPr>
          <w:p>
            <w:pPr>
              <w:spacing w:after="0"/>
              <w:rPr>
                <w:sz w:val="17"/>
                <w:szCs w:val="17"/>
                <w:color w:val="auto"/>
              </w:rPr>
            </w:pPr>
          </w:p>
        </w:tc>
        <w:tc>
          <w:tcPr>
            <w:tcW w:w="1400" w:type="dxa"/>
            <w:vAlign w:val="bottom"/>
            <w:tcBorders>
              <w:right w:val="single" w:sz="8" w:color="auto"/>
            </w:tcBorders>
            <w:vMerge w:val="restart"/>
          </w:tcPr>
          <w:p>
            <w:pPr>
              <w:jc w:val="right"/>
              <w:ind w:right="59"/>
              <w:spacing w:after="0"/>
              <w:rPr>
                <w:sz w:val="20"/>
                <w:szCs w:val="20"/>
                <w:color w:val="auto"/>
              </w:rPr>
            </w:pPr>
            <w:r>
              <w:rPr>
                <w:rFonts w:ascii="Arial" w:cs="Arial" w:eastAsia="Arial" w:hAnsi="Arial"/>
                <w:sz w:val="16"/>
                <w:szCs w:val="16"/>
                <w:color w:val="auto"/>
              </w:rPr>
              <w:t>5,500,000</w:t>
            </w:r>
          </w:p>
        </w:tc>
        <w:tc>
          <w:tcPr>
            <w:tcW w:w="1760" w:type="dxa"/>
            <w:vAlign w:val="bottom"/>
            <w:tcBorders>
              <w:right w:val="single" w:sz="8" w:color="auto"/>
            </w:tcBorders>
            <w:vMerge w:val="restart"/>
          </w:tcPr>
          <w:p>
            <w:pPr>
              <w:ind w:left="120"/>
              <w:spacing w:after="0"/>
              <w:rPr>
                <w:sz w:val="20"/>
                <w:szCs w:val="20"/>
                <w:color w:val="auto"/>
              </w:rPr>
            </w:pPr>
            <w:r>
              <w:rPr>
                <w:rFonts w:ascii="Arial" w:cs="Arial" w:eastAsia="Arial" w:hAnsi="Arial"/>
                <w:sz w:val="16"/>
                <w:szCs w:val="16"/>
                <w:color w:val="auto"/>
              </w:rPr>
              <w:t>Income Approach</w:t>
            </w:r>
          </w:p>
        </w:tc>
        <w:tc>
          <w:tcPr>
            <w:tcW w:w="178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Implied</w:t>
            </w:r>
          </w:p>
        </w:tc>
        <w:tc>
          <w:tcPr>
            <w:tcW w:w="1920" w:type="dxa"/>
            <w:vAlign w:val="bottom"/>
            <w:tcBorders>
              <w:right w:val="single" w:sz="8" w:color="auto"/>
            </w:tcBorders>
            <w:vMerge w:val="restart"/>
          </w:tcPr>
          <w:p>
            <w:pPr>
              <w:ind w:left="120"/>
              <w:spacing w:after="0"/>
              <w:rPr>
                <w:sz w:val="20"/>
                <w:szCs w:val="20"/>
                <w:color w:val="auto"/>
              </w:rPr>
            </w:pPr>
            <w:r>
              <w:rPr>
                <w:rFonts w:ascii="Arial" w:cs="Arial" w:eastAsia="Arial" w:hAnsi="Arial"/>
                <w:sz w:val="16"/>
                <w:szCs w:val="16"/>
                <w:color w:val="auto"/>
              </w:rPr>
              <w:t>17.8%-18.5% (18.1%)</w:t>
            </w:r>
          </w:p>
        </w:tc>
        <w:tc>
          <w:tcPr>
            <w:tcW w:w="0" w:type="dxa"/>
            <w:vAlign w:val="bottom"/>
          </w:tcPr>
          <w:p>
            <w:pPr>
              <w:spacing w:after="0"/>
              <w:rPr>
                <w:sz w:val="1"/>
                <w:szCs w:val="1"/>
                <w:color w:val="auto"/>
              </w:rPr>
            </w:pPr>
          </w:p>
        </w:tc>
      </w:tr>
      <w:tr>
        <w:trPr>
          <w:trHeight w:val="98"/>
        </w:trPr>
        <w:tc>
          <w:tcPr>
            <w:tcW w:w="4020" w:type="dxa"/>
            <w:vAlign w:val="bottom"/>
            <w:tcBorders>
              <w:left w:val="single" w:sz="8" w:color="auto"/>
              <w:right w:val="single" w:sz="8" w:color="auto"/>
            </w:tcBorders>
            <w:vMerge w:val="continue"/>
          </w:tcPr>
          <w:p>
            <w:pPr>
              <w:spacing w:after="0"/>
              <w:rPr>
                <w:sz w:val="8"/>
                <w:szCs w:val="8"/>
                <w:color w:val="auto"/>
              </w:rPr>
            </w:pPr>
          </w:p>
        </w:tc>
        <w:tc>
          <w:tcPr>
            <w:tcW w:w="360" w:type="dxa"/>
            <w:vAlign w:val="bottom"/>
          </w:tcPr>
          <w:p>
            <w:pPr>
              <w:spacing w:after="0"/>
              <w:rPr>
                <w:sz w:val="8"/>
                <w:szCs w:val="8"/>
                <w:color w:val="auto"/>
              </w:rPr>
            </w:pPr>
          </w:p>
        </w:tc>
        <w:tc>
          <w:tcPr>
            <w:tcW w:w="1400" w:type="dxa"/>
            <w:vAlign w:val="bottom"/>
            <w:tcBorders>
              <w:right w:val="single" w:sz="8" w:color="auto"/>
            </w:tcBorders>
            <w:vMerge w:val="continue"/>
          </w:tcPr>
          <w:p>
            <w:pPr>
              <w:spacing w:after="0"/>
              <w:rPr>
                <w:sz w:val="8"/>
                <w:szCs w:val="8"/>
                <w:color w:val="auto"/>
              </w:rPr>
            </w:pPr>
          </w:p>
        </w:tc>
        <w:tc>
          <w:tcPr>
            <w:tcW w:w="1760" w:type="dxa"/>
            <w:vAlign w:val="bottom"/>
            <w:tcBorders>
              <w:right w:val="single" w:sz="8" w:color="auto"/>
            </w:tcBorders>
            <w:vMerge w:val="continue"/>
          </w:tcPr>
          <w:p>
            <w:pPr>
              <w:spacing w:after="0"/>
              <w:rPr>
                <w:sz w:val="8"/>
                <w:szCs w:val="8"/>
                <w:color w:val="auto"/>
              </w:rPr>
            </w:pPr>
          </w:p>
        </w:tc>
        <w:tc>
          <w:tcPr>
            <w:tcW w:w="1780" w:type="dxa"/>
            <w:vAlign w:val="bottom"/>
            <w:tcBorders>
              <w:right w:val="single" w:sz="8" w:color="auto"/>
            </w:tcBorders>
            <w:vMerge w:val="restart"/>
          </w:tcPr>
          <w:p>
            <w:pPr>
              <w:ind w:left="120"/>
              <w:spacing w:after="0"/>
              <w:rPr>
                <w:sz w:val="20"/>
                <w:szCs w:val="20"/>
                <w:color w:val="auto"/>
              </w:rPr>
            </w:pPr>
            <w:r>
              <w:rPr>
                <w:rFonts w:ascii="Arial" w:cs="Arial" w:eastAsia="Arial" w:hAnsi="Arial"/>
                <w:sz w:val="16"/>
                <w:szCs w:val="16"/>
                <w:color w:val="auto"/>
              </w:rPr>
              <w:t>Discount Rate</w:t>
            </w:r>
          </w:p>
        </w:tc>
        <w:tc>
          <w:tcPr>
            <w:tcW w:w="19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4020" w:type="dxa"/>
            <w:vAlign w:val="bottom"/>
            <w:tcBorders>
              <w:left w:val="single" w:sz="8" w:color="auto"/>
              <w:bottom w:val="single" w:sz="8" w:color="auto"/>
              <w:right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400" w:type="dxa"/>
            <w:vAlign w:val="bottom"/>
            <w:tcBorders>
              <w:bottom w:val="single" w:sz="8" w:color="auto"/>
              <w:right w:val="single" w:sz="8" w:color="auto"/>
            </w:tcBorders>
          </w:tcPr>
          <w:p>
            <w:pPr>
              <w:spacing w:after="0"/>
              <w:rPr>
                <w:sz w:val="9"/>
                <w:szCs w:val="9"/>
                <w:color w:val="auto"/>
              </w:rPr>
            </w:pPr>
          </w:p>
        </w:tc>
        <w:tc>
          <w:tcPr>
            <w:tcW w:w="1760" w:type="dxa"/>
            <w:vAlign w:val="bottom"/>
            <w:tcBorders>
              <w:bottom w:val="single" w:sz="8" w:color="auto"/>
              <w:right w:val="single" w:sz="8" w:color="auto"/>
            </w:tcBorders>
          </w:tcPr>
          <w:p>
            <w:pPr>
              <w:spacing w:after="0"/>
              <w:rPr>
                <w:sz w:val="9"/>
                <w:szCs w:val="9"/>
                <w:color w:val="auto"/>
              </w:rPr>
            </w:pPr>
          </w:p>
        </w:tc>
        <w:tc>
          <w:tcPr>
            <w:tcW w:w="1780" w:type="dxa"/>
            <w:vAlign w:val="bottom"/>
            <w:tcBorders>
              <w:bottom w:val="single" w:sz="8" w:color="auto"/>
              <w:right w:val="single" w:sz="8" w:color="auto"/>
            </w:tcBorders>
            <w:vMerge w:val="continue"/>
          </w:tcPr>
          <w:p>
            <w:pPr>
              <w:spacing w:after="0"/>
              <w:rPr>
                <w:sz w:val="9"/>
                <w:szCs w:val="9"/>
                <w:color w:val="auto"/>
              </w:rPr>
            </w:pPr>
          </w:p>
        </w:tc>
        <w:tc>
          <w:tcPr>
            <w:tcW w:w="19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4020" w:type="dxa"/>
            <w:vAlign w:val="bottom"/>
            <w:tcBorders>
              <w:left w:val="single" w:sz="8" w:color="auto"/>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Discount Rate</w:t>
            </w:r>
          </w:p>
        </w:tc>
        <w:tc>
          <w:tcPr>
            <w:tcW w:w="19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13.0%-14.5% (13.8%)</w:t>
            </w:r>
          </w:p>
        </w:tc>
        <w:tc>
          <w:tcPr>
            <w:tcW w:w="0" w:type="dxa"/>
            <w:vAlign w:val="bottom"/>
          </w:tcPr>
          <w:p>
            <w:pPr>
              <w:spacing w:after="0"/>
              <w:rPr>
                <w:sz w:val="1"/>
                <w:szCs w:val="1"/>
                <w:color w:val="auto"/>
              </w:rPr>
            </w:pPr>
          </w:p>
        </w:tc>
      </w:tr>
      <w:tr>
        <w:trPr>
          <w:trHeight w:val="203"/>
        </w:trPr>
        <w:tc>
          <w:tcPr>
            <w:tcW w:w="4020" w:type="dxa"/>
            <w:vAlign w:val="bottom"/>
            <w:tcBorders>
              <w:left w:val="single" w:sz="8" w:color="auto"/>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76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Probability of</w:t>
            </w:r>
          </w:p>
        </w:tc>
        <w:tc>
          <w:tcPr>
            <w:tcW w:w="19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020" w:type="dxa"/>
            <w:vAlign w:val="bottom"/>
            <w:tcBorders>
              <w:left w:val="single" w:sz="8" w:color="auto"/>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760" w:type="dxa"/>
            <w:vAlign w:val="bottom"/>
            <w:tcBorders>
              <w:right w:val="single" w:sz="8" w:color="auto"/>
            </w:tcBorders>
          </w:tcPr>
          <w:p>
            <w:pPr>
              <w:spacing w:after="0"/>
              <w:rPr>
                <w:sz w:val="17"/>
                <w:szCs w:val="17"/>
                <w:color w:val="auto"/>
              </w:rPr>
            </w:pPr>
          </w:p>
        </w:tc>
        <w:tc>
          <w:tcPr>
            <w:tcW w:w="17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Default</w:t>
            </w:r>
          </w:p>
        </w:tc>
        <w:tc>
          <w:tcPr>
            <w:tcW w:w="19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1.5%-4.0% (2.7%)</w:t>
            </w:r>
          </w:p>
        </w:tc>
        <w:tc>
          <w:tcPr>
            <w:tcW w:w="0" w:type="dxa"/>
            <w:vAlign w:val="bottom"/>
          </w:tcPr>
          <w:p>
            <w:pPr>
              <w:spacing w:after="0"/>
              <w:rPr>
                <w:sz w:val="1"/>
                <w:szCs w:val="1"/>
                <w:color w:val="auto"/>
              </w:rPr>
            </w:pPr>
          </w:p>
        </w:tc>
      </w:tr>
      <w:tr>
        <w:trPr>
          <w:trHeight w:val="212"/>
        </w:trPr>
        <w:tc>
          <w:tcPr>
            <w:tcW w:w="40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CLO Fund Securities</w:t>
            </w:r>
          </w:p>
        </w:tc>
        <w:tc>
          <w:tcPr>
            <w:tcW w:w="360" w:type="dxa"/>
            <w:vAlign w:val="bottom"/>
          </w:tcPr>
          <w:p>
            <w:pPr>
              <w:spacing w:after="0"/>
              <w:rPr>
                <w:sz w:val="18"/>
                <w:szCs w:val="18"/>
                <w:color w:val="auto"/>
              </w:rPr>
            </w:pPr>
          </w:p>
        </w:tc>
        <w:tc>
          <w:tcPr>
            <w:tcW w:w="140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19,582,555</w:t>
            </w:r>
          </w:p>
        </w:tc>
        <w:tc>
          <w:tcPr>
            <w:tcW w:w="176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w w:val="99"/>
              </w:rPr>
              <w:t>Discounted Cash Flow</w:t>
            </w:r>
          </w:p>
        </w:tc>
        <w:tc>
          <w:tcPr>
            <w:tcW w:w="17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Loss Severity</w:t>
            </w:r>
          </w:p>
        </w:tc>
        <w:tc>
          <w:tcPr>
            <w:tcW w:w="19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20.5%-30.5% (25.5%)</w:t>
            </w:r>
          </w:p>
        </w:tc>
        <w:tc>
          <w:tcPr>
            <w:tcW w:w="0" w:type="dxa"/>
            <w:vAlign w:val="bottom"/>
          </w:tcPr>
          <w:p>
            <w:pPr>
              <w:spacing w:after="0"/>
              <w:rPr>
                <w:sz w:val="1"/>
                <w:szCs w:val="1"/>
                <w:color w:val="auto"/>
              </w:rPr>
            </w:pPr>
          </w:p>
        </w:tc>
      </w:tr>
      <w:tr>
        <w:trPr>
          <w:trHeight w:val="209"/>
        </w:trPr>
        <w:tc>
          <w:tcPr>
            <w:tcW w:w="4020" w:type="dxa"/>
            <w:vAlign w:val="bottom"/>
            <w:tcBorders>
              <w:left w:val="single" w:sz="8" w:color="auto"/>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Recovery Rate</w:t>
            </w:r>
          </w:p>
        </w:tc>
        <w:tc>
          <w:tcPr>
            <w:tcW w:w="19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69.5%-79.5% (74.5%)</w:t>
            </w:r>
          </w:p>
        </w:tc>
        <w:tc>
          <w:tcPr>
            <w:tcW w:w="0" w:type="dxa"/>
            <w:vAlign w:val="bottom"/>
          </w:tcPr>
          <w:p>
            <w:pPr>
              <w:spacing w:after="0"/>
              <w:rPr>
                <w:sz w:val="1"/>
                <w:szCs w:val="1"/>
                <w:color w:val="auto"/>
              </w:rPr>
            </w:pPr>
          </w:p>
        </w:tc>
      </w:tr>
      <w:tr>
        <w:trPr>
          <w:trHeight w:val="203"/>
        </w:trPr>
        <w:tc>
          <w:tcPr>
            <w:tcW w:w="4020" w:type="dxa"/>
            <w:vAlign w:val="bottom"/>
            <w:tcBorders>
              <w:left w:val="single" w:sz="8" w:color="auto"/>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76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Prepayment</w:t>
            </w:r>
          </w:p>
        </w:tc>
        <w:tc>
          <w:tcPr>
            <w:tcW w:w="19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20" w:type="dxa"/>
            <w:vAlign w:val="bottom"/>
            <w:tcBorders>
              <w:left w:val="single" w:sz="8" w:color="auto"/>
              <w:bottom w:val="single" w:sz="8" w:color="auto"/>
              <w:right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Rate</w:t>
            </w:r>
          </w:p>
        </w:tc>
        <w:tc>
          <w:tcPr>
            <w:tcW w:w="19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0.0%-25.0% (12.5%)</w:t>
            </w:r>
          </w:p>
        </w:tc>
        <w:tc>
          <w:tcPr>
            <w:tcW w:w="0" w:type="dxa"/>
            <w:vAlign w:val="bottom"/>
          </w:tcPr>
          <w:p>
            <w:pPr>
              <w:spacing w:after="0"/>
              <w:rPr>
                <w:sz w:val="1"/>
                <w:szCs w:val="1"/>
                <w:color w:val="auto"/>
              </w:rPr>
            </w:pPr>
          </w:p>
        </w:tc>
      </w:tr>
      <w:tr>
        <w:trPr>
          <w:trHeight w:val="209"/>
        </w:trPr>
        <w:tc>
          <w:tcPr>
            <w:tcW w:w="4020" w:type="dxa"/>
            <w:vAlign w:val="bottom"/>
            <w:tcBorders>
              <w:left w:val="single" w:sz="8" w:color="auto"/>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Discount Rate</w:t>
            </w:r>
          </w:p>
        </w:tc>
        <w:tc>
          <w:tcPr>
            <w:tcW w:w="19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14.0%-16.0% (15.0%)</w:t>
            </w:r>
          </w:p>
        </w:tc>
        <w:tc>
          <w:tcPr>
            <w:tcW w:w="0" w:type="dxa"/>
            <w:vAlign w:val="bottom"/>
          </w:tcPr>
          <w:p>
            <w:pPr>
              <w:spacing w:after="0"/>
              <w:rPr>
                <w:sz w:val="1"/>
                <w:szCs w:val="1"/>
                <w:color w:val="auto"/>
              </w:rPr>
            </w:pPr>
          </w:p>
        </w:tc>
      </w:tr>
      <w:tr>
        <w:trPr>
          <w:trHeight w:val="203"/>
        </w:trPr>
        <w:tc>
          <w:tcPr>
            <w:tcW w:w="4020" w:type="dxa"/>
            <w:vAlign w:val="bottom"/>
            <w:tcBorders>
              <w:left w:val="single" w:sz="8" w:color="auto"/>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76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Probability of</w:t>
            </w:r>
          </w:p>
        </w:tc>
        <w:tc>
          <w:tcPr>
            <w:tcW w:w="19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020" w:type="dxa"/>
            <w:vAlign w:val="bottom"/>
            <w:tcBorders>
              <w:left w:val="single" w:sz="8" w:color="auto"/>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760" w:type="dxa"/>
            <w:vAlign w:val="bottom"/>
            <w:tcBorders>
              <w:right w:val="single" w:sz="8" w:color="auto"/>
            </w:tcBorders>
          </w:tcPr>
          <w:p>
            <w:pPr>
              <w:spacing w:after="0"/>
              <w:rPr>
                <w:sz w:val="17"/>
                <w:szCs w:val="17"/>
                <w:color w:val="auto"/>
              </w:rPr>
            </w:pPr>
          </w:p>
        </w:tc>
        <w:tc>
          <w:tcPr>
            <w:tcW w:w="17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Default</w:t>
            </w:r>
          </w:p>
        </w:tc>
        <w:tc>
          <w:tcPr>
            <w:tcW w:w="19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3.0%-5.0% (4.0%)</w:t>
            </w:r>
          </w:p>
        </w:tc>
        <w:tc>
          <w:tcPr>
            <w:tcW w:w="0" w:type="dxa"/>
            <w:vAlign w:val="bottom"/>
          </w:tcPr>
          <w:p>
            <w:pPr>
              <w:spacing w:after="0"/>
              <w:rPr>
                <w:sz w:val="1"/>
                <w:szCs w:val="1"/>
                <w:color w:val="auto"/>
              </w:rPr>
            </w:pPr>
          </w:p>
        </w:tc>
      </w:tr>
      <w:tr>
        <w:trPr>
          <w:trHeight w:val="213"/>
        </w:trPr>
        <w:tc>
          <w:tcPr>
            <w:tcW w:w="40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Joint Ventures</w:t>
            </w:r>
          </w:p>
        </w:tc>
        <w:tc>
          <w:tcPr>
            <w:tcW w:w="360" w:type="dxa"/>
            <w:vAlign w:val="bottom"/>
          </w:tcPr>
          <w:p>
            <w:pPr>
              <w:spacing w:after="0"/>
              <w:rPr>
                <w:sz w:val="18"/>
                <w:szCs w:val="18"/>
                <w:color w:val="auto"/>
              </w:rPr>
            </w:pPr>
          </w:p>
        </w:tc>
        <w:tc>
          <w:tcPr>
            <w:tcW w:w="140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19,748,808</w:t>
            </w:r>
          </w:p>
        </w:tc>
        <w:tc>
          <w:tcPr>
            <w:tcW w:w="176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w w:val="99"/>
              </w:rPr>
              <w:t>Discounted Cash Flow</w:t>
            </w:r>
          </w:p>
        </w:tc>
        <w:tc>
          <w:tcPr>
            <w:tcW w:w="17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Loss Severity</w:t>
            </w:r>
          </w:p>
        </w:tc>
        <w:tc>
          <w:tcPr>
            <w:tcW w:w="19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21.0%-31.0% (26.0%)</w:t>
            </w:r>
          </w:p>
        </w:tc>
        <w:tc>
          <w:tcPr>
            <w:tcW w:w="0" w:type="dxa"/>
            <w:vAlign w:val="bottom"/>
          </w:tcPr>
          <w:p>
            <w:pPr>
              <w:spacing w:after="0"/>
              <w:rPr>
                <w:sz w:val="1"/>
                <w:szCs w:val="1"/>
                <w:color w:val="auto"/>
              </w:rPr>
            </w:pPr>
          </w:p>
        </w:tc>
      </w:tr>
      <w:tr>
        <w:trPr>
          <w:trHeight w:val="209"/>
        </w:trPr>
        <w:tc>
          <w:tcPr>
            <w:tcW w:w="4020" w:type="dxa"/>
            <w:vAlign w:val="bottom"/>
            <w:tcBorders>
              <w:left w:val="single" w:sz="8" w:color="auto"/>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Recovery Rate</w:t>
            </w:r>
          </w:p>
        </w:tc>
        <w:tc>
          <w:tcPr>
            <w:tcW w:w="19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69.0%-79.0% (74.0%)</w:t>
            </w:r>
          </w:p>
        </w:tc>
        <w:tc>
          <w:tcPr>
            <w:tcW w:w="0" w:type="dxa"/>
            <w:vAlign w:val="bottom"/>
          </w:tcPr>
          <w:p>
            <w:pPr>
              <w:spacing w:after="0"/>
              <w:rPr>
                <w:sz w:val="1"/>
                <w:szCs w:val="1"/>
                <w:color w:val="auto"/>
              </w:rPr>
            </w:pPr>
          </w:p>
        </w:tc>
      </w:tr>
      <w:tr>
        <w:trPr>
          <w:trHeight w:val="203"/>
        </w:trPr>
        <w:tc>
          <w:tcPr>
            <w:tcW w:w="4020" w:type="dxa"/>
            <w:vAlign w:val="bottom"/>
            <w:tcBorders>
              <w:left w:val="single" w:sz="8" w:color="auto"/>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76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Prepayment</w:t>
            </w:r>
          </w:p>
        </w:tc>
        <w:tc>
          <w:tcPr>
            <w:tcW w:w="19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20" w:type="dxa"/>
            <w:vAlign w:val="bottom"/>
            <w:tcBorders>
              <w:left w:val="single" w:sz="8" w:color="auto"/>
              <w:bottom w:val="single" w:sz="8" w:color="auto"/>
              <w:right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Rate</w:t>
            </w:r>
          </w:p>
        </w:tc>
        <w:tc>
          <w:tcPr>
            <w:tcW w:w="19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0.0%-25.0% (12.5%)</w:t>
            </w:r>
          </w:p>
        </w:tc>
        <w:tc>
          <w:tcPr>
            <w:tcW w:w="0" w:type="dxa"/>
            <w:vAlign w:val="bottom"/>
          </w:tcPr>
          <w:p>
            <w:pPr>
              <w:spacing w:after="0"/>
              <w:rPr>
                <w:sz w:val="1"/>
                <w:szCs w:val="1"/>
                <w:color w:val="auto"/>
              </w:rPr>
            </w:pPr>
          </w:p>
        </w:tc>
      </w:tr>
      <w:tr>
        <w:trPr>
          <w:trHeight w:val="203"/>
        </w:trPr>
        <w:tc>
          <w:tcPr>
            <w:tcW w:w="40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1"/>
              </w:rPr>
              <w:t>Derivatives</w:t>
            </w:r>
          </w:p>
        </w:tc>
        <w:tc>
          <w:tcPr>
            <w:tcW w:w="360" w:type="dxa"/>
            <w:vAlign w:val="bottom"/>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76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Transacted</w:t>
            </w:r>
          </w:p>
        </w:tc>
        <w:tc>
          <w:tcPr>
            <w:tcW w:w="19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tcBorders>
              <w:left w:val="single" w:sz="8" w:color="auto"/>
              <w:right w:val="single" w:sz="8" w:color="auto"/>
            </w:tcBorders>
            <w:vMerge w:val="continue"/>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(1,108,618)</w:t>
            </w:r>
          </w:p>
        </w:tc>
        <w:tc>
          <w:tcPr>
            <w:tcW w:w="176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Market Approach</w:t>
            </w:r>
          </w:p>
        </w:tc>
        <w:tc>
          <w:tcPr>
            <w:tcW w:w="178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Value/Contractual</w:t>
            </w:r>
          </w:p>
        </w:tc>
        <w:tc>
          <w:tcPr>
            <w:tcW w:w="19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20" w:type="dxa"/>
            <w:vAlign w:val="bottom"/>
            <w:tcBorders>
              <w:left w:val="single" w:sz="8" w:color="auto"/>
              <w:bottom w:val="single" w:sz="8" w:color="auto"/>
              <w:right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Financing Rate</w:t>
            </w:r>
          </w:p>
        </w:tc>
        <w:tc>
          <w:tcPr>
            <w:tcW w:w="19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20" w:type="dxa"/>
            <w:vAlign w:val="bottom"/>
          </w:tcPr>
          <w:p>
            <w:pPr>
              <w:jc w:val="center"/>
              <w:spacing w:after="0"/>
              <w:rPr>
                <w:sz w:val="20"/>
                <w:szCs w:val="20"/>
                <w:color w:val="auto"/>
              </w:rPr>
            </w:pPr>
            <w:r>
              <w:rPr>
                <w:rFonts w:ascii="Arial" w:cs="Arial" w:eastAsia="Arial" w:hAnsi="Arial"/>
                <w:sz w:val="16"/>
                <w:szCs w:val="16"/>
                <w:b w:val="1"/>
                <w:bCs w:val="1"/>
                <w:color w:val="auto"/>
                <w:w w:val="94"/>
              </w:rPr>
              <w:t>Total Level III Investments</w:t>
            </w:r>
          </w:p>
        </w:tc>
        <w:tc>
          <w:tcPr>
            <w:tcW w:w="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385,004,728</w:t>
            </w:r>
          </w:p>
        </w:tc>
        <w:tc>
          <w:tcPr>
            <w:tcW w:w="17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right="80" w:hanging="372"/>
        <w:spacing w:after="0" w:line="255" w:lineRule="auto"/>
        <w:tabs>
          <w:tab w:leader="none" w:pos="380" w:val="left"/>
        </w:tabs>
        <w:numPr>
          <w:ilvl w:val="0"/>
          <w:numId w:val="60"/>
        </w:numPr>
        <w:rPr>
          <w:rFonts w:ascii="Arial" w:cs="Arial" w:eastAsia="Arial" w:hAnsi="Arial"/>
          <w:sz w:val="15"/>
          <w:szCs w:val="15"/>
          <w:color w:val="auto"/>
        </w:rPr>
      </w:pPr>
      <w:r>
        <w:rPr>
          <w:rFonts w:ascii="Arial" w:cs="Arial" w:eastAsia="Arial" w:hAnsi="Arial"/>
          <w:sz w:val="18"/>
          <w:szCs w:val="18"/>
          <w:color w:val="auto"/>
        </w:rPr>
        <w:t>The qualitative inputs used in the fair value measurements of Equity Securities include estimates of the distressed liquidation value of the pledged collateral. In cases where Portman Ridge’s analysis ascribes no residual value to a portfolio company’s equity, Portman Ridge typically elects to mark its position at a nominal amount to account for the investment’s option value.</w:t>
      </w:r>
    </w:p>
    <w:p>
      <w:pPr>
        <w:spacing w:after="0" w:line="1" w:lineRule="exact"/>
        <w:rPr>
          <w:sz w:val="20"/>
          <w:szCs w:val="20"/>
          <w:color w:val="auto"/>
        </w:rPr>
      </w:pPr>
    </w:p>
    <w:p>
      <w:pPr>
        <w:ind w:left="380" w:hanging="372"/>
        <w:spacing w:after="0"/>
        <w:tabs>
          <w:tab w:leader="none" w:pos="380" w:val="left"/>
        </w:tabs>
        <w:numPr>
          <w:ilvl w:val="0"/>
          <w:numId w:val="61"/>
        </w:numPr>
        <w:rPr>
          <w:rFonts w:ascii="Arial" w:cs="Arial" w:eastAsia="Arial" w:hAnsi="Arial"/>
          <w:sz w:val="15"/>
          <w:szCs w:val="15"/>
          <w:color w:val="auto"/>
        </w:rPr>
      </w:pPr>
      <w:r>
        <w:rPr>
          <w:rFonts w:ascii="Arial" w:cs="Arial" w:eastAsia="Arial" w:hAnsi="Arial"/>
          <w:sz w:val="18"/>
          <w:szCs w:val="18"/>
          <w:color w:val="auto"/>
        </w:rPr>
        <w:t>The qualitative inputs used in the fair value measurements include the value of the pledged collateral.</w:t>
      </w:r>
    </w:p>
    <w:p>
      <w:pPr>
        <w:spacing w:after="0" w:line="171" w:lineRule="exact"/>
        <w:rPr>
          <w:sz w:val="20"/>
          <w:szCs w:val="20"/>
          <w:color w:val="auto"/>
        </w:rPr>
      </w:pPr>
    </w:p>
    <w:p>
      <w:pPr>
        <w:ind w:right="60" w:firstLine="374"/>
        <w:spacing w:after="0" w:line="259" w:lineRule="auto"/>
        <w:rPr>
          <w:sz w:val="20"/>
          <w:szCs w:val="20"/>
          <w:color w:val="auto"/>
        </w:rPr>
      </w:pPr>
      <w:r>
        <w:rPr>
          <w:rFonts w:ascii="Arial" w:cs="Arial" w:eastAsia="Arial" w:hAnsi="Arial"/>
          <w:sz w:val="18"/>
          <w:szCs w:val="18"/>
          <w:color w:val="auto"/>
        </w:rPr>
        <w:t>The significant unobservable inputs used in the fair value measurement of the Company’s debt securities may include, among other things, broad market indices, the comparable yields of similar investments in similar industries, effective discount rates, average EBITDA multiples, and weighted average cost of capital. Significant increases or decreases in such comparable yields would result in a significantly lower or higher fair value measurement, respectively.</w:t>
      </w:r>
    </w:p>
    <w:p>
      <w:pPr>
        <w:spacing w:after="0" w:line="160" w:lineRule="exact"/>
        <w:rPr>
          <w:sz w:val="20"/>
          <w:szCs w:val="20"/>
          <w:color w:val="auto"/>
        </w:rPr>
      </w:pPr>
    </w:p>
    <w:p>
      <w:pPr>
        <w:jc w:val="both"/>
        <w:ind w:right="220" w:firstLine="374"/>
        <w:spacing w:after="0" w:line="263" w:lineRule="auto"/>
        <w:rPr>
          <w:sz w:val="20"/>
          <w:szCs w:val="20"/>
          <w:color w:val="auto"/>
        </w:rPr>
      </w:pPr>
      <w:r>
        <w:rPr>
          <w:rFonts w:ascii="Arial" w:cs="Arial" w:eastAsia="Arial" w:hAnsi="Arial"/>
          <w:sz w:val="18"/>
          <w:szCs w:val="18"/>
          <w:color w:val="auto"/>
        </w:rPr>
        <w:t>The significant unobservable inputs used in the fair value measurement of the Company’s equity securities include the EBITDA multiple of similar investments in similar industries and the weighted average cost of capital. Significant increases or decreases in such inputs would result in a significantly lower or higher fair value measurement.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ind w:right="20" w:firstLine="374"/>
        <w:spacing w:after="0" w:line="288" w:lineRule="auto"/>
        <w:rPr>
          <w:sz w:val="20"/>
          <w:szCs w:val="20"/>
          <w:color w:val="auto"/>
        </w:rPr>
      </w:pPr>
      <w:r>
        <w:rPr>
          <w:rFonts w:ascii="Arial" w:cs="Arial" w:eastAsia="Arial" w:hAnsi="Arial"/>
          <w:sz w:val="16"/>
          <w:szCs w:val="16"/>
          <w:color w:val="auto"/>
        </w:rPr>
        <w:t>Significant unobservable inputs used in the fair value measurement of the Company’s CLO Fund Securities include default rates, recovery rates, prepayment rates, spreads, and the discount rate by which to value the resulting underlying cash flows. Such assumptions can vary significantly, depending on market data sources which often vary in depth and level of analysis, understanding of the CLO market, detailed or broad characterization of the CLO market and the application of such data to an appropriate framework for analysis. The application of data points are based on the specific attributes of each individual CLO Fund Security’s underlying assets, historic, current and prospective performance, vintage, and other quantitative and qualitative factors that would be evaluated by market participants. The Company evaluates the source of market data for reliability as an indicative market input, consistency amongst other inputs and results and also the context in which such data is presented. Significant increases or decreases in probability of default and loss severity inputs in isolation would result in a significantly lower or higher fair value measurement, respectively. In general, a change in the assumption of the probability of default is accompanied by a directionally similar change in the assumption used for the loss severity in an event of default. Significant increases or decreases in the discount rate in isolation would result in a significantly lower or higher fair value measurement.</w:t>
      </w:r>
    </w:p>
    <w:p>
      <w:pPr>
        <w:spacing w:after="0" w:line="141" w:lineRule="exact"/>
        <w:rPr>
          <w:sz w:val="20"/>
          <w:szCs w:val="20"/>
          <w:color w:val="auto"/>
        </w:rPr>
      </w:pPr>
    </w:p>
    <w:p>
      <w:pPr>
        <w:ind w:right="220" w:firstLine="374"/>
        <w:spacing w:after="0" w:line="277" w:lineRule="auto"/>
        <w:rPr>
          <w:sz w:val="20"/>
          <w:szCs w:val="20"/>
          <w:color w:val="auto"/>
        </w:rPr>
      </w:pPr>
      <w:r>
        <w:rPr>
          <w:rFonts w:ascii="Arial" w:cs="Arial" w:eastAsia="Arial" w:hAnsi="Arial"/>
          <w:sz w:val="18"/>
          <w:szCs w:val="18"/>
          <w:color w:val="auto"/>
        </w:rPr>
        <w:t>The Company’s investment in the Joint Venture- KCAP Freedom 3 LLC is carried at fair value based upon the fair value of the investments held by the Joint Venture.</w:t>
      </w:r>
    </w:p>
    <w:p>
      <w:pPr>
        <w:spacing w:after="0" w:line="62" w:lineRule="exact"/>
        <w:rPr>
          <w:sz w:val="20"/>
          <w:szCs w:val="20"/>
          <w:color w:val="auto"/>
        </w:rPr>
      </w:pPr>
    </w:p>
    <w:p>
      <w:pPr>
        <w:ind w:right="60" w:firstLine="374"/>
        <w:spacing w:after="0" w:line="308" w:lineRule="auto"/>
        <w:rPr>
          <w:sz w:val="20"/>
          <w:szCs w:val="20"/>
          <w:color w:val="auto"/>
        </w:rPr>
      </w:pPr>
      <w:r>
        <w:rPr>
          <w:rFonts w:ascii="Arial" w:cs="Arial" w:eastAsia="Arial" w:hAnsi="Arial"/>
          <w:sz w:val="17"/>
          <w:szCs w:val="17"/>
          <w:color w:val="auto"/>
        </w:rPr>
        <w:t>The Company values derivative contracts using various pricing models that take into account the terms of the contract (including notional amount and contract maturity) and observable and unobservable inputs such as interest rates and changes in fair value of the reference asset.</w:t>
      </w:r>
    </w:p>
    <w:p>
      <w:pPr>
        <w:spacing w:after="0" w:line="3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details derivative investments at March 31, 2021 and December 31, 2020:</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5"/>
          </w:tcPr>
          <w:p>
            <w:pPr>
              <w:jc w:val="center"/>
              <w:ind w:left="170"/>
              <w:spacing w:after="0"/>
              <w:rPr>
                <w:sz w:val="20"/>
                <w:szCs w:val="20"/>
                <w:color w:val="auto"/>
              </w:rPr>
            </w:pPr>
            <w:r>
              <w:rPr>
                <w:rFonts w:ascii="Arial" w:cs="Arial" w:eastAsia="Arial" w:hAnsi="Arial"/>
                <w:sz w:val="18"/>
                <w:szCs w:val="18"/>
                <w:b w:val="1"/>
                <w:bCs w:val="1"/>
                <w:color w:val="auto"/>
                <w:w w:val="92"/>
              </w:rPr>
              <w:t>March 31, 2021</w:t>
            </w:r>
          </w:p>
        </w:tc>
        <w:tc>
          <w:tcPr>
            <w:tcW w:w="4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3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2"/>
          </w:tcPr>
          <w:p>
            <w:pPr>
              <w:jc w:val="center"/>
              <w:ind w:right="340"/>
              <w:spacing w:after="0" w:line="205" w:lineRule="exact"/>
              <w:rPr>
                <w:sz w:val="20"/>
                <w:szCs w:val="20"/>
                <w:color w:val="auto"/>
              </w:rPr>
            </w:pPr>
            <w:r>
              <w:rPr>
                <w:rFonts w:ascii="Arial" w:cs="Arial" w:eastAsia="Arial" w:hAnsi="Arial"/>
                <w:sz w:val="18"/>
                <w:szCs w:val="18"/>
                <w:b w:val="1"/>
                <w:bCs w:val="1"/>
                <w:color w:val="auto"/>
                <w:w w:val="86"/>
              </w:rPr>
              <w:t>Derivative assets</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center"/>
              <w:ind w:right="70"/>
              <w:spacing w:after="0" w:line="205" w:lineRule="exact"/>
              <w:rPr>
                <w:sz w:val="20"/>
                <w:szCs w:val="20"/>
                <w:color w:val="auto"/>
              </w:rPr>
            </w:pPr>
            <w:r>
              <w:rPr>
                <w:rFonts w:ascii="Arial" w:cs="Arial" w:eastAsia="Arial" w:hAnsi="Arial"/>
                <w:sz w:val="18"/>
                <w:szCs w:val="18"/>
                <w:b w:val="1"/>
                <w:bCs w:val="1"/>
                <w:color w:val="auto"/>
                <w:w w:val="90"/>
              </w:rPr>
              <w:t>Realized</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00" w:type="dxa"/>
            <w:vAlign w:val="bottom"/>
          </w:tcPr>
          <w:p>
            <w:pPr>
              <w:ind w:left="1000"/>
              <w:spacing w:after="0"/>
              <w:rPr>
                <w:sz w:val="20"/>
                <w:szCs w:val="20"/>
                <w:color w:val="auto"/>
              </w:rPr>
            </w:pPr>
            <w:r>
              <w:rPr>
                <w:rFonts w:ascii="Arial" w:cs="Arial" w:eastAsia="Arial" w:hAnsi="Arial"/>
                <w:sz w:val="18"/>
                <w:szCs w:val="18"/>
                <w:b w:val="1"/>
                <w:bCs w:val="1"/>
                <w:color w:val="auto"/>
              </w:rPr>
              <w:t>Types of contracts</w:t>
            </w:r>
          </w:p>
        </w:tc>
        <w:tc>
          <w:tcPr>
            <w:tcW w:w="300" w:type="dxa"/>
            <w:vAlign w:val="bottom"/>
          </w:tcPr>
          <w:p>
            <w:pPr>
              <w:spacing w:after="0"/>
              <w:rPr>
                <w:sz w:val="20"/>
                <w:szCs w:val="20"/>
                <w:color w:val="auto"/>
              </w:rPr>
            </w:pPr>
          </w:p>
        </w:tc>
        <w:tc>
          <w:tcPr>
            <w:tcW w:w="1960" w:type="dxa"/>
            <w:vAlign w:val="bottom"/>
            <w:gridSpan w:val="3"/>
          </w:tcPr>
          <w:p>
            <w:pPr>
              <w:ind w:left="80"/>
              <w:spacing w:after="0"/>
              <w:rPr>
                <w:sz w:val="20"/>
                <w:szCs w:val="20"/>
                <w:color w:val="auto"/>
              </w:rPr>
            </w:pPr>
            <w:r>
              <w:rPr>
                <w:rFonts w:ascii="Arial" w:cs="Arial" w:eastAsia="Arial" w:hAnsi="Arial"/>
                <w:sz w:val="18"/>
                <w:szCs w:val="18"/>
                <w:b w:val="1"/>
                <w:bCs w:val="1"/>
                <w:color w:val="auto"/>
              </w:rPr>
              <w:t>Notional amounts</w:t>
            </w:r>
          </w:p>
        </w:tc>
        <w:tc>
          <w:tcPr>
            <w:tcW w:w="100" w:type="dxa"/>
            <w:vAlign w:val="bottom"/>
          </w:tcPr>
          <w:p>
            <w:pPr>
              <w:spacing w:after="0"/>
              <w:rPr>
                <w:sz w:val="20"/>
                <w:szCs w:val="20"/>
                <w:color w:val="auto"/>
              </w:rPr>
            </w:pPr>
          </w:p>
        </w:tc>
        <w:tc>
          <w:tcPr>
            <w:tcW w:w="17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 xml:space="preserve">(liabilities) </w:t>
            </w:r>
            <w:r>
              <w:rPr>
                <w:rFonts w:ascii="Arial" w:cs="Arial" w:eastAsia="Arial" w:hAnsi="Arial"/>
                <w:sz w:val="15"/>
                <w:szCs w:val="15"/>
                <w:b w:val="1"/>
                <w:bCs w:val="1"/>
                <w:color w:val="auto"/>
                <w:w w:val="91"/>
              </w:rPr>
              <w:t>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center"/>
              <w:ind w:right="70"/>
              <w:spacing w:after="0"/>
              <w:rPr>
                <w:sz w:val="20"/>
                <w:szCs w:val="20"/>
                <w:color w:val="auto"/>
              </w:rPr>
            </w:pPr>
            <w:r>
              <w:rPr>
                <w:rFonts w:ascii="Arial" w:cs="Arial" w:eastAsia="Arial" w:hAnsi="Arial"/>
                <w:sz w:val="18"/>
                <w:szCs w:val="18"/>
                <w:b w:val="1"/>
                <w:bCs w:val="1"/>
                <w:color w:val="auto"/>
                <w:w w:val="86"/>
              </w:rPr>
              <w:t>gain(loss)</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9"/>
              </w:rPr>
              <w:t>Unrealized gain(loss)</w:t>
            </w:r>
          </w:p>
        </w:tc>
        <w:tc>
          <w:tcPr>
            <w:tcW w:w="0" w:type="dxa"/>
            <w:vAlign w:val="bottom"/>
          </w:tcPr>
          <w:p>
            <w:pPr>
              <w:spacing w:after="0"/>
              <w:rPr>
                <w:sz w:val="1"/>
                <w:szCs w:val="1"/>
                <w:color w:val="auto"/>
              </w:rPr>
            </w:pPr>
          </w:p>
        </w:tc>
      </w:tr>
      <w:tr>
        <w:trPr>
          <w:trHeight w:val="223"/>
        </w:trPr>
        <w:tc>
          <w:tcPr>
            <w:tcW w:w="34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Call option</w:t>
            </w:r>
          </w:p>
        </w:tc>
        <w:tc>
          <w:tcPr>
            <w:tcW w:w="30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ind w:right="281"/>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7,656</w:t>
            </w:r>
          </w:p>
        </w:tc>
        <w:tc>
          <w:tcPr>
            <w:tcW w:w="4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5,232</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ind w:left="820"/>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(25,377)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0" w:type="dxa"/>
            <w:vAlign w:val="bottom"/>
          </w:tcPr>
          <w:p>
            <w:pPr>
              <w:spacing w:after="0"/>
              <w:rPr>
                <w:sz w:val="20"/>
                <w:szCs w:val="20"/>
                <w:color w:val="auto"/>
              </w:rPr>
            </w:pPr>
            <w:r>
              <w:rPr>
                <w:rFonts w:ascii="Arial" w:cs="Arial" w:eastAsia="Arial" w:hAnsi="Arial"/>
                <w:sz w:val="18"/>
                <w:szCs w:val="18"/>
                <w:color w:val="auto"/>
              </w:rPr>
              <w:t>Securities Swap and Option Agreement</w:t>
            </w: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5,500,000</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(1,588,195)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ind w:left="820"/>
              <w:spacing w:after="0"/>
              <w:rPr>
                <w:sz w:val="20"/>
                <w:szCs w:val="20"/>
                <w:color w:val="auto"/>
              </w:rPr>
            </w:pPr>
            <w:r>
              <w:rPr>
                <w:rFonts w:ascii="Arial" w:cs="Arial" w:eastAsia="Arial" w:hAnsi="Arial"/>
                <w:sz w:val="18"/>
                <w:szCs w:val="18"/>
                <w:color w:val="auto"/>
                <w:w w:val="99"/>
              </w:rPr>
              <w:t>—</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gridSpan w:val="2"/>
          </w:tcPr>
          <w:p>
            <w:pPr>
              <w:jc w:val="right"/>
              <w:ind w:right="40"/>
              <w:spacing w:after="0"/>
              <w:rPr>
                <w:sz w:val="20"/>
                <w:szCs w:val="20"/>
                <w:color w:val="auto"/>
              </w:rPr>
            </w:pPr>
            <w:r>
              <w:rPr>
                <w:rFonts w:ascii="Arial" w:cs="Arial" w:eastAsia="Arial" w:hAnsi="Arial"/>
                <w:sz w:val="18"/>
                <w:szCs w:val="18"/>
                <w:color w:val="auto"/>
              </w:rPr>
              <w:t>(1,588,195)</w:t>
            </w:r>
          </w:p>
        </w:tc>
        <w:tc>
          <w:tcPr>
            <w:tcW w:w="0" w:type="dxa"/>
            <w:vAlign w:val="bottom"/>
          </w:tcPr>
          <w:p>
            <w:pPr>
              <w:spacing w:after="0"/>
              <w:rPr>
                <w:sz w:val="1"/>
                <w:szCs w:val="1"/>
                <w:color w:val="auto"/>
              </w:rPr>
            </w:pPr>
          </w:p>
        </w:tc>
      </w:tr>
      <w:tr>
        <w:trPr>
          <w:trHeight w:val="223"/>
        </w:trPr>
        <w:tc>
          <w:tcPr>
            <w:tcW w:w="34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jc w:val="right"/>
              <w:ind w:right="281"/>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5,507,656</w:t>
            </w:r>
          </w:p>
        </w:tc>
        <w:tc>
          <w:tcPr>
            <w:tcW w:w="4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(1,582,963)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ind w:left="820"/>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(1,613,572)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00" w:type="dxa"/>
            <w:vAlign w:val="bottom"/>
            <w:gridSpan w:val="2"/>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240" w:type="dxa"/>
            <w:vAlign w:val="bottom"/>
            <w:gridSpan w:val="4"/>
          </w:tcPr>
          <w:p>
            <w:pPr>
              <w:spacing w:after="0"/>
              <w:rPr>
                <w:sz w:val="20"/>
                <w:szCs w:val="20"/>
                <w:color w:val="auto"/>
              </w:rPr>
            </w:pPr>
            <w:r>
              <w:rPr>
                <w:rFonts w:ascii="Arial" w:cs="Arial" w:eastAsia="Arial" w:hAnsi="Arial"/>
                <w:sz w:val="14"/>
                <w:szCs w:val="14"/>
                <w:color w:val="auto"/>
                <w:w w:val="99"/>
              </w:rPr>
              <w:t>(1) Net amount included in the derivative caption on the consolidated balance sheets</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40" w:type="dxa"/>
            <w:vAlign w:val="bottom"/>
            <w:gridSpan w:val="5"/>
            <w:vMerge w:val="restart"/>
          </w:tcPr>
          <w:p>
            <w:pPr>
              <w:jc w:val="center"/>
              <w:ind w:left="170"/>
              <w:spacing w:after="0"/>
              <w:rPr>
                <w:sz w:val="20"/>
                <w:szCs w:val="20"/>
                <w:color w:val="auto"/>
              </w:rPr>
            </w:pPr>
            <w:r>
              <w:rPr>
                <w:rFonts w:ascii="Arial" w:cs="Arial" w:eastAsia="Arial" w:hAnsi="Arial"/>
                <w:sz w:val="18"/>
                <w:szCs w:val="18"/>
                <w:b w:val="1"/>
                <w:bCs w:val="1"/>
                <w:color w:val="auto"/>
                <w:w w:val="90"/>
              </w:rPr>
              <w:t>December 31, 2020</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gridSpan w:val="5"/>
            <w:vMerge w:val="continue"/>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3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2"/>
          </w:tcPr>
          <w:p>
            <w:pPr>
              <w:jc w:val="center"/>
              <w:ind w:right="340"/>
              <w:spacing w:after="0" w:line="205" w:lineRule="exact"/>
              <w:rPr>
                <w:sz w:val="20"/>
                <w:szCs w:val="20"/>
                <w:color w:val="auto"/>
              </w:rPr>
            </w:pPr>
            <w:r>
              <w:rPr>
                <w:rFonts w:ascii="Arial" w:cs="Arial" w:eastAsia="Arial" w:hAnsi="Arial"/>
                <w:sz w:val="18"/>
                <w:szCs w:val="18"/>
                <w:b w:val="1"/>
                <w:bCs w:val="1"/>
                <w:color w:val="auto"/>
                <w:w w:val="86"/>
              </w:rPr>
              <w:t>Derivative assets</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center"/>
              <w:ind w:right="70"/>
              <w:spacing w:after="0" w:line="205" w:lineRule="exact"/>
              <w:rPr>
                <w:sz w:val="20"/>
                <w:szCs w:val="20"/>
                <w:color w:val="auto"/>
              </w:rPr>
            </w:pPr>
            <w:r>
              <w:rPr>
                <w:rFonts w:ascii="Arial" w:cs="Arial" w:eastAsia="Arial" w:hAnsi="Arial"/>
                <w:sz w:val="18"/>
                <w:szCs w:val="18"/>
                <w:b w:val="1"/>
                <w:bCs w:val="1"/>
                <w:color w:val="auto"/>
                <w:w w:val="90"/>
              </w:rPr>
              <w:t>Realized</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00" w:type="dxa"/>
            <w:vAlign w:val="bottom"/>
          </w:tcPr>
          <w:p>
            <w:pPr>
              <w:ind w:left="1000"/>
              <w:spacing w:after="0"/>
              <w:rPr>
                <w:sz w:val="20"/>
                <w:szCs w:val="20"/>
                <w:color w:val="auto"/>
              </w:rPr>
            </w:pPr>
            <w:r>
              <w:rPr>
                <w:rFonts w:ascii="Arial" w:cs="Arial" w:eastAsia="Arial" w:hAnsi="Arial"/>
                <w:sz w:val="18"/>
                <w:szCs w:val="18"/>
                <w:b w:val="1"/>
                <w:bCs w:val="1"/>
                <w:color w:val="auto"/>
              </w:rPr>
              <w:t>Types of contracts</w:t>
            </w:r>
          </w:p>
        </w:tc>
        <w:tc>
          <w:tcPr>
            <w:tcW w:w="300" w:type="dxa"/>
            <w:vAlign w:val="bottom"/>
          </w:tcPr>
          <w:p>
            <w:pPr>
              <w:spacing w:after="0"/>
              <w:rPr>
                <w:sz w:val="20"/>
                <w:szCs w:val="20"/>
                <w:color w:val="auto"/>
              </w:rPr>
            </w:pPr>
          </w:p>
        </w:tc>
        <w:tc>
          <w:tcPr>
            <w:tcW w:w="1960" w:type="dxa"/>
            <w:vAlign w:val="bottom"/>
            <w:gridSpan w:val="3"/>
          </w:tcPr>
          <w:p>
            <w:pPr>
              <w:ind w:left="80"/>
              <w:spacing w:after="0"/>
              <w:rPr>
                <w:sz w:val="20"/>
                <w:szCs w:val="20"/>
                <w:color w:val="auto"/>
              </w:rPr>
            </w:pPr>
            <w:r>
              <w:rPr>
                <w:rFonts w:ascii="Arial" w:cs="Arial" w:eastAsia="Arial" w:hAnsi="Arial"/>
                <w:sz w:val="18"/>
                <w:szCs w:val="18"/>
                <w:b w:val="1"/>
                <w:bCs w:val="1"/>
                <w:color w:val="auto"/>
              </w:rPr>
              <w:t>Notional amounts</w:t>
            </w:r>
          </w:p>
        </w:tc>
        <w:tc>
          <w:tcPr>
            <w:tcW w:w="100" w:type="dxa"/>
            <w:vAlign w:val="bottom"/>
          </w:tcPr>
          <w:p>
            <w:pPr>
              <w:spacing w:after="0"/>
              <w:rPr>
                <w:sz w:val="20"/>
                <w:szCs w:val="20"/>
                <w:color w:val="auto"/>
              </w:rPr>
            </w:pPr>
          </w:p>
        </w:tc>
        <w:tc>
          <w:tcPr>
            <w:tcW w:w="17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 xml:space="preserve">(liabilities) </w:t>
            </w:r>
            <w:r>
              <w:rPr>
                <w:rFonts w:ascii="Arial" w:cs="Arial" w:eastAsia="Arial" w:hAnsi="Arial"/>
                <w:sz w:val="15"/>
                <w:szCs w:val="15"/>
                <w:b w:val="1"/>
                <w:bCs w:val="1"/>
                <w:color w:val="auto"/>
                <w:w w:val="91"/>
              </w:rPr>
              <w:t>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center"/>
              <w:ind w:right="70"/>
              <w:spacing w:after="0"/>
              <w:rPr>
                <w:sz w:val="20"/>
                <w:szCs w:val="20"/>
                <w:color w:val="auto"/>
              </w:rPr>
            </w:pPr>
            <w:r>
              <w:rPr>
                <w:rFonts w:ascii="Arial" w:cs="Arial" w:eastAsia="Arial" w:hAnsi="Arial"/>
                <w:sz w:val="18"/>
                <w:szCs w:val="18"/>
                <w:b w:val="1"/>
                <w:bCs w:val="1"/>
                <w:color w:val="auto"/>
                <w:w w:val="86"/>
              </w:rPr>
              <w:t>gain(loss)</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9"/>
              </w:rPr>
              <w:t>Unrealized gain(loss)</w:t>
            </w:r>
          </w:p>
        </w:tc>
        <w:tc>
          <w:tcPr>
            <w:tcW w:w="0" w:type="dxa"/>
            <w:vAlign w:val="bottom"/>
          </w:tcPr>
          <w:p>
            <w:pPr>
              <w:spacing w:after="0"/>
              <w:rPr>
                <w:sz w:val="1"/>
                <w:szCs w:val="1"/>
                <w:color w:val="auto"/>
              </w:rPr>
            </w:pPr>
          </w:p>
        </w:tc>
      </w:tr>
      <w:tr>
        <w:trPr>
          <w:trHeight w:val="223"/>
        </w:trPr>
        <w:tc>
          <w:tcPr>
            <w:tcW w:w="3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Call option</w:t>
            </w:r>
          </w:p>
        </w:tc>
        <w:tc>
          <w:tcPr>
            <w:tcW w:w="300" w:type="dxa"/>
            <w:vAlign w:val="bottom"/>
          </w:tcPr>
          <w:p>
            <w:pPr>
              <w:spacing w:after="0"/>
              <w:rPr>
                <w:sz w:val="19"/>
                <w:szCs w:val="19"/>
                <w:color w:val="auto"/>
              </w:rPr>
            </w:pPr>
          </w:p>
        </w:tc>
        <w:tc>
          <w:tcPr>
            <w:tcW w:w="440" w:type="dxa"/>
            <w:vAlign w:val="bottom"/>
            <w:tcBorders>
              <w:top w:val="single" w:sz="8" w:color="auto"/>
            </w:tcBorders>
          </w:tcPr>
          <w:p>
            <w:pPr>
              <w:jc w:val="right"/>
              <w:ind w:right="281"/>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7,656</w:t>
            </w:r>
          </w:p>
        </w:tc>
        <w:tc>
          <w:tcPr>
            <w:tcW w:w="4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12,077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ind w:left="820"/>
              <w:spacing w:after="0"/>
              <w:rPr>
                <w:sz w:val="20"/>
                <w:szCs w:val="20"/>
                <w:color w:val="auto"/>
              </w:rPr>
            </w:pPr>
            <w:r>
              <w:rPr>
                <w:rFonts w:ascii="Arial" w:cs="Arial" w:eastAsia="Arial" w:hAnsi="Arial"/>
                <w:sz w:val="18"/>
                <w:szCs w:val="18"/>
                <w:color w:val="auto"/>
                <w:w w:val="99"/>
              </w:rPr>
              <w:t>—</w:t>
            </w:r>
          </w:p>
        </w:tc>
        <w:tc>
          <w:tcPr>
            <w:tcW w:w="4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Securities Swap and Option Agreement</w:t>
            </w:r>
          </w:p>
        </w:tc>
        <w:tc>
          <w:tcPr>
            <w:tcW w:w="3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5,500,000</w:t>
            </w:r>
          </w:p>
        </w:tc>
        <w:tc>
          <w:tcPr>
            <w:tcW w:w="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(1,120,695)</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ind w:left="820"/>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(1,120,695)</w:t>
            </w:r>
          </w:p>
        </w:tc>
        <w:tc>
          <w:tcPr>
            <w:tcW w:w="0" w:type="dxa"/>
            <w:vAlign w:val="bottom"/>
          </w:tcPr>
          <w:p>
            <w:pPr>
              <w:spacing w:after="0"/>
              <w:rPr>
                <w:sz w:val="1"/>
                <w:szCs w:val="1"/>
                <w:color w:val="auto"/>
              </w:rPr>
            </w:pPr>
          </w:p>
        </w:tc>
      </w:tr>
      <w:tr>
        <w:trPr>
          <w:trHeight w:val="224"/>
        </w:trPr>
        <w:tc>
          <w:tcPr>
            <w:tcW w:w="3400" w:type="dxa"/>
            <w:vAlign w:val="bottom"/>
          </w:tcPr>
          <w:p>
            <w:pPr>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19"/>
                <w:szCs w:val="19"/>
                <w:color w:val="auto"/>
              </w:rPr>
            </w:pPr>
          </w:p>
        </w:tc>
        <w:tc>
          <w:tcPr>
            <w:tcW w:w="440" w:type="dxa"/>
            <w:vAlign w:val="bottom"/>
            <w:tcBorders>
              <w:top w:val="single" w:sz="8" w:color="auto"/>
            </w:tcBorders>
          </w:tcPr>
          <w:p>
            <w:pPr>
              <w:jc w:val="right"/>
              <w:ind w:right="281"/>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5,507,656</w:t>
            </w:r>
          </w:p>
        </w:tc>
        <w:tc>
          <w:tcPr>
            <w:tcW w:w="4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(1,108,618)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ind w:left="820"/>
              <w:spacing w:after="0"/>
              <w:rPr>
                <w:sz w:val="20"/>
                <w:szCs w:val="20"/>
                <w:color w:val="auto"/>
              </w:rPr>
            </w:pPr>
            <w:r>
              <w:rPr>
                <w:rFonts w:ascii="Arial" w:cs="Arial" w:eastAsia="Arial" w:hAnsi="Arial"/>
                <w:sz w:val="18"/>
                <w:szCs w:val="18"/>
                <w:color w:val="auto"/>
                <w:w w:val="99"/>
              </w:rPr>
              <w:t>—</w:t>
            </w:r>
          </w:p>
        </w:tc>
        <w:tc>
          <w:tcPr>
            <w:tcW w:w="4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(1,139,227)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2345055</wp:posOffset>
            </wp:positionH>
            <wp:positionV relativeFrom="paragraph">
              <wp:posOffset>0</wp:posOffset>
            </wp:positionV>
            <wp:extent cx="4723130"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723130" cy="25400"/>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(1) Net amount included in the derivative caption on the consolidated balance sheets</w:t>
      </w:r>
    </w:p>
    <w:p>
      <w:pPr>
        <w:spacing w:after="0" w:line="200" w:lineRule="exact"/>
        <w:rPr>
          <w:sz w:val="20"/>
          <w:szCs w:val="20"/>
          <w:color w:val="auto"/>
        </w:rPr>
      </w:pPr>
    </w:p>
    <w:p>
      <w:pPr>
        <w:spacing w:after="0" w:line="220" w:lineRule="exact"/>
        <w:rPr>
          <w:sz w:val="20"/>
          <w:szCs w:val="20"/>
          <w:color w:val="auto"/>
        </w:rPr>
      </w:pPr>
    </w:p>
    <w:p>
      <w:pPr>
        <w:ind w:left="380" w:hanging="372"/>
        <w:spacing w:after="0"/>
        <w:tabs>
          <w:tab w:leader="none" w:pos="38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Advisory Agreement</w:t>
      </w:r>
    </w:p>
    <w:p>
      <w:pPr>
        <w:spacing w:after="0" w:line="18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Adviser provides management services to the Company pursuant to the Advisory Agreement. Under the terms of the Advisory Agreement,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Adviser is responsible for the following:</w:t>
      </w:r>
    </w:p>
    <w:p>
      <w:pPr>
        <w:spacing w:after="0" w:line="170" w:lineRule="exact"/>
        <w:rPr>
          <w:sz w:val="20"/>
          <w:szCs w:val="20"/>
          <w:color w:val="auto"/>
        </w:rPr>
      </w:pPr>
    </w:p>
    <w:p>
      <w:pPr>
        <w:ind w:left="740" w:hanging="368"/>
        <w:spacing w:after="0"/>
        <w:tabs>
          <w:tab w:leader="none" w:pos="7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managing the Company’s assets in accordance with our investment objective, policies and restrictions;</w:t>
      </w:r>
    </w:p>
    <w:p>
      <w:pPr>
        <w:spacing w:after="0" w:line="211" w:lineRule="exact"/>
        <w:rPr>
          <w:rFonts w:ascii="Arial" w:cs="Arial" w:eastAsia="Arial" w:hAnsi="Arial"/>
          <w:sz w:val="18"/>
          <w:szCs w:val="18"/>
          <w:color w:val="auto"/>
        </w:rPr>
      </w:pPr>
    </w:p>
    <w:p>
      <w:pPr>
        <w:ind w:left="740" w:right="200" w:hanging="368"/>
        <w:spacing w:after="0" w:line="277" w:lineRule="auto"/>
        <w:tabs>
          <w:tab w:leader="none" w:pos="7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determining the composition of the Company’s portfolio, the nature and timing of the changes to the portfolio and the manner of implementing such changes;</w:t>
      </w:r>
    </w:p>
    <w:p>
      <w:pPr>
        <w:spacing w:after="0" w:line="129" w:lineRule="exact"/>
        <w:rPr>
          <w:rFonts w:ascii="Arial" w:cs="Arial" w:eastAsia="Arial" w:hAnsi="Arial"/>
          <w:sz w:val="18"/>
          <w:szCs w:val="18"/>
          <w:color w:val="auto"/>
        </w:rPr>
      </w:pPr>
    </w:p>
    <w:p>
      <w:pPr>
        <w:ind w:left="740" w:hanging="368"/>
        <w:spacing w:after="0"/>
        <w:tabs>
          <w:tab w:leader="none" w:pos="7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identifying, evaluating and negotiating the structure of the Company’s investments;</w:t>
      </w:r>
    </w:p>
    <w:p>
      <w:pPr>
        <w:spacing w:after="0" w:line="211" w:lineRule="exact"/>
        <w:rPr>
          <w:rFonts w:ascii="Arial" w:cs="Arial" w:eastAsia="Arial" w:hAnsi="Arial"/>
          <w:sz w:val="18"/>
          <w:szCs w:val="18"/>
          <w:color w:val="auto"/>
        </w:rPr>
      </w:pPr>
    </w:p>
    <w:p>
      <w:pPr>
        <w:ind w:left="740" w:hanging="368"/>
        <w:spacing w:after="0"/>
        <w:tabs>
          <w:tab w:leader="none" w:pos="7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monitoring the Company’s investments;</w:t>
      </w:r>
    </w:p>
    <w:p>
      <w:pPr>
        <w:spacing w:after="0" w:line="211" w:lineRule="exact"/>
        <w:rPr>
          <w:rFonts w:ascii="Arial" w:cs="Arial" w:eastAsia="Arial" w:hAnsi="Arial"/>
          <w:sz w:val="18"/>
          <w:szCs w:val="18"/>
          <w:color w:val="auto"/>
        </w:rPr>
      </w:pPr>
    </w:p>
    <w:p>
      <w:pPr>
        <w:ind w:left="740" w:hanging="368"/>
        <w:spacing w:after="0"/>
        <w:tabs>
          <w:tab w:leader="none" w:pos="7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determining the securities and other assets that the Company will purchase, retain or sell;</w:t>
      </w:r>
    </w:p>
    <w:p>
      <w:pPr>
        <w:spacing w:after="0" w:line="211" w:lineRule="exact"/>
        <w:rPr>
          <w:rFonts w:ascii="Arial" w:cs="Arial" w:eastAsia="Arial" w:hAnsi="Arial"/>
          <w:sz w:val="18"/>
          <w:szCs w:val="18"/>
          <w:color w:val="auto"/>
        </w:rPr>
      </w:pPr>
    </w:p>
    <w:p>
      <w:pPr>
        <w:ind w:left="740" w:hanging="368"/>
        <w:spacing w:after="0"/>
        <w:tabs>
          <w:tab w:leader="none" w:pos="7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assisting the Board with its valuation of the Company’s assets;</w:t>
      </w:r>
    </w:p>
    <w:p>
      <w:pPr>
        <w:spacing w:after="0" w:line="211" w:lineRule="exact"/>
        <w:rPr>
          <w:rFonts w:ascii="Arial" w:cs="Arial" w:eastAsia="Arial" w:hAnsi="Arial"/>
          <w:sz w:val="18"/>
          <w:szCs w:val="18"/>
          <w:color w:val="auto"/>
        </w:rPr>
      </w:pPr>
    </w:p>
    <w:p>
      <w:pPr>
        <w:ind w:left="740" w:hanging="368"/>
        <w:spacing w:after="0"/>
        <w:tabs>
          <w:tab w:leader="none" w:pos="7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directing investment professionals of the Adviser to provide managerial assistance to the Company’s portfolio companies;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61" w:name="page62"/>
    <w:bookmarkEnd w:id="61"/>
    <w:p>
      <w:pPr>
        <w:ind w:left="740" w:hanging="368"/>
        <w:spacing w:after="0"/>
        <w:tabs>
          <w:tab w:leader="none" w:pos="7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performing due diligence on prospective portfolio companies;</w:t>
      </w:r>
    </w:p>
    <w:p>
      <w:pPr>
        <w:spacing w:after="0" w:line="211" w:lineRule="exact"/>
        <w:rPr>
          <w:rFonts w:ascii="Arial" w:cs="Arial" w:eastAsia="Arial" w:hAnsi="Arial"/>
          <w:sz w:val="18"/>
          <w:szCs w:val="18"/>
          <w:color w:val="auto"/>
        </w:rPr>
      </w:pPr>
    </w:p>
    <w:p>
      <w:pPr>
        <w:ind w:left="740" w:hanging="368"/>
        <w:spacing w:after="0"/>
        <w:tabs>
          <w:tab w:leader="none" w:pos="7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exercising voting rights in respect of portfolio securities and other investments for the Company;</w:t>
      </w:r>
    </w:p>
    <w:p>
      <w:pPr>
        <w:spacing w:after="0" w:line="211" w:lineRule="exact"/>
        <w:rPr>
          <w:rFonts w:ascii="Arial" w:cs="Arial" w:eastAsia="Arial" w:hAnsi="Arial"/>
          <w:sz w:val="18"/>
          <w:szCs w:val="18"/>
          <w:color w:val="auto"/>
        </w:rPr>
      </w:pPr>
    </w:p>
    <w:p>
      <w:pPr>
        <w:ind w:left="740" w:hanging="368"/>
        <w:spacing w:after="0"/>
        <w:tabs>
          <w:tab w:leader="none" w:pos="7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serving on, and exercising observer rights for, boards of directors and similar committees of our portfolio companies; and</w:t>
      </w:r>
    </w:p>
    <w:p>
      <w:pPr>
        <w:spacing w:after="0" w:line="211" w:lineRule="exact"/>
        <w:rPr>
          <w:rFonts w:ascii="Arial" w:cs="Arial" w:eastAsia="Arial" w:hAnsi="Arial"/>
          <w:sz w:val="18"/>
          <w:szCs w:val="18"/>
          <w:color w:val="auto"/>
        </w:rPr>
      </w:pPr>
    </w:p>
    <w:p>
      <w:pPr>
        <w:ind w:left="740" w:right="180" w:hanging="368"/>
        <w:spacing w:after="0" w:line="277" w:lineRule="auto"/>
        <w:tabs>
          <w:tab w:leader="none" w:pos="7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providing the Company with such other investment advisory, research and related services as we may, from time to time, reasonably require for the investment of capital.</w:t>
      </w:r>
    </w:p>
    <w:p>
      <w:pPr>
        <w:spacing w:after="0" w:line="130" w:lineRule="exact"/>
        <w:rPr>
          <w:sz w:val="20"/>
          <w:szCs w:val="20"/>
          <w:color w:val="auto"/>
        </w:rPr>
      </w:pPr>
    </w:p>
    <w:p>
      <w:pPr>
        <w:ind w:firstLine="374"/>
        <w:spacing w:after="0" w:line="277" w:lineRule="auto"/>
        <w:rPr>
          <w:sz w:val="20"/>
          <w:szCs w:val="20"/>
          <w:color w:val="auto"/>
        </w:rPr>
      </w:pPr>
      <w:r>
        <w:rPr>
          <w:rFonts w:ascii="Arial" w:cs="Arial" w:eastAsia="Arial" w:hAnsi="Arial"/>
          <w:sz w:val="18"/>
          <w:szCs w:val="18"/>
          <w:color w:val="auto"/>
        </w:rPr>
        <w:t>The Adviser’s services under the Advisory Agreement are not exclusive, and it is free to furnish similar services to other entities so long as its services to the Company are not impaired.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w:t>
      </w:r>
    </w:p>
    <w:p>
      <w:pPr>
        <w:spacing w:after="0" w:line="185" w:lineRule="exact"/>
        <w:rPr>
          <w:sz w:val="20"/>
          <w:szCs w:val="20"/>
          <w:color w:val="auto"/>
        </w:rPr>
      </w:pPr>
    </w:p>
    <w:p>
      <w:pPr>
        <w:ind w:right="220" w:firstLine="374"/>
        <w:spacing w:after="0" w:line="308" w:lineRule="auto"/>
        <w:rPr>
          <w:sz w:val="20"/>
          <w:szCs w:val="20"/>
          <w:color w:val="auto"/>
        </w:rPr>
      </w:pPr>
      <w:r>
        <w:rPr>
          <w:rFonts w:ascii="Arial" w:cs="Arial" w:eastAsia="Arial" w:hAnsi="Arial"/>
          <w:sz w:val="17"/>
          <w:szCs w:val="17"/>
          <w:color w:val="auto"/>
        </w:rPr>
        <w:t>Unless earlier terminated as described below, the Investment Advisory Agreement will remain in effect from year-to-year if approved annually by a majority of the Board or by the holders of a majority of the outstanding shares, and, in each case, a majority of the independent directors.</w:t>
      </w:r>
    </w:p>
    <w:p>
      <w:pPr>
        <w:spacing w:after="0" w:line="106" w:lineRule="exact"/>
        <w:rPr>
          <w:sz w:val="20"/>
          <w:szCs w:val="20"/>
          <w:color w:val="auto"/>
        </w:rPr>
      </w:pPr>
    </w:p>
    <w:p>
      <w:pPr>
        <w:ind w:right="80" w:firstLine="374"/>
        <w:spacing w:after="0" w:line="273" w:lineRule="auto"/>
        <w:rPr>
          <w:sz w:val="20"/>
          <w:szCs w:val="20"/>
          <w:color w:val="auto"/>
        </w:rPr>
      </w:pPr>
      <w:r>
        <w:rPr>
          <w:rFonts w:ascii="Arial" w:cs="Arial" w:eastAsia="Arial" w:hAnsi="Arial"/>
          <w:sz w:val="17"/>
          <w:szCs w:val="17"/>
          <w:color w:val="auto"/>
        </w:rPr>
        <w:t>The Advisory Agreement will automatically terminate within the meaning of the 1940 Act and related Securities and Exchange Commission (“SEC”) guidance and interpretations in the event of its assignment. In accordance with the 1940 Act, without payment of any penalty, we may terminate the Advisory Agreement with the Adviser upon 60 days’ written notice. The decision to terminate the agreement may be made by a majority of the Board or the stockholders holding a majority of the outstanding shares of our common stock. See “Advisory Agreement—Removal of Adviser” below. In addition, without payment of any penalty, the Adviser may generally terminate the Advisory Agreement upon 60 days’ written notice and, in certain circumstances, the Adviser may only be able to terminate the Advisory Agreement upon 120 days’ written notice.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Removal of Adviser</w:t>
      </w:r>
    </w:p>
    <w:p>
      <w:pPr>
        <w:spacing w:after="0" w:line="185" w:lineRule="exact"/>
        <w:rPr>
          <w:sz w:val="20"/>
          <w:szCs w:val="20"/>
          <w:color w:val="auto"/>
        </w:rPr>
      </w:pPr>
    </w:p>
    <w:p>
      <w:pPr>
        <w:ind w:right="180" w:firstLine="374"/>
        <w:spacing w:after="0" w:line="286" w:lineRule="auto"/>
        <w:rPr>
          <w:sz w:val="20"/>
          <w:szCs w:val="20"/>
          <w:color w:val="auto"/>
        </w:rPr>
      </w:pPr>
      <w:r>
        <w:rPr>
          <w:rFonts w:ascii="Arial" w:cs="Arial" w:eastAsia="Arial" w:hAnsi="Arial"/>
          <w:sz w:val="17"/>
          <w:szCs w:val="17"/>
          <w:color w:val="auto"/>
        </w:rPr>
        <w:t>The Adviser may be removed by the Board or by the affirmative vote of a Majority of the Outstanding Shares. “Majority of the Outstanding Shares” means the lesser of (1) 67% or more of the outstanding shares of our common stock present at a meeting, if the holders of more than 50% of the outstanding shares of our common stock are present or represented by proxy or (2) a majority of outstanding shares of our common stock.</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of Adviser</w:t>
      </w:r>
    </w:p>
    <w:p>
      <w:pPr>
        <w:spacing w:after="0" w:line="198" w:lineRule="exact"/>
        <w:rPr>
          <w:sz w:val="20"/>
          <w:szCs w:val="20"/>
          <w:color w:val="auto"/>
        </w:rPr>
      </w:pPr>
    </w:p>
    <w:p>
      <w:pPr>
        <w:ind w:right="60" w:firstLine="374"/>
        <w:spacing w:after="0" w:line="268" w:lineRule="auto"/>
        <w:rPr>
          <w:sz w:val="20"/>
          <w:szCs w:val="20"/>
          <w:color w:val="auto"/>
        </w:rPr>
      </w:pPr>
      <w:r>
        <w:rPr>
          <w:rFonts w:ascii="Arial" w:cs="Arial" w:eastAsia="Arial" w:hAnsi="Arial"/>
          <w:sz w:val="17"/>
          <w:szCs w:val="17"/>
          <w:color w:val="auto"/>
        </w:rPr>
        <w:t>Pursuant to the terms of the Advisory Agreement, the Company pays the Adviser (i) a base management fee (the “Base Management Fee”) and (ii) an incentive fee (the “Incentive Fee”). For the period from the date of the Advisory Agreement (the “Effective Date”) through the end of the first calendar quarter after the Effective Date, the Base Management Fee will be calculated at an annual rate of 1.50% of the Company’s gross assets, excluding cash and cash equivalents, but including assets purchased with borrowed amounts, as of the end of such calendar quarter. Subsequently, the Base Management Fee will be 1.50% of the Company’s average gross assets, excluding cash and cash equivalents, but including assets purchased with borrowed amounts, at the end of the two most recently completed calendar quarters; provided, however, that the Base Management Fee will be 1.00% of the Company’s average gross assets, excluding cash and cash equivalents, but including assets purchased with borrowed amounts, that exceed the product of (i) 200% and (ii) the value of the Company’s net asset value at the end of the most recently completed calendar quarter. The Incentive Fee consists of two parts: (1) a portion based on the Company’s pre-incentive fee net investment income (the “Income-Based Fee”) and (2) a portion based on the net capital gains received on the Company’s portfolio of securities on a cumulative basis for each calendar year, net of all realized capital losses and all unrealized capital depreciation on a cumulative basis, in each case calculated from the Effective Date, less the aggregate amount of any previously paid capital gains Incentive Fee (the “Capital Gains Fee”). The Income-Based Fee is 17.50% of pre-incentive fee net investment income with a 7.00% hurdle rate. The Capital Gains Fee is 17.50%.</w:t>
      </w:r>
    </w:p>
    <w:p>
      <w:pPr>
        <w:spacing w:after="0" w:line="146" w:lineRule="exact"/>
        <w:rPr>
          <w:sz w:val="20"/>
          <w:szCs w:val="20"/>
          <w:color w:val="auto"/>
        </w:rPr>
      </w:pPr>
    </w:p>
    <w:p>
      <w:pPr>
        <w:ind w:right="60" w:firstLine="374"/>
        <w:spacing w:after="0" w:line="272" w:lineRule="auto"/>
        <w:rPr>
          <w:sz w:val="20"/>
          <w:szCs w:val="20"/>
          <w:color w:val="auto"/>
        </w:rPr>
      </w:pPr>
      <w:r>
        <w:rPr>
          <w:rFonts w:ascii="Arial" w:cs="Arial" w:eastAsia="Arial" w:hAnsi="Arial"/>
          <w:sz w:val="17"/>
          <w:szCs w:val="17"/>
          <w:color w:val="auto"/>
        </w:rPr>
        <w:t>Pre-incentive fee net investment income means dividends (including reinvested dividends), interest and fee income accrued by the Company during the calendar quarter, minus operating expenses for the quarter (including the management fee, expenses payable under the administration agreement,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payment-in-kind (“PIK”) interest and zero coupon securities), accrued income that the Company may not have received in cash. The Adviser is not obligated to return the incentive fee it receives on PIK interest that is later determined to be uncollectible in cash. Pre-incentive fee net investment income does not include any realized capital gains, realized capital losses or unrealized capital appreciation or depreciation.</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62" w:name="page63"/>
    <w:bookmarkEnd w:id="62"/>
    <w:p>
      <w:pPr>
        <w:ind w:firstLine="374"/>
        <w:spacing w:after="0" w:line="289" w:lineRule="auto"/>
        <w:rPr>
          <w:sz w:val="20"/>
          <w:szCs w:val="20"/>
          <w:color w:val="auto"/>
        </w:rPr>
      </w:pPr>
      <w:r>
        <w:rPr>
          <w:rFonts w:ascii="Arial" w:cs="Arial" w:eastAsia="Arial" w:hAnsi="Arial"/>
          <w:sz w:val="16"/>
          <w:szCs w:val="16"/>
          <w:color w:val="auto"/>
        </w:rPr>
        <w:t>To determine the income incentive fee, pre-incentive fee net investment income is expressed as a rate of return on the value of our net assets at the end of the immediately preceding calendar quarter. Because of the structure of the incentive fee, it is possible that the Company may pay an incentive fee in a calendar quarter in which the Company incurs a loss. For example, if the Company receives pre-incentive fee net investment income in excess of the quarterly hurdle rate, the Company will pay the applicable incentive fee even if the Company has incurred a loss in that calendar quarter due to realized capital losses and unrealized capital depreciation. In addition, because the quarterly hurdle rate is calculated based on our net assets, decreases in the Company’s net assets due to realized capital losses or unrealized capital depreciation in any given calendar quarter may increase the likelihood that the hurdle rate is reached and therefore the likelihood of the Company paying an incentive fee for the subsequent quarter. The Company’s net investment income used to calculate this component of the incentive fee is also included in the amount of the Company’s gross assets used to calculate the management fee because gross assets are total assets (including cash received) before deducting liabilities (such as declared dividend payments).</w:t>
      </w:r>
    </w:p>
    <w:p>
      <w:pPr>
        <w:spacing w:after="0" w:line="139" w:lineRule="exact"/>
        <w:rPr>
          <w:sz w:val="20"/>
          <w:szCs w:val="20"/>
          <w:color w:val="auto"/>
        </w:rPr>
      </w:pPr>
    </w:p>
    <w:p>
      <w:pPr>
        <w:ind w:firstLine="374"/>
        <w:spacing w:after="0" w:line="291" w:lineRule="auto"/>
        <w:rPr>
          <w:sz w:val="20"/>
          <w:szCs w:val="20"/>
          <w:color w:val="auto"/>
        </w:rPr>
      </w:pPr>
      <w:r>
        <w:rPr>
          <w:rFonts w:ascii="Arial" w:cs="Arial" w:eastAsia="Arial" w:hAnsi="Arial"/>
          <w:sz w:val="16"/>
          <w:szCs w:val="16"/>
          <w:color w:val="auto"/>
        </w:rPr>
        <w:t>The second component of the incentive fee, the capital gains incentive fee, payable at the end of each calendar year in arrears, equals 17.50% of cumulative realized capital gains through the end of such calendar year commencing with the calendar year ending December 31, 2019, computed net of all realized capital losses and unrealized capital depreciation on a cumulative basis, in each case calculated from the Effective Date, less the aggregate amount of any previously paid capital gains incentive fee for prior periods. The Company will accrue, but will not pay, a capital gains incentive fee with respect to unrealized appreciation because a capital gains incentive fee would be owed to the Adviser if the Company were to sell the relevant investment and realize a capital gain. In no event will the capital gains incentive fee payable pursuant to the Investment Advisory Agreement be in excess of the amount permitted by the Investment Advisers Act of 1940, as amended (the “Advisers Act”) including Section 205 thereof.</w:t>
      </w:r>
    </w:p>
    <w:p>
      <w:pPr>
        <w:spacing w:after="0" w:line="126" w:lineRule="exact"/>
        <w:rPr>
          <w:sz w:val="20"/>
          <w:szCs w:val="20"/>
          <w:color w:val="auto"/>
        </w:rPr>
      </w:pPr>
    </w:p>
    <w:p>
      <w:pPr>
        <w:ind w:right="2120" w:firstLine="374"/>
        <w:spacing w:after="0" w:line="461" w:lineRule="auto"/>
        <w:rPr>
          <w:sz w:val="20"/>
          <w:szCs w:val="20"/>
          <w:color w:val="auto"/>
        </w:rPr>
      </w:pPr>
      <w:r>
        <w:rPr>
          <w:rFonts w:ascii="Arial" w:cs="Arial" w:eastAsia="Arial" w:hAnsi="Arial"/>
          <w:sz w:val="18"/>
          <w:szCs w:val="18"/>
          <w:color w:val="auto"/>
        </w:rPr>
        <w:t xml:space="preserve">The fees that are payable under the Investment Advisory Agreement for any partial period will be appropriately prorated. </w:t>
      </w:r>
      <w:r>
        <w:rPr>
          <w:rFonts w:ascii="Arial" w:cs="Arial" w:eastAsia="Arial" w:hAnsi="Arial"/>
          <w:sz w:val="18"/>
          <w:szCs w:val="18"/>
          <w:i w:val="1"/>
          <w:iCs w:val="1"/>
          <w:color w:val="auto"/>
        </w:rPr>
        <w:t>Limitations of Liability and Indemnification</w:t>
      </w:r>
    </w:p>
    <w:p>
      <w:pPr>
        <w:spacing w:after="0" w:line="1" w:lineRule="exact"/>
        <w:rPr>
          <w:sz w:val="20"/>
          <w:szCs w:val="20"/>
          <w:color w:val="auto"/>
        </w:rPr>
      </w:pPr>
    </w:p>
    <w:p>
      <w:pPr>
        <w:ind w:right="20" w:firstLine="374"/>
        <w:spacing w:after="0" w:line="269" w:lineRule="auto"/>
        <w:rPr>
          <w:sz w:val="20"/>
          <w:szCs w:val="20"/>
          <w:color w:val="auto"/>
        </w:rPr>
      </w:pPr>
      <w:r>
        <w:rPr>
          <w:rFonts w:ascii="Arial" w:cs="Arial" w:eastAsia="Arial" w:hAnsi="Arial"/>
          <w:sz w:val="17"/>
          <w:szCs w:val="17"/>
          <w:color w:val="auto"/>
        </w:rPr>
        <w:t>Under the Advisory Agreement, the Adviser, its officers, managers, partners, agents, employees, controlling persons, members and any other person or entity affiliated with the Adviser, including without limitation its managing member, will not be liable to the Company for acts or omissions performed in accordance with and pursuant to the Advisory Agreement, except those resulting from acts constituting criminal conduct, gross negligence, willful misfeasance, bad faith or reckless disregard of the duties that the Adviser owes to the Company under the Advisory Agreement. In addition, as part of the Advisory Agreement, the Company has agreed to indemnify the Adviser and each of its officers, managers, partners, agents, employees, controlling persons, members and any other person or entity affiliated with the Adviser, including without limitation its general partner, and the Administrator from and against any damages, liabilities, costs and expenses, including reasonable legal fees and other expenses reasonably incurred, in or by reason of any pending, threatened or completed action, suit, investigation or other proceeding (including an action or suit by or in the right of the Company or its security holders) arising out of or otherwise based upon the performance of any of the Adviser’s duties or obligations under the Advisory Agreement or otherwise as an investment adviser of the Company, except where attributable to criminal conduct, gross negligence, willful misfeasance, bad faith or reckless disregard of such person’s duties under the Advisory Agreement.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Approval of the Advisory Agreement</w:t>
      </w:r>
    </w:p>
    <w:p>
      <w:pPr>
        <w:spacing w:after="0" w:line="185" w:lineRule="exact"/>
        <w:rPr>
          <w:sz w:val="20"/>
          <w:szCs w:val="20"/>
          <w:color w:val="auto"/>
        </w:rPr>
      </w:pPr>
    </w:p>
    <w:p>
      <w:pPr>
        <w:ind w:right="40" w:firstLine="374"/>
        <w:spacing w:after="0" w:line="284" w:lineRule="auto"/>
        <w:rPr>
          <w:sz w:val="20"/>
          <w:szCs w:val="20"/>
          <w:color w:val="auto"/>
        </w:rPr>
      </w:pPr>
      <w:r>
        <w:rPr>
          <w:rFonts w:ascii="Arial" w:cs="Arial" w:eastAsia="Arial" w:hAnsi="Arial"/>
          <w:sz w:val="16"/>
          <w:szCs w:val="16"/>
          <w:color w:val="auto"/>
        </w:rPr>
        <w:t>On December 12, 2018, the then-current Board of the Company held an in-person meeting to consider and approve the Advisory Agreement and related matters, and on April 1, 2019 the Company entered into the Advisory Agreement with the Adviser. The Board most recently determined to re-approve the Advisory Agreement at a meeting held on March 11, 2021. In reaching a decision to re-approve the Advisory Agreement, the Board was provided the information required to consider the Advisory Agreement, including: (a) the nature, quality and extent of the advisory and other services to be provided to the Company by the Adviser; (b) comparative data with respect to advisory fees or similar expenses paid by other BDCs with similar investment objectives; (c) the Company projected operating expenses and expense ratio compared to BDCs with similar investment objectives; (d) any existing and potential sources of indirect income to the Adviser from its relationship with the Company and the profitability of that relationship;</w:t>
      </w:r>
    </w:p>
    <w:p>
      <w:pPr>
        <w:spacing w:after="0" w:line="2" w:lineRule="exact"/>
        <w:rPr>
          <w:sz w:val="20"/>
          <w:szCs w:val="20"/>
          <w:color w:val="auto"/>
        </w:rPr>
      </w:pPr>
    </w:p>
    <w:p>
      <w:pPr>
        <w:ind w:right="60" w:firstLine="8"/>
        <w:spacing w:after="0" w:line="273" w:lineRule="auto"/>
        <w:tabs>
          <w:tab w:leader="none" w:pos="245" w:val="left"/>
        </w:tabs>
        <w:numPr>
          <w:ilvl w:val="0"/>
          <w:numId w:val="65"/>
        </w:numPr>
        <w:rPr>
          <w:rFonts w:ascii="Arial" w:cs="Arial" w:eastAsia="Arial" w:hAnsi="Arial"/>
          <w:sz w:val="17"/>
          <w:szCs w:val="17"/>
          <w:color w:val="auto"/>
        </w:rPr>
      </w:pPr>
      <w:r>
        <w:rPr>
          <w:rFonts w:ascii="Arial" w:cs="Arial" w:eastAsia="Arial" w:hAnsi="Arial"/>
          <w:sz w:val="17"/>
          <w:szCs w:val="17"/>
          <w:color w:val="auto"/>
        </w:rPr>
        <w:t>information about the services to be performed and the personnel performing such services under the Advisory Agreement; (f) the organizational capability and financial condition of the Adviser and its affiliates; (g) the Adviser’s practices regarding the selection and compensation of brokers that may execute our portfolio transactions and the brokers’ provision of brokerage and research services to the Adviser; and (h) the possibility of obtaining similar services from other third-party service providers or continuing to operate as an internally managed BDC.</w:t>
      </w:r>
    </w:p>
    <w:p>
      <w:pPr>
        <w:spacing w:after="0" w:line="149" w:lineRule="exact"/>
        <w:rPr>
          <w:sz w:val="20"/>
          <w:szCs w:val="20"/>
          <w:color w:val="auto"/>
        </w:rPr>
      </w:pPr>
    </w:p>
    <w:p>
      <w:pPr>
        <w:ind w:right="480" w:firstLine="374"/>
        <w:spacing w:after="0" w:line="277" w:lineRule="auto"/>
        <w:rPr>
          <w:sz w:val="20"/>
          <w:szCs w:val="20"/>
          <w:color w:val="auto"/>
        </w:rPr>
      </w:pPr>
      <w:r>
        <w:rPr>
          <w:rFonts w:ascii="Arial" w:cs="Arial" w:eastAsia="Arial" w:hAnsi="Arial"/>
          <w:sz w:val="18"/>
          <w:szCs w:val="18"/>
          <w:color w:val="auto"/>
        </w:rPr>
        <w:t>The Board, including a majority of independent directors oversee and monitor the Company’s investment performance and, annually review the compensation we pay to the Adviser.</w:t>
      </w:r>
    </w:p>
    <w:p>
      <w:pPr>
        <w:spacing w:after="0" w:line="130" w:lineRule="exact"/>
        <w:rPr>
          <w:sz w:val="20"/>
          <w:szCs w:val="20"/>
          <w:color w:val="auto"/>
        </w:rPr>
      </w:pPr>
    </w:p>
    <w:p>
      <w:pPr>
        <w:ind w:right="300" w:firstLine="374"/>
        <w:spacing w:after="0" w:line="263" w:lineRule="auto"/>
        <w:rPr>
          <w:sz w:val="20"/>
          <w:szCs w:val="20"/>
          <w:color w:val="auto"/>
        </w:rPr>
      </w:pPr>
      <w:r>
        <w:rPr>
          <w:rFonts w:ascii="Arial" w:cs="Arial" w:eastAsia="Arial" w:hAnsi="Arial"/>
          <w:sz w:val="18"/>
          <w:szCs w:val="18"/>
          <w:color w:val="auto"/>
        </w:rPr>
        <w:t>Management fees for the three months ended March 31, 2021 and 2020, were approximately $1.8 million and $1.0 million, respectively. Incentive fees earned during the three months ended March 31, 2021 and 2020, were approximately $2.1 million and $102 thousand, respectively, $0 and $102 thousand, respectively, of which were waived pursuant to the Externalization Agreement.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i w:val="1"/>
          <w:iCs w:val="1"/>
          <w:color w:val="auto"/>
        </w:rPr>
        <w:t>Administration Agreement</w:t>
      </w:r>
    </w:p>
    <w:p>
      <w:pPr>
        <w:spacing w:after="0" w:line="117" w:lineRule="exact"/>
        <w:rPr>
          <w:sz w:val="20"/>
          <w:szCs w:val="20"/>
          <w:color w:val="auto"/>
        </w:rPr>
      </w:pPr>
    </w:p>
    <w:p>
      <w:pPr>
        <w:ind w:right="160" w:firstLine="374"/>
        <w:spacing w:after="0" w:line="272" w:lineRule="auto"/>
        <w:rPr>
          <w:sz w:val="20"/>
          <w:szCs w:val="20"/>
          <w:color w:val="auto"/>
        </w:rPr>
      </w:pPr>
      <w:r>
        <w:rPr>
          <w:rFonts w:ascii="Arial" w:cs="Arial" w:eastAsia="Arial" w:hAnsi="Arial"/>
          <w:sz w:val="17"/>
          <w:szCs w:val="17"/>
          <w:color w:val="auto"/>
        </w:rPr>
        <w:t>Under the terms of the administration agreement (the “Administration Agreement”) between the Company and BC Partners Management LLC (the “Administrator”), the Administrator will perform, or oversee the performance of, required administrative services, which includes providing office space, equipment and office services, maintaining financial records, preparing reports to stockholders and reports filed with the SEC, and managing the payment of expenses and the performance of administrative and professional services rendered by others. The Company will reimburse the Administrator for services performed for us pursuant to the terms of the Administration Agreement. In addition, pursuant to the terms of the Administration Agreement, the Administrator may delegate its obligations under the Administration Agreement to an affiliate or to a third party and the Company will reimburse the Administrator for any services performed for it by such affiliate or third party.</w:t>
      </w:r>
    </w:p>
    <w:p>
      <w:pPr>
        <w:spacing w:after="0" w:line="69" w:lineRule="exact"/>
        <w:rPr>
          <w:sz w:val="20"/>
          <w:szCs w:val="20"/>
          <w:color w:val="auto"/>
        </w:rPr>
      </w:pPr>
    </w:p>
    <w:p>
      <w:pPr>
        <w:ind w:right="180" w:firstLine="374"/>
        <w:spacing w:after="0" w:line="255" w:lineRule="auto"/>
        <w:rPr>
          <w:sz w:val="20"/>
          <w:szCs w:val="20"/>
          <w:color w:val="auto"/>
        </w:rPr>
      </w:pPr>
      <w:r>
        <w:rPr>
          <w:rFonts w:ascii="Arial" w:cs="Arial" w:eastAsia="Arial" w:hAnsi="Arial"/>
          <w:sz w:val="18"/>
          <w:szCs w:val="18"/>
          <w:color w:val="auto"/>
        </w:rPr>
        <w:t>Payments under the Administration Agreement are equal to an amount that reimburses the Administrator for its costs and expenses in performing its obligations and providing personnel and facilities (including rent, office equipment and utilities) for the Company’s use under the Administration Agreement, including an allocable portion of the compensation paid to the Company’s chief compliance officer and chief financial officer and their respective staff who provide services to the Company. The Board, including the independent directors, will review the general nature of the services provided by the Administrator as well as the related cost to the Company for those services and consider whether the cost is reasonable in light of the services provided.</w:t>
      </w:r>
    </w:p>
    <w:p>
      <w:pPr>
        <w:spacing w:after="0" w:line="84" w:lineRule="exact"/>
        <w:rPr>
          <w:sz w:val="20"/>
          <w:szCs w:val="20"/>
          <w:color w:val="auto"/>
        </w:rPr>
      </w:pPr>
    </w:p>
    <w:p>
      <w:pPr>
        <w:ind w:firstLine="374"/>
        <w:spacing w:after="0" w:line="259" w:lineRule="auto"/>
        <w:rPr>
          <w:sz w:val="20"/>
          <w:szCs w:val="20"/>
          <w:color w:val="auto"/>
        </w:rPr>
      </w:pPr>
      <w:r>
        <w:rPr>
          <w:rFonts w:ascii="Arial" w:cs="Arial" w:eastAsia="Arial" w:hAnsi="Arial"/>
          <w:sz w:val="18"/>
          <w:szCs w:val="18"/>
          <w:color w:val="auto"/>
        </w:rPr>
        <w:t>Unless earlier terminated as described below, the Administration Agreement will remain in effect from year-to-year if approved annually by a majority of the Board or by the holders of a Majority of the Outstanding Shares, and, in each case, a majority of the independent directors. On April 1, 2019, the Board approved the Administration Agreement with the Administrator and the Board most recently determined to re-approve the Administration Agreement at a meeting held on March 11, 2021.</w:t>
      </w:r>
    </w:p>
    <w:p>
      <w:pPr>
        <w:spacing w:after="0" w:line="79" w:lineRule="exact"/>
        <w:rPr>
          <w:sz w:val="20"/>
          <w:szCs w:val="20"/>
          <w:color w:val="auto"/>
        </w:rPr>
      </w:pPr>
    </w:p>
    <w:p>
      <w:pPr>
        <w:ind w:right="80" w:firstLine="374"/>
        <w:spacing w:after="0" w:line="263" w:lineRule="auto"/>
        <w:rPr>
          <w:sz w:val="20"/>
          <w:szCs w:val="20"/>
          <w:color w:val="auto"/>
        </w:rPr>
      </w:pPr>
      <w:r>
        <w:rPr>
          <w:rFonts w:ascii="Arial" w:cs="Arial" w:eastAsia="Arial" w:hAnsi="Arial"/>
          <w:sz w:val="18"/>
          <w:szCs w:val="18"/>
          <w:color w:val="auto"/>
        </w:rPr>
        <w:t>The Company may terminate the Administration Agreement, without payment of any penalty, upon 60 days’ written notice. The decision to terminate the agreement may be made by a majority of the Board or the stockholders holding a Majority of the Outstanding Shares. In addition, the Adviser may terminate the Administration Agreement, without payment of any penalty, upon 60 days’ written notice.</w:t>
      </w:r>
    </w:p>
    <w:p>
      <w:pPr>
        <w:spacing w:after="0" w:line="157" w:lineRule="exact"/>
        <w:rPr>
          <w:sz w:val="20"/>
          <w:szCs w:val="20"/>
          <w:color w:val="auto"/>
        </w:rPr>
      </w:pPr>
    </w:p>
    <w:p>
      <w:pPr>
        <w:ind w:right="540" w:firstLine="374"/>
        <w:spacing w:after="0" w:line="453" w:lineRule="auto"/>
        <w:rPr>
          <w:sz w:val="20"/>
          <w:szCs w:val="20"/>
          <w:color w:val="auto"/>
        </w:rPr>
      </w:pPr>
      <w:r>
        <w:rPr>
          <w:rFonts w:ascii="Arial" w:cs="Arial" w:eastAsia="Arial" w:hAnsi="Arial"/>
          <w:sz w:val="18"/>
          <w:szCs w:val="18"/>
          <w:color w:val="auto"/>
        </w:rPr>
        <w:t xml:space="preserve">The Company incurred $0.6 million and $0.5 million of Administrative services expense for the three months ended March 31, 2021 and 2020. </w:t>
      </w:r>
      <w:r>
        <w:rPr>
          <w:rFonts w:ascii="Arial" w:cs="Arial" w:eastAsia="Arial" w:hAnsi="Arial"/>
          <w:sz w:val="18"/>
          <w:szCs w:val="18"/>
          <w:b w:val="1"/>
          <w:bCs w:val="1"/>
          <w:i w:val="1"/>
          <w:iCs w:val="1"/>
          <w:color w:val="auto"/>
        </w:rPr>
        <w:t>Payment of Expenses under the Advisory and Administration Agreements</w:t>
      </w:r>
    </w:p>
    <w:p>
      <w:pPr>
        <w:spacing w:after="0" w:line="2" w:lineRule="exact"/>
        <w:rPr>
          <w:sz w:val="20"/>
          <w:szCs w:val="20"/>
          <w:color w:val="auto"/>
        </w:rPr>
      </w:pPr>
    </w:p>
    <w:p>
      <w:pPr>
        <w:ind w:right="20" w:firstLine="374"/>
        <w:spacing w:after="0" w:line="253" w:lineRule="auto"/>
        <w:rPr>
          <w:sz w:val="20"/>
          <w:szCs w:val="20"/>
          <w:color w:val="auto"/>
        </w:rPr>
      </w:pPr>
      <w:r>
        <w:rPr>
          <w:rFonts w:ascii="Arial" w:cs="Arial" w:eastAsia="Arial" w:hAnsi="Arial"/>
          <w:sz w:val="18"/>
          <w:szCs w:val="18"/>
          <w:color w:val="auto"/>
        </w:rPr>
        <w:t>Except as specifically provided below, all investment professionals and staffs of the Adviser, when and to the extent engaged in providing investment advisory and management services to the Company, and the compensation and routine overhead expenses (including rent, office equipment and utilities), of such personnel allocable to such services, is provided and paid for by the Adviser. The Company bears an allocable portion of the compensation paid by the Adviser (or its affiliates) to the Company’s chief compliance officer and chief financial officer and their respective staffs (based on a percentage of time such individuals devote, on an estimated basis, to our business affairs). The Company also bears all other costs and expenses of our operations, administration and transactions, including, but not limited to (i) investment advisory fees, including management fees and incentive fees, to the Adviser, pursuant to the Advisory Agreement; (ii) an allocable portion of overhead and other expenses incurred by the Adviser (or its affiliates) in performing its administrative obligations under the Advisory Agreement, and (iii) all other expenses of our operations and transactions including, without limitation, those relating to:</w:t>
      </w:r>
    </w:p>
    <w:p>
      <w:pPr>
        <w:spacing w:after="0" w:line="169" w:lineRule="exact"/>
        <w:rPr>
          <w:sz w:val="20"/>
          <w:szCs w:val="20"/>
          <w:color w:val="auto"/>
        </w:rPr>
      </w:pPr>
    </w:p>
    <w:p>
      <w:pPr>
        <w:ind w:left="740" w:hanging="368"/>
        <w:spacing w:after="0"/>
        <w:tabs>
          <w:tab w:leader="none" w:pos="7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cost of calculating the Company’s net asset value, including the cost of any third-party valuation services;</w:t>
      </w:r>
    </w:p>
    <w:p>
      <w:pPr>
        <w:spacing w:after="0" w:line="211" w:lineRule="exact"/>
        <w:rPr>
          <w:rFonts w:ascii="Arial" w:cs="Arial" w:eastAsia="Arial" w:hAnsi="Arial"/>
          <w:sz w:val="18"/>
          <w:szCs w:val="18"/>
          <w:color w:val="auto"/>
        </w:rPr>
      </w:pPr>
    </w:p>
    <w:p>
      <w:pPr>
        <w:ind w:left="740" w:hanging="368"/>
        <w:spacing w:after="0"/>
        <w:tabs>
          <w:tab w:leader="none" w:pos="7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cost of effecting any sales and repurchases of the Company’s common stock and other securities;</w:t>
      </w:r>
    </w:p>
    <w:p>
      <w:pPr>
        <w:spacing w:after="0" w:line="211" w:lineRule="exact"/>
        <w:rPr>
          <w:rFonts w:ascii="Arial" w:cs="Arial" w:eastAsia="Arial" w:hAnsi="Arial"/>
          <w:sz w:val="18"/>
          <w:szCs w:val="18"/>
          <w:color w:val="auto"/>
        </w:rPr>
      </w:pPr>
    </w:p>
    <w:p>
      <w:pPr>
        <w:ind w:left="740" w:hanging="368"/>
        <w:spacing w:after="0"/>
        <w:tabs>
          <w:tab w:leader="none" w:pos="7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fees and expenses payable under any dealer manager or placement agent agreements, if any;</w:t>
      </w:r>
    </w:p>
    <w:p>
      <w:pPr>
        <w:spacing w:after="0" w:line="211" w:lineRule="exact"/>
        <w:rPr>
          <w:rFonts w:ascii="Arial" w:cs="Arial" w:eastAsia="Arial" w:hAnsi="Arial"/>
          <w:sz w:val="18"/>
          <w:szCs w:val="18"/>
          <w:color w:val="auto"/>
        </w:rPr>
      </w:pPr>
    </w:p>
    <w:p>
      <w:pPr>
        <w:ind w:left="740" w:hanging="368"/>
        <w:spacing w:after="0"/>
        <w:tabs>
          <w:tab w:leader="none" w:pos="740" w:val="left"/>
        </w:tabs>
        <w:numPr>
          <w:ilvl w:val="0"/>
          <w:numId w:val="66"/>
        </w:numPr>
        <w:rPr>
          <w:rFonts w:ascii="Arial" w:cs="Arial" w:eastAsia="Arial" w:hAnsi="Arial"/>
          <w:sz w:val="17"/>
          <w:szCs w:val="17"/>
          <w:color w:val="auto"/>
        </w:rPr>
      </w:pPr>
      <w:r>
        <w:rPr>
          <w:rFonts w:ascii="Arial" w:cs="Arial" w:eastAsia="Arial" w:hAnsi="Arial"/>
          <w:sz w:val="17"/>
          <w:szCs w:val="17"/>
          <w:color w:val="auto"/>
        </w:rPr>
        <w:t>administration fees payable under the Administration Agreement and any sub-administration agreements, including related expenses;</w:t>
      </w:r>
    </w:p>
    <w:p>
      <w:pPr>
        <w:spacing w:after="0" w:line="223" w:lineRule="exact"/>
        <w:rPr>
          <w:rFonts w:ascii="Arial" w:cs="Arial" w:eastAsia="Arial" w:hAnsi="Arial"/>
          <w:sz w:val="17"/>
          <w:szCs w:val="17"/>
          <w:color w:val="auto"/>
        </w:rPr>
      </w:pPr>
    </w:p>
    <w:p>
      <w:pPr>
        <w:ind w:left="740" w:hanging="368"/>
        <w:spacing w:after="0"/>
        <w:tabs>
          <w:tab w:leader="none" w:pos="7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debt service and other costs of borrowings or other financing arrangements;</w:t>
      </w:r>
    </w:p>
    <w:p>
      <w:pPr>
        <w:spacing w:after="0" w:line="211" w:lineRule="exact"/>
        <w:rPr>
          <w:rFonts w:ascii="Arial" w:cs="Arial" w:eastAsia="Arial" w:hAnsi="Arial"/>
          <w:sz w:val="18"/>
          <w:szCs w:val="18"/>
          <w:color w:val="auto"/>
        </w:rPr>
      </w:pPr>
    </w:p>
    <w:p>
      <w:pPr>
        <w:ind w:left="740" w:hanging="368"/>
        <w:spacing w:after="0"/>
        <w:tabs>
          <w:tab w:leader="none" w:pos="7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costs of hedging;</w:t>
      </w:r>
    </w:p>
    <w:p>
      <w:pPr>
        <w:spacing w:after="0" w:line="211" w:lineRule="exact"/>
        <w:rPr>
          <w:rFonts w:ascii="Arial" w:cs="Arial" w:eastAsia="Arial" w:hAnsi="Arial"/>
          <w:sz w:val="18"/>
          <w:szCs w:val="18"/>
          <w:color w:val="auto"/>
        </w:rPr>
      </w:pPr>
    </w:p>
    <w:p>
      <w:pPr>
        <w:ind w:left="740" w:right="440" w:hanging="368"/>
        <w:spacing w:after="0" w:line="277" w:lineRule="auto"/>
        <w:tabs>
          <w:tab w:leader="none" w:pos="7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expenses, including travel expense, incurred by the Adviser, or members of the investment team, or payable to third parties, performing due diligence on prospective portfolio companies and, if necessary, enforcing our rights;</w:t>
      </w:r>
    </w:p>
    <w:p>
      <w:pPr>
        <w:spacing w:after="0" w:line="129" w:lineRule="exact"/>
        <w:rPr>
          <w:rFonts w:ascii="Arial" w:cs="Arial" w:eastAsia="Arial" w:hAnsi="Arial"/>
          <w:sz w:val="18"/>
          <w:szCs w:val="18"/>
          <w:color w:val="auto"/>
        </w:rPr>
      </w:pPr>
    </w:p>
    <w:p>
      <w:pPr>
        <w:ind w:left="740" w:hanging="368"/>
        <w:spacing w:after="0"/>
        <w:tabs>
          <w:tab w:leader="none" w:pos="7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211" w:lineRule="exact"/>
        <w:rPr>
          <w:rFonts w:ascii="Arial" w:cs="Arial" w:eastAsia="Arial" w:hAnsi="Arial"/>
          <w:sz w:val="18"/>
          <w:szCs w:val="18"/>
          <w:color w:val="auto"/>
        </w:rPr>
      </w:pPr>
    </w:p>
    <w:p>
      <w:pPr>
        <w:ind w:left="740" w:hanging="368"/>
        <w:spacing w:after="0"/>
        <w:tabs>
          <w:tab w:leader="none" w:pos="7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64" w:name="page65"/>
    <w:bookmarkEnd w:id="64"/>
    <w:p>
      <w:pPr>
        <w:ind w:left="740" w:hanging="368"/>
        <w:spacing w:after="0"/>
        <w:tabs>
          <w:tab w:leader="none" w:pos="7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federal and state registration fees, any stock exchange listing fees and fees payable to rating agencies;</w:t>
      </w:r>
    </w:p>
    <w:p>
      <w:pPr>
        <w:spacing w:after="0" w:line="211" w:lineRule="exact"/>
        <w:rPr>
          <w:rFonts w:ascii="Arial" w:cs="Arial" w:eastAsia="Arial" w:hAnsi="Arial"/>
          <w:sz w:val="18"/>
          <w:szCs w:val="18"/>
          <w:color w:val="auto"/>
        </w:rPr>
      </w:pPr>
    </w:p>
    <w:p>
      <w:pPr>
        <w:ind w:left="740" w:hanging="368"/>
        <w:spacing w:after="0"/>
        <w:tabs>
          <w:tab w:leader="none" w:pos="7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211" w:lineRule="exact"/>
        <w:rPr>
          <w:rFonts w:ascii="Arial" w:cs="Arial" w:eastAsia="Arial" w:hAnsi="Arial"/>
          <w:sz w:val="18"/>
          <w:szCs w:val="18"/>
          <w:color w:val="auto"/>
        </w:rPr>
      </w:pPr>
    </w:p>
    <w:p>
      <w:pPr>
        <w:ind w:left="740" w:hanging="368"/>
        <w:spacing w:after="0"/>
        <w:tabs>
          <w:tab w:leader="none" w:pos="7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independent directors’ fees and expenses including certain travel expenses;</w:t>
      </w:r>
    </w:p>
    <w:p>
      <w:pPr>
        <w:spacing w:after="0" w:line="211" w:lineRule="exact"/>
        <w:rPr>
          <w:rFonts w:ascii="Arial" w:cs="Arial" w:eastAsia="Arial" w:hAnsi="Arial"/>
          <w:sz w:val="18"/>
          <w:szCs w:val="18"/>
          <w:color w:val="auto"/>
        </w:rPr>
      </w:pPr>
    </w:p>
    <w:p>
      <w:pPr>
        <w:ind w:left="740" w:right="540" w:hanging="368"/>
        <w:spacing w:after="0" w:line="263" w:lineRule="auto"/>
        <w:tabs>
          <w:tab w:leader="none" w:pos="7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costs of preparing financial statements and maintaining books and records and filing reports or other documents with the SEC (or other regulatory bodies) and other reporting and compliance costs, including registration and listing fees, and the compensation of professionals responsible for the preparation of the foregoing;</w:t>
      </w:r>
    </w:p>
    <w:p>
      <w:pPr>
        <w:spacing w:after="0" w:line="143" w:lineRule="exact"/>
        <w:rPr>
          <w:rFonts w:ascii="Arial" w:cs="Arial" w:eastAsia="Arial" w:hAnsi="Arial"/>
          <w:sz w:val="18"/>
          <w:szCs w:val="18"/>
          <w:color w:val="auto"/>
        </w:rPr>
      </w:pPr>
    </w:p>
    <w:p>
      <w:pPr>
        <w:ind w:left="740" w:right="140" w:hanging="368"/>
        <w:spacing w:after="0" w:line="308" w:lineRule="auto"/>
        <w:tabs>
          <w:tab w:leader="none" w:pos="74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costs of any reports, proxy statements or other notices to stockholders (including printing and mailing costs), the costs of any stockholder or director meetings and the compensation of personnel responsible for the preparation of the foregoing and related matters;</w:t>
      </w:r>
    </w:p>
    <w:p>
      <w:pPr>
        <w:spacing w:after="0" w:line="105" w:lineRule="exact"/>
        <w:rPr>
          <w:rFonts w:ascii="Arial" w:cs="Arial" w:eastAsia="Arial" w:hAnsi="Arial"/>
          <w:sz w:val="17"/>
          <w:szCs w:val="17"/>
          <w:color w:val="auto"/>
        </w:rPr>
      </w:pPr>
    </w:p>
    <w:p>
      <w:pPr>
        <w:ind w:left="740" w:hanging="368"/>
        <w:spacing w:after="0"/>
        <w:tabs>
          <w:tab w:leader="none" w:pos="7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commissions and other compensation payable to brokers or dealers;</w:t>
      </w:r>
    </w:p>
    <w:p>
      <w:pPr>
        <w:spacing w:after="0" w:line="211" w:lineRule="exact"/>
        <w:rPr>
          <w:rFonts w:ascii="Arial" w:cs="Arial" w:eastAsia="Arial" w:hAnsi="Arial"/>
          <w:sz w:val="18"/>
          <w:szCs w:val="18"/>
          <w:color w:val="auto"/>
        </w:rPr>
      </w:pPr>
    </w:p>
    <w:p>
      <w:pPr>
        <w:ind w:left="740" w:hanging="368"/>
        <w:spacing w:after="0"/>
        <w:tabs>
          <w:tab w:leader="none" w:pos="7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research and market data;</w:t>
      </w:r>
    </w:p>
    <w:p>
      <w:pPr>
        <w:spacing w:after="0" w:line="211" w:lineRule="exact"/>
        <w:rPr>
          <w:rFonts w:ascii="Arial" w:cs="Arial" w:eastAsia="Arial" w:hAnsi="Arial"/>
          <w:sz w:val="18"/>
          <w:szCs w:val="18"/>
          <w:color w:val="auto"/>
        </w:rPr>
      </w:pPr>
    </w:p>
    <w:p>
      <w:pPr>
        <w:ind w:left="740" w:hanging="368"/>
        <w:spacing w:after="0"/>
        <w:tabs>
          <w:tab w:leader="none" w:pos="7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fidelity bond, directors and officers errors and omissions liability insurance and other insurance premiums;</w:t>
      </w:r>
    </w:p>
    <w:p>
      <w:pPr>
        <w:spacing w:after="0" w:line="211" w:lineRule="exact"/>
        <w:rPr>
          <w:rFonts w:ascii="Arial" w:cs="Arial" w:eastAsia="Arial" w:hAnsi="Arial"/>
          <w:sz w:val="18"/>
          <w:szCs w:val="18"/>
          <w:color w:val="auto"/>
        </w:rPr>
      </w:pPr>
    </w:p>
    <w:p>
      <w:pPr>
        <w:ind w:left="740" w:hanging="368"/>
        <w:spacing w:after="0"/>
        <w:tabs>
          <w:tab w:leader="none" w:pos="7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printing, mailing, long distance telephone and staff;</w:t>
      </w:r>
    </w:p>
    <w:p>
      <w:pPr>
        <w:spacing w:after="0" w:line="211" w:lineRule="exact"/>
        <w:rPr>
          <w:rFonts w:ascii="Arial" w:cs="Arial" w:eastAsia="Arial" w:hAnsi="Arial"/>
          <w:sz w:val="18"/>
          <w:szCs w:val="18"/>
          <w:color w:val="auto"/>
        </w:rPr>
      </w:pPr>
    </w:p>
    <w:p>
      <w:pPr>
        <w:ind w:left="740" w:hanging="368"/>
        <w:spacing w:after="0"/>
        <w:tabs>
          <w:tab w:leader="none" w:pos="7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outside legal and consulting costs;</w:t>
      </w:r>
    </w:p>
    <w:p>
      <w:pPr>
        <w:spacing w:after="0" w:line="211" w:lineRule="exact"/>
        <w:rPr>
          <w:rFonts w:ascii="Arial" w:cs="Arial" w:eastAsia="Arial" w:hAnsi="Arial"/>
          <w:sz w:val="18"/>
          <w:szCs w:val="18"/>
          <w:color w:val="auto"/>
        </w:rPr>
      </w:pPr>
    </w:p>
    <w:p>
      <w:pPr>
        <w:ind w:left="740" w:hanging="368"/>
        <w:spacing w:after="0"/>
        <w:tabs>
          <w:tab w:leader="none" w:pos="7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costs of winding up our affairs;</w:t>
      </w:r>
    </w:p>
    <w:p>
      <w:pPr>
        <w:spacing w:after="0" w:line="211" w:lineRule="exact"/>
        <w:rPr>
          <w:rFonts w:ascii="Arial" w:cs="Arial" w:eastAsia="Arial" w:hAnsi="Arial"/>
          <w:sz w:val="18"/>
          <w:szCs w:val="18"/>
          <w:color w:val="auto"/>
        </w:rPr>
      </w:pPr>
    </w:p>
    <w:p>
      <w:pPr>
        <w:ind w:left="740" w:right="360" w:hanging="368"/>
        <w:spacing w:after="0" w:line="277" w:lineRule="auto"/>
        <w:tabs>
          <w:tab w:leader="none" w:pos="7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costs incurred by either the Administrator or us in connection with administering our business, including payments under the Administration Agreement;</w:t>
      </w:r>
    </w:p>
    <w:p>
      <w:pPr>
        <w:spacing w:after="0" w:line="129" w:lineRule="exact"/>
        <w:rPr>
          <w:rFonts w:ascii="Arial" w:cs="Arial" w:eastAsia="Arial" w:hAnsi="Arial"/>
          <w:sz w:val="18"/>
          <w:szCs w:val="18"/>
          <w:color w:val="auto"/>
        </w:rPr>
      </w:pPr>
    </w:p>
    <w:p>
      <w:pPr>
        <w:ind w:left="740" w:hanging="368"/>
        <w:spacing w:after="0"/>
        <w:tabs>
          <w:tab w:leader="none" w:pos="7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extraordinary expenses (such as litigation or indemnification);</w:t>
      </w:r>
    </w:p>
    <w:p>
      <w:pPr>
        <w:spacing w:after="0" w:line="211" w:lineRule="exact"/>
        <w:rPr>
          <w:rFonts w:ascii="Arial" w:cs="Arial" w:eastAsia="Arial" w:hAnsi="Arial"/>
          <w:sz w:val="18"/>
          <w:szCs w:val="18"/>
          <w:color w:val="auto"/>
        </w:rPr>
      </w:pPr>
    </w:p>
    <w:p>
      <w:pPr>
        <w:ind w:left="740" w:hanging="368"/>
        <w:spacing w:after="0"/>
        <w:tabs>
          <w:tab w:leader="none" w:pos="7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costs associated with reporting and compliance obligations under the 1940 Act and applicable federal and state securities laws; and</w:t>
      </w:r>
    </w:p>
    <w:p>
      <w:pPr>
        <w:spacing w:after="0" w:line="211" w:lineRule="exact"/>
        <w:rPr>
          <w:rFonts w:ascii="Arial" w:cs="Arial" w:eastAsia="Arial" w:hAnsi="Arial"/>
          <w:sz w:val="18"/>
          <w:szCs w:val="18"/>
          <w:color w:val="auto"/>
        </w:rPr>
      </w:pPr>
    </w:p>
    <w:p>
      <w:pPr>
        <w:ind w:left="740" w:hanging="368"/>
        <w:spacing w:after="0"/>
        <w:tabs>
          <w:tab w:leader="none" w:pos="7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costs associated with the Company’s legacy lease;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Co-investment Exemptive Relief</w:t>
      </w:r>
    </w:p>
    <w:p>
      <w:pPr>
        <w:spacing w:after="0" w:line="225" w:lineRule="exact"/>
        <w:rPr>
          <w:sz w:val="20"/>
          <w:szCs w:val="20"/>
          <w:color w:val="auto"/>
        </w:rPr>
      </w:pPr>
    </w:p>
    <w:p>
      <w:pPr>
        <w:ind w:right="120" w:firstLine="374"/>
        <w:spacing w:after="0" w:line="286" w:lineRule="auto"/>
        <w:rPr>
          <w:sz w:val="20"/>
          <w:szCs w:val="20"/>
          <w:color w:val="auto"/>
        </w:rPr>
      </w:pPr>
      <w:r>
        <w:rPr>
          <w:rFonts w:ascii="Arial" w:cs="Arial" w:eastAsia="Arial" w:hAnsi="Arial"/>
          <w:sz w:val="17"/>
          <w:szCs w:val="17"/>
          <w:color w:val="auto"/>
        </w:rPr>
        <w:t>As a BDC, the Company is subject to certain regulatory restrictions in making its investments. For example, BDCs generally are not permitted to co-invest with certain affiliated entities in transactions originated by the BDC or its affiliates in the absence of an exemptive order from the SEC. However, BDCs are permitted to, and may, simultaneously co-invest in transactions where price is the only negotiated term.</w:t>
      </w:r>
    </w:p>
    <w:p>
      <w:pPr>
        <w:spacing w:after="0" w:line="273" w:lineRule="exact"/>
        <w:rPr>
          <w:sz w:val="20"/>
          <w:szCs w:val="20"/>
          <w:color w:val="auto"/>
        </w:rPr>
      </w:pPr>
    </w:p>
    <w:p>
      <w:pPr>
        <w:ind w:firstLine="374"/>
        <w:spacing w:after="0" w:line="285" w:lineRule="auto"/>
        <w:rPr>
          <w:sz w:val="20"/>
          <w:szCs w:val="20"/>
          <w:color w:val="auto"/>
        </w:rPr>
      </w:pPr>
      <w:r>
        <w:rPr>
          <w:rFonts w:ascii="Arial" w:cs="Arial" w:eastAsia="Arial" w:hAnsi="Arial"/>
          <w:sz w:val="16"/>
          <w:szCs w:val="16"/>
          <w:color w:val="auto"/>
        </w:rPr>
        <w:t>On October 23, 2018, the SEC issued an order granting an application for exemptive relief to an affiliate of the Adviser that allows BDCs managed by the Adviser, including the Company, to co-invest, subject to the satisfaction of certain conditions, in certain private placement transactions, with other funds managed by the Advisers or its affiliates, including BCP Special Opportunities Fund I LP, BC Partners Lending Corporation and any future funds that are advised by the Adviser or its affiliated investment advisers. Under the terms of the exemptive order, in order for the Company to participate in a co-investment transaction a “required majority” (as defined in Section 57(o) of the 1940 Act) of the Company’s independent directors must conclude that</w:t>
      </w:r>
    </w:p>
    <w:p>
      <w:pPr>
        <w:spacing w:after="0" w:line="2" w:lineRule="exact"/>
        <w:rPr>
          <w:sz w:val="20"/>
          <w:szCs w:val="20"/>
          <w:color w:val="auto"/>
        </w:rPr>
      </w:pPr>
    </w:p>
    <w:p>
      <w:pPr>
        <w:ind w:right="100" w:firstLine="8"/>
        <w:spacing w:after="0" w:line="253" w:lineRule="auto"/>
        <w:tabs>
          <w:tab w:leader="none" w:pos="215"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terms of the proposed transaction, including the consideration to be paid, are reasonable and fair to the Company and its stockholders and do not involve overreaching with respect of the Company or its stockholders on the part of any person concerned, and (ii) the proposed transaction is consistent with the interests of the Company’s stockholders and is consistent with the Company’s investment objectives and strategies and certain criteria established by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34"/>
        </w:trPr>
        <w:tc>
          <w:tcPr>
            <w:tcW w:w="7340" w:type="dxa"/>
            <w:vAlign w:val="bottom"/>
          </w:tcPr>
          <w:p>
            <w:pPr>
              <w:spacing w:after="0"/>
              <w:rPr>
                <w:sz w:val="20"/>
                <w:szCs w:val="20"/>
                <w:color w:val="auto"/>
              </w:rPr>
            </w:pPr>
            <w:r>
              <w:rPr>
                <w:rFonts w:ascii="Arial" w:cs="Arial" w:eastAsia="Arial" w:hAnsi="Arial"/>
                <w:sz w:val="18"/>
                <w:szCs w:val="18"/>
                <w:b w:val="1"/>
                <w:bCs w:val="1"/>
                <w:color w:val="auto"/>
              </w:rPr>
              <w:t>6.   BORROWINGS</w:t>
            </w: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91"/>
        </w:trPr>
        <w:tc>
          <w:tcPr>
            <w:tcW w:w="7340" w:type="dxa"/>
            <w:vAlign w:val="bottom"/>
          </w:tcPr>
          <w:p>
            <w:pPr>
              <w:ind w:left="380"/>
              <w:spacing w:after="0"/>
              <w:rPr>
                <w:sz w:val="20"/>
                <w:szCs w:val="20"/>
                <w:color w:val="auto"/>
              </w:rPr>
            </w:pPr>
            <w:r>
              <w:rPr>
                <w:rFonts w:ascii="Arial" w:cs="Arial" w:eastAsia="Arial" w:hAnsi="Arial"/>
                <w:sz w:val="18"/>
                <w:szCs w:val="18"/>
                <w:color w:val="auto"/>
              </w:rPr>
              <w:t>The Company’s debt obligations consist of the following:</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46"/>
        </w:trPr>
        <w:tc>
          <w:tcPr>
            <w:tcW w:w="7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84"/>
              </w:rPr>
              <w:t>As of</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As of</w:t>
            </w:r>
          </w:p>
        </w:tc>
      </w:tr>
      <w:tr>
        <w:trPr>
          <w:trHeight w:val="225"/>
        </w:trPr>
        <w:tc>
          <w:tcPr>
            <w:tcW w:w="7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3"/>
              </w:rPr>
              <w:t>March 31,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7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2021</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2020</w:t>
            </w:r>
          </w:p>
        </w:tc>
        <w:tc>
          <w:tcPr>
            <w:tcW w:w="120" w:type="dxa"/>
            <w:vAlign w:val="bottom"/>
          </w:tcPr>
          <w:p>
            <w:pPr>
              <w:spacing w:after="0"/>
              <w:rPr>
                <w:sz w:val="20"/>
                <w:szCs w:val="20"/>
                <w:color w:val="auto"/>
              </w:rPr>
            </w:pPr>
          </w:p>
        </w:tc>
      </w:tr>
      <w:tr>
        <w:trPr>
          <w:trHeight w:val="229"/>
        </w:trPr>
        <w:tc>
          <w:tcPr>
            <w:tcW w:w="7340" w:type="dxa"/>
            <w:vAlign w:val="bottom"/>
            <w:tcBorders>
              <w:bottom w:val="single" w:sz="8" w:color="CFF0FC"/>
            </w:tcBorders>
          </w:tcPr>
          <w:p>
            <w:pPr>
              <w:spacing w:after="0"/>
              <w:rPr>
                <w:sz w:val="19"/>
                <w:szCs w:val="19"/>
                <w:color w:val="auto"/>
              </w:rPr>
            </w:pPr>
          </w:p>
        </w:tc>
        <w:tc>
          <w:tcPr>
            <w:tcW w:w="5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r>
      <w:tr>
        <w:trPr>
          <w:trHeight w:val="223"/>
        </w:trPr>
        <w:tc>
          <w:tcPr>
            <w:tcW w:w="7340" w:type="dxa"/>
            <w:vAlign w:val="bottom"/>
            <w:shd w:val="clear" w:color="auto" w:fill="CFF0FC"/>
          </w:tcPr>
          <w:p>
            <w:pPr>
              <w:spacing w:after="0"/>
              <w:rPr>
                <w:sz w:val="20"/>
                <w:szCs w:val="20"/>
                <w:color w:val="auto"/>
              </w:rPr>
            </w:pPr>
            <w:r>
              <w:rPr>
                <w:rFonts w:ascii="Arial" w:cs="Arial" w:eastAsia="Arial" w:hAnsi="Arial"/>
                <w:sz w:val="18"/>
                <w:szCs w:val="18"/>
                <w:color w:val="auto"/>
              </w:rPr>
              <w:t>6.125% Notes Due 2022 (net of offering costs of: 2021-$0; 2020 - $1,058,351)</w:t>
            </w: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76,725,975</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75,667,624</w:t>
            </w:r>
          </w:p>
        </w:tc>
        <w:tc>
          <w:tcPr>
            <w:tcW w:w="120" w:type="dxa"/>
            <w:vAlign w:val="bottom"/>
            <w:shd w:val="clear" w:color="auto" w:fill="CFF0FC"/>
          </w:tcPr>
          <w:p>
            <w:pPr>
              <w:spacing w:after="0"/>
              <w:rPr>
                <w:sz w:val="19"/>
                <w:szCs w:val="19"/>
                <w:color w:val="auto"/>
              </w:rPr>
            </w:pPr>
          </w:p>
        </w:tc>
      </w:tr>
      <w:tr>
        <w:trPr>
          <w:trHeight w:val="230"/>
        </w:trPr>
        <w:tc>
          <w:tcPr>
            <w:tcW w:w="7340" w:type="dxa"/>
            <w:vAlign w:val="bottom"/>
          </w:tcPr>
          <w:p>
            <w:pPr>
              <w:spacing w:after="0"/>
              <w:rPr>
                <w:sz w:val="20"/>
                <w:szCs w:val="20"/>
                <w:color w:val="auto"/>
              </w:rPr>
            </w:pPr>
            <w:r>
              <w:rPr>
                <w:rFonts w:ascii="Arial" w:cs="Arial" w:eastAsia="Arial" w:hAnsi="Arial"/>
                <w:sz w:val="18"/>
                <w:szCs w:val="18"/>
                <w:color w:val="auto"/>
              </w:rPr>
              <w:t>2018-2 Secured Notes (net of discount of: 2021-$1,535,573; 2020 - $2,444,512)</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162,327,125</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249,418,186</w:t>
            </w:r>
          </w:p>
        </w:tc>
        <w:tc>
          <w:tcPr>
            <w:tcW w:w="120" w:type="dxa"/>
            <w:vAlign w:val="bottom"/>
          </w:tcPr>
          <w:p>
            <w:pPr>
              <w:spacing w:after="0"/>
              <w:rPr>
                <w:sz w:val="19"/>
                <w:szCs w:val="19"/>
                <w:color w:val="auto"/>
              </w:rPr>
            </w:pPr>
          </w:p>
        </w:tc>
      </w:tr>
      <w:tr>
        <w:trPr>
          <w:trHeight w:val="215"/>
        </w:trPr>
        <w:tc>
          <w:tcPr>
            <w:tcW w:w="7340" w:type="dxa"/>
            <w:vAlign w:val="bottom"/>
            <w:shd w:val="clear" w:color="auto" w:fill="CFF0FC"/>
          </w:tcPr>
          <w:p>
            <w:pPr>
              <w:spacing w:after="0"/>
              <w:rPr>
                <w:sz w:val="20"/>
                <w:szCs w:val="20"/>
                <w:color w:val="auto"/>
              </w:rPr>
            </w:pPr>
            <w:r>
              <w:rPr>
                <w:rFonts w:ascii="Arial" w:cs="Arial" w:eastAsia="Arial" w:hAnsi="Arial"/>
                <w:sz w:val="18"/>
                <w:szCs w:val="18"/>
                <w:color w:val="auto"/>
              </w:rPr>
              <w:t>Great Lakes Portman Ridge Funding LLC Revolving Credit Facility (net of offering costs of:</w:t>
            </w:r>
          </w:p>
        </w:tc>
        <w:tc>
          <w:tcPr>
            <w:tcW w:w="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340" w:type="dxa"/>
            <w:vAlign w:val="bottom"/>
            <w:shd w:val="clear" w:color="auto" w:fill="CFF0FC"/>
          </w:tcPr>
          <w:p>
            <w:pPr>
              <w:spacing w:after="0"/>
              <w:rPr>
                <w:sz w:val="20"/>
                <w:szCs w:val="20"/>
                <w:color w:val="auto"/>
              </w:rPr>
            </w:pPr>
            <w:r>
              <w:rPr>
                <w:rFonts w:ascii="Arial" w:cs="Arial" w:eastAsia="Arial" w:hAnsi="Arial"/>
                <w:sz w:val="18"/>
                <w:szCs w:val="18"/>
                <w:color w:val="auto"/>
              </w:rPr>
              <w:t>2021-$1,006,335; 2020 - $1,097,815)</w:t>
            </w:r>
          </w:p>
        </w:tc>
        <w:tc>
          <w:tcPr>
            <w:tcW w:w="560" w:type="dxa"/>
            <w:vAlign w:val="bottom"/>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68,064,563</w:t>
            </w:r>
          </w:p>
        </w:tc>
        <w:tc>
          <w:tcPr>
            <w:tcW w:w="3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48,223,083</w:t>
            </w:r>
          </w:p>
        </w:tc>
        <w:tc>
          <w:tcPr>
            <w:tcW w:w="120" w:type="dxa"/>
            <w:vAlign w:val="bottom"/>
            <w:shd w:val="clear" w:color="auto" w:fill="CFF0FC"/>
          </w:tcPr>
          <w:p>
            <w:pPr>
              <w:spacing w:after="0"/>
              <w:rPr>
                <w:sz w:val="20"/>
                <w:szCs w:val="20"/>
                <w:color w:val="auto"/>
              </w:rPr>
            </w:pPr>
          </w:p>
        </w:tc>
      </w:tr>
      <w:tr>
        <w:trPr>
          <w:trHeight w:val="223"/>
        </w:trPr>
        <w:tc>
          <w:tcPr>
            <w:tcW w:w="7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307,117,663</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373,308,893</w:t>
            </w:r>
          </w:p>
        </w:tc>
        <w:tc>
          <w:tcPr>
            <w:tcW w:w="120" w:type="dxa"/>
            <w:vAlign w:val="bottom"/>
          </w:tcPr>
          <w:p>
            <w:pPr>
              <w:spacing w:after="0"/>
              <w:rPr>
                <w:sz w:val="19"/>
                <w:szCs w:val="19"/>
                <w:color w:val="auto"/>
              </w:rPr>
            </w:pPr>
          </w:p>
        </w:tc>
      </w:tr>
      <w:tr>
        <w:trPr>
          <w:trHeight w:val="20"/>
        </w:trPr>
        <w:tc>
          <w:tcPr>
            <w:tcW w:w="7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firstLine="374"/>
        <w:spacing w:after="0" w:line="277" w:lineRule="auto"/>
        <w:rPr>
          <w:sz w:val="20"/>
          <w:szCs w:val="20"/>
          <w:color w:val="auto"/>
        </w:rPr>
      </w:pPr>
      <w:r>
        <w:rPr>
          <w:rFonts w:ascii="Arial" w:cs="Arial" w:eastAsia="Arial" w:hAnsi="Arial"/>
          <w:sz w:val="18"/>
          <w:szCs w:val="18"/>
          <w:color w:val="auto"/>
        </w:rPr>
        <w:t>The weighted average stated interest rate and weighted average maturity on all our debt outstanding as of March 31, 2021 were 3.4% and 5.6 years, respectively, and as of December 31, 2020 were 3.0% and 6.7 years,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6.125% Notes Due 2022</w:t>
      </w:r>
    </w:p>
    <w:p>
      <w:pPr>
        <w:spacing w:after="0" w:line="185" w:lineRule="exact"/>
        <w:rPr>
          <w:sz w:val="20"/>
          <w:szCs w:val="20"/>
          <w:color w:val="auto"/>
        </w:rPr>
      </w:pPr>
    </w:p>
    <w:p>
      <w:pPr>
        <w:ind w:right="40" w:firstLine="374"/>
        <w:spacing w:after="0" w:line="290" w:lineRule="auto"/>
        <w:rPr>
          <w:sz w:val="20"/>
          <w:szCs w:val="20"/>
          <w:color w:val="auto"/>
        </w:rPr>
      </w:pPr>
      <w:r>
        <w:rPr>
          <w:rFonts w:ascii="Arial" w:cs="Arial" w:eastAsia="Arial" w:hAnsi="Arial"/>
          <w:sz w:val="16"/>
          <w:szCs w:val="16"/>
          <w:color w:val="auto"/>
        </w:rPr>
        <w:t>During the third quarter of 2017, the Company issued $77.4 million in aggregate principal amount of unsecured 6.125% Notes due 2022 (the 6.125% Notes Due 2022). The net proceeds for these Notes, after the payment of underwriting expenses, were approximately $74.6 million. Interest on the 6.125% Notes Due 2022 is paid quarterly in arrears on March 30, June 30, September 30 and December 30, at a rate of 6.125%. The 6.125% Notes Due 2022 mature on September 30, 2022 and are unsecured obligations of the Company. The 6.125% Notes Due 2022 are subject to redemption in whole or in part at any time or from time to time, at the option of the Company, on or after September 30, 2019, at a redemption price per security equal to 100% of the outstanding principal amount thereof plus accrued and unpaid interest payments otherwise payable for the then-current quarterly interest period accrued to the date fixed for redemption. The indenture governing the 6.125% Notes Due 2022 contains certain restrictive covenants, including compliance with certain provisions of the 1940 Act related to borrowing and dividends. At March 31, 2021, the Company was in compliance with all of its debt covenants.</w:t>
      </w:r>
    </w:p>
    <w:p>
      <w:pPr>
        <w:spacing w:after="0" w:line="125" w:lineRule="exact"/>
        <w:rPr>
          <w:sz w:val="20"/>
          <w:szCs w:val="20"/>
          <w:color w:val="auto"/>
        </w:rPr>
      </w:pPr>
    </w:p>
    <w:p>
      <w:pPr>
        <w:ind w:right="300" w:firstLine="374"/>
        <w:spacing w:after="0" w:line="277" w:lineRule="auto"/>
        <w:rPr>
          <w:sz w:val="20"/>
          <w:szCs w:val="20"/>
          <w:color w:val="auto"/>
        </w:rPr>
      </w:pPr>
      <w:r>
        <w:rPr>
          <w:rFonts w:ascii="Arial" w:cs="Arial" w:eastAsia="Arial" w:hAnsi="Arial"/>
          <w:sz w:val="18"/>
          <w:szCs w:val="18"/>
          <w:color w:val="auto"/>
        </w:rPr>
        <w:t>For the three months ended March 31, 2021 and 2020, interest expense related to the 6.125% Notes Due 2022 was approximately $1.2 million and $1.2 million, respectively.</w:t>
      </w:r>
    </w:p>
    <w:p>
      <w:pPr>
        <w:spacing w:after="0" w:line="143" w:lineRule="exact"/>
        <w:rPr>
          <w:sz w:val="20"/>
          <w:szCs w:val="20"/>
          <w:color w:val="auto"/>
        </w:rPr>
      </w:pPr>
    </w:p>
    <w:p>
      <w:pPr>
        <w:ind w:right="100" w:firstLine="374"/>
        <w:spacing w:after="0" w:line="296" w:lineRule="auto"/>
        <w:rPr>
          <w:sz w:val="20"/>
          <w:szCs w:val="20"/>
          <w:color w:val="auto"/>
        </w:rPr>
      </w:pPr>
      <w:r>
        <w:rPr>
          <w:rFonts w:ascii="Arial" w:cs="Arial" w:eastAsia="Arial" w:hAnsi="Arial"/>
          <w:sz w:val="16"/>
          <w:szCs w:val="16"/>
          <w:color w:val="auto"/>
        </w:rPr>
        <w:t>In connection with the issuance of the 6.125% Notes Due 2022, the Company incurred approximately $2.9 million of debt offering costs which were being amortized over the expected term of the facility on an effective yield method. In connection with the anticipated refinancing of the 6.125% Notes Due 2022 during the second quarter of 2021, the Company wrote off approximately $1.0 million of unamortized debt offering costs which are reflected in Realized Losses on Extinguishment of Debt on the Consolidated Statement of Operations. As of December 31, 2020 there was approximately $1.1 million of unamortized debt offering costs included on the consolidated balance sheets as a reduction in the related debt liability.</w:t>
      </w:r>
    </w:p>
    <w:p>
      <w:pPr>
        <w:spacing w:after="0" w:line="121" w:lineRule="exact"/>
        <w:rPr>
          <w:sz w:val="20"/>
          <w:szCs w:val="20"/>
          <w:color w:val="auto"/>
        </w:rPr>
      </w:pPr>
    </w:p>
    <w:p>
      <w:pPr>
        <w:ind w:firstLine="374"/>
        <w:spacing w:after="0" w:line="263" w:lineRule="auto"/>
        <w:rPr>
          <w:sz w:val="20"/>
          <w:szCs w:val="20"/>
          <w:color w:val="auto"/>
        </w:rPr>
      </w:pPr>
      <w:r>
        <w:rPr>
          <w:rFonts w:ascii="Arial" w:cs="Arial" w:eastAsia="Arial" w:hAnsi="Arial"/>
          <w:sz w:val="18"/>
          <w:szCs w:val="18"/>
          <w:color w:val="auto"/>
        </w:rPr>
        <w:t>During the quarter ended March 31, 2020, the Company repurchased approximately $573 thousand of principal amount of the 6.125% Notes Due 2022 at a cost of approximately $419 thousand, resulting in a realized gain on extinguishment of approximately $154 thousand. The Company subsequently surrendered these notes to the Trustee for cancellation.</w:t>
      </w:r>
    </w:p>
    <w:p>
      <w:pPr>
        <w:spacing w:after="0" w:line="143" w:lineRule="exact"/>
        <w:rPr>
          <w:sz w:val="20"/>
          <w:szCs w:val="20"/>
          <w:color w:val="auto"/>
        </w:rPr>
      </w:pPr>
    </w:p>
    <w:p>
      <w:pPr>
        <w:ind w:right="40" w:firstLine="374"/>
        <w:spacing w:after="0" w:line="257" w:lineRule="auto"/>
        <w:rPr>
          <w:sz w:val="20"/>
          <w:szCs w:val="20"/>
          <w:color w:val="auto"/>
        </w:rPr>
      </w:pPr>
      <w:r>
        <w:rPr>
          <w:rFonts w:ascii="Arial" w:cs="Arial" w:eastAsia="Arial" w:hAnsi="Arial"/>
          <w:sz w:val="18"/>
          <w:szCs w:val="18"/>
          <w:i w:val="1"/>
          <w:iCs w:val="1"/>
          <w:color w:val="auto"/>
        </w:rPr>
        <w:t xml:space="preserve">Fair Value of 6.125% Notes Due 2022. </w:t>
      </w:r>
      <w:r>
        <w:rPr>
          <w:rFonts w:ascii="Arial" w:cs="Arial" w:eastAsia="Arial" w:hAnsi="Arial"/>
          <w:sz w:val="18"/>
          <w:szCs w:val="18"/>
          <w:color w:val="auto"/>
        </w:rPr>
        <w:t>The 6.125% Notes Due 2022 were issued via public offering during the third quarter of 2017 and are carried at</w:t>
      </w:r>
      <w:r>
        <w:rPr>
          <w:rFonts w:ascii="Arial" w:cs="Arial" w:eastAsia="Arial" w:hAnsi="Arial"/>
          <w:sz w:val="18"/>
          <w:szCs w:val="18"/>
          <w:i w:val="1"/>
          <w:iCs w:val="1"/>
          <w:color w:val="auto"/>
        </w:rPr>
        <w:t xml:space="preserve"> </w:t>
      </w:r>
      <w:r>
        <w:rPr>
          <w:rFonts w:ascii="Arial" w:cs="Arial" w:eastAsia="Arial" w:hAnsi="Arial"/>
          <w:sz w:val="18"/>
          <w:szCs w:val="18"/>
          <w:color w:val="auto"/>
        </w:rPr>
        <w:t>cost, net of offering costs of $0 million and $1.1 million at March 31, 2021 and December 31, 2020, respectively. The fair value of the Company’s outstanding 6.125% Notes Due 2022 was approximately $77.5 million and $78.1 million at March 31, 2021 and December 31, 2020. The fair value was determined based on the closing price on March 31, 2021 and December 31, 2020 for the 6.125% Notes Due 2022. The 6.125% Notes Due 2022 are categorized as Level II under the ASC 820 Fair Value.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Facilities</w:t>
      </w:r>
    </w:p>
    <w:p>
      <w:pPr>
        <w:spacing w:after="0" w:line="117" w:lineRule="exact"/>
        <w:rPr>
          <w:sz w:val="20"/>
          <w:szCs w:val="20"/>
          <w:color w:val="auto"/>
        </w:rPr>
      </w:pPr>
    </w:p>
    <w:p>
      <w:pPr>
        <w:ind w:right="140" w:firstLine="374"/>
        <w:spacing w:after="0" w:line="272" w:lineRule="auto"/>
        <w:rPr>
          <w:sz w:val="20"/>
          <w:szCs w:val="20"/>
          <w:color w:val="auto"/>
        </w:rPr>
      </w:pPr>
      <w:r>
        <w:rPr>
          <w:rFonts w:ascii="Arial" w:cs="Arial" w:eastAsia="Arial" w:hAnsi="Arial"/>
          <w:sz w:val="17"/>
          <w:szCs w:val="17"/>
          <w:color w:val="auto"/>
        </w:rPr>
        <w:t>On March 1, 2018, Great Lakes KCAP Funding I, LLC (“Funding”), our wholly owned subsidiary, entered into a senior secured revolving credit facility (the “Prior Revolving Credit Facility”) with certain institutional lenders, State Bank and Trust Company, as the administrative agent, lead arranger and bookrunner, CIBC Bank USA, as documentation agent and the Company, as the servicer. The maximum commitment amount of the Prior Revolving Credit Facility was increased on March 27, 2019 to $57.5 million, and on April 1, 2019 to $67.5 million, subject to availability under the borrowing base. In December 2019, the Prior Revolving Credit Facility was fully repaid and the related agreements, including security interests in assets pledged as collateral, were terminated on December 23, 2019. The Company recognized a realized loss on extinguishment of debt of approximately $1.1 million in connection with the termination of the Prior Revolving Credit Facility.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6" w:name="page67"/>
    <w:bookmarkEnd w:id="66"/>
    <w:p>
      <w:pPr>
        <w:ind w:right="580" w:firstLine="374"/>
        <w:spacing w:after="0" w:line="308" w:lineRule="auto"/>
        <w:rPr>
          <w:sz w:val="20"/>
          <w:szCs w:val="20"/>
          <w:color w:val="auto"/>
        </w:rPr>
      </w:pPr>
      <w:r>
        <w:rPr>
          <w:rFonts w:ascii="Arial" w:cs="Arial" w:eastAsia="Arial" w:hAnsi="Arial"/>
          <w:sz w:val="17"/>
          <w:szCs w:val="17"/>
          <w:color w:val="auto"/>
        </w:rPr>
        <w:t>Borrowings under the Prior Revolving Credit Facility bore interest at a rate per annum equal to (i) in the case of LIBOR rate loans, an adjusted LIBOR rate for the applicable interest period plus 3.25% or (ii) in the case of base rate loans, the prime rate plus 3.25%.</w:t>
      </w:r>
    </w:p>
    <w:p>
      <w:pPr>
        <w:spacing w:after="0" w:line="38" w:lineRule="exact"/>
        <w:rPr>
          <w:sz w:val="20"/>
          <w:szCs w:val="20"/>
          <w:color w:val="auto"/>
        </w:rPr>
      </w:pPr>
    </w:p>
    <w:p>
      <w:pPr>
        <w:ind w:right="440" w:firstLine="374"/>
        <w:spacing w:after="0" w:line="279" w:lineRule="auto"/>
        <w:rPr>
          <w:sz w:val="20"/>
          <w:szCs w:val="20"/>
          <w:color w:val="auto"/>
        </w:rPr>
      </w:pPr>
      <w:r>
        <w:rPr>
          <w:rFonts w:ascii="Arial" w:cs="Arial" w:eastAsia="Arial" w:hAnsi="Arial"/>
          <w:sz w:val="17"/>
          <w:szCs w:val="17"/>
          <w:color w:val="auto"/>
        </w:rPr>
        <w:t>The Prior Revolving Credit Facility was secured by all of the assets held by Funding, and the Company had pledged its interests in Funding as collateral to State Bank and Trust Company, as the administrative agent, to secure the obligations of Funding under the Revolving Credit Facility. The Revolving Credit Agreement includes customary affirmative and negative covenants, including certain limitations on the incurrence of additional indebtedness and liens, as well as usual and customary events of default for revolving credit facilities of this nature.</w:t>
      </w:r>
    </w:p>
    <w:p>
      <w:pPr>
        <w:spacing w:after="0" w:line="63" w:lineRule="exact"/>
        <w:rPr>
          <w:sz w:val="20"/>
          <w:szCs w:val="20"/>
          <w:color w:val="auto"/>
        </w:rPr>
      </w:pPr>
    </w:p>
    <w:p>
      <w:pPr>
        <w:ind w:right="60" w:firstLine="374"/>
        <w:spacing w:after="0" w:line="259" w:lineRule="auto"/>
        <w:rPr>
          <w:sz w:val="20"/>
          <w:szCs w:val="20"/>
          <w:color w:val="auto"/>
        </w:rPr>
      </w:pPr>
      <w:r>
        <w:rPr>
          <w:rFonts w:ascii="Arial" w:cs="Arial" w:eastAsia="Arial" w:hAnsi="Arial"/>
          <w:sz w:val="18"/>
          <w:szCs w:val="18"/>
          <w:color w:val="auto"/>
        </w:rPr>
        <w:t>On December 18, 2019, Great Lakes Portman Ridge Funding LLC (“GLPRF LLC”), our wholly-owned subsidiary, entered into a senior secured revolving credit facility (the “Revolving Credit Facility”) with JPMorgan Chase Bank, National Association (“JPM”). JPM serves as administrative agent, U.S. Bank National Association serves as collateral agent, securities intermediary and collateral administrator, and we serve as portfolio manager under the Revolving Credit Facility.</w:t>
      </w:r>
    </w:p>
    <w:p>
      <w:pPr>
        <w:spacing w:after="0" w:line="79" w:lineRule="exact"/>
        <w:rPr>
          <w:sz w:val="20"/>
          <w:szCs w:val="20"/>
          <w:color w:val="auto"/>
        </w:rPr>
      </w:pPr>
    </w:p>
    <w:p>
      <w:pPr>
        <w:ind w:right="40" w:firstLine="374"/>
        <w:spacing w:after="0" w:line="255" w:lineRule="auto"/>
        <w:rPr>
          <w:sz w:val="20"/>
          <w:szCs w:val="20"/>
          <w:color w:val="auto"/>
        </w:rPr>
      </w:pPr>
      <w:r>
        <w:rPr>
          <w:rFonts w:ascii="Arial" w:cs="Arial" w:eastAsia="Arial" w:hAnsi="Arial"/>
          <w:sz w:val="18"/>
          <w:szCs w:val="18"/>
          <w:color w:val="auto"/>
        </w:rPr>
        <w:t>Advances under the Revolving Credit Facility bear interest at a per annum rate equal to the three-month LIBOR in effect, plus the applicable margin of 2.85% per annum. GLPRF LLC is required to utilize a minimum of 80% of the commitments under the Revolving Credit Facility, after an initial six-month ramp-up period during which a lesser minimum utilization requirement applies. Unused amounts below such minimum utilization amount accrue interest as if such amounts are outstanding as borrowings under the Revolving Credit Facility. In addition, GLPRF LLC will pay a non-usage fee during the first three years after the closing date in an amount not to exceed 0.50% per annum on the average daily unborrowed portion of the financing commitments in excess of such minimum utilization amount.</w:t>
      </w:r>
    </w:p>
    <w:p>
      <w:pPr>
        <w:spacing w:after="0" w:line="84" w:lineRule="exact"/>
        <w:rPr>
          <w:sz w:val="20"/>
          <w:szCs w:val="20"/>
          <w:color w:val="auto"/>
        </w:rPr>
      </w:pPr>
    </w:p>
    <w:p>
      <w:pPr>
        <w:ind w:right="40" w:firstLine="374"/>
        <w:spacing w:after="0" w:line="257" w:lineRule="auto"/>
        <w:rPr>
          <w:sz w:val="20"/>
          <w:szCs w:val="20"/>
          <w:color w:val="auto"/>
        </w:rPr>
      </w:pPr>
      <w:r>
        <w:rPr>
          <w:rFonts w:ascii="Arial" w:cs="Arial" w:eastAsia="Arial" w:hAnsi="Arial"/>
          <w:sz w:val="18"/>
          <w:szCs w:val="18"/>
          <w:color w:val="auto"/>
        </w:rPr>
        <w:t>The initial principal amount of the Revolving Credit Facility is $115 million. The Revolving Credit Facility has an accordion feature, subject to the satisfaction of various conditions, which could bring total commitments under the Revolving Credit Facility to up to $215 million. Proceeds from borrowings under the Revolving Credit Facility may be used to fund portfolio investments by GLPRF LLC and to make advances under delayed draw term loans where GLPRF LLC is a lender. All amounts outstanding under the Revolving Credit Facility must be repaid by the maturity date of December 18, 2023.</w:t>
      </w:r>
    </w:p>
    <w:p>
      <w:pPr>
        <w:spacing w:after="0" w:line="80" w:lineRule="exact"/>
        <w:rPr>
          <w:sz w:val="20"/>
          <w:szCs w:val="20"/>
          <w:color w:val="auto"/>
        </w:rPr>
      </w:pPr>
    </w:p>
    <w:p>
      <w:pPr>
        <w:ind w:right="140" w:firstLine="374"/>
        <w:spacing w:after="0" w:line="273" w:lineRule="auto"/>
        <w:rPr>
          <w:sz w:val="20"/>
          <w:szCs w:val="20"/>
          <w:color w:val="auto"/>
        </w:rPr>
      </w:pPr>
      <w:r>
        <w:rPr>
          <w:rFonts w:ascii="Arial" w:cs="Arial" w:eastAsia="Arial" w:hAnsi="Arial"/>
          <w:sz w:val="17"/>
          <w:szCs w:val="17"/>
          <w:color w:val="auto"/>
        </w:rPr>
        <w:t>GLPRF LLC’s obligations to the lenders under the Revolving Credit Facility are secured by a first priority security interest in all of GLPRF LLC’s portfolio of investments and cash. The obligations of GLPRF LLC under the Revolving Credit Facility are non-recourse to us, and our exposure under the Revolving Credit Facility is limited to the value of our investment in GLPRF LLC. In connection with the Revolving Credit Facility, GLPRF LLC has made certain customary representations and warranties and is required to comply with various covenants, reporting requirements and other customary requirements for similar facilities. The Revolving Credit Facility contains customary events of default for similar financing transactions, including if a change of control of GLPRF LLC occurs or if we are no longer the portfolio manager of GLPRF LLC.</w:t>
      </w:r>
    </w:p>
    <w:p>
      <w:pPr>
        <w:spacing w:after="0" w:line="70" w:lineRule="exact"/>
        <w:rPr>
          <w:sz w:val="20"/>
          <w:szCs w:val="20"/>
          <w:color w:val="auto"/>
        </w:rPr>
      </w:pPr>
    </w:p>
    <w:p>
      <w:pPr>
        <w:ind w:right="100" w:firstLine="374"/>
        <w:spacing w:after="0" w:line="308" w:lineRule="auto"/>
        <w:rPr>
          <w:sz w:val="20"/>
          <w:szCs w:val="20"/>
          <w:color w:val="auto"/>
        </w:rPr>
      </w:pPr>
      <w:r>
        <w:rPr>
          <w:rFonts w:ascii="Arial" w:cs="Arial" w:eastAsia="Arial" w:hAnsi="Arial"/>
          <w:sz w:val="17"/>
          <w:szCs w:val="17"/>
          <w:color w:val="auto"/>
        </w:rPr>
        <w:t>At March 31, 2021, GLPRF LLC was in compliance with all of its debt covenants and $69.1 million principal amount of borrowings was outstanding under the Revolving Credit Facility. The fair value of GLPRF LLC debt outstanding was approximately $69.1 million at March 31, 2021.</w:t>
      </w:r>
    </w:p>
    <w:p>
      <w:pPr>
        <w:spacing w:after="0" w:line="106" w:lineRule="exact"/>
        <w:rPr>
          <w:sz w:val="20"/>
          <w:szCs w:val="20"/>
          <w:color w:val="auto"/>
        </w:rPr>
      </w:pPr>
    </w:p>
    <w:p>
      <w:pPr>
        <w:ind w:right="520" w:firstLine="374"/>
        <w:spacing w:after="0" w:line="277" w:lineRule="auto"/>
        <w:rPr>
          <w:sz w:val="20"/>
          <w:szCs w:val="20"/>
          <w:color w:val="auto"/>
        </w:rPr>
      </w:pPr>
      <w:r>
        <w:rPr>
          <w:rFonts w:ascii="Arial" w:cs="Arial" w:eastAsia="Arial" w:hAnsi="Arial"/>
          <w:sz w:val="18"/>
          <w:szCs w:val="18"/>
          <w:color w:val="auto"/>
        </w:rPr>
        <w:t>For the three months ended March 31, 2021 and 2020 interest and fees expense related to the Revolving Credit Facility was approximately $1.7 million and $0.9, respectively.</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40" w:type="dxa"/>
            <w:vAlign w:val="bottom"/>
          </w:tcPr>
          <w:p>
            <w:pPr>
              <w:spacing w:after="0"/>
              <w:rPr>
                <w:sz w:val="20"/>
                <w:szCs w:val="20"/>
                <w:color w:val="auto"/>
              </w:rPr>
            </w:pPr>
            <w:r>
              <w:rPr>
                <w:rFonts w:ascii="Arial" w:cs="Arial" w:eastAsia="Arial" w:hAnsi="Arial"/>
                <w:sz w:val="18"/>
                <w:szCs w:val="18"/>
                <w:i w:val="1"/>
                <w:iCs w:val="1"/>
                <w:color w:val="auto"/>
              </w:rPr>
              <w:t>2018-2 Secured Notes</w:t>
            </w: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w w:val="95"/>
              </w:rPr>
              <w:t>Amortized</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Outstanding</w:t>
            </w:r>
          </w:p>
        </w:tc>
        <w:tc>
          <w:tcPr>
            <w:tcW w:w="1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7"/>
              </w:rPr>
              <w:t>Stated</w:t>
            </w:r>
          </w:p>
        </w:tc>
        <w:tc>
          <w:tcPr>
            <w:tcW w:w="0" w:type="dxa"/>
            <w:vAlign w:val="bottom"/>
          </w:tcPr>
          <w:p>
            <w:pPr>
              <w:spacing w:after="0"/>
              <w:rPr>
                <w:sz w:val="1"/>
                <w:szCs w:val="1"/>
                <w:color w:val="auto"/>
              </w:rPr>
            </w:pPr>
          </w:p>
        </w:tc>
      </w:tr>
      <w:tr>
        <w:trPr>
          <w:trHeight w:val="211"/>
        </w:trPr>
        <w:tc>
          <w:tcPr>
            <w:tcW w:w="28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40" w:type="dxa"/>
            <w:vAlign w:val="bottom"/>
          </w:tcPr>
          <w:p>
            <w:pPr>
              <w:spacing w:after="0"/>
              <w:rPr>
                <w:sz w:val="20"/>
                <w:szCs w:val="20"/>
                <w:color w:val="auto"/>
              </w:rPr>
            </w:pPr>
            <w:r>
              <w:rPr>
                <w:rFonts w:ascii="Arial" w:cs="Arial" w:eastAsia="Arial" w:hAnsi="Arial"/>
                <w:sz w:val="18"/>
                <w:szCs w:val="18"/>
                <w:b w:val="1"/>
                <w:bCs w:val="1"/>
                <w:color w:val="auto"/>
              </w:rPr>
              <w:t>March 31, 2021</w:t>
            </w:r>
          </w:p>
        </w:tc>
        <w:tc>
          <w:tcPr>
            <w:tcW w:w="2280" w:type="dxa"/>
            <w:vAlign w:val="bottom"/>
            <w:gridSpan w:val="3"/>
          </w:tcPr>
          <w:p>
            <w:pPr>
              <w:ind w:left="1100"/>
              <w:spacing w:after="0"/>
              <w:rPr>
                <w:sz w:val="20"/>
                <w:szCs w:val="20"/>
                <w:color w:val="auto"/>
              </w:rPr>
            </w:pPr>
            <w:r>
              <w:rPr>
                <w:rFonts w:ascii="Arial" w:cs="Arial" w:eastAsia="Arial" w:hAnsi="Arial"/>
                <w:sz w:val="18"/>
                <w:szCs w:val="18"/>
                <w:b w:val="1"/>
                <w:bCs w:val="1"/>
                <w:color w:val="auto"/>
                <w:w w:val="91"/>
              </w:rPr>
              <w:t>Carrying Value</w:t>
            </w:r>
          </w:p>
        </w:tc>
        <w:tc>
          <w:tcPr>
            <w:tcW w:w="440" w:type="dxa"/>
            <w:vAlign w:val="bottom"/>
          </w:tcPr>
          <w:p>
            <w:pPr>
              <w:spacing w:after="0"/>
              <w:rPr>
                <w:sz w:val="20"/>
                <w:szCs w:val="20"/>
                <w:color w:val="auto"/>
              </w:rPr>
            </w:pPr>
          </w:p>
        </w:tc>
        <w:tc>
          <w:tcPr>
            <w:tcW w:w="1460" w:type="dxa"/>
            <w:vAlign w:val="bottom"/>
            <w:gridSpan w:val="3"/>
          </w:tcPr>
          <w:p>
            <w:pPr>
              <w:spacing w:after="0"/>
              <w:rPr>
                <w:sz w:val="20"/>
                <w:szCs w:val="20"/>
                <w:color w:val="auto"/>
              </w:rPr>
            </w:pPr>
            <w:r>
              <w:rPr>
                <w:rFonts w:ascii="Arial" w:cs="Arial" w:eastAsia="Arial" w:hAnsi="Arial"/>
                <w:sz w:val="18"/>
                <w:szCs w:val="18"/>
                <w:b w:val="1"/>
                <w:bCs w:val="1"/>
                <w:color w:val="auto"/>
              </w:rPr>
              <w:t>Principal at Par</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8"/>
              </w:rPr>
              <w:t>Spread</w:t>
            </w:r>
          </w:p>
        </w:tc>
        <w:tc>
          <w:tcPr>
            <w:tcW w:w="180" w:type="dxa"/>
            <w:vAlign w:val="bottom"/>
          </w:tcPr>
          <w:p>
            <w:pPr>
              <w:spacing w:after="0"/>
              <w:rPr>
                <w:sz w:val="20"/>
                <w:szCs w:val="20"/>
                <w:color w:val="auto"/>
              </w:rPr>
            </w:pPr>
          </w:p>
        </w:tc>
        <w:tc>
          <w:tcPr>
            <w:tcW w:w="15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4"/>
              </w:rPr>
              <w:t>Rating</w:t>
            </w:r>
            <w:r>
              <w:rPr>
                <w:rFonts w:ascii="Arial" w:cs="Arial" w:eastAsia="Arial" w:hAnsi="Arial"/>
                <w:sz w:val="15"/>
                <w:szCs w:val="15"/>
                <w:color w:val="auto"/>
                <w:w w:val="94"/>
              </w:rPr>
              <w:t>(1)</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9"/>
              </w:rPr>
              <w:t>Maturity</w:t>
            </w:r>
            <w:r>
              <w:rPr>
                <w:rFonts w:ascii="Arial" w:cs="Arial" w:eastAsia="Arial" w:hAnsi="Arial"/>
                <w:sz w:val="15"/>
                <w:szCs w:val="15"/>
                <w:b w:val="1"/>
                <w:bCs w:val="1"/>
                <w:color w:val="auto"/>
                <w:w w:val="99"/>
              </w:rPr>
              <w:t>(2)</w:t>
            </w:r>
          </w:p>
        </w:tc>
        <w:tc>
          <w:tcPr>
            <w:tcW w:w="0" w:type="dxa"/>
            <w:vAlign w:val="bottom"/>
          </w:tcPr>
          <w:p>
            <w:pPr>
              <w:spacing w:after="0"/>
              <w:rPr>
                <w:sz w:val="1"/>
                <w:szCs w:val="1"/>
                <w:color w:val="auto"/>
              </w:rPr>
            </w:pPr>
          </w:p>
        </w:tc>
      </w:tr>
      <w:tr>
        <w:trPr>
          <w:trHeight w:val="228"/>
        </w:trPr>
        <w:tc>
          <w:tcPr>
            <w:tcW w:w="28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2018-2 Secured Notes:</w:t>
            </w:r>
          </w:p>
        </w:tc>
        <w:tc>
          <w:tcPr>
            <w:tcW w:w="11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LIBOR + 1.58%</w:t>
            </w:r>
          </w:p>
        </w:tc>
        <w:tc>
          <w:tcPr>
            <w:tcW w:w="180" w:type="dxa"/>
            <w:vAlign w:val="bottom"/>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840" w:type="dxa"/>
            <w:vAlign w:val="bottom"/>
            <w:vMerge w:val="restart"/>
          </w:tcPr>
          <w:p>
            <w:pPr>
              <w:ind w:left="260"/>
              <w:spacing w:after="0"/>
              <w:rPr>
                <w:sz w:val="20"/>
                <w:szCs w:val="20"/>
                <w:color w:val="auto"/>
              </w:rPr>
            </w:pPr>
            <w:r>
              <w:rPr>
                <w:rFonts w:ascii="Arial" w:cs="Arial" w:eastAsia="Arial" w:hAnsi="Arial"/>
                <w:sz w:val="18"/>
                <w:szCs w:val="18"/>
                <w:color w:val="auto"/>
              </w:rPr>
              <w:t>Class A-1R-R Notes</w:t>
            </w:r>
          </w:p>
        </w:tc>
        <w:tc>
          <w:tcPr>
            <w:tcW w:w="1240" w:type="dxa"/>
            <w:vAlign w:val="bottom"/>
            <w:gridSpan w:val="2"/>
            <w:vMerge w:val="restart"/>
          </w:tcPr>
          <w:p>
            <w:pPr>
              <w:ind w:left="1100"/>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vMerge w:val="restart"/>
          </w:tcPr>
          <w:p>
            <w:pPr>
              <w:ind w:left="440"/>
              <w:spacing w:after="0"/>
              <w:rPr>
                <w:sz w:val="20"/>
                <w:szCs w:val="20"/>
                <w:color w:val="auto"/>
              </w:rPr>
            </w:pPr>
            <w:r>
              <w:rPr>
                <w:rFonts w:ascii="Arial" w:cs="Arial" w:eastAsia="Arial" w:hAnsi="Arial"/>
                <w:sz w:val="18"/>
                <w:szCs w:val="18"/>
                <w:color w:val="auto"/>
                <w:w w:val="99"/>
              </w:rPr>
              <w:t>$</w:t>
            </w:r>
          </w:p>
        </w:tc>
        <w:tc>
          <w:tcPr>
            <w:tcW w:w="13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vMerge w:val="restart"/>
          </w:tcPr>
          <w:p>
            <w:pPr>
              <w:jc w:val="center"/>
              <w:ind w:right="180"/>
              <w:spacing w:after="0"/>
              <w:rPr>
                <w:sz w:val="20"/>
                <w:szCs w:val="20"/>
                <w:color w:val="auto"/>
              </w:rPr>
            </w:pPr>
            <w:r>
              <w:rPr>
                <w:rFonts w:ascii="Arial" w:cs="Arial" w:eastAsia="Arial" w:hAnsi="Arial"/>
                <w:sz w:val="18"/>
                <w:szCs w:val="18"/>
                <w:color w:val="auto"/>
              </w:rPr>
              <w:t>AAA(sf)</w:t>
            </w:r>
          </w:p>
        </w:tc>
        <w:tc>
          <w:tcPr>
            <w:tcW w:w="1180" w:type="dxa"/>
            <w:vAlign w:val="bottom"/>
            <w:vMerge w:val="restart"/>
          </w:tcPr>
          <w:p>
            <w:pPr>
              <w:jc w:val="center"/>
              <w:spacing w:after="0"/>
              <w:rPr>
                <w:sz w:val="20"/>
                <w:szCs w:val="20"/>
                <w:color w:val="auto"/>
              </w:rPr>
            </w:pPr>
            <w:r>
              <w:rPr>
                <w:rFonts w:ascii="Arial" w:cs="Arial" w:eastAsia="Arial" w:hAnsi="Arial"/>
                <w:sz w:val="18"/>
                <w:szCs w:val="18"/>
                <w:color w:val="auto"/>
                <w:w w:val="88"/>
              </w:rPr>
              <w:t>11/20/2029</w:t>
            </w:r>
          </w:p>
        </w:tc>
        <w:tc>
          <w:tcPr>
            <w:tcW w:w="0" w:type="dxa"/>
            <w:vAlign w:val="bottom"/>
          </w:tcPr>
          <w:p>
            <w:pPr>
              <w:spacing w:after="0"/>
              <w:rPr>
                <w:sz w:val="1"/>
                <w:szCs w:val="1"/>
                <w:color w:val="auto"/>
              </w:rPr>
            </w:pPr>
          </w:p>
        </w:tc>
      </w:tr>
      <w:tr>
        <w:trPr>
          <w:trHeight w:val="189"/>
        </w:trPr>
        <w:tc>
          <w:tcPr>
            <w:tcW w:w="2840" w:type="dxa"/>
            <w:vAlign w:val="bottom"/>
            <w:vMerge w:val="continue"/>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5"/>
                <w:szCs w:val="15"/>
                <w:color w:val="auto"/>
                <w:w w:val="97"/>
              </w:rPr>
              <w:t>(3)</w:t>
            </w:r>
          </w:p>
        </w:tc>
        <w:tc>
          <w:tcPr>
            <w:tcW w:w="18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Class A-1T-R Notes</w:t>
            </w: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89,543,115</w:t>
            </w: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90,512,698</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LIBOR + 1.58%</w:t>
            </w:r>
          </w:p>
        </w:tc>
        <w:tc>
          <w:tcPr>
            <w:tcW w:w="1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rPr>
              <w:t>AAA(sf)</w:t>
            </w:r>
          </w:p>
        </w:tc>
        <w:tc>
          <w:tcPr>
            <w:tcW w:w="11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11/20/2029</w:t>
            </w:r>
          </w:p>
        </w:tc>
        <w:tc>
          <w:tcPr>
            <w:tcW w:w="0" w:type="dxa"/>
            <w:vAlign w:val="bottom"/>
          </w:tcPr>
          <w:p>
            <w:pPr>
              <w:spacing w:after="0"/>
              <w:rPr>
                <w:sz w:val="1"/>
                <w:szCs w:val="1"/>
                <w:color w:val="auto"/>
              </w:rPr>
            </w:pPr>
          </w:p>
        </w:tc>
      </w:tr>
      <w:tr>
        <w:trPr>
          <w:trHeight w:val="230"/>
        </w:trPr>
        <w:tc>
          <w:tcPr>
            <w:tcW w:w="2840" w:type="dxa"/>
            <w:vAlign w:val="bottom"/>
          </w:tcPr>
          <w:p>
            <w:pPr>
              <w:ind w:left="260"/>
              <w:spacing w:after="0"/>
              <w:rPr>
                <w:sz w:val="20"/>
                <w:szCs w:val="20"/>
                <w:color w:val="auto"/>
              </w:rPr>
            </w:pPr>
            <w:r>
              <w:rPr>
                <w:rFonts w:ascii="Arial" w:cs="Arial" w:eastAsia="Arial" w:hAnsi="Arial"/>
                <w:sz w:val="18"/>
                <w:szCs w:val="18"/>
                <w:color w:val="auto"/>
              </w:rPr>
              <w:t>Class A-2-R Notes</w:t>
            </w: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54,681,332</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55,100,000</w:t>
            </w:r>
          </w:p>
        </w:tc>
        <w:tc>
          <w:tcPr>
            <w:tcW w:w="2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3"/>
              </w:rPr>
              <w:t>LIBOR + 2.45%</w:t>
            </w:r>
          </w:p>
        </w:tc>
        <w:tc>
          <w:tcPr>
            <w:tcW w:w="180" w:type="dxa"/>
            <w:vAlign w:val="bottom"/>
          </w:tcPr>
          <w:p>
            <w:pPr>
              <w:spacing w:after="0"/>
              <w:rPr>
                <w:sz w:val="19"/>
                <w:szCs w:val="19"/>
                <w:color w:val="auto"/>
              </w:rPr>
            </w:pPr>
          </w:p>
        </w:tc>
        <w:tc>
          <w:tcPr>
            <w:tcW w:w="1500" w:type="dxa"/>
            <w:vAlign w:val="bottom"/>
            <w:gridSpan w:val="2"/>
          </w:tcPr>
          <w:p>
            <w:pPr>
              <w:jc w:val="center"/>
              <w:ind w:right="160"/>
              <w:spacing w:after="0"/>
              <w:rPr>
                <w:sz w:val="20"/>
                <w:szCs w:val="20"/>
                <w:color w:val="auto"/>
              </w:rPr>
            </w:pPr>
            <w:r>
              <w:rPr>
                <w:rFonts w:ascii="Arial" w:cs="Arial" w:eastAsia="Arial" w:hAnsi="Arial"/>
                <w:sz w:val="18"/>
                <w:szCs w:val="18"/>
                <w:color w:val="auto"/>
                <w:w w:val="98"/>
              </w:rPr>
              <w:t>AA (sf)</w:t>
            </w:r>
          </w:p>
        </w:tc>
        <w:tc>
          <w:tcPr>
            <w:tcW w:w="1180" w:type="dxa"/>
            <w:vAlign w:val="bottom"/>
          </w:tcPr>
          <w:p>
            <w:pPr>
              <w:jc w:val="center"/>
              <w:spacing w:after="0"/>
              <w:rPr>
                <w:sz w:val="20"/>
                <w:szCs w:val="20"/>
                <w:color w:val="auto"/>
              </w:rPr>
            </w:pPr>
            <w:r>
              <w:rPr>
                <w:rFonts w:ascii="Arial" w:cs="Arial" w:eastAsia="Arial" w:hAnsi="Arial"/>
                <w:sz w:val="18"/>
                <w:szCs w:val="18"/>
                <w:color w:val="auto"/>
                <w:w w:val="88"/>
              </w:rPr>
              <w:t>11/20/2029</w:t>
            </w:r>
          </w:p>
        </w:tc>
        <w:tc>
          <w:tcPr>
            <w:tcW w:w="0" w:type="dxa"/>
            <w:vAlign w:val="bottom"/>
          </w:tcPr>
          <w:p>
            <w:pPr>
              <w:spacing w:after="0"/>
              <w:rPr>
                <w:sz w:val="1"/>
                <w:szCs w:val="1"/>
                <w:color w:val="auto"/>
              </w:rPr>
            </w:pPr>
          </w:p>
        </w:tc>
      </w:tr>
      <w:tr>
        <w:trPr>
          <w:trHeight w:val="230"/>
        </w:trPr>
        <w:tc>
          <w:tcPr>
            <w:tcW w:w="2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Class B-R Notes</w:t>
            </w: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18,102,679</w:t>
            </w: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18,250,000</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LIBOR + 3.17%</w:t>
            </w:r>
          </w:p>
        </w:tc>
        <w:tc>
          <w:tcPr>
            <w:tcW w:w="1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7"/>
              </w:rPr>
              <w:t>A (sf)</w:t>
            </w:r>
          </w:p>
        </w:tc>
        <w:tc>
          <w:tcPr>
            <w:tcW w:w="11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11/20/2029</w:t>
            </w:r>
          </w:p>
        </w:tc>
        <w:tc>
          <w:tcPr>
            <w:tcW w:w="0" w:type="dxa"/>
            <w:vAlign w:val="bottom"/>
          </w:tcPr>
          <w:p>
            <w:pPr>
              <w:spacing w:after="0"/>
              <w:rPr>
                <w:sz w:val="1"/>
                <w:szCs w:val="1"/>
                <w:color w:val="auto"/>
              </w:rPr>
            </w:pPr>
          </w:p>
        </w:tc>
      </w:tr>
      <w:tr>
        <w:trPr>
          <w:trHeight w:val="229"/>
        </w:trPr>
        <w:tc>
          <w:tcPr>
            <w:tcW w:w="28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8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162,327,125</w:t>
            </w:r>
          </w:p>
        </w:tc>
        <w:tc>
          <w:tcPr>
            <w:tcW w:w="4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163,862,698</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380" w:right="340" w:hanging="372"/>
        <w:spacing w:after="0" w:line="189" w:lineRule="auto"/>
        <w:tabs>
          <w:tab w:leader="none" w:pos="380" w:val="left"/>
        </w:tabs>
        <w:numPr>
          <w:ilvl w:val="0"/>
          <w:numId w:val="69"/>
        </w:numPr>
        <w:rPr>
          <w:rFonts w:ascii="Arial" w:cs="Arial" w:eastAsia="Arial" w:hAnsi="Arial"/>
          <w:sz w:val="29"/>
          <w:szCs w:val="29"/>
          <w:color w:val="auto"/>
          <w:vertAlign w:val="superscript"/>
        </w:rPr>
      </w:pPr>
      <w:r>
        <w:rPr>
          <w:rFonts w:ascii="Arial" w:cs="Arial" w:eastAsia="Arial" w:hAnsi="Arial"/>
          <w:sz w:val="16"/>
          <w:szCs w:val="16"/>
          <w:color w:val="auto"/>
        </w:rPr>
        <w:t>Represents ratings from each of S&amp;P and DBRS for the Class A-1R-R Notes and the Class A-1T-R Notes and from S&amp;P for the Class A-2-R Notes and Class B-R Notes as of the closing of the CLO on October 18, 2018.</w:t>
      </w:r>
    </w:p>
    <w:p>
      <w:pPr>
        <w:spacing w:after="0" w:line="1" w:lineRule="exact"/>
        <w:rPr>
          <w:rFonts w:ascii="Arial" w:cs="Arial" w:eastAsia="Arial" w:hAnsi="Arial"/>
          <w:sz w:val="29"/>
          <w:szCs w:val="29"/>
          <w:color w:val="auto"/>
          <w:vertAlign w:val="superscript"/>
        </w:rPr>
      </w:pPr>
    </w:p>
    <w:p>
      <w:pPr>
        <w:ind w:left="380" w:right="500" w:hanging="372"/>
        <w:spacing w:after="0" w:line="187" w:lineRule="auto"/>
        <w:tabs>
          <w:tab w:leader="none" w:pos="380" w:val="left"/>
        </w:tabs>
        <w:numPr>
          <w:ilvl w:val="0"/>
          <w:numId w:val="69"/>
        </w:numPr>
        <w:rPr>
          <w:rFonts w:ascii="Arial" w:cs="Arial" w:eastAsia="Arial" w:hAnsi="Arial"/>
          <w:sz w:val="29"/>
          <w:szCs w:val="29"/>
          <w:color w:val="auto"/>
          <w:vertAlign w:val="superscript"/>
        </w:rPr>
      </w:pPr>
      <w:r>
        <w:rPr>
          <w:rFonts w:ascii="Arial" w:cs="Arial" w:eastAsia="Arial" w:hAnsi="Arial"/>
          <w:sz w:val="16"/>
          <w:szCs w:val="16"/>
          <w:color w:val="auto"/>
        </w:rPr>
        <w:t>The indenture governing our CLO permits the repricing or refinancing of the secured notes after November 20, 2020, which may result in the redemption of the outstanding notes occurring prior to their stated maturity.</w:t>
      </w:r>
    </w:p>
    <w:p>
      <w:pPr>
        <w:spacing w:after="0" w:line="1" w:lineRule="exact"/>
        <w:rPr>
          <w:rFonts w:ascii="Arial" w:cs="Arial" w:eastAsia="Arial" w:hAnsi="Arial"/>
          <w:sz w:val="29"/>
          <w:szCs w:val="29"/>
          <w:color w:val="auto"/>
          <w:vertAlign w:val="superscript"/>
        </w:rPr>
      </w:pPr>
    </w:p>
    <w:p>
      <w:pPr>
        <w:ind w:left="380" w:hanging="372"/>
        <w:spacing w:after="0" w:line="183" w:lineRule="auto"/>
        <w:tabs>
          <w:tab w:leader="none" w:pos="380" w:val="left"/>
        </w:tabs>
        <w:numPr>
          <w:ilvl w:val="0"/>
          <w:numId w:val="69"/>
        </w:numPr>
        <w:rPr>
          <w:rFonts w:ascii="Arial" w:cs="Arial" w:eastAsia="Arial" w:hAnsi="Arial"/>
          <w:sz w:val="23"/>
          <w:szCs w:val="23"/>
          <w:color w:val="auto"/>
          <w:vertAlign w:val="superscript"/>
        </w:rPr>
      </w:pPr>
      <w:r>
        <w:rPr>
          <w:rFonts w:ascii="Arial" w:cs="Arial" w:eastAsia="Arial" w:hAnsi="Arial"/>
          <w:sz w:val="13"/>
          <w:szCs w:val="13"/>
          <w:color w:val="auto"/>
        </w:rPr>
        <w:t>Interest may be indexed to either the CP Rate (as defined in the governing indenture) or three-month USD LIBOR.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7" w:name="page68"/>
    <w:bookmarkEnd w:id="67"/>
    <w:p>
      <w:pPr>
        <w:ind w:right="140" w:firstLine="374"/>
        <w:spacing w:after="0" w:line="259" w:lineRule="auto"/>
        <w:rPr>
          <w:sz w:val="20"/>
          <w:szCs w:val="20"/>
          <w:color w:val="auto"/>
        </w:rPr>
      </w:pPr>
      <w:r>
        <w:rPr>
          <w:rFonts w:ascii="Arial" w:cs="Arial" w:eastAsia="Arial" w:hAnsi="Arial"/>
          <w:sz w:val="18"/>
          <w:szCs w:val="18"/>
          <w:color w:val="auto"/>
        </w:rPr>
        <w:t>October 28, 2020 the Company completed the GARS Acquisition, pursuant to the terms and conditions of the GARS Merger Agreement. In connection therewith, the Company now consolidates the financial statements the 2018-2 CLO a $420.0 million par value CLO facility. On the date of the transaction the debt assumed was recognized at fair value, resulting in a $2.4 million discount which is amortized over the remaining term of the borrowings.</w:t>
      </w:r>
    </w:p>
    <w:p>
      <w:pPr>
        <w:spacing w:after="0" w:line="187" w:lineRule="exact"/>
        <w:rPr>
          <w:sz w:val="20"/>
          <w:szCs w:val="20"/>
          <w:color w:val="auto"/>
        </w:rPr>
      </w:pPr>
    </w:p>
    <w:p>
      <w:pPr>
        <w:ind w:firstLine="374"/>
        <w:spacing w:after="0" w:line="286" w:lineRule="auto"/>
        <w:rPr>
          <w:sz w:val="20"/>
          <w:szCs w:val="20"/>
          <w:color w:val="auto"/>
        </w:rPr>
      </w:pPr>
      <w:r>
        <w:rPr>
          <w:rFonts w:ascii="Arial" w:cs="Arial" w:eastAsia="Arial" w:hAnsi="Arial"/>
          <w:sz w:val="16"/>
          <w:szCs w:val="16"/>
          <w:color w:val="auto"/>
        </w:rPr>
        <w:t>The CLO was executed by GF 2018-2 (the “Issuer”) and Garrison Funding 2018-2 LLC (together with the Issuer, the “Co-Issuers”) who issued $312.0 million of senior secured notes (collectively referred to as the “2018-2 Secured Notes” individually defined above in the table) and $108.0 million of subordinated notes (the “2018-2 Subordinated Notes” and, together with the 2018-2 Secured Notes, the “2018-2 Notes”) backed by a diversified portfolio of primarily senior secured loans. The Company owns all $108.0 million of the 2018-2 Subordinated Notes and $18.3 million of the Class B-R Notes and serves as collateral manager for the Co-Issuers. The Company is entitled to receive interest from the Class B-R Notes, distributions from the 2018-2 Subordinated Notes and fees for serving as collateral manager in accordance with the CLO’s governing documents and to the extent funds are available for such purposes. However, as a result of retaining all of the 2018-2 Subordinated Notes, the Company consolidates the accounts of the Co-Issuers into its financial statements and all transactions between the Company and the Co-Issuers are eliminated on consolidation. As a result of this consolidation, the 2018-2 Secured Notes issued by the CLO is treated as the Company’s indebtedness, except any 2018-2 Secured Notes owned by the Company, which are eliminated in consolidation. The 2018-2 Notes are scheduled to mature on November 20, 2029, however the Co-Issuers may redeem the 2018-2 Notes on any business day after November 20, 2020. The indenture governing the 2018-2 Notes provides that, to the extent cash is available from cash collections, the holders of the 2018-2 Notes are to receive quarterly interest payments on the 20th day or, if not a business day, the next succeeding business day of February, May, August and November of each year until the stated maturity or earlier redemption. On July 18, 2019, $25.0 million outstanding of the aggregate $50.0 million Class A-1R-R Notes available under the CLO converted to Class A-1T-R Notes. The remaining $25.0 million of Class A-1R-R Notes, to the extent drawn, will convert to term notes on or before November 20, 2022.</w:t>
      </w:r>
    </w:p>
    <w:p>
      <w:pPr>
        <w:spacing w:after="0" w:line="167" w:lineRule="exact"/>
        <w:rPr>
          <w:sz w:val="20"/>
          <w:szCs w:val="20"/>
          <w:color w:val="auto"/>
        </w:rPr>
      </w:pPr>
    </w:p>
    <w:p>
      <w:pPr>
        <w:ind w:right="620" w:firstLine="374"/>
        <w:spacing w:after="0" w:line="277" w:lineRule="auto"/>
        <w:rPr>
          <w:sz w:val="20"/>
          <w:szCs w:val="20"/>
          <w:color w:val="auto"/>
        </w:rPr>
      </w:pPr>
      <w:r>
        <w:rPr>
          <w:rFonts w:ascii="Arial" w:cs="Arial" w:eastAsia="Arial" w:hAnsi="Arial"/>
          <w:sz w:val="18"/>
          <w:szCs w:val="18"/>
          <w:color w:val="auto"/>
        </w:rPr>
        <w:t>During the first quarter of 2021, the Company redeemed approximately $88 million of the 2018-2 Secured Notes. In connection therewith, the Company recognized a realized loss on extinguishment of debt of approximately $0.9 million.</w:t>
      </w:r>
    </w:p>
    <w:p>
      <w:pPr>
        <w:spacing w:after="0" w:line="170" w:lineRule="exact"/>
        <w:rPr>
          <w:sz w:val="20"/>
          <w:szCs w:val="20"/>
          <w:color w:val="auto"/>
        </w:rPr>
      </w:pPr>
    </w:p>
    <w:p>
      <w:pPr>
        <w:ind w:right="160" w:firstLine="374"/>
        <w:spacing w:after="0" w:line="277" w:lineRule="auto"/>
        <w:rPr>
          <w:sz w:val="20"/>
          <w:szCs w:val="20"/>
          <w:color w:val="auto"/>
        </w:rPr>
      </w:pPr>
      <w:r>
        <w:rPr>
          <w:rFonts w:ascii="Arial" w:cs="Arial" w:eastAsia="Arial" w:hAnsi="Arial"/>
          <w:sz w:val="18"/>
          <w:szCs w:val="18"/>
          <w:color w:val="auto"/>
        </w:rPr>
        <w:t>The fair value of the 2018-2 Notes approximated their carrying value on the consolidated statements of financial condition as of March 31, 2021 and are categorized as Level III under the ASC 820 Fair Value Hierarchy.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Collateralized Loan Obligation Financing Covenants</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documents governing the CLO include three overcollateralization tests which are comprised of the Class A Overcollateralization Test, the Class B Overcollateralization Test and the EoD Overcollateralization Test, each of which are individually defined below.</w:t>
      </w:r>
    </w:p>
    <w:p>
      <w:pPr>
        <w:spacing w:after="0" w:line="17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documents governing the CLO include two coverage tests applicable to the 2018-2 Secured Notes as of March 31, 2021. The first test compares the amount of interest received on the collateral loans held by 2018-2 CLO to the amount of interest payable on the 2018-2 Secured Notes in respect of the amounts drawn and certain expenses. To meet this first test, at any time, the aggregate amount of interest received on the collateral loans must equal, after the payment of certain fees and expenses, at least 135.0% of the aggregate amount of interest payable on the Class A-1R-R Notes, the Class A-1T-R Notes and the Class A-2-R Notes (collectively, the “Class A-R Notes”) and 125.0% of the interest payable on the Class A-R Notes and Class B-R Notes, taken together.</w:t>
      </w:r>
    </w:p>
    <w:p>
      <w:pPr>
        <w:spacing w:after="0" w:line="19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second test compares the aggregate assets that serve as collateral for the 2018-2 Secured Notes, or the Total Capitalization, as defined and calculated in accordance with the indenture, to the aggregate outstanding principal amount of the 2018-2 Secured Notes in respect of the amounts drawn. To meet this second test at any time, the Total Capitalization must equal at least (1) 128.0% of the aggregate outstanding principal amount of the Class A-R Notes (“Class A Overcollateralization Test”), and (2) 118.2% of the aggregate principal amount of the Class A-R Notes and Class B-R Notes, taken together (the test in clause (2), the “Class B Overcollateralization Test”). As of December 31, 2020, the Company was in compliance of the Class B Overcollateralization Test and as a result must cure the Class B Overcollateralization Test in order to avoid diversion of cash away from making additional investments or distributions.</w:t>
      </w:r>
    </w:p>
    <w:p>
      <w:pPr>
        <w:spacing w:after="0" w:line="195"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If the coverage tests are not satisfied with respect to a quarterly payment date, the CLO may be required to apply amounts to the repayment of interest on and principal of the 2018-2 Notes prior to their maturity to the extent necessary to satisfy the applicable coverage tests. As a result, there may be reduced funds available for 2018-2 CLO to make additional investments or to make distributions on the 2018-2 Notes held by the Company. Additionally, compliance was measured on each day collateral loans are purchased, originated or sold and in connection with monthly reporting to the note holders.</w:t>
      </w:r>
    </w:p>
    <w:p>
      <w:pPr>
        <w:spacing w:after="0" w:line="15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Furthermore, if under the second coverage test the Total Capitalization equals 125.0% or less of the aggregate outstanding principal amount on the Class A-1R-R and Class A-1T-R Notes (“EoD Overcollateralization Test”), taken together remained so for ten business days, an event of default would be deemed to have occurred.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ind w:right="320" w:firstLine="749"/>
        <w:spacing w:after="0" w:line="277" w:lineRule="auto"/>
        <w:rPr>
          <w:sz w:val="20"/>
          <w:szCs w:val="20"/>
          <w:color w:val="auto"/>
        </w:rPr>
      </w:pPr>
      <w:r>
        <w:rPr>
          <w:rFonts w:ascii="Arial" w:cs="Arial" w:eastAsia="Arial" w:hAnsi="Arial"/>
          <w:sz w:val="18"/>
          <w:szCs w:val="18"/>
          <w:color w:val="auto"/>
        </w:rPr>
        <w:t>As of March 31, 2021, the trustee for the CLO has asserted that the Class A Overcollateralization Test, Class B Overcollateralization, and the EoD Overcollateralization Test were met.</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20" w:type="dxa"/>
            <w:vAlign w:val="bottom"/>
            <w:gridSpan w:val="2"/>
          </w:tcPr>
          <w:p>
            <w:pPr>
              <w:spacing w:after="0"/>
              <w:rPr>
                <w:sz w:val="20"/>
                <w:szCs w:val="20"/>
                <w:color w:val="auto"/>
              </w:rPr>
            </w:pPr>
            <w:r>
              <w:rPr>
                <w:rFonts w:ascii="Arial" w:cs="Arial" w:eastAsia="Arial" w:hAnsi="Arial"/>
                <w:sz w:val="18"/>
                <w:szCs w:val="18"/>
                <w:i w:val="1"/>
                <w:iCs w:val="1"/>
                <w:color w:val="auto"/>
              </w:rPr>
              <w:t>Senior Securities</w:t>
            </w: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27"/>
        </w:trPr>
        <w:tc>
          <w:tcPr>
            <w:tcW w:w="8320" w:type="dxa"/>
            <w:vAlign w:val="bottom"/>
            <w:gridSpan w:val="7"/>
          </w:tcPr>
          <w:p>
            <w:pPr>
              <w:ind w:left="520"/>
              <w:spacing w:after="0"/>
              <w:rPr>
                <w:sz w:val="20"/>
                <w:szCs w:val="20"/>
                <w:color w:val="auto"/>
              </w:rPr>
            </w:pPr>
            <w:r>
              <w:rPr>
                <w:rFonts w:ascii="Arial" w:cs="Arial" w:eastAsia="Arial" w:hAnsi="Arial"/>
                <w:sz w:val="18"/>
                <w:szCs w:val="18"/>
                <w:color w:val="auto"/>
                <w:w w:val="94"/>
              </w:rPr>
              <w:t>Information about the Company’s senior securities is shown as of the dates indicated in the below table.</w:t>
            </w:r>
          </w:p>
        </w:tc>
        <w:tc>
          <w:tcPr>
            <w:tcW w:w="1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6"/>
        </w:trPr>
        <w:tc>
          <w:tcPr>
            <w:tcW w:w="4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93"/>
              </w:rPr>
              <w:t>Total Amount</w:t>
            </w: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4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90"/>
              </w:rPr>
              <w:t>Outstanding</w:t>
            </w: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4"/>
              </w:rPr>
              <w:t>Involuntary</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4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87"/>
              </w:rPr>
              <w:t>Exclusive of</w:t>
            </w:r>
          </w:p>
        </w:tc>
        <w:tc>
          <w:tcPr>
            <w:tcW w:w="14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5"/>
              </w:rPr>
              <w:t>Asset</w:t>
            </w:r>
          </w:p>
        </w:tc>
        <w:tc>
          <w:tcPr>
            <w:tcW w:w="18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4"/>
              </w:rPr>
              <w:t>Liquidating</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9"/>
              </w:rPr>
              <w:t>Market</w:t>
            </w:r>
          </w:p>
        </w:tc>
      </w:tr>
      <w:tr>
        <w:trPr>
          <w:trHeight w:val="216"/>
        </w:trPr>
        <w:tc>
          <w:tcPr>
            <w:tcW w:w="4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89"/>
              </w:rPr>
              <w:t>Treasury</w:t>
            </w:r>
          </w:p>
        </w:tc>
        <w:tc>
          <w:tcPr>
            <w:tcW w:w="14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Coverage per</w:t>
            </w:r>
          </w:p>
        </w:tc>
        <w:tc>
          <w:tcPr>
            <w:tcW w:w="18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Preference per</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1"/>
              </w:rPr>
              <w:t>Value per</w:t>
            </w:r>
          </w:p>
        </w:tc>
      </w:tr>
      <w:tr>
        <w:trPr>
          <w:trHeight w:val="234"/>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Class and Period</w:t>
            </w: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center"/>
              <w:ind w:right="131"/>
              <w:spacing w:after="0"/>
              <w:rPr>
                <w:sz w:val="20"/>
                <w:szCs w:val="20"/>
                <w:color w:val="auto"/>
              </w:rPr>
            </w:pPr>
            <w:r>
              <w:rPr>
                <w:rFonts w:ascii="Arial" w:cs="Arial" w:eastAsia="Arial" w:hAnsi="Arial"/>
                <w:sz w:val="18"/>
                <w:szCs w:val="18"/>
                <w:b w:val="1"/>
                <w:bCs w:val="1"/>
                <w:color w:val="auto"/>
                <w:w w:val="88"/>
              </w:rPr>
              <w:t>Securities</w:t>
            </w:r>
            <w:r>
              <w:rPr>
                <w:rFonts w:ascii="Arial" w:cs="Arial" w:eastAsia="Arial" w:hAnsi="Arial"/>
                <w:sz w:val="15"/>
                <w:szCs w:val="15"/>
                <w:b w:val="1"/>
                <w:bCs w:val="1"/>
                <w:color w:val="auto"/>
                <w:w w:val="88"/>
              </w:rPr>
              <w:t>(1)</w:t>
            </w:r>
          </w:p>
        </w:tc>
        <w:tc>
          <w:tcPr>
            <w:tcW w:w="38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Unit</w:t>
            </w:r>
            <w:r>
              <w:rPr>
                <w:rFonts w:ascii="Arial" w:cs="Arial" w:eastAsia="Arial" w:hAnsi="Arial"/>
                <w:sz w:val="15"/>
                <w:szCs w:val="15"/>
                <w:b w:val="1"/>
                <w:bCs w:val="1"/>
                <w:color w:val="auto"/>
                <w:w w:val="97"/>
              </w:rPr>
              <w:t>(2)</w:t>
            </w:r>
          </w:p>
        </w:tc>
        <w:tc>
          <w:tcPr>
            <w:tcW w:w="38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Unit</w:t>
            </w:r>
            <w:r>
              <w:rPr>
                <w:rFonts w:ascii="Arial" w:cs="Arial" w:eastAsia="Arial" w:hAnsi="Arial"/>
                <w:sz w:val="15"/>
                <w:szCs w:val="15"/>
                <w:b w:val="1"/>
                <w:bCs w:val="1"/>
                <w:color w:val="auto"/>
                <w:w w:val="97"/>
              </w:rPr>
              <w:t>(3)</w:t>
            </w:r>
          </w:p>
        </w:tc>
        <w:tc>
          <w:tcPr>
            <w:tcW w:w="380" w:type="dxa"/>
            <w:vAlign w:val="bottom"/>
          </w:tcPr>
          <w:p>
            <w:pPr>
              <w:spacing w:after="0"/>
              <w:rPr>
                <w:sz w:val="20"/>
                <w:szCs w:val="20"/>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Unit</w:t>
            </w:r>
            <w:r>
              <w:rPr>
                <w:rFonts w:ascii="Arial" w:cs="Arial" w:eastAsia="Arial" w:hAnsi="Arial"/>
                <w:sz w:val="15"/>
                <w:szCs w:val="15"/>
                <w:b w:val="1"/>
                <w:bCs w:val="1"/>
                <w:color w:val="auto"/>
                <w:w w:val="97"/>
              </w:rPr>
              <w:t>(4)</w:t>
            </w:r>
          </w:p>
        </w:tc>
      </w:tr>
      <w:tr>
        <w:trPr>
          <w:trHeight w:val="223"/>
        </w:trPr>
        <w:tc>
          <w:tcPr>
            <w:tcW w:w="4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0"/>
              </w:rPr>
              <w:t>(dollars in thousands)</w:t>
            </w: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4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Fiscal 2011</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60,000</w:t>
            </w:r>
          </w:p>
        </w:tc>
        <w:tc>
          <w:tcPr>
            <w:tcW w:w="3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4,009</w:t>
            </w:r>
          </w:p>
        </w:tc>
        <w:tc>
          <w:tcPr>
            <w:tcW w:w="38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ind w:left="13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N/A</w:t>
            </w:r>
          </w:p>
        </w:tc>
      </w:tr>
      <w:tr>
        <w:trPr>
          <w:trHeight w:val="229"/>
        </w:trPr>
        <w:tc>
          <w:tcPr>
            <w:tcW w:w="4520" w:type="dxa"/>
            <w:vAlign w:val="bottom"/>
            <w:gridSpan w:val="2"/>
          </w:tcPr>
          <w:p>
            <w:pPr>
              <w:spacing w:after="0"/>
              <w:rPr>
                <w:sz w:val="20"/>
                <w:szCs w:val="20"/>
                <w:color w:val="auto"/>
              </w:rPr>
            </w:pPr>
            <w:r>
              <w:rPr>
                <w:rFonts w:ascii="Arial" w:cs="Arial" w:eastAsia="Arial" w:hAnsi="Arial"/>
                <w:sz w:val="18"/>
                <w:szCs w:val="18"/>
                <w:color w:val="auto"/>
              </w:rPr>
              <w:t>Fiscal 2012</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101,400</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3,050</w:t>
            </w:r>
          </w:p>
        </w:tc>
        <w:tc>
          <w:tcPr>
            <w:tcW w:w="380" w:type="dxa"/>
            <w:vAlign w:val="bottom"/>
          </w:tcPr>
          <w:p>
            <w:pPr>
              <w:spacing w:after="0"/>
              <w:rPr>
                <w:sz w:val="19"/>
                <w:szCs w:val="19"/>
                <w:color w:val="auto"/>
              </w:rPr>
            </w:pPr>
          </w:p>
        </w:tc>
        <w:tc>
          <w:tcPr>
            <w:tcW w:w="18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N/A</w:t>
            </w:r>
          </w:p>
        </w:tc>
      </w:tr>
      <w:tr>
        <w:trPr>
          <w:trHeight w:val="230"/>
        </w:trPr>
        <w:tc>
          <w:tcPr>
            <w:tcW w:w="4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Fiscal 2013</w:t>
            </w:r>
          </w:p>
        </w:tc>
        <w:tc>
          <w:tcPr>
            <w:tcW w:w="20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192,592</w:t>
            </w:r>
          </w:p>
        </w:tc>
        <w:tc>
          <w:tcPr>
            <w:tcW w:w="3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2,264</w:t>
            </w:r>
          </w:p>
        </w:tc>
        <w:tc>
          <w:tcPr>
            <w:tcW w:w="38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ind w:left="13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N/A</w:t>
            </w:r>
          </w:p>
        </w:tc>
      </w:tr>
      <w:tr>
        <w:trPr>
          <w:trHeight w:val="229"/>
        </w:trPr>
        <w:tc>
          <w:tcPr>
            <w:tcW w:w="4520" w:type="dxa"/>
            <w:vAlign w:val="bottom"/>
            <w:gridSpan w:val="2"/>
          </w:tcPr>
          <w:p>
            <w:pPr>
              <w:spacing w:after="0"/>
              <w:rPr>
                <w:sz w:val="20"/>
                <w:szCs w:val="20"/>
                <w:color w:val="auto"/>
              </w:rPr>
            </w:pPr>
            <w:r>
              <w:rPr>
                <w:rFonts w:ascii="Arial" w:cs="Arial" w:eastAsia="Arial" w:hAnsi="Arial"/>
                <w:sz w:val="18"/>
                <w:szCs w:val="18"/>
                <w:color w:val="auto"/>
              </w:rPr>
              <w:t>Fiscal 2014</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223,885</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2,140</w:t>
            </w:r>
          </w:p>
        </w:tc>
        <w:tc>
          <w:tcPr>
            <w:tcW w:w="380" w:type="dxa"/>
            <w:vAlign w:val="bottom"/>
          </w:tcPr>
          <w:p>
            <w:pPr>
              <w:spacing w:after="0"/>
              <w:rPr>
                <w:sz w:val="19"/>
                <w:szCs w:val="19"/>
                <w:color w:val="auto"/>
              </w:rPr>
            </w:pPr>
          </w:p>
        </w:tc>
        <w:tc>
          <w:tcPr>
            <w:tcW w:w="18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N/A</w:t>
            </w:r>
          </w:p>
        </w:tc>
      </w:tr>
      <w:tr>
        <w:trPr>
          <w:trHeight w:val="230"/>
        </w:trPr>
        <w:tc>
          <w:tcPr>
            <w:tcW w:w="4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Fiscal 2015</w:t>
            </w:r>
          </w:p>
        </w:tc>
        <w:tc>
          <w:tcPr>
            <w:tcW w:w="20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208,049</w:t>
            </w:r>
          </w:p>
        </w:tc>
        <w:tc>
          <w:tcPr>
            <w:tcW w:w="3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2,025</w:t>
            </w:r>
          </w:p>
        </w:tc>
        <w:tc>
          <w:tcPr>
            <w:tcW w:w="38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ind w:left="13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N/A</w:t>
            </w:r>
          </w:p>
        </w:tc>
      </w:tr>
      <w:tr>
        <w:trPr>
          <w:trHeight w:val="229"/>
        </w:trPr>
        <w:tc>
          <w:tcPr>
            <w:tcW w:w="4520" w:type="dxa"/>
            <w:vAlign w:val="bottom"/>
            <w:gridSpan w:val="2"/>
          </w:tcPr>
          <w:p>
            <w:pPr>
              <w:spacing w:after="0"/>
              <w:rPr>
                <w:sz w:val="20"/>
                <w:szCs w:val="20"/>
                <w:color w:val="auto"/>
              </w:rPr>
            </w:pPr>
            <w:r>
              <w:rPr>
                <w:rFonts w:ascii="Arial" w:cs="Arial" w:eastAsia="Arial" w:hAnsi="Arial"/>
                <w:sz w:val="18"/>
                <w:szCs w:val="18"/>
                <w:color w:val="auto"/>
              </w:rPr>
              <w:t>Fiscal 2016</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180,881</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2,048</w:t>
            </w:r>
          </w:p>
        </w:tc>
        <w:tc>
          <w:tcPr>
            <w:tcW w:w="380" w:type="dxa"/>
            <w:vAlign w:val="bottom"/>
          </w:tcPr>
          <w:p>
            <w:pPr>
              <w:spacing w:after="0"/>
              <w:rPr>
                <w:sz w:val="19"/>
                <w:szCs w:val="19"/>
                <w:color w:val="auto"/>
              </w:rPr>
            </w:pPr>
          </w:p>
        </w:tc>
        <w:tc>
          <w:tcPr>
            <w:tcW w:w="18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N/A</w:t>
            </w:r>
          </w:p>
        </w:tc>
      </w:tr>
      <w:tr>
        <w:trPr>
          <w:trHeight w:val="229"/>
        </w:trPr>
        <w:tc>
          <w:tcPr>
            <w:tcW w:w="4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Fiscal 2017</w:t>
            </w:r>
          </w:p>
        </w:tc>
        <w:tc>
          <w:tcPr>
            <w:tcW w:w="20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104,407</w:t>
            </w:r>
          </w:p>
        </w:tc>
        <w:tc>
          <w:tcPr>
            <w:tcW w:w="3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2,713</w:t>
            </w:r>
          </w:p>
        </w:tc>
        <w:tc>
          <w:tcPr>
            <w:tcW w:w="38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ind w:left="13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N/A</w:t>
            </w:r>
          </w:p>
        </w:tc>
      </w:t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rPr>
              <w:t>Fiscal 2018</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103,763</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2,490</w:t>
            </w:r>
          </w:p>
        </w:tc>
        <w:tc>
          <w:tcPr>
            <w:tcW w:w="380" w:type="dxa"/>
            <w:vAlign w:val="bottom"/>
          </w:tcPr>
          <w:p>
            <w:pPr>
              <w:spacing w:after="0"/>
              <w:rPr>
                <w:sz w:val="19"/>
                <w:szCs w:val="19"/>
                <w:color w:val="auto"/>
              </w:rPr>
            </w:pPr>
          </w:p>
        </w:tc>
        <w:tc>
          <w:tcPr>
            <w:tcW w:w="18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N/A</w:t>
            </w:r>
          </w:p>
        </w:tc>
      </w:tr>
      <w:tr>
        <w:trPr>
          <w:trHeight w:val="229"/>
        </w:trPr>
        <w:tc>
          <w:tcPr>
            <w:tcW w:w="4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Fiscal 2019</w:t>
            </w:r>
            <w:r>
              <w:rPr>
                <w:rFonts w:ascii="Arial" w:cs="Arial" w:eastAsia="Arial" w:hAnsi="Arial"/>
                <w:sz w:val="15"/>
                <w:szCs w:val="15"/>
                <w:color w:val="auto"/>
              </w:rPr>
              <w:t>(5)</w:t>
            </w:r>
          </w:p>
        </w:tc>
        <w:tc>
          <w:tcPr>
            <w:tcW w:w="20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156,978</w:t>
            </w:r>
          </w:p>
        </w:tc>
        <w:tc>
          <w:tcPr>
            <w:tcW w:w="3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1,950</w:t>
            </w:r>
          </w:p>
        </w:tc>
        <w:tc>
          <w:tcPr>
            <w:tcW w:w="38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ind w:left="13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N/A</w:t>
            </w:r>
          </w:p>
        </w:tc>
      </w:tr>
      <w:tr>
        <w:trPr>
          <w:trHeight w:val="229"/>
        </w:trPr>
        <w:tc>
          <w:tcPr>
            <w:tcW w:w="4520" w:type="dxa"/>
            <w:vAlign w:val="bottom"/>
            <w:gridSpan w:val="2"/>
          </w:tcPr>
          <w:p>
            <w:pPr>
              <w:spacing w:after="0"/>
              <w:rPr>
                <w:sz w:val="20"/>
                <w:szCs w:val="20"/>
                <w:color w:val="auto"/>
              </w:rPr>
            </w:pPr>
            <w:r>
              <w:rPr>
                <w:rFonts w:ascii="Arial" w:cs="Arial" w:eastAsia="Arial" w:hAnsi="Arial"/>
                <w:sz w:val="18"/>
                <w:szCs w:val="18"/>
                <w:color w:val="auto"/>
              </w:rPr>
              <w:t>Fiscal 2020</w:t>
            </w:r>
            <w:r>
              <w:rPr>
                <w:rFonts w:ascii="Arial" w:cs="Arial" w:eastAsia="Arial" w:hAnsi="Arial"/>
                <w:sz w:val="15"/>
                <w:szCs w:val="15"/>
                <w:color w:val="auto"/>
              </w:rPr>
              <w:t>(6)</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377,910</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1,560</w:t>
            </w:r>
          </w:p>
        </w:tc>
        <w:tc>
          <w:tcPr>
            <w:tcW w:w="380" w:type="dxa"/>
            <w:vAlign w:val="bottom"/>
          </w:tcPr>
          <w:p>
            <w:pPr>
              <w:spacing w:after="0"/>
              <w:rPr>
                <w:sz w:val="19"/>
                <w:szCs w:val="19"/>
                <w:color w:val="auto"/>
              </w:rPr>
            </w:pPr>
          </w:p>
        </w:tc>
        <w:tc>
          <w:tcPr>
            <w:tcW w:w="18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N/A</w:t>
            </w:r>
          </w:p>
        </w:tc>
      </w:tr>
      <w:tr>
        <w:trPr>
          <w:trHeight w:val="230"/>
        </w:trPr>
        <w:tc>
          <w:tcPr>
            <w:tcW w:w="4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March 31, 2021</w:t>
            </w:r>
            <w:r>
              <w:rPr>
                <w:rFonts w:ascii="Arial" w:cs="Arial" w:eastAsia="Arial" w:hAnsi="Arial"/>
                <w:sz w:val="15"/>
                <w:szCs w:val="15"/>
                <w:color w:val="auto"/>
              </w:rPr>
              <w:t>(7)</w:t>
            </w:r>
          </w:p>
        </w:tc>
        <w:tc>
          <w:tcPr>
            <w:tcW w:w="20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309,660</w:t>
            </w:r>
          </w:p>
        </w:tc>
        <w:tc>
          <w:tcPr>
            <w:tcW w:w="3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1,699</w:t>
            </w:r>
          </w:p>
        </w:tc>
        <w:tc>
          <w:tcPr>
            <w:tcW w:w="38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ind w:left="13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N/A</w:t>
            </w:r>
          </w:p>
        </w:tc>
      </w:tr>
    </w:tbl>
    <w:p>
      <w:pPr>
        <w:spacing w:after="0" w:line="200" w:lineRule="exact"/>
        <w:rPr>
          <w:sz w:val="20"/>
          <w:szCs w:val="20"/>
          <w:color w:val="auto"/>
        </w:rPr>
      </w:pPr>
    </w:p>
    <w:p>
      <w:pPr>
        <w:spacing w:after="0" w:line="272" w:lineRule="exact"/>
        <w:rPr>
          <w:sz w:val="20"/>
          <w:szCs w:val="20"/>
          <w:color w:val="auto"/>
        </w:rPr>
      </w:pPr>
    </w:p>
    <w:p>
      <w:pPr>
        <w:ind w:left="460" w:hanging="452"/>
        <w:spacing w:after="0"/>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Total amount of each class of senior securities outstanding at the end of the period presented.</w:t>
      </w:r>
    </w:p>
    <w:p>
      <w:pPr>
        <w:spacing w:after="0" w:line="23" w:lineRule="exact"/>
        <w:rPr>
          <w:rFonts w:ascii="Arial" w:cs="Arial" w:eastAsia="Arial" w:hAnsi="Arial"/>
          <w:sz w:val="18"/>
          <w:szCs w:val="18"/>
          <w:color w:val="auto"/>
        </w:rPr>
      </w:pPr>
    </w:p>
    <w:p>
      <w:pPr>
        <w:ind w:left="460" w:right="160" w:hanging="452"/>
        <w:spacing w:after="0" w:line="250" w:lineRule="auto"/>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Asset coverage per unit is the ratio of the carrying value of PTMN’s total consolidated assets, less all liabilities and indebtedness not represented by senior securities, to the aggregate amount of senior securities representing indebtedness. Asset coverage per unit is expressed in terms of dollar amounts per $1,000 of indebtedness.</w:t>
      </w:r>
    </w:p>
    <w:p>
      <w:pPr>
        <w:spacing w:after="0" w:line="1" w:lineRule="exact"/>
        <w:rPr>
          <w:rFonts w:ascii="Arial" w:cs="Arial" w:eastAsia="Arial" w:hAnsi="Arial"/>
          <w:sz w:val="18"/>
          <w:szCs w:val="18"/>
          <w:color w:val="auto"/>
        </w:rPr>
      </w:pPr>
    </w:p>
    <w:p>
      <w:pPr>
        <w:ind w:left="460" w:right="40" w:hanging="452"/>
        <w:spacing w:after="0" w:line="265" w:lineRule="auto"/>
        <w:tabs>
          <w:tab w:leader="none" w:pos="4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amount to which such class of senior security would be entitled upon the involuntary liquidation of the issuer in preference to any security junior to it. The “—” indicates information which the SEC expressly does not require to be disclosed for certain types of senior securities.</w:t>
      </w:r>
    </w:p>
    <w:p>
      <w:pPr>
        <w:ind w:left="460" w:right="140" w:hanging="452"/>
        <w:spacing w:after="0" w:line="281" w:lineRule="auto"/>
        <w:tabs>
          <w:tab w:leader="none" w:pos="4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Not applicable, except with respect to the 7.375% Notes Due 2019 and the 6.125% Notes Due 2022, as other debt securities are not registered for public trading. For the years ended December 31, 2017, 2016, 2015, 2014, 2013 and for the period from October 17, 2012 (date of issuance) to December 31, 2012, the average market value per $1,000 of par value of the 7.375% Notes Due 2019 was $1,016.04, $1,000.00, $1,011.96, $1,037.72, $1,032.96 and $1,012.28, respectively. For the years-ended December 31, 2020, 2019 and 2018 and for the period from August 14, 2017 (date of issuance) to December 31, 2017, the average market value per $1,000 of par value of the 6.125% Notes Due 2022 was $953.20, $1,009.93, $1,009.20 and $1,006.00, respectively. Average market value is computed by taking the daily average of the closing prices for the period.</w:t>
      </w:r>
    </w:p>
    <w:p>
      <w:pPr>
        <w:spacing w:after="0" w:line="3" w:lineRule="exact"/>
        <w:rPr>
          <w:rFonts w:ascii="Arial" w:cs="Arial" w:eastAsia="Arial" w:hAnsi="Arial"/>
          <w:sz w:val="16"/>
          <w:szCs w:val="16"/>
          <w:color w:val="auto"/>
        </w:rPr>
      </w:pPr>
    </w:p>
    <w:p>
      <w:pPr>
        <w:ind w:left="460" w:right="420" w:hanging="452"/>
        <w:spacing w:after="0" w:line="250" w:lineRule="auto"/>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As of December 31, 2019, the Total Amount Outstanding Exclusive of Treasury Securities consisted of 6.125% Notes Due 2022 of $77,407 and Revolving Credit Facilities of $79,571.</w:t>
      </w:r>
    </w:p>
    <w:p>
      <w:pPr>
        <w:ind w:left="460" w:right="680" w:hanging="452"/>
        <w:spacing w:after="0" w:line="250" w:lineRule="auto"/>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As of December 31, 2020, the Total Amount Outstanding Exclusive of Treasury Securities consisted of 6.125% Notes Due 2022 of $76,726, Revolving Credit Facilities of $49,321 and 2018-2 Secured Notes of $251,863.</w:t>
      </w:r>
    </w:p>
    <w:p>
      <w:pPr>
        <w:ind w:left="460" w:right="160" w:hanging="452"/>
        <w:spacing w:after="0" w:line="260" w:lineRule="auto"/>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As of March 31, 2021, the Total Amount Outstanding Exclusive of Treasury Securities consisted of 6.125% Notes Due 2022 of $76,726, Revolving Credit Facilities of $69,071 and 2018-2 Secured Notes of $163,863.</w:t>
      </w:r>
    </w:p>
    <w:p>
      <w:pPr>
        <w:spacing w:after="0" w:line="200" w:lineRule="exact"/>
        <w:rPr>
          <w:sz w:val="20"/>
          <w:szCs w:val="20"/>
          <w:color w:val="auto"/>
        </w:rPr>
      </w:pPr>
    </w:p>
    <w:p>
      <w:pPr>
        <w:spacing w:after="0" w:line="346" w:lineRule="exact"/>
        <w:rPr>
          <w:sz w:val="20"/>
          <w:szCs w:val="20"/>
          <w:color w:val="auto"/>
        </w:rPr>
      </w:pPr>
    </w:p>
    <w:p>
      <w:pPr>
        <w:ind w:left="380" w:hanging="372"/>
        <w:spacing w:after="0"/>
        <w:tabs>
          <w:tab w:leader="none" w:pos="38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DISTRIBUTABLE TAXABLE INCOME</w:t>
      </w:r>
    </w:p>
    <w:p>
      <w:pPr>
        <w:spacing w:after="0" w:line="189" w:lineRule="exact"/>
        <w:rPr>
          <w:sz w:val="20"/>
          <w:szCs w:val="20"/>
          <w:color w:val="auto"/>
        </w:rPr>
      </w:pPr>
    </w:p>
    <w:p>
      <w:pPr>
        <w:ind w:right="40" w:firstLine="374"/>
        <w:spacing w:after="0" w:line="272" w:lineRule="auto"/>
        <w:rPr>
          <w:sz w:val="20"/>
          <w:szCs w:val="20"/>
          <w:color w:val="auto"/>
        </w:rPr>
      </w:pPr>
      <w:r>
        <w:rPr>
          <w:rFonts w:ascii="Arial" w:cs="Arial" w:eastAsia="Arial" w:hAnsi="Arial"/>
          <w:sz w:val="17"/>
          <w:szCs w:val="17"/>
          <w:color w:val="auto"/>
        </w:rPr>
        <w:t>Effective December 11, 2006, the Company elected to be treated as a RIC under the Code and adopted a December 31 tax-calendar year end. As a RIC, the Company is not subject to federal income tax on the portion of its taxable income and gains distributed currently to its stockholders as a dividend. The Company’s quarterly distributions, if any, are determined by the Board. The Company anticipates distributing substantially all of its taxable income and gains, within the Subchapter M rules, and thus the Company anticipates that it will not incur any federal or state income tax at the RIC level. As a RIC, the Company is also subject to a federal excise tax based on distributive requirements of its taxable income on a calendar year basis (e.g., calendar year 2020). Depending on the level of taxable income earned in a tax year, the Company may choose to carry forward taxable income in excess of current year distributions into the next tax year and pay a 4% excise tax on such income, to the extent required.</w:t>
      </w:r>
    </w:p>
    <w:p>
      <w:pPr>
        <w:spacing w:after="0" w:line="137" w:lineRule="exact"/>
        <w:rPr>
          <w:sz w:val="20"/>
          <w:szCs w:val="20"/>
          <w:color w:val="auto"/>
        </w:rPr>
      </w:pPr>
    </w:p>
    <w:p>
      <w:pPr>
        <w:ind w:right="80" w:firstLine="374"/>
        <w:spacing w:after="0" w:line="263" w:lineRule="auto"/>
        <w:rPr>
          <w:sz w:val="20"/>
          <w:szCs w:val="20"/>
          <w:color w:val="auto"/>
        </w:rPr>
      </w:pPr>
      <w:r>
        <w:rPr>
          <w:rFonts w:ascii="Arial" w:cs="Arial" w:eastAsia="Arial" w:hAnsi="Arial"/>
          <w:sz w:val="18"/>
          <w:szCs w:val="18"/>
          <w:color w:val="auto"/>
        </w:rPr>
        <w:t>The Company may distribute taxable dividends that are payable in cash or shares of its common stock at the election of each stockholder. Under certain applicable provisions of the Code and the Treasury regulations, distributions payable in cash or in shares of stock at the election of stockholders are treated as taxable dividends. The Internal Revenue Service has published guidance indicating</w:t>
      </w:r>
    </w:p>
    <w:p>
      <w:pPr>
        <w:sectPr>
          <w:pgSz w:w="11900" w:h="16838" w:orient="portrait"/>
          <w:cols w:equalWidth="0" w:num="1">
            <w:col w:w="11240"/>
          </w:cols>
          <w:pgMar w:left="320" w:top="341" w:right="339" w:bottom="1440" w:gutter="0" w:footer="0" w:header="0"/>
        </w:sectPr>
      </w:pP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748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69" w:name="page70"/>
    <w:bookmarkEnd w:id="69"/>
    <w:p>
      <w:pPr>
        <w:spacing w:after="0" w:line="269" w:lineRule="auto"/>
        <w:rPr>
          <w:sz w:val="20"/>
          <w:szCs w:val="20"/>
          <w:color w:val="auto"/>
        </w:rPr>
      </w:pPr>
      <w:r>
        <w:rPr>
          <w:rFonts w:ascii="Arial" w:cs="Arial" w:eastAsia="Arial" w:hAnsi="Arial"/>
          <w:sz w:val="17"/>
          <w:szCs w:val="17"/>
          <w:color w:val="auto"/>
        </w:rPr>
        <w:t>that this rule will apply even where the total amount of cash that may be distributed is limited to no more than 20% of the total distribution. Under this guidance, if too many stockholders elect to receive their distributions in cash, the cash available for distribution must be allocated among the stockholders electing to receive cash (with the balance of the distribution paid in stock). If the Company decides to make any distributions consistent with this guidance that are payable in part in its stock, taxable stockholders receiving such dividends will be required to include the full amount of the dividend (whether received in cash, shares of the Company’s stock, or a combination thereof) as ordinary income (or as long-term capital gain to the extent such distribution is properly reported as a capital gain dividend) to the extent of the Company’s current and accumulated earnings and profits for U.S. federal income tax purposes. As a result, a U.S. stockholder may be required to pay tax with respect to such dividends in excess of any cash received. If a U.S. stockholder sells the stock it receives in order to pay this tax, the sales proceeds may be less than the amount included in income with respect to the dividend, depending on the market price of the Company’s stock at the time of the sale. Furthermore, with respect to non-U.S. stockholders, the Company may be required to withhold U.S. tax with respect to such dividends, including in respect of all or a portion of such dividend that is payable in stock. In addition, if a significant number of the Company’s stockholders determine to sell shares of its stock in order to pay taxes owed on dividends, it may put downward pressure on the trading price of the Company’s stock.</w:t>
      </w:r>
    </w:p>
    <w:p>
      <w:pPr>
        <w:spacing w:after="0" w:line="15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reconciles net increase in net assets resulting from operations to taxable income for the three months ended March 31, 2021 and 2020:</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300" w:type="dxa"/>
            <w:vAlign w:val="bottom"/>
            <w:gridSpan w:val="5"/>
          </w:tcPr>
          <w:p>
            <w:pPr>
              <w:jc w:val="right"/>
              <w:ind w:right="58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64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20" w:type="dxa"/>
            <w:vAlign w:val="bottom"/>
            <w:tcBorders>
              <w:bottom w:val="single" w:sz="8" w:color="CFF0FC"/>
            </w:tcBorders>
          </w:tcPr>
          <w:p>
            <w:pPr>
              <w:spacing w:after="0"/>
              <w:rPr>
                <w:sz w:val="19"/>
                <w:szCs w:val="19"/>
                <w:color w:val="auto"/>
              </w:rPr>
            </w:pPr>
          </w:p>
        </w:tc>
        <w:tc>
          <w:tcPr>
            <w:tcW w:w="13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(Unaudited)</w:t>
            </w:r>
          </w:p>
        </w:tc>
        <w:tc>
          <w:tcPr>
            <w:tcW w:w="2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Net (decrease) increase in net assets resulting from operations</w:t>
            </w:r>
          </w:p>
        </w:tc>
        <w:tc>
          <w:tcPr>
            <w:tcW w:w="13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8,037,115</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(29,052,933)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tcPr>
          <w:p>
            <w:pPr>
              <w:spacing w:after="0"/>
              <w:rPr>
                <w:sz w:val="20"/>
                <w:szCs w:val="20"/>
                <w:color w:val="auto"/>
              </w:rPr>
            </w:pPr>
            <w:r>
              <w:rPr>
                <w:rFonts w:ascii="Arial" w:cs="Arial" w:eastAsia="Arial" w:hAnsi="Arial"/>
                <w:sz w:val="18"/>
                <w:szCs w:val="18"/>
                <w:color w:val="auto"/>
              </w:rPr>
              <w:t>Net change in unrealized depreciation (appreciation) from investments</w:t>
            </w: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(6,745,349)</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30,924,682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Net realized losses</w:t>
            </w:r>
          </w:p>
        </w:tc>
        <w:tc>
          <w:tcPr>
            <w:tcW w:w="1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6,920,751</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894,041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20" w:type="dxa"/>
            <w:vAlign w:val="bottom"/>
          </w:tcPr>
          <w:p>
            <w:pPr>
              <w:spacing w:after="0"/>
              <w:rPr>
                <w:sz w:val="20"/>
                <w:szCs w:val="20"/>
                <w:color w:val="auto"/>
              </w:rPr>
            </w:pPr>
            <w:r>
              <w:rPr>
                <w:rFonts w:ascii="Arial" w:cs="Arial" w:eastAsia="Arial" w:hAnsi="Arial"/>
                <w:sz w:val="18"/>
                <w:szCs w:val="18"/>
                <w:color w:val="auto"/>
              </w:rPr>
              <w:t>Book/tax differences on CLO equity investments</w:t>
            </w: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839,059</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563,835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Book/tax differences related to mergers</w:t>
            </w:r>
          </w:p>
        </w:tc>
        <w:tc>
          <w:tcPr>
            <w:tcW w:w="1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(4,899,142)</w:t>
            </w: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(520,497)</w:t>
            </w:r>
          </w:p>
        </w:tc>
        <w:tc>
          <w:tcPr>
            <w:tcW w:w="0" w:type="dxa"/>
            <w:vAlign w:val="bottom"/>
          </w:tcPr>
          <w:p>
            <w:pPr>
              <w:spacing w:after="0"/>
              <w:rPr>
                <w:sz w:val="1"/>
                <w:szCs w:val="1"/>
                <w:color w:val="auto"/>
              </w:rPr>
            </w:pPr>
          </w:p>
        </w:tc>
      </w:tr>
      <w:tr>
        <w:trPr>
          <w:trHeight w:val="229"/>
        </w:trPr>
        <w:tc>
          <w:tcPr>
            <w:tcW w:w="6420" w:type="dxa"/>
            <w:vAlign w:val="bottom"/>
          </w:tcPr>
          <w:p>
            <w:pPr>
              <w:spacing w:after="0"/>
              <w:rPr>
                <w:sz w:val="20"/>
                <w:szCs w:val="20"/>
                <w:color w:val="auto"/>
              </w:rPr>
            </w:pPr>
            <w:r>
              <w:rPr>
                <w:rFonts w:ascii="Arial" w:cs="Arial" w:eastAsia="Arial" w:hAnsi="Arial"/>
                <w:sz w:val="18"/>
                <w:szCs w:val="18"/>
                <w:color w:val="auto"/>
              </w:rPr>
              <w:t>Other book/tax differences</w:t>
            </w: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(514,483)</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511,693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Taxable income before deductions for distributions</w:t>
            </w:r>
          </w:p>
        </w:tc>
        <w:tc>
          <w:tcPr>
            <w:tcW w:w="13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3,637,951</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3,320,821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20" w:type="dxa"/>
            <w:vAlign w:val="bottom"/>
            <w:vMerge w:val="restart"/>
          </w:tcPr>
          <w:p>
            <w:pPr>
              <w:spacing w:after="0"/>
              <w:rPr>
                <w:sz w:val="20"/>
                <w:szCs w:val="20"/>
                <w:color w:val="auto"/>
              </w:rPr>
            </w:pPr>
            <w:r>
              <w:rPr>
                <w:rFonts w:ascii="Arial" w:cs="Arial" w:eastAsia="Arial" w:hAnsi="Arial"/>
                <w:sz w:val="18"/>
                <w:szCs w:val="18"/>
                <w:color w:val="auto"/>
              </w:rPr>
              <w:t>Taxable income before deductions for distributions per weighted</w:t>
            </w:r>
          </w:p>
        </w:tc>
        <w:tc>
          <w:tcPr>
            <w:tcW w:w="1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20" w:type="dxa"/>
            <w:vAlign w:val="bottom"/>
            <w:vMerge w:val="continue"/>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420" w:type="dxa"/>
            <w:vAlign w:val="bottom"/>
          </w:tcPr>
          <w:p>
            <w:pPr>
              <w:ind w:left="140"/>
              <w:spacing w:after="0"/>
              <w:rPr>
                <w:sz w:val="20"/>
                <w:szCs w:val="20"/>
                <w:color w:val="auto"/>
              </w:rPr>
            </w:pPr>
            <w:r>
              <w:rPr>
                <w:rFonts w:ascii="Arial" w:cs="Arial" w:eastAsia="Arial" w:hAnsi="Arial"/>
                <w:sz w:val="18"/>
                <w:szCs w:val="18"/>
                <w:color w:val="auto"/>
              </w:rPr>
              <w:t>average basic shares for the period</w:t>
            </w:r>
          </w:p>
        </w:tc>
        <w:tc>
          <w:tcPr>
            <w:tcW w:w="15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0.05</w:t>
            </w:r>
          </w:p>
        </w:tc>
        <w:tc>
          <w:tcPr>
            <w:tcW w:w="26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Taxable income before deductions for distributions per weighted</w:t>
            </w:r>
          </w:p>
        </w:tc>
        <w:tc>
          <w:tcPr>
            <w:tcW w:w="1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average diluted shares for the period</w:t>
            </w:r>
          </w:p>
        </w:tc>
        <w:tc>
          <w:tcPr>
            <w:tcW w:w="15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0.05</w:t>
            </w:r>
          </w:p>
        </w:tc>
        <w:tc>
          <w:tcPr>
            <w:tcW w:w="26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374"/>
        <w:spacing w:after="0" w:line="257" w:lineRule="auto"/>
        <w:rPr>
          <w:sz w:val="20"/>
          <w:szCs w:val="20"/>
          <w:color w:val="auto"/>
        </w:rPr>
      </w:pPr>
      <w:r>
        <w:rPr>
          <w:rFonts w:ascii="Arial" w:cs="Arial" w:eastAsia="Arial" w:hAnsi="Arial"/>
          <w:sz w:val="18"/>
          <w:szCs w:val="18"/>
          <w:color w:val="auto"/>
        </w:rPr>
        <w:t>Dividends from Asset Manager Affiliates are recorded based upon a quarterly estimate of tax-basis earnings and profits of each Asset Manager Affiliate. Distributions in excess of the estimated tax-basis quarterly earnings and profits of each distributing Asset Manager Affiliate are recognized as tax-basis return of capital. The actual tax-basis earnings and profits and resulting dividend and/or return of capital for the year will be determined at the end of the tax year for each distributing Asset Manager Affiliate. For the three months ended March 31, 2021 and 2020, the Asset Manager Affiliates did not make any cash distributions to the Company.</w:t>
      </w:r>
    </w:p>
    <w:p>
      <w:pPr>
        <w:spacing w:after="0" w:line="80" w:lineRule="exact"/>
        <w:rPr>
          <w:sz w:val="20"/>
          <w:szCs w:val="20"/>
          <w:color w:val="auto"/>
        </w:rPr>
      </w:pPr>
    </w:p>
    <w:p>
      <w:pPr>
        <w:ind w:right="160" w:firstLine="374"/>
        <w:spacing w:after="0" w:line="257" w:lineRule="auto"/>
        <w:rPr>
          <w:sz w:val="20"/>
          <w:szCs w:val="20"/>
          <w:color w:val="auto"/>
        </w:rPr>
      </w:pPr>
      <w:r>
        <w:rPr>
          <w:rFonts w:ascii="Arial" w:cs="Arial" w:eastAsia="Arial" w:hAnsi="Arial"/>
          <w:sz w:val="18"/>
          <w:szCs w:val="18"/>
          <w:color w:val="auto"/>
        </w:rPr>
        <w:t>Distributions to shareholders that exceed tax-basis distributable income (tax-basis net investment income and realized gains, if any) are reported as distributions of paid-in capital (i.e. return of capital). The tax character of distributions is made on an annual (full calendar-year) basis. The determination of the tax attributes of our distributions is made at the end of the year based upon our taxable income for the full year and the distributions paid during the full year. Therefore, a determination of tax attributes made on a quarterly basis may not be representative of the actual tax attributes of distributions for a full year.</w:t>
      </w:r>
    </w:p>
    <w:p>
      <w:pPr>
        <w:spacing w:after="0" w:line="147" w:lineRule="exact"/>
        <w:rPr>
          <w:sz w:val="20"/>
          <w:szCs w:val="20"/>
          <w:color w:val="auto"/>
        </w:rPr>
      </w:pPr>
    </w:p>
    <w:p>
      <w:pPr>
        <w:jc w:val="both"/>
        <w:ind w:right="40" w:firstLine="374"/>
        <w:spacing w:after="0" w:line="342" w:lineRule="auto"/>
        <w:rPr>
          <w:sz w:val="20"/>
          <w:szCs w:val="20"/>
          <w:color w:val="auto"/>
        </w:rPr>
      </w:pPr>
      <w:r>
        <w:rPr>
          <w:rFonts w:ascii="Arial" w:cs="Arial" w:eastAsia="Arial" w:hAnsi="Arial"/>
          <w:sz w:val="16"/>
          <w:szCs w:val="16"/>
          <w:color w:val="auto"/>
        </w:rPr>
        <w:t>At March 31, 2021, the Company had a net capital loss carryforward of $348.7 million to offset net capital gains. This net capital loss carryforward is not subject to expiration. A portion of the Company’s capital loss carryovers are subject to an annual use limitation under the Code and related regulations.</w:t>
      </w:r>
    </w:p>
    <w:p>
      <w:pPr>
        <w:spacing w:after="0" w:line="16" w:lineRule="exact"/>
        <w:rPr>
          <w:sz w:val="20"/>
          <w:szCs w:val="20"/>
          <w:color w:val="auto"/>
        </w:rPr>
      </w:pPr>
    </w:p>
    <w:p>
      <w:pPr>
        <w:ind w:right="20" w:firstLine="374"/>
        <w:spacing w:after="0" w:line="293" w:lineRule="auto"/>
        <w:rPr>
          <w:sz w:val="20"/>
          <w:szCs w:val="20"/>
          <w:color w:val="auto"/>
        </w:rPr>
      </w:pPr>
      <w:r>
        <w:rPr>
          <w:rFonts w:ascii="Arial" w:cs="Arial" w:eastAsia="Arial" w:hAnsi="Arial"/>
          <w:sz w:val="16"/>
          <w:szCs w:val="16"/>
          <w:color w:val="auto"/>
        </w:rPr>
        <w:t>The Company has certain taxable subsidiaries which have elected to be taxed as corporations for U.S. tax purposes. For the three months ended March 31, 2021, the taxable subsidiaries’ activity did not result in a material provision for income taxes. As of March 31, 2021 and December 31, 2020, $158 thousand of refundable AMT tax credits receivable was included as an asset on the consolidated balance sheets. The taxable subsidiaries have, in aggregate, approximately $23.2 million of deferred tax assets (primarily due to net operating loss and capital loss carryovers) and no deferred tax liabilities. The Company has assessed the realizability of the deferred tax assets and recorded a full valuation allowance as of March 31, 2021. A portion of the taxable subsidiaries’ net operating loss and capital loss carryovers are subject to an annual use limitation under the Code and related regulations.</w:t>
      </w:r>
    </w:p>
    <w:p>
      <w:pPr>
        <w:spacing w:after="0" w:line="124" w:lineRule="exact"/>
        <w:rPr>
          <w:sz w:val="20"/>
          <w:szCs w:val="20"/>
          <w:color w:val="auto"/>
        </w:rPr>
      </w:pPr>
    </w:p>
    <w:p>
      <w:pPr>
        <w:ind w:right="80" w:firstLine="374"/>
        <w:spacing w:after="0" w:line="263" w:lineRule="auto"/>
        <w:rPr>
          <w:sz w:val="20"/>
          <w:szCs w:val="20"/>
          <w:color w:val="auto"/>
        </w:rPr>
      </w:pPr>
      <w:r>
        <w:rPr>
          <w:rFonts w:ascii="Arial" w:cs="Arial" w:eastAsia="Arial" w:hAnsi="Arial"/>
          <w:sz w:val="18"/>
          <w:szCs w:val="18"/>
          <w:color w:val="auto"/>
        </w:rPr>
        <w:t>ASC Topic 740 Accounting for Uncertainty in Income Taxes (“ASC 740”) provides guidance for how uncertain tax positions should be recognized, measured, presented, and disclosed in the consolidated financial statements. ASC 740 requires the evaluation of tax positions taken or expected to be taken in the course of preparing the Company’s tax returns to determine whether the tax positions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70" w:name="page71"/>
    <w:bookmarkEnd w:id="70"/>
    <w:p>
      <w:pPr>
        <w:ind w:right="220"/>
        <w:spacing w:after="0" w:line="254" w:lineRule="auto"/>
        <w:rPr>
          <w:sz w:val="20"/>
          <w:szCs w:val="20"/>
          <w:color w:val="auto"/>
        </w:rPr>
      </w:pPr>
      <w:r>
        <w:rPr>
          <w:rFonts w:ascii="Arial" w:cs="Arial" w:eastAsia="Arial" w:hAnsi="Arial"/>
          <w:sz w:val="18"/>
          <w:szCs w:val="18"/>
          <w:color w:val="auto"/>
        </w:rPr>
        <w:t>are “more-likely-than-not” of being sustained by the applicable tax authority. The Company recognizes the tax benefits of uncertain tax positions only where the position is “more likely than not” to be sustained assuming examination by tax authorities. Management has analyzed the Company’s tax positions, and has concluded that no liability for unrecognized tax benefits should be recorded related to uncertain tax positions taken on returns filed for open tax years (the last three fiscal years) or expected to be taken in the Company’s current year tax return. The Company identifies its major tax jurisdictions as U.S. Federal and New York State, and the Company is not aware of any tax positions for which it is reasonably possible that the total amounts of unrecognized tax benefits will change materially in the next 12 months. Management’s determinations regarding ASC 740 may be subject to review and adjustment at a later date based upon factors including, but not limited to, an ongoing analysis of tax laws, regulations and interpretations thereof.</w:t>
      </w:r>
    </w:p>
    <w:p>
      <w:pPr>
        <w:spacing w:after="0" w:line="161" w:lineRule="exact"/>
        <w:rPr>
          <w:sz w:val="20"/>
          <w:szCs w:val="20"/>
          <w:color w:val="auto"/>
        </w:rPr>
      </w:pPr>
    </w:p>
    <w:p>
      <w:pPr>
        <w:ind w:left="380" w:hanging="372"/>
        <w:spacing w:after="0"/>
        <w:tabs>
          <w:tab w:leader="none" w:pos="38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89" w:lineRule="exact"/>
        <w:rPr>
          <w:sz w:val="20"/>
          <w:szCs w:val="20"/>
          <w:color w:val="auto"/>
        </w:rPr>
      </w:pPr>
    </w:p>
    <w:p>
      <w:pPr>
        <w:ind w:right="160" w:firstLine="374"/>
        <w:spacing w:after="0" w:line="296" w:lineRule="auto"/>
        <w:rPr>
          <w:sz w:val="20"/>
          <w:szCs w:val="20"/>
          <w:color w:val="auto"/>
        </w:rPr>
      </w:pPr>
      <w:r>
        <w:rPr>
          <w:rFonts w:ascii="Arial" w:cs="Arial" w:eastAsia="Arial" w:hAnsi="Arial"/>
          <w:sz w:val="16"/>
          <w:szCs w:val="16"/>
          <w:color w:val="auto"/>
        </w:rPr>
        <w:t>From time-to-time the Company is a party to financial instruments with off-balance sheet risk in the normal course of business in order to meet the needs of the Company’s investment in portfolio companies. Such instruments include commitments to extend credit and may involve, in varying degrees, elements of credit risk in excess of amounts recognized on the Company’s balance sheet. Prior to extending such credit, the Company attempts to limit its credit risk by conducting extensive due diligence, obtaining collateral where necessary and negotiating appropriate financial covenants. As of March 31, 2021 and December 31, 2020, the Company had $25.0 million and $32.9 million outstanding unfunded commitments, respectively.</w:t>
      </w:r>
    </w:p>
    <w:p>
      <w:pPr>
        <w:spacing w:after="0" w:line="53" w:lineRule="exact"/>
        <w:rPr>
          <w:sz w:val="20"/>
          <w:szCs w:val="20"/>
          <w:color w:val="auto"/>
        </w:rPr>
      </w:pPr>
    </w:p>
    <w:p>
      <w:pPr>
        <w:ind w:firstLine="374"/>
        <w:spacing w:after="0" w:line="259" w:lineRule="auto"/>
        <w:rPr>
          <w:sz w:val="20"/>
          <w:szCs w:val="20"/>
          <w:color w:val="auto"/>
        </w:rPr>
      </w:pPr>
      <w:r>
        <w:rPr>
          <w:rFonts w:ascii="Arial" w:cs="Arial" w:eastAsia="Arial" w:hAnsi="Arial"/>
          <w:sz w:val="18"/>
          <w:szCs w:val="18"/>
          <w:color w:val="auto"/>
        </w:rPr>
        <w:t>The Company has made an aggregate commitment to the BCP Great Lakes Partnership of $50 million, subject to certain limitations (including that the Company is not obligated to fund capital calls if such funding would cause the Company to be out of compliance with certain provisions of the 1940 Act). As of March 31, 2021 and December 31, 2020, the Company had a $13.8 million and $20.0 million, respectively unfunded commitment to the BCP Great Lakes Partnership, subject to the limitations noted above.</w:t>
      </w:r>
    </w:p>
    <w:p>
      <w:pPr>
        <w:spacing w:after="0" w:line="146" w:lineRule="exact"/>
        <w:rPr>
          <w:sz w:val="20"/>
          <w:szCs w:val="20"/>
          <w:color w:val="auto"/>
        </w:rPr>
      </w:pPr>
    </w:p>
    <w:p>
      <w:pPr>
        <w:ind w:right="600" w:firstLine="374"/>
        <w:spacing w:after="0" w:line="277" w:lineRule="auto"/>
        <w:rPr>
          <w:sz w:val="20"/>
          <w:szCs w:val="20"/>
          <w:color w:val="auto"/>
        </w:rPr>
      </w:pPr>
      <w:r>
        <w:rPr>
          <w:rFonts w:ascii="Arial" w:cs="Arial" w:eastAsia="Arial" w:hAnsi="Arial"/>
          <w:sz w:val="18"/>
          <w:szCs w:val="18"/>
          <w:color w:val="auto"/>
        </w:rPr>
        <w:t>The Company is involved in litigation in the normal course of its operations and does not expect that the outcome of those litigations to have a material adverse impact to the Company’s financial position or results of operations.</w:t>
      </w:r>
    </w:p>
    <w:p>
      <w:pPr>
        <w:spacing w:after="0" w:line="130" w:lineRule="exact"/>
        <w:rPr>
          <w:sz w:val="20"/>
          <w:szCs w:val="20"/>
          <w:color w:val="auto"/>
        </w:rPr>
      </w:pPr>
    </w:p>
    <w:p>
      <w:pPr>
        <w:ind w:right="460" w:firstLine="374"/>
        <w:spacing w:after="0" w:line="263" w:lineRule="auto"/>
        <w:rPr>
          <w:sz w:val="20"/>
          <w:szCs w:val="20"/>
          <w:color w:val="auto"/>
        </w:rPr>
      </w:pPr>
      <w:r>
        <w:rPr>
          <w:rFonts w:ascii="Arial" w:cs="Arial" w:eastAsia="Arial" w:hAnsi="Arial"/>
          <w:sz w:val="18"/>
          <w:szCs w:val="18"/>
          <w:color w:val="auto"/>
        </w:rPr>
        <w:t>In the fourth quarter of 2018, the Company undertook the commitments under a lease obligation for its former office space. Such obligation was previously with Katonah Debt Advisors. During 2018, the Company and the Asset Manager Affiliates shared the cost of such lease pursuant to an Overhead Allocation agreement.</w:t>
      </w:r>
    </w:p>
    <w:p>
      <w:pPr>
        <w:spacing w:after="0" w:line="157" w:lineRule="exact"/>
        <w:rPr>
          <w:sz w:val="20"/>
          <w:szCs w:val="20"/>
          <w:color w:val="auto"/>
        </w:rPr>
      </w:pPr>
    </w:p>
    <w:p>
      <w:pPr>
        <w:ind w:right="60" w:firstLine="374"/>
        <w:spacing w:after="0" w:line="259" w:lineRule="auto"/>
        <w:rPr>
          <w:sz w:val="20"/>
          <w:szCs w:val="20"/>
          <w:color w:val="auto"/>
        </w:rPr>
      </w:pPr>
      <w:r>
        <w:rPr>
          <w:rFonts w:ascii="Arial" w:cs="Arial" w:eastAsia="Arial" w:hAnsi="Arial"/>
          <w:sz w:val="18"/>
          <w:szCs w:val="18"/>
          <w:color w:val="auto"/>
        </w:rPr>
        <w:t>Effective January 1, 2019, the Company adopted ASU 2016-02, “Leases (Topic 842)”. The right-of-use asset and lease liability related to the Company’s office lease were recognized at lease commencement by calculating the present value of lease payments over the lease term. The discount rate used in determining the lease liability was the Company’s estimated incremental borrowing rate of 6.03%. In calculating the initial operating lease liability, the effect of the discounting was approximately $626 thousand.</w:t>
      </w:r>
    </w:p>
    <w:p>
      <w:pPr>
        <w:spacing w:after="0" w:line="79" w:lineRule="exact"/>
        <w:rPr>
          <w:sz w:val="20"/>
          <w:szCs w:val="20"/>
          <w:color w:val="auto"/>
        </w:rPr>
      </w:pPr>
    </w:p>
    <w:p>
      <w:pPr>
        <w:jc w:val="both"/>
        <w:ind w:right="80" w:firstLine="374"/>
        <w:spacing w:after="0" w:line="311" w:lineRule="auto"/>
        <w:rPr>
          <w:sz w:val="20"/>
          <w:szCs w:val="20"/>
          <w:color w:val="auto"/>
        </w:rPr>
      </w:pPr>
      <w:r>
        <w:rPr>
          <w:rFonts w:ascii="Arial" w:cs="Arial" w:eastAsia="Arial" w:hAnsi="Arial"/>
          <w:sz w:val="16"/>
          <w:szCs w:val="16"/>
          <w:color w:val="auto"/>
        </w:rPr>
        <w:t>During the second quarter of 2019, the Company recognized an impairment to the operating lease right-of-use asset of approximately $1.4 million to reduce the right-of-use asset to its estimated fair market value. The impairment charge was measured using a discounted cash flow analysis and recognized in the statement of operations during the second quarter of 2019 as a result of the Company’s estimated impact of entering into a sublease.</w:t>
      </w:r>
    </w:p>
    <w:p>
      <w:pPr>
        <w:spacing w:after="0" w:line="145" w:lineRule="exact"/>
        <w:rPr>
          <w:sz w:val="20"/>
          <w:szCs w:val="20"/>
          <w:color w:val="auto"/>
        </w:rPr>
      </w:pPr>
    </w:p>
    <w:p>
      <w:pPr>
        <w:ind w:left="380" w:hanging="372"/>
        <w:spacing w:after="0"/>
        <w:tabs>
          <w:tab w:leader="none" w:pos="38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188"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details the components of Stockholders’ Equity for the three months ended March 31, 2021 and 2020:</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5"/>
          </w:tcPr>
          <w:p>
            <w:pPr>
              <w:jc w:val="right"/>
              <w:ind w:right="280"/>
              <w:spacing w:after="0"/>
              <w:rPr>
                <w:sz w:val="20"/>
                <w:szCs w:val="20"/>
                <w:color w:val="auto"/>
              </w:rPr>
            </w:pPr>
            <w:r>
              <w:rPr>
                <w:rFonts w:ascii="Arial" w:cs="Arial" w:eastAsia="Arial" w:hAnsi="Arial"/>
                <w:sz w:val="14"/>
                <w:szCs w:val="14"/>
                <w:b w:val="1"/>
                <w:bCs w:val="1"/>
                <w:color w:val="auto"/>
                <w:w w:val="95"/>
              </w:rPr>
              <w:t>Three Months Ended March 31, 2021</w:t>
            </w: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Common</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8"/>
              </w:rPr>
              <w:t>Capital in</w:t>
            </w:r>
          </w:p>
        </w:tc>
        <w:tc>
          <w:tcPr>
            <w:tcW w:w="80" w:type="dxa"/>
            <w:vAlign w:val="bottom"/>
          </w:tcPr>
          <w:p>
            <w:pPr>
              <w:spacing w:after="0"/>
              <w:rPr>
                <w:sz w:val="11"/>
                <w:szCs w:val="11"/>
                <w:color w:val="auto"/>
              </w:rPr>
            </w:pPr>
          </w:p>
        </w:tc>
        <w:tc>
          <w:tcPr>
            <w:tcW w:w="128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5"/>
              </w:rPr>
              <w:t>Total</w:t>
            </w:r>
          </w:p>
        </w:tc>
        <w:tc>
          <w:tcPr>
            <w:tcW w:w="140" w:type="dxa"/>
            <w:vAlign w:val="bottom"/>
          </w:tcPr>
          <w:p>
            <w:pPr>
              <w:spacing w:after="0"/>
              <w:rPr>
                <w:sz w:val="11"/>
                <w:szCs w:val="11"/>
                <w:color w:val="auto"/>
              </w:rPr>
            </w:pPr>
          </w:p>
        </w:tc>
        <w:tc>
          <w:tcPr>
            <w:tcW w:w="1100" w:type="dxa"/>
            <w:vAlign w:val="bottom"/>
          </w:tcPr>
          <w:p>
            <w:pPr>
              <w:jc w:val="center"/>
              <w:ind w:right="71"/>
              <w:spacing w:after="0" w:line="133" w:lineRule="exact"/>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6"/>
              </w:rPr>
              <w:t>Excess</w:t>
            </w:r>
          </w:p>
        </w:tc>
        <w:tc>
          <w:tcPr>
            <w:tcW w:w="8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Distributable</w:t>
            </w:r>
          </w:p>
        </w:tc>
        <w:tc>
          <w:tcPr>
            <w:tcW w:w="14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71"/>
        </w:trPr>
        <w:tc>
          <w:tcPr>
            <w:tcW w:w="57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Stock</w:t>
            </w:r>
          </w:p>
        </w:tc>
        <w:tc>
          <w:tcPr>
            <w:tcW w:w="2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51"/>
              <w:spacing w:after="0"/>
              <w:rPr>
                <w:sz w:val="20"/>
                <w:szCs w:val="20"/>
                <w:color w:val="auto"/>
              </w:rPr>
            </w:pPr>
            <w:r>
              <w:rPr>
                <w:rFonts w:ascii="Arial" w:cs="Arial" w:eastAsia="Arial" w:hAnsi="Arial"/>
                <w:sz w:val="14"/>
                <w:szCs w:val="14"/>
                <w:b w:val="1"/>
                <w:bCs w:val="1"/>
                <w:color w:val="auto"/>
                <w:w w:val="96"/>
              </w:rPr>
              <w:t>of Par Value</w:t>
            </w:r>
          </w:p>
        </w:tc>
        <w:tc>
          <w:tcPr>
            <w:tcW w:w="24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31"/>
              <w:spacing w:after="0"/>
              <w:rPr>
                <w:sz w:val="20"/>
                <w:szCs w:val="20"/>
                <w:color w:val="auto"/>
              </w:rPr>
            </w:pPr>
            <w:r>
              <w:rPr>
                <w:rFonts w:ascii="Arial" w:cs="Arial" w:eastAsia="Arial" w:hAnsi="Arial"/>
                <w:sz w:val="14"/>
                <w:szCs w:val="14"/>
                <w:b w:val="1"/>
                <w:bCs w:val="1"/>
                <w:color w:val="auto"/>
                <w:w w:val="88"/>
              </w:rPr>
              <w:t>(loss) earnings</w:t>
            </w:r>
          </w:p>
        </w:tc>
        <w:tc>
          <w:tcPr>
            <w:tcW w:w="2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91"/>
              <w:spacing w:after="0"/>
              <w:rPr>
                <w:sz w:val="20"/>
                <w:szCs w:val="20"/>
                <w:color w:val="auto"/>
              </w:rPr>
            </w:pPr>
            <w:r>
              <w:rPr>
                <w:rFonts w:ascii="Arial" w:cs="Arial" w:eastAsia="Arial" w:hAnsi="Arial"/>
                <w:sz w:val="14"/>
                <w:szCs w:val="14"/>
                <w:b w:val="1"/>
                <w:bCs w:val="1"/>
                <w:color w:val="auto"/>
                <w:w w:val="98"/>
              </w:rPr>
              <w:t>Equity</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780" w:type="dxa"/>
            <w:vAlign w:val="bottom"/>
            <w:shd w:val="clear" w:color="auto" w:fill="CFF0FC"/>
          </w:tcPr>
          <w:p>
            <w:pPr>
              <w:spacing w:after="0"/>
              <w:rPr>
                <w:sz w:val="20"/>
                <w:szCs w:val="20"/>
                <w:color w:val="auto"/>
              </w:rPr>
            </w:pPr>
            <w:r>
              <w:rPr>
                <w:rFonts w:ascii="Arial" w:cs="Arial" w:eastAsia="Arial" w:hAnsi="Arial"/>
                <w:sz w:val="13"/>
                <w:szCs w:val="13"/>
                <w:color w:val="auto"/>
              </w:rPr>
              <w:t>Balance, January 1, 2021</w:t>
            </w:r>
          </w:p>
        </w:tc>
        <w:tc>
          <w:tcPr>
            <w:tcW w:w="180" w:type="dxa"/>
            <w:vAlign w:val="bottom"/>
            <w:shd w:val="clear" w:color="auto" w:fill="CFF0FC"/>
          </w:tcPr>
          <w:p>
            <w:pPr>
              <w:jc w:val="right"/>
              <w:ind w:right="33"/>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751,642</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638,459,548</w:t>
            </w: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(422,947,327)</w:t>
            </w: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216,263,863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780" w:type="dxa"/>
            <w:vAlign w:val="bottom"/>
          </w:tcPr>
          <w:p>
            <w:pPr>
              <w:spacing w:after="0"/>
              <w:rPr>
                <w:sz w:val="20"/>
                <w:szCs w:val="20"/>
                <w:color w:val="auto"/>
              </w:rPr>
            </w:pPr>
            <w:r>
              <w:rPr>
                <w:rFonts w:ascii="Arial" w:cs="Arial" w:eastAsia="Arial" w:hAnsi="Arial"/>
                <w:sz w:val="13"/>
                <w:szCs w:val="13"/>
                <w:color w:val="auto"/>
              </w:rPr>
              <w:t>Net investment income</w:t>
            </w: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8,212,517</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8,212,517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80" w:type="dxa"/>
            <w:vAlign w:val="bottom"/>
            <w:shd w:val="clear" w:color="auto" w:fill="CFF0FC"/>
          </w:tcPr>
          <w:p>
            <w:pPr>
              <w:spacing w:after="0"/>
              <w:rPr>
                <w:sz w:val="20"/>
                <w:szCs w:val="20"/>
                <w:color w:val="auto"/>
              </w:rPr>
            </w:pPr>
            <w:r>
              <w:rPr>
                <w:rFonts w:ascii="Arial" w:cs="Arial" w:eastAsia="Arial" w:hAnsi="Arial"/>
                <w:sz w:val="13"/>
                <w:szCs w:val="13"/>
                <w:color w:val="auto"/>
              </w:rPr>
              <w:t>Net realized (losses) from investment transactions and extinguishment of debt</w:t>
            </w:r>
          </w:p>
        </w:tc>
        <w:tc>
          <w:tcPr>
            <w:tcW w:w="1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(6,920,751)</w:t>
            </w:r>
          </w:p>
        </w:tc>
        <w:tc>
          <w:tcPr>
            <w:tcW w:w="14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(6,920,751)</w:t>
            </w:r>
          </w:p>
        </w:tc>
        <w:tc>
          <w:tcPr>
            <w:tcW w:w="0" w:type="dxa"/>
            <w:vAlign w:val="bottom"/>
          </w:tcPr>
          <w:p>
            <w:pPr>
              <w:spacing w:after="0"/>
              <w:rPr>
                <w:sz w:val="1"/>
                <w:szCs w:val="1"/>
                <w:color w:val="auto"/>
              </w:rPr>
            </w:pPr>
          </w:p>
        </w:tc>
      </w:tr>
      <w:tr>
        <w:trPr>
          <w:trHeight w:val="162"/>
        </w:trPr>
        <w:tc>
          <w:tcPr>
            <w:tcW w:w="5780" w:type="dxa"/>
            <w:vAlign w:val="bottom"/>
          </w:tcPr>
          <w:p>
            <w:pPr>
              <w:spacing w:after="0"/>
              <w:rPr>
                <w:sz w:val="20"/>
                <w:szCs w:val="20"/>
                <w:color w:val="auto"/>
              </w:rPr>
            </w:pPr>
            <w:r>
              <w:rPr>
                <w:rFonts w:ascii="Arial" w:cs="Arial" w:eastAsia="Arial" w:hAnsi="Arial"/>
                <w:sz w:val="13"/>
                <w:szCs w:val="13"/>
                <w:color w:val="auto"/>
              </w:rPr>
              <w:t>Net change in unrealized appreciation on investments</w:t>
            </w: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6,745,349</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6,745,349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80" w:type="dxa"/>
            <w:vAlign w:val="bottom"/>
            <w:shd w:val="clear" w:color="auto" w:fill="CFF0FC"/>
          </w:tcPr>
          <w:p>
            <w:pPr>
              <w:spacing w:after="0"/>
              <w:rPr>
                <w:sz w:val="20"/>
                <w:szCs w:val="20"/>
                <w:color w:val="auto"/>
              </w:rPr>
            </w:pPr>
            <w:r>
              <w:rPr>
                <w:rFonts w:ascii="Arial" w:cs="Arial" w:eastAsia="Arial" w:hAnsi="Arial"/>
                <w:sz w:val="13"/>
                <w:szCs w:val="13"/>
                <w:color w:val="auto"/>
              </w:rPr>
              <w:t>Distributions to Stockholders</w:t>
            </w:r>
          </w:p>
        </w:tc>
        <w:tc>
          <w:tcPr>
            <w:tcW w:w="1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(4,509,854)</w:t>
            </w:r>
          </w:p>
        </w:tc>
        <w:tc>
          <w:tcPr>
            <w:tcW w:w="14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(4,509,854)</w:t>
            </w:r>
          </w:p>
        </w:tc>
        <w:tc>
          <w:tcPr>
            <w:tcW w:w="0" w:type="dxa"/>
            <w:vAlign w:val="bottom"/>
          </w:tcPr>
          <w:p>
            <w:pPr>
              <w:spacing w:after="0"/>
              <w:rPr>
                <w:sz w:val="1"/>
                <w:szCs w:val="1"/>
                <w:color w:val="auto"/>
              </w:rPr>
            </w:pPr>
          </w:p>
        </w:tc>
      </w:tr>
      <w:tr>
        <w:trPr>
          <w:trHeight w:val="162"/>
        </w:trPr>
        <w:tc>
          <w:tcPr>
            <w:tcW w:w="578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Reinvested Dividends</w:t>
            </w: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309</w:t>
            </w:r>
          </w:p>
        </w:tc>
        <w:tc>
          <w:tcPr>
            <w:tcW w:w="2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63,675</w:t>
            </w:r>
          </w:p>
        </w:tc>
        <w:tc>
          <w:tcPr>
            <w:tcW w:w="24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63,984</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780" w:type="dxa"/>
            <w:vAlign w:val="bottom"/>
            <w:shd w:val="clear" w:color="auto" w:fill="CFF0FC"/>
          </w:tcPr>
          <w:p>
            <w:pPr>
              <w:spacing w:after="0"/>
              <w:rPr>
                <w:sz w:val="20"/>
                <w:szCs w:val="20"/>
                <w:color w:val="auto"/>
              </w:rPr>
            </w:pPr>
            <w:r>
              <w:rPr>
                <w:rFonts w:ascii="Arial" w:cs="Arial" w:eastAsia="Arial" w:hAnsi="Arial"/>
                <w:sz w:val="13"/>
                <w:szCs w:val="13"/>
                <w:color w:val="auto"/>
              </w:rPr>
              <w:t>Balance at March 31, 2021</w:t>
            </w:r>
          </w:p>
        </w:tc>
        <w:tc>
          <w:tcPr>
            <w:tcW w:w="180" w:type="dxa"/>
            <w:vAlign w:val="bottom"/>
            <w:shd w:val="clear" w:color="auto" w:fill="CFF0FC"/>
          </w:tcPr>
          <w:p>
            <w:pPr>
              <w:jc w:val="right"/>
              <w:ind w:right="33"/>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751,951</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638,523,223</w:t>
            </w: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(419,420,066)</w:t>
            </w: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219,855,108</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7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171"/>
        </w:trPr>
        <w:tc>
          <w:tcPr>
            <w:tcW w:w="57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5"/>
          </w:tcPr>
          <w:p>
            <w:pPr>
              <w:jc w:val="right"/>
              <w:ind w:right="280"/>
              <w:spacing w:after="0"/>
              <w:rPr>
                <w:sz w:val="20"/>
                <w:szCs w:val="20"/>
                <w:color w:val="auto"/>
              </w:rPr>
            </w:pPr>
            <w:r>
              <w:rPr>
                <w:rFonts w:ascii="Arial" w:cs="Arial" w:eastAsia="Arial" w:hAnsi="Arial"/>
                <w:sz w:val="14"/>
                <w:szCs w:val="14"/>
                <w:b w:val="1"/>
                <w:bCs w:val="1"/>
                <w:color w:val="auto"/>
                <w:w w:val="95"/>
              </w:rPr>
              <w:t>Three Months Ended March 31, 2020</w:t>
            </w: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Common</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8"/>
              </w:rPr>
              <w:t>Capital in</w:t>
            </w:r>
          </w:p>
        </w:tc>
        <w:tc>
          <w:tcPr>
            <w:tcW w:w="80" w:type="dxa"/>
            <w:vAlign w:val="bottom"/>
          </w:tcPr>
          <w:p>
            <w:pPr>
              <w:spacing w:after="0"/>
              <w:rPr>
                <w:sz w:val="11"/>
                <w:szCs w:val="11"/>
                <w:color w:val="auto"/>
              </w:rPr>
            </w:pPr>
          </w:p>
        </w:tc>
        <w:tc>
          <w:tcPr>
            <w:tcW w:w="128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5"/>
              </w:rPr>
              <w:t>Total</w:t>
            </w:r>
          </w:p>
        </w:tc>
        <w:tc>
          <w:tcPr>
            <w:tcW w:w="140" w:type="dxa"/>
            <w:vAlign w:val="bottom"/>
          </w:tcPr>
          <w:p>
            <w:pPr>
              <w:spacing w:after="0"/>
              <w:rPr>
                <w:sz w:val="11"/>
                <w:szCs w:val="11"/>
                <w:color w:val="auto"/>
              </w:rPr>
            </w:pPr>
          </w:p>
        </w:tc>
        <w:tc>
          <w:tcPr>
            <w:tcW w:w="1100" w:type="dxa"/>
            <w:vAlign w:val="bottom"/>
          </w:tcPr>
          <w:p>
            <w:pPr>
              <w:jc w:val="center"/>
              <w:ind w:right="71"/>
              <w:spacing w:after="0" w:line="133" w:lineRule="exact"/>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6"/>
              </w:rPr>
              <w:t>Excess</w:t>
            </w:r>
          </w:p>
        </w:tc>
        <w:tc>
          <w:tcPr>
            <w:tcW w:w="8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Distributable</w:t>
            </w:r>
          </w:p>
        </w:tc>
        <w:tc>
          <w:tcPr>
            <w:tcW w:w="14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71"/>
        </w:trPr>
        <w:tc>
          <w:tcPr>
            <w:tcW w:w="57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Stock</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51"/>
              <w:spacing w:after="0"/>
              <w:rPr>
                <w:sz w:val="20"/>
                <w:szCs w:val="20"/>
                <w:color w:val="auto"/>
              </w:rPr>
            </w:pPr>
            <w:r>
              <w:rPr>
                <w:rFonts w:ascii="Arial" w:cs="Arial" w:eastAsia="Arial" w:hAnsi="Arial"/>
                <w:sz w:val="14"/>
                <w:szCs w:val="14"/>
                <w:b w:val="1"/>
                <w:bCs w:val="1"/>
                <w:color w:val="auto"/>
                <w:w w:val="96"/>
              </w:rPr>
              <w:t>of Par Value</w:t>
            </w:r>
          </w:p>
        </w:tc>
        <w:tc>
          <w:tcPr>
            <w:tcW w:w="24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31"/>
              <w:spacing w:after="0"/>
              <w:rPr>
                <w:sz w:val="20"/>
                <w:szCs w:val="20"/>
                <w:color w:val="auto"/>
              </w:rPr>
            </w:pPr>
            <w:r>
              <w:rPr>
                <w:rFonts w:ascii="Arial" w:cs="Arial" w:eastAsia="Arial" w:hAnsi="Arial"/>
                <w:sz w:val="14"/>
                <w:szCs w:val="14"/>
                <w:b w:val="1"/>
                <w:bCs w:val="1"/>
                <w:color w:val="auto"/>
                <w:w w:val="88"/>
              </w:rPr>
              <w:t>(loss) earnings</w:t>
            </w:r>
          </w:p>
        </w:tc>
        <w:tc>
          <w:tcPr>
            <w:tcW w:w="2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91"/>
              <w:spacing w:after="0"/>
              <w:rPr>
                <w:sz w:val="20"/>
                <w:szCs w:val="20"/>
                <w:color w:val="auto"/>
              </w:rPr>
            </w:pPr>
            <w:r>
              <w:rPr>
                <w:rFonts w:ascii="Arial" w:cs="Arial" w:eastAsia="Arial" w:hAnsi="Arial"/>
                <w:sz w:val="14"/>
                <w:szCs w:val="14"/>
                <w:b w:val="1"/>
                <w:bCs w:val="1"/>
                <w:color w:val="auto"/>
                <w:w w:val="98"/>
              </w:rPr>
              <w:t>Equity</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780" w:type="dxa"/>
            <w:vAlign w:val="bottom"/>
            <w:shd w:val="clear" w:color="auto" w:fill="CFF0FC"/>
          </w:tcPr>
          <w:p>
            <w:pPr>
              <w:spacing w:after="0"/>
              <w:rPr>
                <w:sz w:val="20"/>
                <w:szCs w:val="20"/>
                <w:color w:val="auto"/>
              </w:rPr>
            </w:pPr>
            <w:r>
              <w:rPr>
                <w:rFonts w:ascii="Arial" w:cs="Arial" w:eastAsia="Arial" w:hAnsi="Arial"/>
                <w:sz w:val="13"/>
                <w:szCs w:val="13"/>
                <w:color w:val="auto"/>
              </w:rPr>
              <w:t>Balance, January 1, 2020</w:t>
            </w:r>
          </w:p>
        </w:tc>
        <w:tc>
          <w:tcPr>
            <w:tcW w:w="180" w:type="dxa"/>
            <w:vAlign w:val="bottom"/>
            <w:shd w:val="clear" w:color="auto" w:fill="CFF0FC"/>
          </w:tcPr>
          <w:p>
            <w:pPr>
              <w:jc w:val="right"/>
              <w:ind w:right="33"/>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448,297</w:t>
            </w:r>
          </w:p>
        </w:tc>
        <w:tc>
          <w:tcPr>
            <w:tcW w:w="140" w:type="dxa"/>
            <w:vAlign w:val="bottom"/>
            <w:shd w:val="clear" w:color="auto" w:fill="CFF0FC"/>
          </w:tcPr>
          <w:p>
            <w:pPr>
              <w:spacing w:after="0"/>
              <w:rPr>
                <w:sz w:val="13"/>
                <w:szCs w:val="13"/>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451,353,379</w:t>
            </w: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(299,603,106)</w:t>
            </w: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152,198,570</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780" w:type="dxa"/>
            <w:vAlign w:val="bottom"/>
          </w:tcPr>
          <w:p>
            <w:pPr>
              <w:spacing w:after="0"/>
              <w:rPr>
                <w:sz w:val="20"/>
                <w:szCs w:val="20"/>
                <w:color w:val="auto"/>
              </w:rPr>
            </w:pPr>
            <w:r>
              <w:rPr>
                <w:rFonts w:ascii="Arial" w:cs="Arial" w:eastAsia="Arial" w:hAnsi="Arial"/>
                <w:sz w:val="13"/>
                <w:szCs w:val="13"/>
                <w:color w:val="auto"/>
              </w:rPr>
              <w:t>Net investment income</w:t>
            </w:r>
          </w:p>
        </w:tc>
        <w:tc>
          <w:tcPr>
            <w:tcW w:w="18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2,765,790</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2,765,790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80" w:type="dxa"/>
            <w:vAlign w:val="bottom"/>
            <w:shd w:val="clear" w:color="auto" w:fill="CFF0FC"/>
          </w:tcPr>
          <w:p>
            <w:pPr>
              <w:spacing w:after="0"/>
              <w:rPr>
                <w:sz w:val="20"/>
                <w:szCs w:val="20"/>
                <w:color w:val="auto"/>
              </w:rPr>
            </w:pPr>
            <w:r>
              <w:rPr>
                <w:rFonts w:ascii="Arial" w:cs="Arial" w:eastAsia="Arial" w:hAnsi="Arial"/>
                <w:sz w:val="13"/>
                <w:szCs w:val="13"/>
                <w:color w:val="auto"/>
              </w:rPr>
              <w:t>Net realized (losses) from investment transactions and extinguishment of debt</w:t>
            </w:r>
          </w:p>
        </w:tc>
        <w:tc>
          <w:tcPr>
            <w:tcW w:w="18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(894,041)</w:t>
            </w:r>
          </w:p>
        </w:tc>
        <w:tc>
          <w:tcPr>
            <w:tcW w:w="14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(894,041)</w:t>
            </w:r>
          </w:p>
        </w:tc>
        <w:tc>
          <w:tcPr>
            <w:tcW w:w="0" w:type="dxa"/>
            <w:vAlign w:val="bottom"/>
          </w:tcPr>
          <w:p>
            <w:pPr>
              <w:spacing w:after="0"/>
              <w:rPr>
                <w:sz w:val="1"/>
                <w:szCs w:val="1"/>
                <w:color w:val="auto"/>
              </w:rPr>
            </w:pPr>
          </w:p>
        </w:tc>
      </w:tr>
      <w:tr>
        <w:trPr>
          <w:trHeight w:val="162"/>
        </w:trPr>
        <w:tc>
          <w:tcPr>
            <w:tcW w:w="5780" w:type="dxa"/>
            <w:vAlign w:val="bottom"/>
          </w:tcPr>
          <w:p>
            <w:pPr>
              <w:spacing w:after="0"/>
              <w:rPr>
                <w:sz w:val="20"/>
                <w:szCs w:val="20"/>
                <w:color w:val="auto"/>
              </w:rPr>
            </w:pPr>
            <w:r>
              <w:rPr>
                <w:rFonts w:ascii="Arial" w:cs="Arial" w:eastAsia="Arial" w:hAnsi="Arial"/>
                <w:sz w:val="13"/>
                <w:szCs w:val="13"/>
                <w:color w:val="auto"/>
              </w:rPr>
              <w:t>Net change in unrealized appreciation on investments</w:t>
            </w:r>
          </w:p>
        </w:tc>
        <w:tc>
          <w:tcPr>
            <w:tcW w:w="18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3"/>
                <w:szCs w:val="13"/>
                <w:color w:val="auto"/>
              </w:rPr>
              <w:t>(30,924,682)</w:t>
            </w:r>
          </w:p>
        </w:tc>
        <w:tc>
          <w:tcPr>
            <w:tcW w:w="140" w:type="dxa"/>
            <w:vAlign w:val="bottom"/>
          </w:tcPr>
          <w:p>
            <w:pPr>
              <w:spacing w:after="0"/>
              <w:rPr>
                <w:sz w:val="14"/>
                <w:szCs w:val="14"/>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3"/>
                <w:szCs w:val="13"/>
                <w:color w:val="auto"/>
              </w:rPr>
              <w:t>(30,924,682)</w:t>
            </w:r>
          </w:p>
        </w:tc>
        <w:tc>
          <w:tcPr>
            <w:tcW w:w="0" w:type="dxa"/>
            <w:vAlign w:val="bottom"/>
          </w:tcPr>
          <w:p>
            <w:pPr>
              <w:spacing w:after="0"/>
              <w:rPr>
                <w:sz w:val="1"/>
                <w:szCs w:val="1"/>
                <w:color w:val="auto"/>
              </w:rPr>
            </w:pPr>
          </w:p>
        </w:tc>
      </w:tr>
      <w:tr>
        <w:trPr>
          <w:trHeight w:val="162"/>
        </w:trPr>
        <w:tc>
          <w:tcPr>
            <w:tcW w:w="5780" w:type="dxa"/>
            <w:vAlign w:val="bottom"/>
            <w:shd w:val="clear" w:color="auto" w:fill="CFF0FC"/>
          </w:tcPr>
          <w:p>
            <w:pPr>
              <w:spacing w:after="0"/>
              <w:rPr>
                <w:sz w:val="20"/>
                <w:szCs w:val="20"/>
                <w:color w:val="auto"/>
              </w:rPr>
            </w:pPr>
            <w:r>
              <w:rPr>
                <w:rFonts w:ascii="Arial" w:cs="Arial" w:eastAsia="Arial" w:hAnsi="Arial"/>
                <w:sz w:val="13"/>
                <w:szCs w:val="13"/>
                <w:color w:val="auto"/>
              </w:rPr>
              <w:t>Distributions to Stockholders</w:t>
            </w:r>
          </w:p>
        </w:tc>
        <w:tc>
          <w:tcPr>
            <w:tcW w:w="18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(2,689,779)</w:t>
            </w:r>
          </w:p>
        </w:tc>
        <w:tc>
          <w:tcPr>
            <w:tcW w:w="14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(2,689,779)</w:t>
            </w:r>
          </w:p>
        </w:tc>
        <w:tc>
          <w:tcPr>
            <w:tcW w:w="0" w:type="dxa"/>
            <w:vAlign w:val="bottom"/>
          </w:tcPr>
          <w:p>
            <w:pPr>
              <w:spacing w:after="0"/>
              <w:rPr>
                <w:sz w:val="1"/>
                <w:szCs w:val="1"/>
                <w:color w:val="auto"/>
              </w:rPr>
            </w:pPr>
          </w:p>
        </w:tc>
      </w:tr>
      <w:tr>
        <w:trPr>
          <w:trHeight w:val="162"/>
        </w:trPr>
        <w:tc>
          <w:tcPr>
            <w:tcW w:w="5780" w:type="dxa"/>
            <w:vAlign w:val="bottom"/>
          </w:tcPr>
          <w:p>
            <w:pPr>
              <w:spacing w:after="0"/>
              <w:rPr>
                <w:sz w:val="20"/>
                <w:szCs w:val="20"/>
                <w:color w:val="auto"/>
              </w:rPr>
            </w:pPr>
            <w:r>
              <w:rPr>
                <w:rFonts w:ascii="Arial" w:cs="Arial" w:eastAsia="Arial" w:hAnsi="Arial"/>
                <w:sz w:val="13"/>
                <w:szCs w:val="13"/>
                <w:color w:val="auto"/>
              </w:rPr>
              <w:t>Reinvested Dividends</w:t>
            </w: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177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36,907</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37,084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80" w:type="dxa"/>
            <w:vAlign w:val="bottom"/>
            <w:shd w:val="clear" w:color="auto" w:fill="CFF0FC"/>
          </w:tcPr>
          <w:p>
            <w:pPr>
              <w:spacing w:after="0"/>
              <w:rPr>
                <w:sz w:val="20"/>
                <w:szCs w:val="20"/>
                <w:color w:val="auto"/>
              </w:rPr>
            </w:pPr>
            <w:r>
              <w:rPr>
                <w:rFonts w:ascii="Arial" w:cs="Arial" w:eastAsia="Arial" w:hAnsi="Arial"/>
                <w:sz w:val="13"/>
                <w:szCs w:val="13"/>
                <w:color w:val="auto"/>
              </w:rPr>
              <w:t>Stock-repurchase</w:t>
            </w:r>
          </w:p>
        </w:tc>
        <w:tc>
          <w:tcPr>
            <w:tcW w:w="18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(1,215)</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(122,114)</w:t>
            </w:r>
          </w:p>
        </w:tc>
        <w:tc>
          <w:tcPr>
            <w:tcW w:w="8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(123,330)</w:t>
            </w: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Arial" w:cs="Arial" w:eastAsia="Arial" w:hAnsi="Arial"/>
                <w:sz w:val="13"/>
                <w:szCs w:val="13"/>
                <w:color w:val="auto"/>
              </w:rPr>
              <w:t>Balance at March 31, 2020</w:t>
            </w: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780" w:type="dxa"/>
            <w:vAlign w:val="bottom"/>
            <w:vMerge w:val="continue"/>
          </w:tcPr>
          <w:p>
            <w:pPr>
              <w:spacing w:after="0"/>
              <w:rPr>
                <w:sz w:val="13"/>
                <w:szCs w:val="13"/>
                <w:color w:val="auto"/>
              </w:rPr>
            </w:pP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447,259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451,268,171</w:t>
            </w:r>
          </w:p>
        </w:tc>
        <w:tc>
          <w:tcPr>
            <w:tcW w:w="2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180"/>
              <w:spacing w:after="0"/>
              <w:rPr>
                <w:sz w:val="20"/>
                <w:szCs w:val="20"/>
                <w:color w:val="auto"/>
              </w:rPr>
            </w:pPr>
            <w:r>
              <w:rPr>
                <w:rFonts w:ascii="Arial" w:cs="Arial" w:eastAsia="Arial" w:hAnsi="Arial"/>
                <w:sz w:val="13"/>
                <w:szCs w:val="13"/>
                <w:color w:val="auto"/>
              </w:rPr>
              <w:t>(331,345,818)</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120,369,612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374"/>
        <w:spacing w:after="0" w:line="270" w:lineRule="auto"/>
        <w:rPr>
          <w:sz w:val="20"/>
          <w:szCs w:val="20"/>
          <w:color w:val="auto"/>
        </w:rPr>
      </w:pPr>
      <w:r>
        <w:rPr>
          <w:rFonts w:ascii="Arial" w:cs="Arial" w:eastAsia="Arial" w:hAnsi="Arial"/>
          <w:sz w:val="17"/>
          <w:szCs w:val="17"/>
          <w:color w:val="auto"/>
        </w:rPr>
        <w:t>On March 5, 2020, the Board of Directors of the Company approved a $10 million stock repurchase program (the “Stock Repurchase Program”). Under this repurchase program, shares may be repurchased from time to time in open market transactions, in privately negotiated transactions or otherwise subject to any agreement to which we are party including any restrictions in the indenture for our 6.125% Notes Due 2022. The timing and actual number of shares repurchased will depend on a variety of factors, including legal requirements, price, and economic and market conditions. This Stock Repurchase Program may be suspended or discontinued at any time. On March 11, 2021, the Board of Directors of the Company authorized a renewed stock repurchase program of up to $10 million (the “Renewed Stock Repurchase Program”) for an approximately one-year period, effective March 11, 2021 and terminating on March 31, 2022. The terms and conditions of the Renewed Stock Repurchase Program are substantially similar to the prior Stock Repurchase Program. The Renewed Stock Repurchase Program may be suspended or discontinued at any time. Subject to these restrictions, we will selectively pursue opportunities to repurchase shares which are accretive to net asset value per share.</w:t>
      </w:r>
    </w:p>
    <w:p>
      <w:pPr>
        <w:spacing w:after="0" w:line="181" w:lineRule="exact"/>
        <w:rPr>
          <w:sz w:val="20"/>
          <w:szCs w:val="20"/>
          <w:color w:val="auto"/>
        </w:rPr>
      </w:pPr>
    </w:p>
    <w:p>
      <w:pPr>
        <w:ind w:right="120" w:firstLine="374"/>
        <w:spacing w:after="0" w:line="277" w:lineRule="auto"/>
        <w:rPr>
          <w:sz w:val="20"/>
          <w:szCs w:val="20"/>
          <w:color w:val="auto"/>
        </w:rPr>
      </w:pPr>
      <w:r>
        <w:rPr>
          <w:rFonts w:ascii="Arial" w:cs="Arial" w:eastAsia="Arial" w:hAnsi="Arial"/>
          <w:sz w:val="18"/>
          <w:szCs w:val="18"/>
          <w:color w:val="auto"/>
        </w:rPr>
        <w:t>There were no share repurchases during the first quarter of 2021. During the three months ended March 31, 2020, the Company repurchased 121,548 of shares under the Stock Repurchase Program at an aggregate cost of approximately $123 thousand.</w:t>
      </w:r>
    </w:p>
    <w:p>
      <w:pPr>
        <w:spacing w:after="0" w:line="170" w:lineRule="exact"/>
        <w:rPr>
          <w:sz w:val="20"/>
          <w:szCs w:val="20"/>
          <w:color w:val="auto"/>
        </w:rPr>
      </w:pPr>
    </w:p>
    <w:p>
      <w:pPr>
        <w:jc w:val="both"/>
        <w:ind w:right="280" w:firstLine="374"/>
        <w:spacing w:after="0" w:line="263" w:lineRule="auto"/>
        <w:rPr>
          <w:sz w:val="20"/>
          <w:szCs w:val="20"/>
          <w:color w:val="auto"/>
        </w:rPr>
      </w:pPr>
      <w:r>
        <w:rPr>
          <w:rFonts w:ascii="Arial" w:cs="Arial" w:eastAsia="Arial" w:hAnsi="Arial"/>
          <w:sz w:val="18"/>
          <w:szCs w:val="18"/>
          <w:color w:val="auto"/>
        </w:rPr>
        <w:t>During the three months ended March 31, 2021 and 2020, the Company issued 30,911 and 17,744 shares, respectively, of common stock under its dividend reinvestment plan. The total number of shares of the Company’s common stock outstanding as of March 31, 2021 and December 31, 2020 was 75,195,141 and 75,164,230, respectively.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EQUITY COMPENSATION PLANS</w:t>
      </w:r>
    </w:p>
    <w:p>
      <w:pPr>
        <w:spacing w:after="0" w:line="121" w:lineRule="exact"/>
        <w:rPr>
          <w:sz w:val="20"/>
          <w:szCs w:val="20"/>
          <w:color w:val="auto"/>
        </w:rPr>
      </w:pPr>
    </w:p>
    <w:p>
      <w:pPr>
        <w:ind w:right="60" w:firstLine="374"/>
        <w:spacing w:after="0" w:line="273" w:lineRule="auto"/>
        <w:rPr>
          <w:sz w:val="20"/>
          <w:szCs w:val="20"/>
          <w:color w:val="auto"/>
        </w:rPr>
      </w:pPr>
      <w:r>
        <w:rPr>
          <w:rFonts w:ascii="Arial" w:cs="Arial" w:eastAsia="Arial" w:hAnsi="Arial"/>
          <w:sz w:val="17"/>
          <w:szCs w:val="17"/>
          <w:color w:val="auto"/>
        </w:rPr>
        <w:t>Prior to March 31, 2019, the Company had an equity incentive plan, established in 2006 and most recently amended, following approval by the Company’s Board and shareholders, on May 4, 2017 (the “Equity Incentive Plan”). The Company reserved 2,000,000 shares of common stock for issuance under the Equity Incentive Plan. In connection with the Closing, the Company terminated the Equity Incentive Plan and will no longer make grants pursuant to the plan. Prior to the Closing, restricted stock granted under the Equity Incentive Plan was granted at a price equal to the fair market value (market closing price) of the shares on the day such restricted stock is granted. Options granted under the Equity Incentive Plan were exercisable at a price equal to the fair market value (market closing price) of the shares on the day the option is granted.</w:t>
      </w:r>
    </w:p>
    <w:p>
      <w:pPr>
        <w:spacing w:after="0" w:line="137"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right="80" w:firstLine="374"/>
        <w:spacing w:after="0" w:line="255" w:lineRule="auto"/>
        <w:rPr>
          <w:sz w:val="20"/>
          <w:szCs w:val="20"/>
          <w:color w:val="auto"/>
        </w:rPr>
      </w:pPr>
      <w:r>
        <w:rPr>
          <w:rFonts w:ascii="Arial" w:cs="Arial" w:eastAsia="Arial" w:hAnsi="Arial"/>
          <w:sz w:val="18"/>
          <w:szCs w:val="18"/>
          <w:color w:val="auto"/>
        </w:rPr>
        <w:t>The 2008 Non-Employee Director Plan was originally adopted by the Board and was approved by a vote of the Company’s shareholders at the 2008 Annual Shareholder Meeting (the “2008 Plan”). Effective June 10, 2011, the 2008 Plan was amended and restated in accordance with a resolution of the Board and approved by a vote of the Company’s shareholders at the 2011 Annual Shareholder Meeting (the “2011 Plan”). Effective May 4, 2017, the 2011 Plan was amended and restated in accordance with a resolution of the Board and approved by the Company’s shareholders at the 2017 Annual Shareholder Meeting (the “Non-Employee Director Plan”). In connection with the Closing, the Company terminated the 2008 Plan and will no longer make grants pursuant to the plan.</w:t>
      </w:r>
    </w:p>
    <w:p>
      <w:pPr>
        <w:spacing w:after="0" w:line="165" w:lineRule="exact"/>
        <w:rPr>
          <w:sz w:val="20"/>
          <w:szCs w:val="20"/>
          <w:color w:val="auto"/>
        </w:rPr>
      </w:pPr>
    </w:p>
    <w:p>
      <w:pPr>
        <w:ind w:right="100" w:firstLine="374"/>
        <w:spacing w:after="0" w:line="263" w:lineRule="auto"/>
        <w:rPr>
          <w:sz w:val="20"/>
          <w:szCs w:val="20"/>
          <w:color w:val="auto"/>
        </w:rPr>
      </w:pPr>
      <w:r>
        <w:rPr>
          <w:rFonts w:ascii="Arial" w:cs="Arial" w:eastAsia="Arial" w:hAnsi="Arial"/>
          <w:sz w:val="18"/>
          <w:szCs w:val="18"/>
          <w:color w:val="auto"/>
        </w:rPr>
        <w:t>Immediately prior to the Closing, by virtue of the Externalization and subject to the execution of an option cancellation agreement, each option to purchase shares of the Company’s common stock granted under the 2008 Plan that was outstanding immediately prior to the Externalization was cancelled in exchange for a payment in cash to the holder thereof.</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27" w:right="339" w:bottom="1440" w:gutter="0" w:footer="0" w:header="0"/>
        </w:sectPr>
      </w:pPr>
    </w:p>
    <w:bookmarkStart w:id="72" w:name="page73"/>
    <w:bookmarkEnd w:id="72"/>
    <w:p>
      <w:pPr>
        <w:ind w:right="80" w:firstLine="374"/>
        <w:spacing w:after="0" w:line="277" w:lineRule="auto"/>
        <w:rPr>
          <w:sz w:val="20"/>
          <w:szCs w:val="20"/>
          <w:color w:val="auto"/>
        </w:rPr>
      </w:pPr>
      <w:r>
        <w:rPr>
          <w:rFonts w:ascii="Arial" w:cs="Arial" w:eastAsia="Arial" w:hAnsi="Arial"/>
          <w:sz w:val="18"/>
          <w:szCs w:val="18"/>
          <w:color w:val="auto"/>
        </w:rPr>
        <w:t>Information with respect to options granted, exercised and forfeited under the Equity Incentive Plan for the period January 1, 2019 through March 31, 2019 is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Weighted</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Average</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3"/>
              </w:rPr>
              <w:t>Contractual</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5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7"/>
              </w:rPr>
              <w:t>Exercise Price</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Intrinsic</w:t>
            </w:r>
          </w:p>
        </w:tc>
      </w:tr>
      <w:tr>
        <w:trPr>
          <w:trHeight w:val="234"/>
        </w:trPr>
        <w:tc>
          <w:tcPr>
            <w:tcW w:w="5860" w:type="dxa"/>
            <w:vAlign w:val="bottom"/>
          </w:tcPr>
          <w:p>
            <w:pPr>
              <w:spacing w:after="0"/>
              <w:rPr>
                <w:sz w:val="20"/>
                <w:szCs w:val="20"/>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per Share</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0"/>
              </w:rPr>
              <w:t>Term (years)</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Value</w:t>
            </w:r>
            <w:r>
              <w:rPr>
                <w:rFonts w:ascii="Arial" w:cs="Arial" w:eastAsia="Arial" w:hAnsi="Arial"/>
                <w:sz w:val="15"/>
                <w:szCs w:val="15"/>
                <w:b w:val="1"/>
                <w:bCs w:val="1"/>
                <w:color w:val="auto"/>
                <w:w w:val="88"/>
              </w:rPr>
              <w:t>1</w:t>
            </w:r>
          </w:p>
        </w:tc>
      </w:tr>
      <w:tr>
        <w:trPr>
          <w:trHeight w:val="223"/>
        </w:trPr>
        <w:tc>
          <w:tcPr>
            <w:tcW w:w="5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outstanding at January 1, 2019</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30,000</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4.88</w:t>
            </w:r>
          </w:p>
        </w:tc>
        <w:tc>
          <w:tcPr>
            <w:tcW w:w="22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ind w:left="82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860" w:type="dxa"/>
            <w:vAlign w:val="bottom"/>
          </w:tcPr>
          <w:p>
            <w:pPr>
              <w:spacing w:after="0"/>
              <w:rPr>
                <w:sz w:val="20"/>
                <w:szCs w:val="20"/>
                <w:color w:val="auto"/>
              </w:rPr>
            </w:pPr>
            <w:r>
              <w:rPr>
                <w:rFonts w:ascii="Arial" w:cs="Arial" w:eastAsia="Arial" w:hAnsi="Arial"/>
                <w:sz w:val="18"/>
                <w:szCs w:val="18"/>
                <w:color w:val="auto"/>
              </w:rPr>
              <w:t>Granted</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860" w:type="dxa"/>
            <w:vAlign w:val="bottom"/>
          </w:tcPr>
          <w:p>
            <w:pPr>
              <w:spacing w:after="0"/>
              <w:rPr>
                <w:sz w:val="20"/>
                <w:szCs w:val="20"/>
                <w:color w:val="auto"/>
              </w:rPr>
            </w:pPr>
            <w:r>
              <w:rPr>
                <w:rFonts w:ascii="Arial" w:cs="Arial" w:eastAsia="Arial" w:hAnsi="Arial"/>
                <w:sz w:val="18"/>
                <w:szCs w:val="18"/>
                <w:color w:val="auto"/>
              </w:rPr>
              <w:t>Forfeited</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Cancelled</w:t>
            </w: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(30,000)</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w:t>
            </w: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63"/>
        </w:trPr>
        <w:tc>
          <w:tcPr>
            <w:tcW w:w="5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Outstanding at March 31, 2019</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22"/>
                <w:szCs w:val="22"/>
                <w:color w:val="auto"/>
              </w:rPr>
            </w:pPr>
          </w:p>
        </w:tc>
        <w:tc>
          <w:tcPr>
            <w:tcW w:w="24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FF0FC"/>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FF0FC"/>
            </w:tcBorders>
            <w:gridSpan w:val="2"/>
          </w:tcPr>
          <w:p>
            <w:pPr>
              <w:ind w:left="820"/>
              <w:spacing w:after="0"/>
              <w:rPr>
                <w:sz w:val="20"/>
                <w:szCs w:val="20"/>
                <w:color w:val="auto"/>
              </w:rPr>
            </w:pPr>
            <w:r>
              <w:rPr>
                <w:rFonts w:ascii="Arial" w:cs="Arial" w:eastAsia="Arial" w:hAnsi="Arial"/>
                <w:sz w:val="18"/>
                <w:szCs w:val="18"/>
                <w:color w:val="auto"/>
              </w:rPr>
              <w:t>—</w:t>
            </w:r>
          </w:p>
        </w:tc>
      </w:tr>
      <w:tr>
        <w:trPr>
          <w:trHeight w:val="210"/>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Total vested at March 31, 2019</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bl>
    <w:p>
      <w:pPr>
        <w:spacing w:after="0" w:line="202" w:lineRule="exact"/>
        <w:rPr>
          <w:sz w:val="20"/>
          <w:szCs w:val="20"/>
          <w:color w:val="auto"/>
        </w:rPr>
      </w:pPr>
    </w:p>
    <w:p>
      <w:pPr>
        <w:ind w:left="380" w:hanging="372"/>
        <w:spacing w:after="0"/>
        <w:tabs>
          <w:tab w:leader="none" w:pos="380" w:val="left"/>
        </w:tabs>
        <w:numPr>
          <w:ilvl w:val="0"/>
          <w:numId w:val="74"/>
        </w:numPr>
        <w:rPr>
          <w:rFonts w:ascii="Arial" w:cs="Arial" w:eastAsia="Arial" w:hAnsi="Arial"/>
          <w:sz w:val="15"/>
          <w:szCs w:val="15"/>
          <w:color w:val="auto"/>
        </w:rPr>
      </w:pPr>
      <w:r>
        <w:rPr>
          <w:rFonts w:ascii="Arial" w:cs="Arial" w:eastAsia="Arial" w:hAnsi="Arial"/>
          <w:sz w:val="18"/>
          <w:szCs w:val="18"/>
          <w:color w:val="auto"/>
        </w:rPr>
        <w:t>Represents the difference between the market value of shares of the Company on March 31, 2019 and the exercise price of the options.</w:t>
      </w:r>
    </w:p>
    <w:p>
      <w:pPr>
        <w:spacing w:after="0" w:line="198" w:lineRule="exact"/>
        <w:rPr>
          <w:sz w:val="20"/>
          <w:szCs w:val="20"/>
          <w:color w:val="auto"/>
        </w:rPr>
      </w:pPr>
    </w:p>
    <w:p>
      <w:pPr>
        <w:ind w:right="380" w:firstLine="374"/>
        <w:spacing w:after="0" w:line="263" w:lineRule="auto"/>
        <w:rPr>
          <w:sz w:val="20"/>
          <w:szCs w:val="20"/>
          <w:color w:val="auto"/>
        </w:rPr>
      </w:pPr>
      <w:r>
        <w:rPr>
          <w:rFonts w:ascii="Arial" w:cs="Arial" w:eastAsia="Arial" w:hAnsi="Arial"/>
          <w:sz w:val="18"/>
          <w:szCs w:val="18"/>
          <w:color w:val="auto"/>
        </w:rPr>
        <w:t>The Company uses a Binary Option Pricing Model (American, call option) to establish the expected value of all stock option grants. For the three months ended March 31, 2019, the Company did not recognize any non-cash compensation expense related to stock options. At March 31, 2021, the Company had no remaining compensation costs related to unvested stock based awards.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18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Awards of restricted stock granted under the Non-Employee Director Plan vest as follows: 50% of the shares vest on the grant date and the remaining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50% of the shares vest on the earlier of:</w:t>
      </w:r>
    </w:p>
    <w:p>
      <w:pPr>
        <w:spacing w:after="0" w:line="184" w:lineRule="exact"/>
        <w:rPr>
          <w:sz w:val="20"/>
          <w:szCs w:val="20"/>
          <w:color w:val="auto"/>
        </w:rPr>
      </w:pPr>
    </w:p>
    <w:p>
      <w:pPr>
        <w:ind w:left="600" w:hanging="218"/>
        <w:spacing w:after="0"/>
        <w:tabs>
          <w:tab w:leader="none" w:pos="6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first anniversary of such grant, or</w:t>
      </w:r>
    </w:p>
    <w:p>
      <w:pPr>
        <w:spacing w:after="0" w:line="184" w:lineRule="exact"/>
        <w:rPr>
          <w:rFonts w:ascii="Arial" w:cs="Arial" w:eastAsia="Arial" w:hAnsi="Arial"/>
          <w:sz w:val="18"/>
          <w:szCs w:val="18"/>
          <w:color w:val="auto"/>
        </w:rPr>
      </w:pPr>
    </w:p>
    <w:p>
      <w:pPr>
        <w:ind w:left="640" w:hanging="258"/>
        <w:spacing w:after="0"/>
        <w:tabs>
          <w:tab w:leader="none" w:pos="6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date immediately preceding the next annual meeting of shareholders.</w:t>
      </w:r>
    </w:p>
    <w:p>
      <w:pPr>
        <w:spacing w:after="0" w:line="18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On May 3, 2018, 6,000 shares of restricted stock were awarded to the Company’s Board.</w:t>
      </w:r>
    </w:p>
    <w:p>
      <w:pPr>
        <w:spacing w:after="0" w:line="198" w:lineRule="exact"/>
        <w:rPr>
          <w:sz w:val="20"/>
          <w:szCs w:val="20"/>
          <w:color w:val="auto"/>
        </w:rPr>
      </w:pPr>
    </w:p>
    <w:p>
      <w:pPr>
        <w:ind w:right="80" w:firstLine="374"/>
        <w:spacing w:after="0" w:line="263" w:lineRule="auto"/>
        <w:rPr>
          <w:sz w:val="20"/>
          <w:szCs w:val="20"/>
          <w:color w:val="auto"/>
        </w:rPr>
      </w:pPr>
      <w:r>
        <w:rPr>
          <w:rFonts w:ascii="Arial" w:cs="Arial" w:eastAsia="Arial" w:hAnsi="Arial"/>
          <w:sz w:val="18"/>
          <w:szCs w:val="18"/>
          <w:color w:val="auto"/>
        </w:rPr>
        <w:t>Immediately prior to the Closing all restrictions with respect to 3,000 shares of restricted stock outstanding and not previously forfeited under the Non-Employee Director Plan lapsed, and the holders of such restricted stock became entitled to receive a pro rata share of the payment due to stockholders of the Company pursuant to the Externalization Agreement.</w:t>
      </w:r>
    </w:p>
    <w:p>
      <w:pPr>
        <w:spacing w:after="0" w:line="143" w:lineRule="exact"/>
        <w:rPr>
          <w:sz w:val="20"/>
          <w:szCs w:val="20"/>
          <w:color w:val="auto"/>
        </w:rPr>
      </w:pPr>
    </w:p>
    <w:p>
      <w:pPr>
        <w:ind w:right="180" w:firstLine="374"/>
        <w:spacing w:after="0" w:line="279" w:lineRule="auto"/>
        <w:rPr>
          <w:sz w:val="20"/>
          <w:szCs w:val="20"/>
          <w:color w:val="auto"/>
        </w:rPr>
      </w:pPr>
      <w:r>
        <w:rPr>
          <w:rFonts w:ascii="Arial" w:cs="Arial" w:eastAsia="Arial" w:hAnsi="Arial"/>
          <w:sz w:val="17"/>
          <w:szCs w:val="17"/>
          <w:color w:val="auto"/>
        </w:rPr>
        <w:t>On June 16, 2015, the Company received exemptive relief to repurchase shares of its common stock from its employees in connection with certain equity compensation plan arrangements. During the year ended December 31, 2018, the Company repurchased 26,681 shares, of common stock at an aggregate cost of approximately $86,000, in connection with the vesting of employee’s restricted stock, which is reflected as a reduction in Stockholders’ Equity at cost. These shares are not available to be reissued under the Company’s Equity Incentive Plan.</w:t>
      </w:r>
    </w:p>
    <w:p>
      <w:pPr>
        <w:spacing w:after="0" w:line="13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Immediately prior to the Closing, 110,382 shares of restricted stock outstanding and not previously forfeited under the Equity Incentive Plan and the</w:t>
      </w:r>
    </w:p>
    <w:p>
      <w:pPr>
        <w:spacing w:after="0" w:line="46" w:lineRule="exact"/>
        <w:rPr>
          <w:sz w:val="20"/>
          <w:szCs w:val="20"/>
          <w:color w:val="auto"/>
        </w:rPr>
      </w:pPr>
    </w:p>
    <w:p>
      <w:pPr>
        <w:ind w:right="500"/>
        <w:spacing w:after="0" w:line="323" w:lineRule="auto"/>
        <w:rPr>
          <w:sz w:val="20"/>
          <w:szCs w:val="20"/>
          <w:color w:val="auto"/>
        </w:rPr>
      </w:pPr>
      <w:r>
        <w:rPr>
          <w:rFonts w:ascii="Arial" w:cs="Arial" w:eastAsia="Arial" w:hAnsi="Arial"/>
          <w:sz w:val="16"/>
          <w:szCs w:val="16"/>
          <w:color w:val="auto"/>
        </w:rPr>
        <w:t>2008 Plan (as defined below) became fully vested, all restrictions with respect to such restricted stock lapsed, and the holders of such restricted stock became entitled to receive a pro rata share of the payment due to stockholders of the Company pursuant to the Externalization Agreement.</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OTHER EMPLOYEE COMPENSATION</w:t>
      </w:r>
    </w:p>
    <w:p>
      <w:pPr>
        <w:spacing w:after="0" w:line="189" w:lineRule="exact"/>
        <w:rPr>
          <w:sz w:val="20"/>
          <w:szCs w:val="20"/>
          <w:color w:val="auto"/>
        </w:rPr>
      </w:pPr>
    </w:p>
    <w:p>
      <w:pPr>
        <w:ind w:right="40" w:firstLine="374"/>
        <w:spacing w:after="0" w:line="257" w:lineRule="auto"/>
        <w:rPr>
          <w:sz w:val="20"/>
          <w:szCs w:val="20"/>
          <w:color w:val="auto"/>
        </w:rPr>
      </w:pPr>
      <w:r>
        <w:rPr>
          <w:rFonts w:ascii="Arial" w:cs="Arial" w:eastAsia="Arial" w:hAnsi="Arial"/>
          <w:sz w:val="18"/>
          <w:szCs w:val="18"/>
          <w:color w:val="auto"/>
        </w:rPr>
        <w:t>The Company adopted a 401(k) plan (“401K Plan”) effective January 1, 2007. The 401K Plan was open to all full-time employees. The 401K Plan permits an employee to defer a portion of their total annual compensation up to the Internal Revenue Service annual maximum based on age and eligibility. The Company made contributions to the 401K Plan of up to 2% of the Internal Revenue Service’s annual maximum eligible compensation, which fully vests at the time of contribution. No expense was recognized during the three months ended March 31, 2020 related to the 401K Plan. This Plan was terminated effective March 31, 2019.</w:t>
      </w:r>
    </w:p>
    <w:p>
      <w:pPr>
        <w:spacing w:after="0" w:line="147" w:lineRule="exact"/>
        <w:rPr>
          <w:sz w:val="20"/>
          <w:szCs w:val="20"/>
          <w:color w:val="auto"/>
        </w:rPr>
      </w:pPr>
    </w:p>
    <w:p>
      <w:pPr>
        <w:ind w:right="60" w:firstLine="374"/>
        <w:spacing w:after="0" w:line="263" w:lineRule="auto"/>
        <w:rPr>
          <w:sz w:val="20"/>
          <w:szCs w:val="20"/>
          <w:color w:val="auto"/>
        </w:rPr>
      </w:pPr>
      <w:r>
        <w:rPr>
          <w:rFonts w:ascii="Arial" w:cs="Arial" w:eastAsia="Arial" w:hAnsi="Arial"/>
          <w:sz w:val="18"/>
          <w:szCs w:val="18"/>
          <w:color w:val="auto"/>
        </w:rPr>
        <w:t>The Company also adopted a deferred compensation plan (“Profit-Sharing Plan”) effective January 1, 2007. Employees are eligible for the Profit-Sharing Plan provided that they are employed and working with the Company to participate in at least 100 days during the year and remain employed as of the last day of the year. Employees do not make contributions to the Profit-Sharing Plan.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73" w:name="page74"/>
    <w:bookmarkEnd w:id="73"/>
    <w:p>
      <w:pPr>
        <w:jc w:val="both"/>
        <w:ind w:right="120"/>
        <w:spacing w:after="0" w:line="279" w:lineRule="auto"/>
        <w:rPr>
          <w:sz w:val="20"/>
          <w:szCs w:val="20"/>
          <w:color w:val="auto"/>
        </w:rPr>
      </w:pPr>
      <w:r>
        <w:rPr>
          <w:rFonts w:ascii="Arial" w:cs="Arial" w:eastAsia="Arial" w:hAnsi="Arial"/>
          <w:sz w:val="17"/>
          <w:szCs w:val="17"/>
          <w:color w:val="auto"/>
        </w:rPr>
        <w:t>On behalf of the employee, the Company may contribute to the Profit-Sharing Plan 1) up to 8.0% of all compensation up to the Internal Revenue Service annual maximum and 2) up to 5.7% excess contributions on any incremental amounts above the social security wage base limitation and up to the Internal Revenue Service annual maximum. Employees vest 100% in the Profit-Sharing Plan after five years of service This Plan was terminated effective March 31, 2019, and no expense was recognized during the three months ended March 31, 2020.</w:t>
      </w:r>
    </w:p>
    <w:p>
      <w:pPr>
        <w:spacing w:after="0" w:line="140" w:lineRule="exact"/>
        <w:rPr>
          <w:sz w:val="20"/>
          <w:szCs w:val="20"/>
          <w:color w:val="auto"/>
        </w:rPr>
      </w:pPr>
    </w:p>
    <w:p>
      <w:pPr>
        <w:ind w:left="380" w:right="3520" w:hanging="372"/>
        <w:spacing w:after="0" w:line="370" w:lineRule="auto"/>
        <w:tabs>
          <w:tab w:leader="none" w:pos="37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ACQUISITION OF OHA INVESTMENT CORPORATION AND GARRISON CAPITAL INC. </w:t>
      </w:r>
      <w:r>
        <w:rPr>
          <w:rFonts w:ascii="Arial" w:cs="Arial" w:eastAsia="Arial" w:hAnsi="Arial"/>
          <w:sz w:val="18"/>
          <w:szCs w:val="18"/>
          <w:i w:val="1"/>
          <w:iCs w:val="1"/>
          <w:color w:val="auto"/>
        </w:rPr>
        <w:t>OHAI acquisition</w:t>
      </w:r>
    </w:p>
    <w:p>
      <w:pPr>
        <w:ind w:right="60" w:firstLine="374"/>
        <w:spacing w:after="0" w:line="254" w:lineRule="auto"/>
        <w:rPr>
          <w:sz w:val="20"/>
          <w:szCs w:val="20"/>
          <w:color w:val="auto"/>
        </w:rPr>
      </w:pPr>
      <w:r>
        <w:rPr>
          <w:rFonts w:ascii="Arial" w:cs="Arial" w:eastAsia="Arial" w:hAnsi="Arial"/>
          <w:sz w:val="18"/>
          <w:szCs w:val="18"/>
          <w:color w:val="auto"/>
        </w:rPr>
        <w:t>On December 18, 2019, we completed our acquisition of OHA Investment Corporation (“OHAI”). In accordance with the terms of the merger agreement, each share of common stock, par value $0.001 per share, of OHAI (the “OHAI Common Stock”) issued and outstanding was converted into the right to receive (i) an amount in cash, without interest, equal to approximately $0.42, and (ii) 0.3688 shares of common stock, par value $0.01 per share, of the Company (plus any applicable cash in lieu of fractional shares). Each share of OHAI Common Stock issued and outstanding received, as additional consideration funded by the Adviser, an amount in cash, without interest, equal to approximately $0.15. As a result of the Merger, the Company issued an aggregate of 7,439,559 shares of its common stock to former OHAI stockholders (approximately 16.6% of the Company’s outstanding shares at December 31, 2019).</w:t>
      </w:r>
    </w:p>
    <w:p>
      <w:pPr>
        <w:spacing w:after="0" w:line="87" w:lineRule="exact"/>
        <w:rPr>
          <w:sz w:val="20"/>
          <w:szCs w:val="20"/>
          <w:color w:val="auto"/>
        </w:rPr>
      </w:pPr>
    </w:p>
    <w:p>
      <w:pPr>
        <w:ind w:right="80" w:firstLine="374"/>
        <w:spacing w:after="0" w:line="263" w:lineRule="auto"/>
        <w:rPr>
          <w:sz w:val="20"/>
          <w:szCs w:val="20"/>
          <w:color w:val="auto"/>
        </w:rPr>
      </w:pPr>
      <w:r>
        <w:rPr>
          <w:rFonts w:ascii="Arial" w:cs="Arial" w:eastAsia="Arial" w:hAnsi="Arial"/>
          <w:sz w:val="18"/>
          <w:szCs w:val="18"/>
          <w:color w:val="auto"/>
        </w:rPr>
        <w:t>Pursuant to the merger agreement, if at any time within one year after the closing date of the transaction our common stock is trading at a price below 75% of its net asset value, we will initiate a share buyback program of up to $10 million to support the trading price of the combined entity for up to one year from the date such program is announced.</w:t>
      </w:r>
    </w:p>
    <w:p>
      <w:pPr>
        <w:spacing w:after="0" w:line="76" w:lineRule="exact"/>
        <w:rPr>
          <w:sz w:val="20"/>
          <w:szCs w:val="20"/>
          <w:color w:val="auto"/>
        </w:rPr>
      </w:pPr>
    </w:p>
    <w:p>
      <w:pPr>
        <w:ind w:right="20" w:firstLine="374"/>
        <w:spacing w:after="0" w:line="288" w:lineRule="auto"/>
        <w:rPr>
          <w:sz w:val="20"/>
          <w:szCs w:val="20"/>
          <w:color w:val="auto"/>
        </w:rPr>
      </w:pPr>
      <w:r>
        <w:rPr>
          <w:rFonts w:ascii="Arial" w:cs="Arial" w:eastAsia="Arial" w:hAnsi="Arial"/>
          <w:sz w:val="16"/>
          <w:szCs w:val="16"/>
          <w:color w:val="auto"/>
        </w:rPr>
        <w:t>The merger was accounted for in accordance with the asset acquisition method of accounting as detailed in ASC Topic 805-50. The fair value of the consideration paid, and transaction costs incurred to complete the merger by the Company, including $3.0 million of cash payment (deemed capital contribution) paid at closing directly to shareholders of OHAI from the Adviser, was allocated to the OHAI investments acquired, based on their relative fair values as of the date of acquisition. The fair value of the purchase consideration paid by the Company below the fair value of net assets acquired is considered the purchase discount. Immediately following the acquisition of OHAI, the Company recorded OHAI’s net assets at their respective fair values and, as a result, the purchase discount was allocated to the cost basis of the OHAI investments acquired and was immediately recognized as unrealized gain on the Company's Consolidated Statement of Operations. The purchase discount was allocated to the acquired investments on a relative fair value basis and, for performing debt investments, will amortize over the life of the investments through interest income with a corresponding reversal of the unrealized appreciation on the OHAI investments acquired through their maturity. Upon the sale of any of the OHAI acquired investments, the Company will recognize a realized gain or a reduction in realized losses with a corresponding reversal of the unrealized losses.</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Common stock issued by the Company </w:t>
            </w:r>
            <w:r>
              <w:rPr>
                <w:rFonts w:ascii="Arial" w:cs="Arial" w:eastAsia="Arial" w:hAnsi="Arial"/>
                <w:sz w:val="15"/>
                <w:szCs w:val="15"/>
                <w:color w:val="auto"/>
              </w:rPr>
              <w:t>(1)</w:t>
            </w:r>
          </w:p>
        </w:tc>
        <w:tc>
          <w:tcPr>
            <w:tcW w:w="980" w:type="dxa"/>
            <w:vAlign w:val="bottom"/>
            <w:gridSpan w:val="2"/>
            <w:shd w:val="clear" w:color="auto" w:fill="CFF0FC"/>
          </w:tcPr>
          <w:p>
            <w:pPr>
              <w:jc w:val="right"/>
              <w:ind w:right="849"/>
              <w:spacing w:after="0"/>
              <w:rPr>
                <w:sz w:val="20"/>
                <w:szCs w:val="20"/>
                <w:color w:val="auto"/>
              </w:rPr>
            </w:pPr>
            <w:r>
              <w:rPr>
                <w:rFonts w:ascii="Arial" w:cs="Arial" w:eastAsia="Arial" w:hAnsi="Arial"/>
                <w:sz w:val="15"/>
                <w:szCs w:val="15"/>
                <w:color w:val="auto"/>
                <w:w w:val="71"/>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15,548,678</w:t>
            </w:r>
          </w:p>
        </w:tc>
        <w:tc>
          <w:tcPr>
            <w:tcW w:w="100" w:type="dxa"/>
            <w:vAlign w:val="bottom"/>
            <w:shd w:val="clear" w:color="auto" w:fill="CFF0FC"/>
          </w:tcPr>
          <w:p>
            <w:pPr>
              <w:spacing w:after="0"/>
              <w:rPr>
                <w:sz w:val="19"/>
                <w:szCs w:val="19"/>
                <w:color w:val="auto"/>
              </w:rPr>
            </w:pPr>
          </w:p>
        </w:tc>
      </w:tr>
      <w:tr>
        <w:trPr>
          <w:trHeight w:val="230"/>
        </w:trPr>
        <w:tc>
          <w:tcPr>
            <w:tcW w:w="8420" w:type="dxa"/>
            <w:vAlign w:val="bottom"/>
          </w:tcPr>
          <w:p>
            <w:pPr>
              <w:spacing w:after="0"/>
              <w:rPr>
                <w:sz w:val="20"/>
                <w:szCs w:val="20"/>
                <w:color w:val="auto"/>
              </w:rPr>
            </w:pPr>
            <w:r>
              <w:rPr>
                <w:rFonts w:ascii="Arial" w:cs="Arial" w:eastAsia="Arial" w:hAnsi="Arial"/>
                <w:sz w:val="18"/>
                <w:szCs w:val="18"/>
                <w:color w:val="auto"/>
              </w:rPr>
              <w:t xml:space="preserve">Cash consideration to OHAI shareholders </w:t>
            </w:r>
            <w:r>
              <w:rPr>
                <w:rFonts w:ascii="Arial" w:cs="Arial" w:eastAsia="Arial" w:hAnsi="Arial"/>
                <w:sz w:val="15"/>
                <w:szCs w:val="15"/>
                <w:color w:val="auto"/>
              </w:rPr>
              <w:t>(2)</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11,510,688</w:t>
            </w:r>
          </w:p>
        </w:tc>
        <w:tc>
          <w:tcPr>
            <w:tcW w:w="100" w:type="dxa"/>
            <w:vAlign w:val="bottom"/>
          </w:tcPr>
          <w:p>
            <w:pPr>
              <w:spacing w:after="0"/>
              <w:rPr>
                <w:sz w:val="19"/>
                <w:szCs w:val="19"/>
                <w:color w:val="auto"/>
              </w:rPr>
            </w:pPr>
          </w:p>
        </w:tc>
      </w:tr>
      <w:tr>
        <w:trPr>
          <w:trHeight w:val="230"/>
        </w:trPr>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Transaction costs (excluding offering costs $385,747)</w:t>
            </w:r>
          </w:p>
        </w:tc>
        <w:tc>
          <w:tcPr>
            <w:tcW w:w="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851,807</w:t>
            </w:r>
          </w:p>
        </w:tc>
        <w:tc>
          <w:tcPr>
            <w:tcW w:w="100" w:type="dxa"/>
            <w:vAlign w:val="bottom"/>
            <w:shd w:val="clear" w:color="auto" w:fill="CFF0FC"/>
          </w:tcPr>
          <w:p>
            <w:pPr>
              <w:spacing w:after="0"/>
              <w:rPr>
                <w:sz w:val="19"/>
                <w:szCs w:val="19"/>
                <w:color w:val="auto"/>
              </w:rPr>
            </w:pPr>
          </w:p>
        </w:tc>
      </w:tr>
      <w:tr>
        <w:trPr>
          <w:trHeight w:val="223"/>
        </w:trPr>
        <w:tc>
          <w:tcPr>
            <w:tcW w:w="8420" w:type="dxa"/>
            <w:vAlign w:val="bottom"/>
          </w:tcPr>
          <w:p>
            <w:pPr>
              <w:spacing w:after="0"/>
              <w:rPr>
                <w:sz w:val="20"/>
                <w:szCs w:val="20"/>
                <w:color w:val="auto"/>
              </w:rPr>
            </w:pPr>
            <w:r>
              <w:rPr>
                <w:rFonts w:ascii="Arial" w:cs="Arial" w:eastAsia="Arial" w:hAnsi="Arial"/>
                <w:sz w:val="18"/>
                <w:szCs w:val="18"/>
                <w:color w:val="auto"/>
              </w:rPr>
              <w:t>Total purchase consideration</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27,911,173</w:t>
            </w:r>
          </w:p>
        </w:tc>
        <w:tc>
          <w:tcPr>
            <w:tcW w:w="100" w:type="dxa"/>
            <w:vAlign w:val="bottom"/>
          </w:tcPr>
          <w:p>
            <w:pPr>
              <w:spacing w:after="0"/>
              <w:rPr>
                <w:sz w:val="19"/>
                <w:szCs w:val="19"/>
                <w:color w:val="auto"/>
              </w:rPr>
            </w:pPr>
          </w:p>
        </w:tc>
      </w:tr>
      <w:tr>
        <w:trPr>
          <w:trHeight w:val="230"/>
        </w:trPr>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Assets acquired:</w:t>
            </w: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8420" w:type="dxa"/>
            <w:vAlign w:val="bottom"/>
          </w:tcPr>
          <w:p>
            <w:pPr>
              <w:spacing w:after="0"/>
              <w:rPr>
                <w:sz w:val="20"/>
                <w:szCs w:val="20"/>
                <w:color w:val="auto"/>
              </w:rPr>
            </w:pPr>
            <w:r>
              <w:rPr>
                <w:rFonts w:ascii="Arial" w:cs="Arial" w:eastAsia="Arial" w:hAnsi="Arial"/>
                <w:sz w:val="18"/>
                <w:szCs w:val="18"/>
                <w:color w:val="auto"/>
              </w:rPr>
              <w:t>Investments, at fair value (amortized cost of $54,123,811)</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60,547,193</w:t>
            </w:r>
          </w:p>
        </w:tc>
        <w:tc>
          <w:tcPr>
            <w:tcW w:w="100" w:type="dxa"/>
            <w:vAlign w:val="bottom"/>
          </w:tcPr>
          <w:p>
            <w:pPr>
              <w:spacing w:after="0"/>
              <w:rPr>
                <w:sz w:val="19"/>
                <w:szCs w:val="19"/>
                <w:color w:val="auto"/>
              </w:rPr>
            </w:pPr>
          </w:p>
        </w:tc>
      </w:tr>
      <w:tr>
        <w:trPr>
          <w:trHeight w:val="230"/>
        </w:trPr>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232,708</w:t>
            </w:r>
          </w:p>
        </w:tc>
        <w:tc>
          <w:tcPr>
            <w:tcW w:w="100" w:type="dxa"/>
            <w:vAlign w:val="bottom"/>
            <w:shd w:val="clear" w:color="auto" w:fill="CFF0FC"/>
          </w:tcPr>
          <w:p>
            <w:pPr>
              <w:spacing w:after="0"/>
              <w:rPr>
                <w:sz w:val="19"/>
                <w:szCs w:val="19"/>
                <w:color w:val="auto"/>
              </w:rPr>
            </w:pPr>
          </w:p>
        </w:tc>
      </w:tr>
      <w:tr>
        <w:trPr>
          <w:trHeight w:val="230"/>
        </w:trPr>
        <w:tc>
          <w:tcPr>
            <w:tcW w:w="8420" w:type="dxa"/>
            <w:vAlign w:val="bottom"/>
          </w:tcPr>
          <w:p>
            <w:pPr>
              <w:spacing w:after="0"/>
              <w:rPr>
                <w:sz w:val="20"/>
                <w:szCs w:val="20"/>
                <w:color w:val="auto"/>
              </w:rPr>
            </w:pPr>
            <w:r>
              <w:rPr>
                <w:rFonts w:ascii="Arial" w:cs="Arial" w:eastAsia="Arial" w:hAnsi="Arial"/>
                <w:sz w:val="18"/>
                <w:szCs w:val="18"/>
                <w:color w:val="auto"/>
              </w:rPr>
              <w:t>Interest receivable</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592,329</w:t>
            </w:r>
          </w:p>
        </w:tc>
        <w:tc>
          <w:tcPr>
            <w:tcW w:w="100" w:type="dxa"/>
            <w:vAlign w:val="bottom"/>
          </w:tcPr>
          <w:p>
            <w:pPr>
              <w:spacing w:after="0"/>
              <w:rPr>
                <w:sz w:val="19"/>
                <w:szCs w:val="19"/>
                <w:color w:val="auto"/>
              </w:rPr>
            </w:pPr>
          </w:p>
        </w:tc>
      </w:tr>
      <w:tr>
        <w:trPr>
          <w:trHeight w:val="230"/>
        </w:trPr>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482,454</w:t>
            </w:r>
          </w:p>
        </w:tc>
        <w:tc>
          <w:tcPr>
            <w:tcW w:w="100" w:type="dxa"/>
            <w:vAlign w:val="bottom"/>
            <w:shd w:val="clear" w:color="auto" w:fill="CFF0FC"/>
          </w:tcPr>
          <w:p>
            <w:pPr>
              <w:spacing w:after="0"/>
              <w:rPr>
                <w:sz w:val="19"/>
                <w:szCs w:val="19"/>
                <w:color w:val="auto"/>
              </w:rPr>
            </w:pPr>
          </w:p>
        </w:tc>
      </w:tr>
      <w:tr>
        <w:trPr>
          <w:trHeight w:val="223"/>
        </w:trPr>
        <w:tc>
          <w:tcPr>
            <w:tcW w:w="8420" w:type="dxa"/>
            <w:vAlign w:val="bottom"/>
          </w:tcPr>
          <w:p>
            <w:pPr>
              <w:spacing w:after="0"/>
              <w:rPr>
                <w:sz w:val="20"/>
                <w:szCs w:val="20"/>
                <w:color w:val="auto"/>
              </w:rPr>
            </w:pPr>
            <w:r>
              <w:rPr>
                <w:rFonts w:ascii="Arial" w:cs="Arial" w:eastAsia="Arial" w:hAnsi="Arial"/>
                <w:sz w:val="18"/>
                <w:szCs w:val="18"/>
                <w:color w:val="auto"/>
              </w:rPr>
              <w:t>Total assets acquired</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61,854,684</w:t>
            </w:r>
          </w:p>
        </w:tc>
        <w:tc>
          <w:tcPr>
            <w:tcW w:w="100" w:type="dxa"/>
            <w:vAlign w:val="bottom"/>
          </w:tcPr>
          <w:p>
            <w:pPr>
              <w:spacing w:after="0"/>
              <w:rPr>
                <w:sz w:val="19"/>
                <w:szCs w:val="19"/>
                <w:color w:val="auto"/>
              </w:rPr>
            </w:pPr>
          </w:p>
        </w:tc>
      </w:tr>
      <w:tr>
        <w:trPr>
          <w:trHeight w:val="230"/>
        </w:trPr>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Liabilities assumed:</w:t>
            </w: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8420" w:type="dxa"/>
            <w:vAlign w:val="bottom"/>
          </w:tcPr>
          <w:p>
            <w:pPr>
              <w:spacing w:after="0"/>
              <w:rPr>
                <w:sz w:val="20"/>
                <w:szCs w:val="20"/>
                <w:color w:val="auto"/>
              </w:rPr>
            </w:pPr>
            <w:r>
              <w:rPr>
                <w:rFonts w:ascii="Arial" w:cs="Arial" w:eastAsia="Arial" w:hAnsi="Arial"/>
                <w:sz w:val="18"/>
                <w:szCs w:val="18"/>
                <w:color w:val="auto"/>
              </w:rPr>
              <w:t>Debt</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27,394,083</w:t>
            </w:r>
          </w:p>
        </w:tc>
        <w:tc>
          <w:tcPr>
            <w:tcW w:w="100" w:type="dxa"/>
            <w:vAlign w:val="bottom"/>
          </w:tcPr>
          <w:p>
            <w:pPr>
              <w:spacing w:after="0"/>
              <w:rPr>
                <w:sz w:val="19"/>
                <w:szCs w:val="19"/>
                <w:color w:val="auto"/>
              </w:rPr>
            </w:pPr>
          </w:p>
        </w:tc>
      </w:tr>
      <w:tr>
        <w:trPr>
          <w:trHeight w:val="230"/>
        </w:trPr>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Other liabilities</w:t>
            </w:r>
          </w:p>
        </w:tc>
        <w:tc>
          <w:tcPr>
            <w:tcW w:w="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126,046</w:t>
            </w:r>
          </w:p>
        </w:tc>
        <w:tc>
          <w:tcPr>
            <w:tcW w:w="100" w:type="dxa"/>
            <w:vAlign w:val="bottom"/>
            <w:shd w:val="clear" w:color="auto" w:fill="CFF0FC"/>
          </w:tcPr>
          <w:p>
            <w:pPr>
              <w:spacing w:after="0"/>
              <w:rPr>
                <w:sz w:val="19"/>
                <w:szCs w:val="19"/>
                <w:color w:val="auto"/>
              </w:rPr>
            </w:pPr>
          </w:p>
        </w:tc>
      </w:tr>
      <w:tr>
        <w:trPr>
          <w:trHeight w:val="223"/>
        </w:trPr>
        <w:tc>
          <w:tcPr>
            <w:tcW w:w="8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liabilities assumed</w:t>
            </w:r>
          </w:p>
        </w:tc>
        <w:tc>
          <w:tcPr>
            <w:tcW w:w="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27,520,129</w:t>
            </w:r>
          </w:p>
        </w:tc>
        <w:tc>
          <w:tcPr>
            <w:tcW w:w="100" w:type="dxa"/>
            <w:vAlign w:val="bottom"/>
            <w:tcBorders>
              <w:bottom w:val="single" w:sz="8" w:color="CFF0FC"/>
            </w:tcBorders>
          </w:tcPr>
          <w:p>
            <w:pPr>
              <w:spacing w:after="0"/>
              <w:rPr>
                <w:sz w:val="19"/>
                <w:szCs w:val="19"/>
                <w:color w:val="auto"/>
              </w:rPr>
            </w:pPr>
          </w:p>
        </w:tc>
      </w:tr>
      <w:tr>
        <w:trPr>
          <w:trHeight w:val="223"/>
        </w:trPr>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Net assets acquired</w:t>
            </w:r>
          </w:p>
        </w:tc>
        <w:tc>
          <w:tcPr>
            <w:tcW w:w="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34,334,555</w:t>
            </w:r>
          </w:p>
        </w:tc>
        <w:tc>
          <w:tcPr>
            <w:tcW w:w="100" w:type="dxa"/>
            <w:vAlign w:val="bottom"/>
            <w:shd w:val="clear" w:color="auto" w:fill="CFF0FC"/>
          </w:tcPr>
          <w:p>
            <w:pPr>
              <w:spacing w:after="0"/>
              <w:rPr>
                <w:sz w:val="19"/>
                <w:szCs w:val="19"/>
                <w:color w:val="auto"/>
              </w:rPr>
            </w:pPr>
          </w:p>
        </w:tc>
      </w:tr>
      <w:tr>
        <w:trPr>
          <w:trHeight w:val="223"/>
        </w:trPr>
        <w:tc>
          <w:tcPr>
            <w:tcW w:w="8420" w:type="dxa"/>
            <w:vAlign w:val="bottom"/>
          </w:tcPr>
          <w:p>
            <w:pPr>
              <w:spacing w:after="0"/>
              <w:rPr>
                <w:sz w:val="20"/>
                <w:szCs w:val="20"/>
                <w:color w:val="auto"/>
              </w:rPr>
            </w:pPr>
            <w:r>
              <w:rPr>
                <w:rFonts w:ascii="Arial" w:cs="Arial" w:eastAsia="Arial" w:hAnsi="Arial"/>
                <w:sz w:val="18"/>
                <w:szCs w:val="18"/>
                <w:color w:val="auto"/>
              </w:rPr>
              <w:t>Total purchase discount</w:t>
            </w:r>
          </w:p>
        </w:tc>
        <w:tc>
          <w:tcPr>
            <w:tcW w:w="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849"/>
              <w:spacing w:after="0"/>
              <w:rPr>
                <w:sz w:val="20"/>
                <w:szCs w:val="20"/>
                <w:color w:val="auto"/>
              </w:rPr>
            </w:pPr>
            <w:r>
              <w:rPr>
                <w:rFonts w:ascii="Arial" w:cs="Arial" w:eastAsia="Arial" w:hAnsi="Arial"/>
                <w:sz w:val="10"/>
                <w:szCs w:val="10"/>
                <w:color w:val="auto"/>
                <w:w w:val="71"/>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(6,423,382)</w:t>
            </w:r>
          </w:p>
        </w:tc>
        <w:tc>
          <w:tcPr>
            <w:tcW w:w="100" w:type="dxa"/>
            <w:vAlign w:val="bottom"/>
          </w:tcPr>
          <w:p>
            <w:pPr>
              <w:spacing w:after="0"/>
              <w:rPr>
                <w:sz w:val="19"/>
                <w:szCs w:val="19"/>
                <w:color w:val="auto"/>
              </w:rPr>
            </w:pPr>
          </w:p>
        </w:tc>
      </w:tr>
      <w:tr>
        <w:trPr>
          <w:trHeight w:val="20"/>
        </w:trPr>
        <w:tc>
          <w:tcPr>
            <w:tcW w:w="8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9" w:lineRule="exact"/>
        <w:rPr>
          <w:sz w:val="20"/>
          <w:szCs w:val="20"/>
          <w:color w:val="auto"/>
        </w:rPr>
      </w:pPr>
    </w:p>
    <w:p>
      <w:pPr>
        <w:ind w:left="380" w:right="360" w:hanging="372"/>
        <w:spacing w:after="0" w:line="293" w:lineRule="auto"/>
        <w:tabs>
          <w:tab w:leader="none" w:pos="3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Based on the market price at closing of $2.09 as of December 18, 2019 and the 7,439,559 shares of common stock issued by the Company in conjunction with the merger.</w:t>
      </w:r>
    </w:p>
    <w:p>
      <w:pPr>
        <w:spacing w:after="0" w:line="50" w:lineRule="exact"/>
        <w:rPr>
          <w:rFonts w:ascii="Arial" w:cs="Arial" w:eastAsia="Arial" w:hAnsi="Arial"/>
          <w:sz w:val="16"/>
          <w:szCs w:val="16"/>
          <w:color w:val="auto"/>
        </w:rPr>
      </w:pPr>
    </w:p>
    <w:p>
      <w:pPr>
        <w:ind w:left="380" w:right="540" w:hanging="372"/>
        <w:spacing w:after="0" w:line="293" w:lineRule="auto"/>
        <w:tabs>
          <w:tab w:leader="none" w:pos="3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Approximately $8.5 million cash consideration paid by the Company plus $3.0 million cash payment paid at closing directly to shareholders of OHAI from the Adviser.</w:t>
      </w:r>
    </w:p>
    <w:p>
      <w:pPr>
        <w:spacing w:after="0" w:line="167" w:lineRule="exact"/>
        <w:rPr>
          <w:rFonts w:ascii="Arial" w:cs="Arial" w:eastAsia="Arial" w:hAnsi="Arial"/>
          <w:sz w:val="16"/>
          <w:szCs w:val="16"/>
          <w:color w:val="auto"/>
        </w:rPr>
      </w:pPr>
    </w:p>
    <w:p>
      <w:pPr>
        <w:ind w:left="380"/>
        <w:spacing w:after="0"/>
        <w:rPr>
          <w:rFonts w:ascii="Arial" w:cs="Arial" w:eastAsia="Arial" w:hAnsi="Arial"/>
          <w:sz w:val="16"/>
          <w:szCs w:val="16"/>
          <w:color w:val="auto"/>
        </w:rPr>
      </w:pPr>
      <w:r>
        <w:rPr>
          <w:rFonts w:ascii="Arial" w:cs="Arial" w:eastAsia="Arial" w:hAnsi="Arial"/>
          <w:sz w:val="18"/>
          <w:szCs w:val="18"/>
          <w:i w:val="1"/>
          <w:iCs w:val="1"/>
          <w:color w:val="auto"/>
        </w:rPr>
        <w:t>GARS acquisition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74" w:name="page75"/>
    <w:bookmarkEnd w:id="74"/>
    <w:p>
      <w:pPr>
        <w:ind w:right="40" w:firstLine="374"/>
        <w:spacing w:after="0" w:line="254" w:lineRule="auto"/>
        <w:rPr>
          <w:sz w:val="20"/>
          <w:szCs w:val="20"/>
          <w:color w:val="auto"/>
        </w:rPr>
      </w:pPr>
      <w:r>
        <w:rPr>
          <w:rFonts w:ascii="Arial" w:cs="Arial" w:eastAsia="Arial" w:hAnsi="Arial"/>
          <w:sz w:val="18"/>
          <w:szCs w:val="18"/>
          <w:color w:val="auto"/>
        </w:rPr>
        <w:t>On October 28, 2020, the Company completed the GARS Acquisition, pursuant to the terms and conditions of the GARS Merger Agreement. To effect the acquisition, a wholly owned merger subsidiary of the Company merged with and into GARS, with GARS surviving the merger as the Company’s wholly owned subsidiary. Immediately thereafter and as a single integrated transaction, GARS consummated a second merger, whereby GARS merged with and into the Company, with the Company surviving the merger. Under the terms of the GARS Merger Agreement, each share of GARS Common Stock issued and outstanding was converted into the right to receive (i) an amount in cash, without interest, equal to approximately $1.19 and (ii) approximately 1.917 shares of common stock, par value $0.01 per share, of the Company (plus any applicable cash in lieu of fractional shares). Each share of GARS Common Stock issued and outstanding received, as additional consideration funded by the Adviser, an amount in cash, without interest, equal to approximately $0.31.</w:t>
      </w:r>
    </w:p>
    <w:p>
      <w:pPr>
        <w:spacing w:after="0" w:line="300" w:lineRule="exact"/>
        <w:rPr>
          <w:sz w:val="20"/>
          <w:szCs w:val="20"/>
          <w:color w:val="auto"/>
        </w:rPr>
      </w:pPr>
    </w:p>
    <w:p>
      <w:pPr>
        <w:ind w:firstLine="374"/>
        <w:spacing w:after="0" w:line="288" w:lineRule="auto"/>
        <w:rPr>
          <w:sz w:val="20"/>
          <w:szCs w:val="20"/>
          <w:color w:val="auto"/>
        </w:rPr>
      </w:pPr>
      <w:r>
        <w:rPr>
          <w:rFonts w:ascii="Arial" w:cs="Arial" w:eastAsia="Arial" w:hAnsi="Arial"/>
          <w:sz w:val="16"/>
          <w:szCs w:val="16"/>
          <w:color w:val="auto"/>
        </w:rPr>
        <w:t>The merger was accounted for in accordance with the asset acquisition method of accounting as detailed in ASC Topic 805-50. The fair value of the consideration paid, and transaction costs incurred to complete the merger by the Company, including $5.0 million of cash payment (deemed capital contribution) paid at closing directly to shareholders of GARS from the Adviser, was allocated to the GARS investments acquired, based on their relative fair values as of the date of acquisition. The fair value of the purchase consideration paid by the Company below the fair value of net assets acquired is considered the purchase discount. Immediately following the acquisition of GARS, the Company recorded GARS net assets at their respective fair values and, as a result, the purchase discount was allocated to the cost basis of the GARS investments acquired and was immediately recognized as unrealized gain on the Company's Consolidated Statement of Operations. The purchase discount was allocated to the acquired investments on a relative fair value basis and, for performing debt investments, will amortize over the life of the investments through interest income with a corresponding reversal of the unrealized appreciation on the GARS investments acquired through their maturity. Upon the sale of any of the GARS acquired investments, the Company will recognize a realized gain or a reduction in realized losses with a corresponding reversal of the unrealized losses.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Common stock issued by the Company </w:t>
            </w:r>
            <w:r>
              <w:rPr>
                <w:rFonts w:ascii="Arial" w:cs="Arial" w:eastAsia="Arial" w:hAnsi="Arial"/>
                <w:sz w:val="15"/>
                <w:szCs w:val="15"/>
                <w:color w:val="auto"/>
              </w:rPr>
              <w:t>(1)</w:t>
            </w:r>
          </w:p>
        </w:tc>
        <w:tc>
          <w:tcPr>
            <w:tcW w:w="940" w:type="dxa"/>
            <w:vAlign w:val="bottom"/>
            <w:gridSpan w:val="2"/>
            <w:shd w:val="clear" w:color="auto" w:fill="CFF0FC"/>
          </w:tcPr>
          <w:p>
            <w:pPr>
              <w:jc w:val="right"/>
              <w:ind w:right="809"/>
              <w:spacing w:after="0"/>
              <w:rPr>
                <w:sz w:val="20"/>
                <w:szCs w:val="20"/>
                <w:color w:val="auto"/>
              </w:rPr>
            </w:pPr>
            <w:r>
              <w:rPr>
                <w:rFonts w:ascii="Arial" w:cs="Arial" w:eastAsia="Arial" w:hAnsi="Arial"/>
                <w:sz w:val="15"/>
                <w:szCs w:val="15"/>
                <w:color w:val="auto"/>
                <w:w w:val="71"/>
              </w:rPr>
              <w:t>$</w:t>
            </w: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38,764,706</w:t>
            </w:r>
          </w:p>
        </w:tc>
        <w:tc>
          <w:tcPr>
            <w:tcW w:w="100" w:type="dxa"/>
            <w:vAlign w:val="bottom"/>
            <w:shd w:val="clear" w:color="auto" w:fill="CFF0FC"/>
          </w:tcPr>
          <w:p>
            <w:pPr>
              <w:spacing w:after="0"/>
              <w:rPr>
                <w:sz w:val="19"/>
                <w:szCs w:val="19"/>
                <w:color w:val="auto"/>
              </w:rPr>
            </w:pPr>
          </w:p>
        </w:tc>
      </w:tr>
      <w:tr>
        <w:trPr>
          <w:trHeight w:val="229"/>
        </w:trPr>
        <w:tc>
          <w:tcPr>
            <w:tcW w:w="8420" w:type="dxa"/>
            <w:vAlign w:val="bottom"/>
          </w:tcPr>
          <w:p>
            <w:pPr>
              <w:spacing w:after="0"/>
              <w:rPr>
                <w:sz w:val="20"/>
                <w:szCs w:val="20"/>
                <w:color w:val="auto"/>
              </w:rPr>
            </w:pPr>
            <w:r>
              <w:rPr>
                <w:rFonts w:ascii="Arial" w:cs="Arial" w:eastAsia="Arial" w:hAnsi="Arial"/>
                <w:sz w:val="18"/>
                <w:szCs w:val="18"/>
                <w:color w:val="auto"/>
              </w:rPr>
              <w:t>Cash consideration to GARS shareholders</w:t>
            </w: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24,100,000</w:t>
            </w:r>
          </w:p>
        </w:tc>
        <w:tc>
          <w:tcPr>
            <w:tcW w:w="100" w:type="dxa"/>
            <w:vAlign w:val="bottom"/>
          </w:tcPr>
          <w:p>
            <w:pPr>
              <w:spacing w:after="0"/>
              <w:rPr>
                <w:sz w:val="19"/>
                <w:szCs w:val="19"/>
                <w:color w:val="auto"/>
              </w:rPr>
            </w:pPr>
          </w:p>
        </w:tc>
      </w:tr>
      <w:tr>
        <w:trPr>
          <w:trHeight w:val="230"/>
        </w:trPr>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Transaction costs (excluding offering costs $432,339)</w:t>
            </w:r>
          </w:p>
        </w:tc>
        <w:tc>
          <w:tcPr>
            <w:tcW w:w="2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1,167,661</w:t>
            </w:r>
          </w:p>
        </w:tc>
        <w:tc>
          <w:tcPr>
            <w:tcW w:w="100" w:type="dxa"/>
            <w:vAlign w:val="bottom"/>
            <w:shd w:val="clear" w:color="auto" w:fill="CFF0FC"/>
          </w:tcPr>
          <w:p>
            <w:pPr>
              <w:spacing w:after="0"/>
              <w:rPr>
                <w:sz w:val="19"/>
                <w:szCs w:val="19"/>
                <w:color w:val="auto"/>
              </w:rPr>
            </w:pPr>
          </w:p>
        </w:tc>
      </w:tr>
      <w:tr>
        <w:trPr>
          <w:trHeight w:val="223"/>
        </w:trPr>
        <w:tc>
          <w:tcPr>
            <w:tcW w:w="8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purchase consideration</w:t>
            </w:r>
          </w:p>
        </w:tc>
        <w:tc>
          <w:tcPr>
            <w:tcW w:w="2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64,032,367</w:t>
            </w:r>
          </w:p>
        </w:tc>
        <w:tc>
          <w:tcPr>
            <w:tcW w:w="100" w:type="dxa"/>
            <w:vAlign w:val="bottom"/>
            <w:tcBorders>
              <w:bottom w:val="single" w:sz="8" w:color="CFF0FC"/>
            </w:tcBorders>
          </w:tcPr>
          <w:p>
            <w:pPr>
              <w:spacing w:after="0"/>
              <w:rPr>
                <w:sz w:val="19"/>
                <w:szCs w:val="19"/>
                <w:color w:val="auto"/>
              </w:rPr>
            </w:pPr>
          </w:p>
        </w:tc>
      </w:tr>
      <w:tr>
        <w:trPr>
          <w:trHeight w:val="223"/>
        </w:trPr>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Assets acquired:</w:t>
            </w:r>
          </w:p>
        </w:tc>
        <w:tc>
          <w:tcPr>
            <w:tcW w:w="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8420" w:type="dxa"/>
            <w:vAlign w:val="bottom"/>
          </w:tcPr>
          <w:p>
            <w:pPr>
              <w:spacing w:after="0"/>
              <w:rPr>
                <w:sz w:val="20"/>
                <w:szCs w:val="20"/>
                <w:color w:val="auto"/>
              </w:rPr>
            </w:pPr>
            <w:r>
              <w:rPr>
                <w:rFonts w:ascii="Arial" w:cs="Arial" w:eastAsia="Arial" w:hAnsi="Arial"/>
                <w:sz w:val="18"/>
                <w:szCs w:val="18"/>
                <w:color w:val="auto"/>
              </w:rPr>
              <w:t>Investments, at fair value (amortized cost of $277,380,492)</w:t>
            </w: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317,802,548</w:t>
            </w:r>
          </w:p>
        </w:tc>
        <w:tc>
          <w:tcPr>
            <w:tcW w:w="100" w:type="dxa"/>
            <w:vAlign w:val="bottom"/>
          </w:tcPr>
          <w:p>
            <w:pPr>
              <w:spacing w:after="0"/>
              <w:rPr>
                <w:sz w:val="19"/>
                <w:szCs w:val="19"/>
                <w:color w:val="auto"/>
              </w:rPr>
            </w:pPr>
          </w:p>
        </w:tc>
      </w:tr>
      <w:tr>
        <w:trPr>
          <w:trHeight w:val="230"/>
        </w:trPr>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35,360,820</w:t>
            </w:r>
          </w:p>
        </w:tc>
        <w:tc>
          <w:tcPr>
            <w:tcW w:w="100" w:type="dxa"/>
            <w:vAlign w:val="bottom"/>
            <w:shd w:val="clear" w:color="auto" w:fill="CFF0FC"/>
          </w:tcPr>
          <w:p>
            <w:pPr>
              <w:spacing w:after="0"/>
              <w:rPr>
                <w:sz w:val="19"/>
                <w:szCs w:val="19"/>
                <w:color w:val="auto"/>
              </w:rPr>
            </w:pPr>
          </w:p>
        </w:tc>
      </w:tr>
      <w:tr>
        <w:trPr>
          <w:trHeight w:val="229"/>
        </w:trPr>
        <w:tc>
          <w:tcPr>
            <w:tcW w:w="8420" w:type="dxa"/>
            <w:vAlign w:val="bottom"/>
          </w:tcPr>
          <w:p>
            <w:pPr>
              <w:spacing w:after="0"/>
              <w:rPr>
                <w:sz w:val="20"/>
                <w:szCs w:val="20"/>
                <w:color w:val="auto"/>
              </w:rPr>
            </w:pPr>
            <w:r>
              <w:rPr>
                <w:rFonts w:ascii="Arial" w:cs="Arial" w:eastAsia="Arial" w:hAnsi="Arial"/>
                <w:sz w:val="18"/>
                <w:szCs w:val="18"/>
                <w:color w:val="auto"/>
              </w:rPr>
              <w:t>Interest receivable</w:t>
            </w: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1,871,232</w:t>
            </w:r>
          </w:p>
        </w:tc>
        <w:tc>
          <w:tcPr>
            <w:tcW w:w="100" w:type="dxa"/>
            <w:vAlign w:val="bottom"/>
          </w:tcPr>
          <w:p>
            <w:pPr>
              <w:spacing w:after="0"/>
              <w:rPr>
                <w:sz w:val="19"/>
                <w:szCs w:val="19"/>
                <w:color w:val="auto"/>
              </w:rPr>
            </w:pPr>
          </w:p>
        </w:tc>
      </w:tr>
      <w:tr>
        <w:trPr>
          <w:trHeight w:val="230"/>
        </w:trPr>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2,087,550</w:t>
            </w:r>
          </w:p>
        </w:tc>
        <w:tc>
          <w:tcPr>
            <w:tcW w:w="100" w:type="dxa"/>
            <w:vAlign w:val="bottom"/>
            <w:shd w:val="clear" w:color="auto" w:fill="CFF0FC"/>
          </w:tcPr>
          <w:p>
            <w:pPr>
              <w:spacing w:after="0"/>
              <w:rPr>
                <w:sz w:val="19"/>
                <w:szCs w:val="19"/>
                <w:color w:val="auto"/>
              </w:rPr>
            </w:pPr>
          </w:p>
        </w:tc>
      </w:tr>
      <w:tr>
        <w:trPr>
          <w:trHeight w:val="223"/>
        </w:trPr>
        <w:tc>
          <w:tcPr>
            <w:tcW w:w="8420" w:type="dxa"/>
            <w:vAlign w:val="bottom"/>
          </w:tcPr>
          <w:p>
            <w:pPr>
              <w:spacing w:after="0"/>
              <w:rPr>
                <w:sz w:val="20"/>
                <w:szCs w:val="20"/>
                <w:color w:val="auto"/>
              </w:rPr>
            </w:pPr>
            <w:r>
              <w:rPr>
                <w:rFonts w:ascii="Arial" w:cs="Arial" w:eastAsia="Arial" w:hAnsi="Arial"/>
                <w:sz w:val="18"/>
                <w:szCs w:val="18"/>
                <w:color w:val="auto"/>
              </w:rPr>
              <w:t>Total assets acquired</w:t>
            </w: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357,122,150</w:t>
            </w:r>
          </w:p>
        </w:tc>
        <w:tc>
          <w:tcPr>
            <w:tcW w:w="100" w:type="dxa"/>
            <w:vAlign w:val="bottom"/>
          </w:tcPr>
          <w:p>
            <w:pPr>
              <w:spacing w:after="0"/>
              <w:rPr>
                <w:sz w:val="19"/>
                <w:szCs w:val="19"/>
                <w:color w:val="auto"/>
              </w:rPr>
            </w:pPr>
          </w:p>
        </w:tc>
      </w:tr>
      <w:tr>
        <w:trPr>
          <w:trHeight w:val="230"/>
        </w:trPr>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Liabilities assumed:</w:t>
            </w:r>
          </w:p>
        </w:tc>
        <w:tc>
          <w:tcPr>
            <w:tcW w:w="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8420" w:type="dxa"/>
            <w:vAlign w:val="bottom"/>
          </w:tcPr>
          <w:p>
            <w:pPr>
              <w:spacing w:after="0"/>
              <w:rPr>
                <w:sz w:val="20"/>
                <w:szCs w:val="20"/>
                <w:color w:val="auto"/>
              </w:rPr>
            </w:pPr>
            <w:r>
              <w:rPr>
                <w:rFonts w:ascii="Arial" w:cs="Arial" w:eastAsia="Arial" w:hAnsi="Arial"/>
                <w:sz w:val="18"/>
                <w:szCs w:val="18"/>
                <w:color w:val="auto"/>
              </w:rPr>
              <w:t>Debt</w:t>
            </w: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251,213,342</w:t>
            </w:r>
          </w:p>
        </w:tc>
        <w:tc>
          <w:tcPr>
            <w:tcW w:w="100" w:type="dxa"/>
            <w:vAlign w:val="bottom"/>
          </w:tcPr>
          <w:p>
            <w:pPr>
              <w:spacing w:after="0"/>
              <w:rPr>
                <w:sz w:val="19"/>
                <w:szCs w:val="19"/>
                <w:color w:val="auto"/>
              </w:rPr>
            </w:pPr>
          </w:p>
        </w:tc>
      </w:tr>
      <w:tr>
        <w:trPr>
          <w:trHeight w:val="229"/>
        </w:trPr>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Other liabilities</w:t>
            </w:r>
          </w:p>
        </w:tc>
        <w:tc>
          <w:tcPr>
            <w:tcW w:w="2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1,454,384</w:t>
            </w:r>
          </w:p>
        </w:tc>
        <w:tc>
          <w:tcPr>
            <w:tcW w:w="100" w:type="dxa"/>
            <w:vAlign w:val="bottom"/>
            <w:shd w:val="clear" w:color="auto" w:fill="CFF0FC"/>
          </w:tcPr>
          <w:p>
            <w:pPr>
              <w:spacing w:after="0"/>
              <w:rPr>
                <w:sz w:val="19"/>
                <w:szCs w:val="19"/>
                <w:color w:val="auto"/>
              </w:rPr>
            </w:pPr>
          </w:p>
        </w:tc>
      </w:tr>
      <w:tr>
        <w:trPr>
          <w:trHeight w:val="223"/>
        </w:trPr>
        <w:tc>
          <w:tcPr>
            <w:tcW w:w="8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liabilities assumed</w:t>
            </w:r>
          </w:p>
        </w:tc>
        <w:tc>
          <w:tcPr>
            <w:tcW w:w="2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252,667,726</w:t>
            </w:r>
          </w:p>
        </w:tc>
        <w:tc>
          <w:tcPr>
            <w:tcW w:w="100" w:type="dxa"/>
            <w:vAlign w:val="bottom"/>
            <w:tcBorders>
              <w:bottom w:val="single" w:sz="8" w:color="CFF0FC"/>
            </w:tcBorders>
          </w:tcPr>
          <w:p>
            <w:pPr>
              <w:spacing w:after="0"/>
              <w:rPr>
                <w:sz w:val="19"/>
                <w:szCs w:val="19"/>
                <w:color w:val="auto"/>
              </w:rPr>
            </w:pPr>
          </w:p>
        </w:tc>
      </w:tr>
      <w:tr>
        <w:trPr>
          <w:trHeight w:val="223"/>
        </w:trPr>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Net assets acquired</w:t>
            </w:r>
          </w:p>
        </w:tc>
        <w:tc>
          <w:tcPr>
            <w:tcW w:w="2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104,454,424</w:t>
            </w:r>
          </w:p>
        </w:tc>
        <w:tc>
          <w:tcPr>
            <w:tcW w:w="100" w:type="dxa"/>
            <w:vAlign w:val="bottom"/>
            <w:shd w:val="clear" w:color="auto" w:fill="CFF0FC"/>
          </w:tcPr>
          <w:p>
            <w:pPr>
              <w:spacing w:after="0"/>
              <w:rPr>
                <w:sz w:val="19"/>
                <w:szCs w:val="19"/>
                <w:color w:val="auto"/>
              </w:rPr>
            </w:pPr>
          </w:p>
        </w:tc>
      </w:tr>
      <w:tr>
        <w:trPr>
          <w:trHeight w:val="223"/>
        </w:trPr>
        <w:tc>
          <w:tcPr>
            <w:tcW w:w="8420" w:type="dxa"/>
            <w:vAlign w:val="bottom"/>
          </w:tcPr>
          <w:p>
            <w:pPr>
              <w:spacing w:after="0"/>
              <w:rPr>
                <w:sz w:val="20"/>
                <w:szCs w:val="20"/>
                <w:color w:val="auto"/>
              </w:rPr>
            </w:pPr>
            <w:r>
              <w:rPr>
                <w:rFonts w:ascii="Arial" w:cs="Arial" w:eastAsia="Arial" w:hAnsi="Arial"/>
                <w:sz w:val="18"/>
                <w:szCs w:val="18"/>
                <w:color w:val="auto"/>
              </w:rPr>
              <w:t>Total purchase discount</w:t>
            </w:r>
          </w:p>
        </w:tc>
        <w:tc>
          <w:tcPr>
            <w:tcW w:w="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809"/>
              <w:spacing w:after="0"/>
              <w:rPr>
                <w:sz w:val="20"/>
                <w:szCs w:val="20"/>
                <w:color w:val="auto"/>
              </w:rPr>
            </w:pPr>
            <w:r>
              <w:rPr>
                <w:rFonts w:ascii="Arial" w:cs="Arial" w:eastAsia="Arial" w:hAnsi="Arial"/>
                <w:sz w:val="10"/>
                <w:szCs w:val="10"/>
                <w:color w:val="auto"/>
                <w:w w:val="71"/>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(40,422,057)</w:t>
            </w:r>
          </w:p>
        </w:tc>
        <w:tc>
          <w:tcPr>
            <w:tcW w:w="100" w:type="dxa"/>
            <w:vAlign w:val="bottom"/>
          </w:tcPr>
          <w:p>
            <w:pPr>
              <w:spacing w:after="0"/>
              <w:rPr>
                <w:sz w:val="19"/>
                <w:szCs w:val="19"/>
                <w:color w:val="auto"/>
              </w:rPr>
            </w:pPr>
          </w:p>
        </w:tc>
      </w:tr>
      <w:tr>
        <w:trPr>
          <w:trHeight w:val="20"/>
        </w:trPr>
        <w:tc>
          <w:tcPr>
            <w:tcW w:w="8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9" w:lineRule="exact"/>
        <w:rPr>
          <w:sz w:val="20"/>
          <w:szCs w:val="20"/>
          <w:color w:val="auto"/>
        </w:rPr>
      </w:pPr>
    </w:p>
    <w:p>
      <w:pPr>
        <w:ind w:left="380" w:right="420" w:hanging="372"/>
        <w:spacing w:after="0" w:line="293" w:lineRule="auto"/>
        <w:tabs>
          <w:tab w:leader="none" w:pos="3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Based on the market price at closing of $1.26 as of October 28, 2020 and the 30,765,640 shares of common stock issued by the Company in conjunction with the merger.</w:t>
      </w:r>
    </w:p>
    <w:p>
      <w:pPr>
        <w:spacing w:after="0" w:line="339" w:lineRule="exact"/>
        <w:rPr>
          <w:sz w:val="20"/>
          <w:szCs w:val="20"/>
          <w:color w:val="auto"/>
        </w:rPr>
      </w:pPr>
    </w:p>
    <w:p>
      <w:pPr>
        <w:ind w:left="380" w:right="8900" w:hanging="372"/>
        <w:spacing w:after="0" w:line="495" w:lineRule="auto"/>
        <w:tabs>
          <w:tab w:leader="none" w:pos="37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i w:val="1"/>
          <w:iCs w:val="1"/>
          <w:color w:val="auto"/>
        </w:rPr>
        <w:t>Notes Offering</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On April 27, 2021, the Company priced an offering of $80,000,000 in aggregate principal amount of unsecured 4.875% Notes due 2026 (the “4.875%</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Notes due 2026”) in a private placement exempt from registration under the Section 4(a)(2) of the Securities Act. The private offering closed on April 30,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2021. The 4.875% Notes due 2026 have not been registered under the Securities Act or any state securities laws and may not be reoffered or resold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 absent registration or an applicable exemption from such registration requirements. The net proceeds to the Company were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$77.7 million, after deducting estimated offering expenses. The Company intends to use the net proceeds of the offering to redeem in full its 6.125% Notes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due 2022, make investments in portfolio companies in accordance with its investment objectives, and for general corporate purposes.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75" w:name="page76"/>
    <w:bookmarkEnd w:id="75"/>
    <w:p>
      <w:pPr>
        <w:ind w:firstLine="374"/>
        <w:spacing w:after="0" w:line="259" w:lineRule="auto"/>
        <w:rPr>
          <w:sz w:val="20"/>
          <w:szCs w:val="20"/>
          <w:color w:val="auto"/>
        </w:rPr>
      </w:pPr>
      <w:r>
        <w:rPr>
          <w:rFonts w:ascii="Arial" w:cs="Arial" w:eastAsia="Arial" w:hAnsi="Arial"/>
          <w:sz w:val="18"/>
          <w:szCs w:val="18"/>
          <w:color w:val="auto"/>
        </w:rPr>
        <w:t>On April 30, 2021, the Company and U.S. Bank National Association (the “Trustee”) entered into a Supplemental Indenture (the “Third Supplemental Indenture”), which supplements that certain Base Indenture, dated as of October 10, 2012 (as may be further amended, supplemented or otherwise modified from time to time, the “Base Indenture” and, together with the Third Supplemental Indenture, the “Indenture”). The Third Supplemental Indenture relates to the Company’s issuance of the 4.875% Notes due 2026.</w:t>
      </w:r>
    </w:p>
    <w:p>
      <w:pPr>
        <w:spacing w:after="0" w:line="187" w:lineRule="exact"/>
        <w:rPr>
          <w:sz w:val="20"/>
          <w:szCs w:val="20"/>
          <w:color w:val="auto"/>
        </w:rPr>
      </w:pPr>
    </w:p>
    <w:p>
      <w:pPr>
        <w:ind w:firstLine="374"/>
        <w:spacing w:after="0" w:line="271" w:lineRule="auto"/>
        <w:rPr>
          <w:sz w:val="20"/>
          <w:szCs w:val="20"/>
          <w:color w:val="auto"/>
        </w:rPr>
      </w:pPr>
      <w:r>
        <w:rPr>
          <w:rFonts w:ascii="Arial" w:cs="Arial" w:eastAsia="Arial" w:hAnsi="Arial"/>
          <w:sz w:val="17"/>
          <w:szCs w:val="17"/>
          <w:color w:val="auto"/>
        </w:rPr>
        <w:t>The 4.875% Notes due 2026 will mature on April 30, 2026 and may be redeemed in whole or in part at the Company’s option at any time or from time to time at the redemption prices set forth in the Indenture and bear interest at a rate of 4.875% per year payable semi-annually on March 16 and September 16 of each year, commencing on September 16, 2021. The 4.875% Notes due 2026 are general unsecured obligations of the Company that rank senior in right of payment to all of the Company’s existing and future indebtedness that is expressly subordinated in right of payment to the 4.875% Notes due 2026, rank pari passu with all existing and future unsecured unsubordinated indebtedness issued by the Company, rank effectively junior to any of the Company’s secured indebtedness (including unsecured indebtedness that the Company later secures) to the extent of the value of the assets securing such indebtedness, and rank structurally junior to all existing and future indebtedness (including trade payables) incurred by the Company’s subsidiaries, financing vehicles or similar facilities.</w:t>
      </w:r>
    </w:p>
    <w:p>
      <w:pPr>
        <w:spacing w:after="0" w:line="178" w:lineRule="exact"/>
        <w:rPr>
          <w:sz w:val="20"/>
          <w:szCs w:val="20"/>
          <w:color w:val="auto"/>
        </w:rPr>
      </w:pPr>
    </w:p>
    <w:p>
      <w:pPr>
        <w:jc w:val="both"/>
        <w:ind w:right="300" w:firstLine="374"/>
        <w:spacing w:after="0" w:line="287" w:lineRule="auto"/>
        <w:rPr>
          <w:sz w:val="20"/>
          <w:szCs w:val="20"/>
          <w:color w:val="auto"/>
        </w:rPr>
      </w:pPr>
      <w:r>
        <w:rPr>
          <w:rFonts w:ascii="Arial" w:cs="Arial" w:eastAsia="Arial" w:hAnsi="Arial"/>
          <w:sz w:val="16"/>
          <w:szCs w:val="16"/>
          <w:color w:val="auto"/>
        </w:rPr>
        <w:t>The Indenture contains certain covenants, including covenants requiring the Company to comply with the asset coverage requirements of Sections 18(a)(1)(A) and 18(a)(1)(B) as modified by Section 61(a)(2) of the 1940 Act, whether or not it is subject to those requirements, and to provide financial information to the holders of the Notes and the Trustee if the Company is no longer subject to the reporting requirements under the Exchange Act.</w:t>
      </w:r>
    </w:p>
    <w:p>
      <w:pPr>
        <w:spacing w:after="0" w:line="2" w:lineRule="exact"/>
        <w:rPr>
          <w:sz w:val="20"/>
          <w:szCs w:val="20"/>
          <w:color w:val="auto"/>
        </w:rPr>
      </w:pPr>
    </w:p>
    <w:p>
      <w:pPr>
        <w:ind w:right="180"/>
        <w:spacing w:after="0" w:line="323" w:lineRule="auto"/>
        <w:rPr>
          <w:sz w:val="20"/>
          <w:szCs w:val="20"/>
          <w:color w:val="auto"/>
        </w:rPr>
      </w:pPr>
      <w:r>
        <w:rPr>
          <w:rFonts w:ascii="Arial" w:cs="Arial" w:eastAsia="Arial" w:hAnsi="Arial"/>
          <w:sz w:val="16"/>
          <w:szCs w:val="16"/>
          <w:color w:val="auto"/>
        </w:rPr>
        <w:t>Additionally, the Company has agreed to use its commercially reasonable efforts to maintain a rating of the 4.875% Notes due 2026 from a rating agency, as long as the notes are outstanding. These covenants are subject to important limitations and exceptions that are described in the Indenture.</w:t>
      </w:r>
    </w:p>
    <w:p>
      <w:pPr>
        <w:spacing w:after="0" w:line="138" w:lineRule="exact"/>
        <w:rPr>
          <w:sz w:val="20"/>
          <w:szCs w:val="20"/>
          <w:color w:val="auto"/>
        </w:rPr>
      </w:pPr>
    </w:p>
    <w:p>
      <w:pPr>
        <w:jc w:val="both"/>
        <w:ind w:right="80" w:firstLine="374"/>
        <w:spacing w:after="0" w:line="263" w:lineRule="auto"/>
        <w:rPr>
          <w:sz w:val="20"/>
          <w:szCs w:val="20"/>
          <w:color w:val="auto"/>
        </w:rPr>
      </w:pPr>
      <w:r>
        <w:rPr>
          <w:rFonts w:ascii="Arial" w:cs="Arial" w:eastAsia="Arial" w:hAnsi="Arial"/>
          <w:sz w:val="18"/>
          <w:szCs w:val="18"/>
          <w:color w:val="auto"/>
        </w:rPr>
        <w:t>In addition, on the occurrence of a “change of control repurchase event,” as defined in the Indenture, the Company will generally be required to make an offer to purchase the outstanding notes at a price equal to 100% of the principal amount of such notes plus accrued and unpaid interest to the repurchase date.</w:t>
      </w:r>
    </w:p>
    <w:p>
      <w:pPr>
        <w:spacing w:after="0" w:line="184" w:lineRule="exact"/>
        <w:rPr>
          <w:sz w:val="20"/>
          <w:szCs w:val="20"/>
          <w:color w:val="auto"/>
        </w:rPr>
      </w:pPr>
    </w:p>
    <w:p>
      <w:pPr>
        <w:jc w:val="both"/>
        <w:ind w:right="80" w:firstLine="374"/>
        <w:spacing w:after="0" w:line="277" w:lineRule="auto"/>
        <w:rPr>
          <w:sz w:val="20"/>
          <w:szCs w:val="20"/>
          <w:color w:val="auto"/>
        </w:rPr>
      </w:pPr>
      <w:r>
        <w:rPr>
          <w:rFonts w:ascii="Arial" w:cs="Arial" w:eastAsia="Arial" w:hAnsi="Arial"/>
          <w:sz w:val="18"/>
          <w:szCs w:val="18"/>
          <w:color w:val="auto"/>
        </w:rPr>
        <w:t>The foregoing description of the Indenture does not purport to be complete and is qualified in its entirety by reference to the full text of the Indenture, filed as an exhibit to the Company’s Form 8-K filed with the SEC on May 3, 2021.</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Registration Rights Agreement</w:t>
      </w:r>
    </w:p>
    <w:p>
      <w:pPr>
        <w:spacing w:after="0" w:line="225" w:lineRule="exact"/>
        <w:rPr>
          <w:sz w:val="20"/>
          <w:szCs w:val="20"/>
          <w:color w:val="auto"/>
        </w:rPr>
      </w:pPr>
    </w:p>
    <w:p>
      <w:pPr>
        <w:ind w:right="60" w:firstLine="374"/>
        <w:spacing w:after="0" w:line="290" w:lineRule="auto"/>
        <w:rPr>
          <w:sz w:val="20"/>
          <w:szCs w:val="20"/>
          <w:color w:val="auto"/>
        </w:rPr>
      </w:pPr>
      <w:r>
        <w:rPr>
          <w:rFonts w:ascii="Arial" w:cs="Arial" w:eastAsia="Arial" w:hAnsi="Arial"/>
          <w:sz w:val="16"/>
          <w:szCs w:val="16"/>
          <w:color w:val="auto"/>
        </w:rPr>
        <w:t>In connection with the offering of 4.875% Notes due 2026, the Company entered into a Registration Rights Agreement, dated as of April 30, 2021 (the “Registration Rights Agreement”), with the purchasers of the 4.875% Notes due 2026. Pursuant to the Registration Rights Agreement, the Company is obligated to file with the SEC a registration statement relating to an offer to exchange the 4.875% Notes due 2026 for new notes issued by the Company that are registered under the Securities Act and otherwise have terms substantially identical to those of the 4.875% Notes due 2026, and to use its commercially reasonable efforts to cause such registration statement to be declared effective. If the Company is not able to effect the exchange offer, the Company will be obligated to file a shelf registration statement covering the resale of the 4.875% Notes due 2026 and use its commercially reasonable efforts to cause such registration statement to be declared effective. If the Company fails to satisfy its registration obligations by certain dates specified in the Registration Rights Agreement, it will be required to pay additional interest to the holders of the 4.875% Notes due 2026.</w:t>
      </w:r>
    </w:p>
    <w:p>
      <w:pPr>
        <w:spacing w:after="0" w:line="165" w:lineRule="exact"/>
        <w:rPr>
          <w:sz w:val="20"/>
          <w:szCs w:val="20"/>
          <w:color w:val="auto"/>
        </w:rPr>
      </w:pPr>
    </w:p>
    <w:p>
      <w:pPr>
        <w:ind w:right="80" w:firstLine="374"/>
        <w:spacing w:after="0" w:line="308" w:lineRule="auto"/>
        <w:rPr>
          <w:sz w:val="20"/>
          <w:szCs w:val="20"/>
          <w:color w:val="auto"/>
        </w:rPr>
      </w:pPr>
      <w:r>
        <w:rPr>
          <w:rFonts w:ascii="Arial" w:cs="Arial" w:eastAsia="Arial" w:hAnsi="Arial"/>
          <w:sz w:val="17"/>
          <w:szCs w:val="17"/>
          <w:color w:val="auto"/>
        </w:rPr>
        <w:t>The foregoing description of the Registration Rights Agreement does not purport to be complete and is qualified in its entirety by reference to the full text of the Registration Rights Agreement, filed as an exhibit to the Company’s Form 8-K filed with the SEC on May 3, 2021.</w:t>
      </w:r>
    </w:p>
    <w:p>
      <w:pPr>
        <w:spacing w:after="0" w:line="146"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Redemption of 6.125% Notes due 2022</w:t>
      </w:r>
    </w:p>
    <w:p>
      <w:pPr>
        <w:spacing w:after="0" w:line="225" w:lineRule="exact"/>
        <w:rPr>
          <w:sz w:val="20"/>
          <w:szCs w:val="20"/>
          <w:color w:val="auto"/>
        </w:rPr>
      </w:pPr>
    </w:p>
    <w:p>
      <w:pPr>
        <w:ind w:right="60" w:firstLine="374"/>
        <w:spacing w:after="0" w:line="257" w:lineRule="auto"/>
        <w:rPr>
          <w:sz w:val="20"/>
          <w:szCs w:val="20"/>
          <w:color w:val="auto"/>
        </w:rPr>
      </w:pPr>
      <w:r>
        <w:rPr>
          <w:rFonts w:ascii="Arial" w:cs="Arial" w:eastAsia="Arial" w:hAnsi="Arial"/>
          <w:sz w:val="18"/>
          <w:szCs w:val="18"/>
          <w:color w:val="auto"/>
        </w:rPr>
        <w:t>On April 30, 2021, Company notified the trustee for the Company’s 6.125% Notes due 2022 of the Company’s election to redeem the $77.4 million aggregate principal amount of the 6.125% Notes due 2022 outstanding, and instructed the trustee to provide notice of such redemption to the holders of the 6.125% Notes due 2022 in accordance with the terms of the indenture governing the 6.125% Notes due 2022. The Company expects the redemption to be completed on May 30, 2021. Following the redemption, none of the 6.125% Notes due 2022 will remain outstanding, and they will be delisted from the NASDAQ Global Select Market.</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Distribution</w:t>
      </w:r>
    </w:p>
    <w:p>
      <w:pPr>
        <w:spacing w:after="0" w:line="225" w:lineRule="exact"/>
        <w:rPr>
          <w:sz w:val="20"/>
          <w:szCs w:val="20"/>
          <w:color w:val="auto"/>
        </w:rPr>
      </w:pPr>
    </w:p>
    <w:p>
      <w:pPr>
        <w:ind w:right="820" w:firstLine="374"/>
        <w:spacing w:after="0" w:line="277" w:lineRule="auto"/>
        <w:rPr>
          <w:sz w:val="20"/>
          <w:szCs w:val="20"/>
          <w:color w:val="auto"/>
        </w:rPr>
      </w:pPr>
      <w:r>
        <w:rPr>
          <w:rFonts w:ascii="Arial" w:cs="Arial" w:eastAsia="Arial" w:hAnsi="Arial"/>
          <w:sz w:val="18"/>
          <w:szCs w:val="18"/>
          <w:color w:val="auto"/>
        </w:rPr>
        <w:t>On May 6, 2021, our Board declared a cash distribution of $0.06 per share of common stock. The distribution is payable on June 1, 2021 to stockholders of record at the close of business as of May 19, 2021.</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6" w:name="page77"/>
    <w:bookmarkEnd w:id="76"/>
    <w:p>
      <w:pPr>
        <w:ind w:firstLine="374"/>
        <w:spacing w:after="0" w:line="263" w:lineRule="auto"/>
        <w:rPr>
          <w:sz w:val="20"/>
          <w:szCs w:val="20"/>
          <w:color w:val="auto"/>
        </w:rPr>
      </w:pPr>
      <w:r>
        <w:rPr>
          <w:rFonts w:ascii="Arial" w:cs="Arial" w:eastAsia="Arial" w:hAnsi="Arial"/>
          <w:sz w:val="18"/>
          <w:szCs w:val="18"/>
          <w:color w:val="auto"/>
        </w:rPr>
        <w:t>The Company has evaluated events and transactions occurring subsequent to March 31, 2021 for items that should potentially be recognized or disclosed in these financial statements. Other than as described above, management has determined that there are no other material subsequent events that would require adjustment to, or disclosure in, these unaudited consolidated financial statements.</w:t>
      </w:r>
    </w:p>
    <w:p>
      <w:pPr>
        <w:spacing w:after="0" w:line="18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80"/>
          </w:cols>
          <w:pgMar w:left="320" w:top="341" w:right="499" w:bottom="1440" w:gutter="0" w:footer="0" w:header="0"/>
        </w:sectPr>
      </w:pPr>
    </w:p>
    <w:bookmarkStart w:id="77" w:name="page78"/>
    <w:bookmarkEnd w:id="77"/>
    <w:p>
      <w:pPr>
        <w:spacing w:after="0"/>
        <w:tabs>
          <w:tab w:leader="none" w:pos="11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89" w:lineRule="exact"/>
        <w:rPr>
          <w:sz w:val="20"/>
          <w:szCs w:val="20"/>
          <w:color w:val="auto"/>
        </w:rPr>
      </w:pPr>
    </w:p>
    <w:p>
      <w:pPr>
        <w:ind w:right="60" w:firstLine="374"/>
        <w:spacing w:after="0" w:line="255" w:lineRule="auto"/>
        <w:rPr>
          <w:sz w:val="20"/>
          <w:szCs w:val="20"/>
          <w:color w:val="auto"/>
        </w:rPr>
      </w:pPr>
      <w:r>
        <w:rPr>
          <w:rFonts w:ascii="Arial" w:cs="Arial" w:eastAsia="Arial" w:hAnsi="Arial"/>
          <w:sz w:val="18"/>
          <w:szCs w:val="18"/>
          <w:color w:val="auto"/>
        </w:rPr>
        <w:t>The following discussion and analysis should be read in conjunction with our condensed and consolidated financial statements and related notes included in this Quarterly Report on Form 10-Q. This discussion contains forward-looking statements and involves numerous risks and uncertainties, including but not limited to those described in Part I, Item 1A of our annual report on Form 10-K for the year ended December 31, 2020 and Part II, Item 1A of this Form 10-Q of this Quarterly Report. Our actual results could differ materially from those anticipated by such forward-looking statements due to factors discussed under the “Risk Factors” section included in our SEC filings and “Note About Forward-Looking Statements” appearing elsewhere in this Form 10-Q.</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89" w:lineRule="exact"/>
        <w:rPr>
          <w:sz w:val="20"/>
          <w:szCs w:val="20"/>
          <w:color w:val="auto"/>
        </w:rPr>
      </w:pPr>
    </w:p>
    <w:p>
      <w:pPr>
        <w:ind w:right="200" w:firstLine="374"/>
        <w:spacing w:after="0" w:line="275" w:lineRule="auto"/>
        <w:rPr>
          <w:sz w:val="20"/>
          <w:szCs w:val="20"/>
          <w:color w:val="auto"/>
        </w:rPr>
      </w:pPr>
      <w:r>
        <w:rPr>
          <w:rFonts w:ascii="Arial" w:cs="Arial" w:eastAsia="Arial" w:hAnsi="Arial"/>
          <w:sz w:val="17"/>
          <w:szCs w:val="17"/>
          <w:color w:val="auto"/>
        </w:rPr>
        <w:t>We are an externally managed, non-diversified closed-end investment company that has elected to be regulated as a business development company (“BDC”) under the Investment Company Act of 1940 (the “1940 Act”). Sierra Crest Investment Management LLC (the “Adviser”) is an affiliate of BC Partners LLP (“BC Partners”). Subject to the overall supervision of the Board, the Adviser is responsible for managing our business and activities, including sourcing investment opportunities, conducting research, performing diligence on potential investments, structuring our investments, and monitoring our portfolio companies on an ongoing basis through a team of investment professionals.</w:t>
      </w:r>
    </w:p>
    <w:p>
      <w:pPr>
        <w:spacing w:after="0" w:line="68" w:lineRule="exact"/>
        <w:rPr>
          <w:sz w:val="20"/>
          <w:szCs w:val="20"/>
          <w:color w:val="auto"/>
        </w:rPr>
      </w:pPr>
    </w:p>
    <w:p>
      <w:pPr>
        <w:ind w:right="20" w:firstLine="374"/>
        <w:spacing w:after="0" w:line="275" w:lineRule="auto"/>
        <w:rPr>
          <w:sz w:val="20"/>
          <w:szCs w:val="20"/>
          <w:color w:val="auto"/>
        </w:rPr>
      </w:pPr>
      <w:r>
        <w:rPr>
          <w:rFonts w:ascii="Arial" w:cs="Arial" w:eastAsia="Arial" w:hAnsi="Arial"/>
          <w:sz w:val="17"/>
          <w:szCs w:val="17"/>
          <w:color w:val="auto"/>
        </w:rPr>
        <w:t>We originate, structure, and invest in secured term loans, bonds or notes and mezzanine debt primarily in privately-held middle market companies but may also invest in other investments such as loans to publicly-traded companies, high-yield bonds, and distressed debt securities (collectively the “Debt Securities Portfolio”). We also invest in joint ventures and debt and subordinated securities issued by collateralized loan obligation funds (“CLO Fund Securities”). In addition, from time to time we may invest in the equity securities of privately held middle market companies and may also receive warrants or options to purchase common stock in connection with our debt investments.</w:t>
      </w:r>
    </w:p>
    <w:p>
      <w:pPr>
        <w:spacing w:after="0" w:line="68" w:lineRule="exact"/>
        <w:rPr>
          <w:sz w:val="20"/>
          <w:szCs w:val="20"/>
          <w:color w:val="auto"/>
        </w:rPr>
      </w:pPr>
    </w:p>
    <w:p>
      <w:pPr>
        <w:ind w:right="40" w:firstLine="374"/>
        <w:spacing w:after="0" w:line="269" w:lineRule="auto"/>
        <w:rPr>
          <w:sz w:val="20"/>
          <w:szCs w:val="20"/>
          <w:color w:val="auto"/>
        </w:rPr>
      </w:pPr>
      <w:r>
        <w:rPr>
          <w:rFonts w:ascii="Arial" w:cs="Arial" w:eastAsia="Arial" w:hAnsi="Arial"/>
          <w:sz w:val="17"/>
          <w:szCs w:val="17"/>
          <w:color w:val="auto"/>
        </w:rPr>
        <w:t>In our Debt Securities Portfolio, our investment objective is to generate current income and, to a lesser extent, capital appreciation from the investments in senior secured term loans, mezzanine debt and selected equity investments in privately-held middle market companies. We define the middle market as comprising companies with EBITDA of $10 million to $50 million and/or total debt of $25 million to $150 million. We primarily invest in first and second lien term loans which, because of their priority in a company’s capital structure, we expect will have lower default rates and higher rates of recovery of principal if there is a default and which we expect will create a stable stream of interest income. The first lien term loans may include traditional first lien senior secured loans or unitranche loans. Unitranche loans combine characteristics of traditional first lien senior secured loans as well as second lien and/or mezzanine debt (“Junior Debt”). Unitranche loans will expose us to the risks associated with first lien loans and Junior Debt. While there is no specific collateral associated with senior unsecured debt, such positions are senior in payment priority over subordinated debt investments. The investments in our Debt Securities Portfolio are all or predominantly below investment grade, and have speculative characteristics with respect to the issuer’s capacity to pay interest and repay principal.</w:t>
      </w:r>
    </w:p>
    <w:p>
      <w:pPr>
        <w:spacing w:after="0" w:line="77" w:lineRule="exact"/>
        <w:rPr>
          <w:sz w:val="20"/>
          <w:szCs w:val="20"/>
          <w:color w:val="auto"/>
        </w:rPr>
      </w:pPr>
    </w:p>
    <w:p>
      <w:pPr>
        <w:jc w:val="both"/>
        <w:ind w:firstLine="374"/>
        <w:spacing w:after="0" w:line="311" w:lineRule="auto"/>
        <w:rPr>
          <w:sz w:val="20"/>
          <w:szCs w:val="20"/>
          <w:color w:val="auto"/>
        </w:rPr>
      </w:pPr>
      <w:r>
        <w:rPr>
          <w:rFonts w:ascii="Arial" w:cs="Arial" w:eastAsia="Arial" w:hAnsi="Arial"/>
          <w:sz w:val="16"/>
          <w:szCs w:val="16"/>
          <w:color w:val="auto"/>
        </w:rPr>
        <w:t>Our investments in CLO Fund Securities are primarily managed by our formerly wholly-owned asset management subsidiaries Trimaran Advisors and Trimaran Advisors Management, L.L.C. From time-to-time we have also made investments in CLO Fund Securities managed by other asset managers. Our collateralized loan obligation funds (“CLO Funds”) typically invest in broadly syndicated loans, high-yield bonds and other credit instruments.</w:t>
      </w:r>
    </w:p>
    <w:p>
      <w:pPr>
        <w:spacing w:after="0" w:line="41" w:lineRule="exact"/>
        <w:rPr>
          <w:sz w:val="20"/>
          <w:szCs w:val="20"/>
          <w:color w:val="auto"/>
        </w:rPr>
      </w:pPr>
    </w:p>
    <w:p>
      <w:pPr>
        <w:ind w:right="40" w:firstLine="374"/>
        <w:spacing w:after="0" w:line="296" w:lineRule="auto"/>
        <w:rPr>
          <w:sz w:val="20"/>
          <w:szCs w:val="20"/>
          <w:color w:val="auto"/>
        </w:rPr>
      </w:pPr>
      <w:r>
        <w:rPr>
          <w:rFonts w:ascii="Arial" w:cs="Arial" w:eastAsia="Arial" w:hAnsi="Arial"/>
          <w:sz w:val="16"/>
          <w:szCs w:val="16"/>
          <w:color w:val="auto"/>
        </w:rPr>
        <w:t>Our portfolio may include “covenant-lite” loans which generally refer to loans that do not have a complete set of financial maintenance covenants. Generally, “covenant-lite” loans provide borrower companies more freedom to negatively impact lenders because their covenants are incurrence-based, which means they are only tested and can only be breached following an affirmative action of the borrower, rather than by a deterioration in the borrower’s financial condition. Accordingly, to the extent we invest in “covenant-lite” loans, we may have fewer rights against a borrower and may have a greater risk of loss on such investments as compared to investments in or exposure to loans with financial maintenance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8" w:name="page79"/>
    <w:bookmarkEnd w:id="78"/>
    <w:p>
      <w:pPr>
        <w:ind w:right="40" w:firstLine="374"/>
        <w:spacing w:after="0" w:line="290" w:lineRule="auto"/>
        <w:rPr>
          <w:sz w:val="20"/>
          <w:szCs w:val="20"/>
          <w:color w:val="auto"/>
        </w:rPr>
      </w:pPr>
      <w:r>
        <w:rPr>
          <w:rFonts w:ascii="Arial" w:cs="Arial" w:eastAsia="Arial" w:hAnsi="Arial"/>
          <w:sz w:val="16"/>
          <w:szCs w:val="16"/>
          <w:color w:val="auto"/>
        </w:rPr>
        <w:t>We have elected to be treated for U.S. federal income tax purposes as a RIC under the Code and intend to operate in a manner to maintain our RIC status. As a RIC, we intend to distribute to our stockholders substantially all of our net ordinary taxable income and the excess of realized net short-term capital gains over realized net long-term capital losses, if any, for each year. To qualify as a RIC, we must, among other things, meet certain source-of-income and asset diversification requirements. Pursuant to this election, we generally will not have to pay corporate-level U.S. federal income taxes on any income that we timely distribute to our stockholders. Depending on the duration of the novel coronavirus (also known as “COVID-19”) pandemic and the extent of its impact on our portfolio companies’ operations and our net investment income, any future distributions to our stockholders may be for amounts less than our historical distributions, may be made less frequently than historical practices, and may be made in part cash and part stock, subject to a limitation that the aggregate amount of cash to be distributed to all stockholders must be at least 20% of the aggregate declared distribution.</w:t>
      </w:r>
    </w:p>
    <w:p>
      <w:pPr>
        <w:spacing w:after="0" w:line="57" w:lineRule="exact"/>
        <w:rPr>
          <w:sz w:val="20"/>
          <w:szCs w:val="20"/>
          <w:color w:val="auto"/>
        </w:rPr>
      </w:pPr>
    </w:p>
    <w:p>
      <w:pPr>
        <w:ind w:right="220" w:firstLine="374"/>
        <w:spacing w:after="0" w:line="263" w:lineRule="auto"/>
        <w:rPr>
          <w:sz w:val="20"/>
          <w:szCs w:val="20"/>
          <w:color w:val="auto"/>
        </w:rPr>
      </w:pPr>
      <w:r>
        <w:rPr>
          <w:rFonts w:ascii="Arial" w:cs="Arial" w:eastAsia="Arial" w:hAnsi="Arial"/>
          <w:sz w:val="18"/>
          <w:szCs w:val="18"/>
          <w:color w:val="auto"/>
        </w:rPr>
        <w:t>From time to time, we may seek to retire, repurchase, or exchange debt securities in open market purchases or by other means dependent on market conditions, liquidity, contractual obligations, and other matters. In addition, we evaluate strategic opportunities available to us, including mergers, divestures, spin-offs, joint ventures and other similar transactions from time to time.</w:t>
      </w:r>
    </w:p>
    <w:p>
      <w:pPr>
        <w:spacing w:after="0" w:line="76" w:lineRule="exact"/>
        <w:rPr>
          <w:sz w:val="20"/>
          <w:szCs w:val="20"/>
          <w:color w:val="auto"/>
        </w:rPr>
      </w:pPr>
    </w:p>
    <w:p>
      <w:pPr>
        <w:ind w:right="120" w:firstLine="374"/>
        <w:spacing w:after="0" w:line="277" w:lineRule="auto"/>
        <w:rPr>
          <w:sz w:val="20"/>
          <w:szCs w:val="20"/>
          <w:color w:val="auto"/>
        </w:rPr>
      </w:pPr>
      <w:r>
        <w:rPr>
          <w:rFonts w:ascii="Arial" w:cs="Arial" w:eastAsia="Arial" w:hAnsi="Arial"/>
          <w:sz w:val="18"/>
          <w:szCs w:val="18"/>
          <w:color w:val="auto"/>
        </w:rPr>
        <w:t>During the fourth quarter of 2020, LibreMax sold its minority stake in the Adviser to a wholly-owned subsidiary of Mount Logan. An affiliate of BC Partners serves as administrator to Mount Logan.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The Externalization</w:t>
      </w:r>
    </w:p>
    <w:p>
      <w:pPr>
        <w:spacing w:after="0" w:line="117" w:lineRule="exact"/>
        <w:rPr>
          <w:sz w:val="20"/>
          <w:szCs w:val="20"/>
          <w:color w:val="auto"/>
        </w:rPr>
      </w:pPr>
    </w:p>
    <w:p>
      <w:pPr>
        <w:jc w:val="both"/>
        <w:ind w:right="60" w:firstLine="374"/>
        <w:spacing w:after="0" w:line="311" w:lineRule="auto"/>
        <w:rPr>
          <w:sz w:val="20"/>
          <w:szCs w:val="20"/>
          <w:color w:val="auto"/>
        </w:rPr>
      </w:pPr>
      <w:r>
        <w:rPr>
          <w:rFonts w:ascii="Arial" w:cs="Arial" w:eastAsia="Arial" w:hAnsi="Arial"/>
          <w:sz w:val="16"/>
          <w:szCs w:val="16"/>
          <w:color w:val="auto"/>
        </w:rPr>
        <w:t>On April 1, 2019 (the “Closing”), we became externally managed (the “Externalization”) by the Adviser, pursuant to a stock purchase and transaction agreement (the “Externalization Agreement”) with BC Partners Advisors L.P. (“BCP”), an affiliate of BC Partners. In connection with the Externalization, our stockholders approved an investment advisory agreement (the “Advisory Agreement”) with the Adviser. See “-Advisory Agreement” below.</w:t>
      </w:r>
    </w:p>
    <w:p>
      <w:pPr>
        <w:spacing w:after="0" w:line="41" w:lineRule="exact"/>
        <w:rPr>
          <w:sz w:val="20"/>
          <w:szCs w:val="20"/>
          <w:color w:val="auto"/>
        </w:rPr>
      </w:pPr>
    </w:p>
    <w:p>
      <w:pPr>
        <w:ind w:firstLine="374"/>
        <w:spacing w:after="0" w:line="270" w:lineRule="auto"/>
        <w:rPr>
          <w:sz w:val="20"/>
          <w:szCs w:val="20"/>
          <w:color w:val="auto"/>
        </w:rPr>
      </w:pPr>
      <w:r>
        <w:rPr>
          <w:rFonts w:ascii="Arial" w:cs="Arial" w:eastAsia="Arial" w:hAnsi="Arial"/>
          <w:sz w:val="17"/>
          <w:szCs w:val="17"/>
          <w:color w:val="231F20"/>
        </w:rPr>
        <w:t>Pursuant to the Externalization Agreement with BCP, the Adviser became our investment adviser in exchange for a cash payment from BCP, or its affiliate, of $25 million, or $0.669672 per share of our common stock, directly to our stockholders. In addition, the Adviser (or its affiliate) will use up to $10 million of the incentive fee actually paid to the Adviser prior to the second anniversary of the Closing to buy newly issued shares of our common stock at the most recently determined net asset value per share of our common stock at the time of such purchase, and in November 2020, the Adviser purchased approximately $570 thousand newly issued shares of our common stock in connection therewith. For the period of one year from the first day of the first quarter following the quarter in which the Closing occurred, the Adviser will permanently forego up to the full amount of the incentive fees earned by the Adviser without recourse against or reimbursement by us, to the extent necessary in order to achieve aggregate net investment income per share of common stock for such one-year period to be at least equal to $0.40 per share, subject to certain adjustments. BCP and the Adviser’s total financial commitment to the transactions contemplated by the Externalization Agreement was $35.0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OHAI Transaction</w:t>
      </w:r>
    </w:p>
    <w:p>
      <w:pPr>
        <w:spacing w:after="0" w:line="117" w:lineRule="exact"/>
        <w:rPr>
          <w:sz w:val="20"/>
          <w:szCs w:val="20"/>
          <w:color w:val="auto"/>
        </w:rPr>
      </w:pPr>
    </w:p>
    <w:p>
      <w:pPr>
        <w:ind w:right="40" w:firstLine="374"/>
        <w:spacing w:after="0" w:line="275" w:lineRule="auto"/>
        <w:rPr>
          <w:sz w:val="20"/>
          <w:szCs w:val="20"/>
          <w:color w:val="auto"/>
        </w:rPr>
      </w:pPr>
      <w:r>
        <w:rPr>
          <w:rFonts w:ascii="Arial" w:cs="Arial" w:eastAsia="Arial" w:hAnsi="Arial"/>
          <w:sz w:val="17"/>
          <w:szCs w:val="17"/>
          <w:color w:val="auto"/>
        </w:rPr>
        <w:t>On December 18, 2019, we completed our acquisition of OHA Investment Corporation (“OHAI”). In accordance with the terms of the merger agreement, each share of common stock, par value $0.001 per share, of OHAI (the “OHAI Common Stock”) issued and outstanding was converted into the right to receive (i) an amount in cash, without interest, equal to approximately $0.42, and (ii) 0.3688 shares of common stock, par value $0.01 per share, of the Company (plus any applicable cash in lieu of fractional shares). Each share of OHAI Common Stock issued and outstanding received, as additional consideration funded by the Adviser, an amount in cash, without interest, equal to approximately $0.15.</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GARS Transaction</w:t>
      </w:r>
    </w:p>
    <w:p>
      <w:pPr>
        <w:spacing w:after="0" w:line="117" w:lineRule="exact"/>
        <w:rPr>
          <w:sz w:val="20"/>
          <w:szCs w:val="20"/>
          <w:color w:val="auto"/>
        </w:rPr>
      </w:pPr>
    </w:p>
    <w:p>
      <w:pPr>
        <w:ind w:right="80" w:firstLine="374"/>
        <w:spacing w:after="0" w:line="275" w:lineRule="auto"/>
        <w:rPr>
          <w:sz w:val="20"/>
          <w:szCs w:val="20"/>
          <w:color w:val="auto"/>
        </w:rPr>
      </w:pPr>
      <w:r>
        <w:rPr>
          <w:rFonts w:ascii="Arial" w:cs="Arial" w:eastAsia="Arial" w:hAnsi="Arial"/>
          <w:sz w:val="17"/>
          <w:szCs w:val="17"/>
          <w:color w:val="auto"/>
        </w:rPr>
        <w:t>On June 24, 2020, we entered into an Agreement and Plan of Merger (the “GARS Merger Agreement”) with Garrison Capital Inc., a publicly traded BDC (“GARS”), the Adviser and a wholly-owned merger subsidiary of the Company (such transaction, the “GARS Acquisition”), and on October 28, 2020 we completed the GARS Acquisition. To effect the acquisition, our wholly owned merger subsidiary merged with and into GARS, with GARS surviving the merger as our wholly owned subsidiary. Immediately thereafter and as a single integrated transaction, GARS consummated a second merger, whereby GARS merged with and into us, with the Company surviving the merger.</w:t>
      </w:r>
    </w:p>
    <w:p>
      <w:pPr>
        <w:spacing w:after="0" w:line="68" w:lineRule="exact"/>
        <w:rPr>
          <w:sz w:val="20"/>
          <w:szCs w:val="20"/>
          <w:color w:val="auto"/>
        </w:rPr>
      </w:pPr>
    </w:p>
    <w:p>
      <w:pPr>
        <w:jc w:val="center"/>
        <w:ind w:right="180"/>
        <w:spacing w:after="0" w:line="291" w:lineRule="auto"/>
        <w:rPr>
          <w:sz w:val="20"/>
          <w:szCs w:val="20"/>
          <w:color w:val="auto"/>
        </w:rPr>
      </w:pPr>
      <w:r>
        <w:rPr>
          <w:rFonts w:ascii="Arial" w:cs="Arial" w:eastAsia="Arial" w:hAnsi="Arial"/>
          <w:sz w:val="16"/>
          <w:szCs w:val="16"/>
          <w:color w:val="auto"/>
        </w:rPr>
        <w:t>In accordance with the terms of the GARS Merger Agreement, each share of common stock, par value $0.001 per share, of GARS (the “GARS Common Stock”) issued and outstanding was converted into the right to receive (i) an amount in cash, without interest, equal to approximately $1.19 and</w:t>
      </w:r>
    </w:p>
    <w:p>
      <w:pPr>
        <w:ind w:right="40" w:firstLine="8"/>
        <w:spacing w:after="0" w:line="273" w:lineRule="auto"/>
        <w:tabs>
          <w:tab w:leader="none" w:pos="265" w:val="left"/>
        </w:tabs>
        <w:numPr>
          <w:ilvl w:val="0"/>
          <w:numId w:val="80"/>
        </w:numPr>
        <w:rPr>
          <w:rFonts w:ascii="Arial" w:cs="Arial" w:eastAsia="Arial" w:hAnsi="Arial"/>
          <w:sz w:val="17"/>
          <w:szCs w:val="17"/>
          <w:color w:val="auto"/>
        </w:rPr>
      </w:pPr>
      <w:r>
        <w:rPr>
          <w:rFonts w:ascii="Arial" w:cs="Arial" w:eastAsia="Arial" w:hAnsi="Arial"/>
          <w:sz w:val="17"/>
          <w:szCs w:val="17"/>
          <w:color w:val="auto"/>
        </w:rPr>
        <w:t>approximately 1.917 shares of common stock, par value $0.01 per share, of the Company (plus any applicable cash in lieu of fractional shares). Each share of GARS Common Stock issued and outstanding received, as additional consideration funded by the Adviser, an amount in cash, without interest, equal to approximately $0.31. In connection with the closing of the GARS Acquisition, the Board approved an increase in the size of the Board from seven members to nine members, and appointed each of Matthew Westwood and Joseph Morea to serve on the Board.</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Proposed HCAP Transaction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79" w:name="page80"/>
    <w:bookmarkEnd w:id="79"/>
    <w:p>
      <w:pPr>
        <w:ind w:right="20" w:firstLine="374"/>
        <w:spacing w:after="0" w:line="296" w:lineRule="auto"/>
        <w:rPr>
          <w:sz w:val="20"/>
          <w:szCs w:val="20"/>
          <w:color w:val="auto"/>
        </w:rPr>
      </w:pPr>
      <w:r>
        <w:rPr>
          <w:rFonts w:ascii="Arial" w:cs="Arial" w:eastAsia="Arial" w:hAnsi="Arial"/>
          <w:sz w:val="16"/>
          <w:szCs w:val="16"/>
          <w:color w:val="auto"/>
        </w:rPr>
        <w:t>On December 23, 2020, we entered into an Agreement and Plan of Merger (the “HCAP Merger Agreement”) with Harvest Capital Credit Corporation, a publicly traded BDC (“HCAP”), the Adviser and a wholly-owned merger subsidiary of the Company (such transaction, the “HCAP Acquisition”). Under the terms of the HCAP Merger Agreement and in connection with the proposed HCAP Acquisition, our wholly owned merger subsidiary will merge with and into HCAP, with HCAP surviving the merger as our wholly owned subsidiary, and immediately thereafter and as a single integrated transaction, HCAP will consummate a second merger, whereby HCAP will merge with and into us, with the Company surviving the merger.</w:t>
      </w:r>
    </w:p>
    <w:p>
      <w:pPr>
        <w:spacing w:after="0" w:line="53" w:lineRule="exact"/>
        <w:rPr>
          <w:sz w:val="20"/>
          <w:szCs w:val="20"/>
          <w:color w:val="auto"/>
        </w:rPr>
      </w:pPr>
    </w:p>
    <w:p>
      <w:pPr>
        <w:jc w:val="both"/>
        <w:ind w:right="140" w:firstLine="374"/>
        <w:spacing w:after="0" w:line="301" w:lineRule="auto"/>
        <w:rPr>
          <w:sz w:val="20"/>
          <w:szCs w:val="20"/>
          <w:color w:val="auto"/>
        </w:rPr>
      </w:pPr>
      <w:r>
        <w:rPr>
          <w:rFonts w:ascii="Arial" w:cs="Arial" w:eastAsia="Arial" w:hAnsi="Arial"/>
          <w:sz w:val="16"/>
          <w:szCs w:val="16"/>
          <w:color w:val="auto"/>
        </w:rPr>
        <w:t>Under the terms of the proposed transaction, HCAP stockholders will receive a combination of (i) shares of the Company’s common stock valued at 100% of its net asset value per share at the time of closing of the transaction in an aggregate number equal to HCAP’s net asset value at closing, (ii) to the extent that the number of shares of the Company’s common stock exceeds 19.9% of the issued and outstanding shares of the Company’s common stock, a cash consideration in the amount of such excess, and (iii) an additional cash payment from the Adviser of $2.15 million in the aggregate.</w:t>
      </w:r>
    </w:p>
    <w:p>
      <w:pPr>
        <w:spacing w:after="0" w:line="49" w:lineRule="exact"/>
        <w:rPr>
          <w:sz w:val="20"/>
          <w:szCs w:val="20"/>
          <w:color w:val="auto"/>
        </w:rPr>
      </w:pPr>
    </w:p>
    <w:p>
      <w:pPr>
        <w:jc w:val="both"/>
        <w:ind w:right="340" w:firstLine="374"/>
        <w:spacing w:after="0" w:line="259" w:lineRule="auto"/>
        <w:rPr>
          <w:sz w:val="20"/>
          <w:szCs w:val="20"/>
          <w:color w:val="auto"/>
        </w:rPr>
      </w:pPr>
      <w:r>
        <w:rPr>
          <w:rFonts w:ascii="Arial" w:cs="Arial" w:eastAsia="Arial" w:hAnsi="Arial"/>
          <w:sz w:val="18"/>
          <w:szCs w:val="18"/>
          <w:color w:val="auto"/>
        </w:rPr>
        <w:t>The exchange ratio for the stock component of the merger will be determined by the net asset value of HCAP and the Company as of the closing, calculated as of 5:00 p.m. New York City time two days prior to the closing of the transaction. In addition to approval by HCAP’s and the Company’s respective stockholders, the closing of the merger is subject to customary conditions. We currently expect the transaction to be completed in the second calendar quarter of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189" w:lineRule="exact"/>
        <w:rPr>
          <w:sz w:val="20"/>
          <w:szCs w:val="20"/>
          <w:color w:val="auto"/>
        </w:rPr>
      </w:pPr>
    </w:p>
    <w:p>
      <w:pPr>
        <w:ind w:right="140" w:firstLine="374"/>
        <w:spacing w:after="0" w:line="263" w:lineRule="auto"/>
        <w:rPr>
          <w:sz w:val="20"/>
          <w:szCs w:val="20"/>
          <w:color w:val="auto"/>
        </w:rPr>
      </w:pPr>
      <w:r>
        <w:rPr>
          <w:rFonts w:ascii="Arial" w:cs="Arial" w:eastAsia="Arial" w:hAnsi="Arial"/>
          <w:sz w:val="18"/>
          <w:szCs w:val="18"/>
          <w:color w:val="auto"/>
        </w:rPr>
        <w:t>Our primary investments are lending to and investing in middle-market businesses through investments in senior secured loans, junior secured loans, subordinated/mezzanine debt investments, and other equity investments, which may include warrants, investments in joint ventures, and investments in CLO Fund Securities.</w:t>
      </w:r>
    </w:p>
    <w:p>
      <w:pPr>
        <w:spacing w:after="0" w:line="143" w:lineRule="exact"/>
        <w:rPr>
          <w:sz w:val="20"/>
          <w:szCs w:val="20"/>
          <w:color w:val="auto"/>
        </w:rPr>
      </w:pPr>
    </w:p>
    <w:p>
      <w:pPr>
        <w:ind w:right="200" w:firstLine="374"/>
        <w:spacing w:after="0" w:line="277" w:lineRule="auto"/>
        <w:rPr>
          <w:sz w:val="20"/>
          <w:szCs w:val="20"/>
          <w:color w:val="auto"/>
        </w:rPr>
      </w:pPr>
      <w:r>
        <w:rPr>
          <w:rFonts w:ascii="Arial" w:cs="Arial" w:eastAsia="Arial" w:hAnsi="Arial"/>
          <w:sz w:val="18"/>
          <w:szCs w:val="18"/>
          <w:color w:val="auto"/>
        </w:rPr>
        <w:t>Total portfolio investment activity (excluding activity in short-term investments) for the three months ended March 31, 2021 (unaudited) and for the year ended December 31, 2020 was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ind w:left="220"/>
              <w:spacing w:after="0"/>
              <w:rPr>
                <w:sz w:val="20"/>
                <w:szCs w:val="20"/>
                <w:color w:val="auto"/>
              </w:rPr>
            </w:pPr>
            <w:r>
              <w:rPr>
                <w:rFonts w:ascii="Arial" w:cs="Arial" w:eastAsia="Arial" w:hAnsi="Arial"/>
                <w:sz w:val="13"/>
                <w:szCs w:val="13"/>
                <w:b w:val="1"/>
                <w:bCs w:val="1"/>
                <w:color w:val="auto"/>
              </w:rPr>
              <w:t>Asset</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3"/>
                <w:szCs w:val="13"/>
                <w:b w:val="1"/>
                <w:bCs w:val="1"/>
                <w:color w:val="auto"/>
              </w:rPr>
              <w:t>Debt</w:t>
            </w:r>
          </w:p>
        </w:tc>
        <w:tc>
          <w:tcPr>
            <w:tcW w:w="140" w:type="dxa"/>
            <w:vAlign w:val="bottom"/>
          </w:tcPr>
          <w:p>
            <w:pPr>
              <w:spacing w:after="0"/>
              <w:rPr>
                <w:sz w:val="12"/>
                <w:szCs w:val="12"/>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CLO Fund</w:t>
            </w:r>
          </w:p>
        </w:tc>
        <w:tc>
          <w:tcPr>
            <w:tcW w:w="160" w:type="dxa"/>
            <w:vAlign w:val="bottom"/>
          </w:tcPr>
          <w:p>
            <w:pPr>
              <w:spacing w:after="0"/>
              <w:rPr>
                <w:sz w:val="12"/>
                <w:szCs w:val="12"/>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Equity</w:t>
            </w:r>
          </w:p>
        </w:tc>
        <w:tc>
          <w:tcPr>
            <w:tcW w:w="160" w:type="dxa"/>
            <w:vAlign w:val="bottom"/>
          </w:tcPr>
          <w:p>
            <w:pPr>
              <w:spacing w:after="0"/>
              <w:rPr>
                <w:sz w:val="12"/>
                <w:szCs w:val="12"/>
                <w:color w:val="auto"/>
              </w:rPr>
            </w:pPr>
          </w:p>
        </w:tc>
        <w:tc>
          <w:tcPr>
            <w:tcW w:w="920" w:type="dxa"/>
            <w:vAlign w:val="bottom"/>
          </w:tcPr>
          <w:p>
            <w:pPr>
              <w:ind w:left="120"/>
              <w:spacing w:after="0"/>
              <w:rPr>
                <w:sz w:val="20"/>
                <w:szCs w:val="20"/>
                <w:color w:val="auto"/>
              </w:rPr>
            </w:pPr>
            <w:r>
              <w:rPr>
                <w:rFonts w:ascii="Arial" w:cs="Arial" w:eastAsia="Arial" w:hAnsi="Arial"/>
                <w:sz w:val="13"/>
                <w:szCs w:val="13"/>
                <w:b w:val="1"/>
                <w:bCs w:val="1"/>
                <w:color w:val="auto"/>
              </w:rPr>
              <w:t>Manager</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3"/>
                <w:szCs w:val="13"/>
                <w:b w:val="1"/>
                <w:bCs w:val="1"/>
                <w:color w:val="auto"/>
              </w:rPr>
              <w:t>Joint</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1"/>
        </w:trPr>
        <w:tc>
          <w:tcPr>
            <w:tcW w:w="2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Securities</w:t>
            </w:r>
          </w:p>
        </w:tc>
        <w:tc>
          <w:tcPr>
            <w:tcW w:w="140" w:type="dxa"/>
            <w:vAlign w:val="bottom"/>
          </w:tcPr>
          <w:p>
            <w:pPr>
              <w:spacing w:after="0"/>
              <w:rPr>
                <w:sz w:val="14"/>
                <w:szCs w:val="14"/>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Securities</w:t>
            </w:r>
          </w:p>
        </w:tc>
        <w:tc>
          <w:tcPr>
            <w:tcW w:w="160" w:type="dxa"/>
            <w:vAlign w:val="bottom"/>
          </w:tcPr>
          <w:p>
            <w:pPr>
              <w:spacing w:after="0"/>
              <w:rPr>
                <w:sz w:val="14"/>
                <w:szCs w:val="14"/>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Securities</w:t>
            </w:r>
          </w:p>
        </w:tc>
        <w:tc>
          <w:tcPr>
            <w:tcW w:w="160" w:type="dxa"/>
            <w:vAlign w:val="bottom"/>
          </w:tcPr>
          <w:p>
            <w:pPr>
              <w:spacing w:after="0"/>
              <w:rPr>
                <w:sz w:val="14"/>
                <w:szCs w:val="14"/>
                <w:color w:val="auto"/>
              </w:rPr>
            </w:pPr>
          </w:p>
        </w:tc>
        <w:tc>
          <w:tcPr>
            <w:tcW w:w="920" w:type="dxa"/>
            <w:vAlign w:val="bottom"/>
          </w:tcPr>
          <w:p>
            <w:pPr>
              <w:ind w:left="120"/>
              <w:spacing w:after="0"/>
              <w:rPr>
                <w:sz w:val="20"/>
                <w:szCs w:val="20"/>
                <w:color w:val="auto"/>
              </w:rPr>
            </w:pPr>
            <w:r>
              <w:rPr>
                <w:rFonts w:ascii="Arial" w:cs="Arial" w:eastAsia="Arial" w:hAnsi="Arial"/>
                <w:sz w:val="13"/>
                <w:szCs w:val="13"/>
                <w:b w:val="1"/>
                <w:bCs w:val="1"/>
                <w:color w:val="auto"/>
              </w:rPr>
              <w:t>Affiliates</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Ventures</w:t>
            </w:r>
          </w:p>
        </w:tc>
        <w:tc>
          <w:tcPr>
            <w:tcW w:w="80" w:type="dxa"/>
            <w:vAlign w:val="bottom"/>
          </w:tcPr>
          <w:p>
            <w:pPr>
              <w:spacing w:after="0"/>
              <w:rPr>
                <w:sz w:val="14"/>
                <w:szCs w:val="14"/>
                <w:color w:val="auto"/>
              </w:rPr>
            </w:pPr>
          </w:p>
        </w:tc>
        <w:tc>
          <w:tcPr>
            <w:tcW w:w="1160" w:type="dxa"/>
            <w:vAlign w:val="bottom"/>
            <w:gridSpan w:val="3"/>
          </w:tcPr>
          <w:p>
            <w:pPr>
              <w:jc w:val="right"/>
              <w:ind w:right="480"/>
              <w:spacing w:after="0"/>
              <w:rPr>
                <w:sz w:val="20"/>
                <w:szCs w:val="20"/>
                <w:color w:val="auto"/>
              </w:rPr>
            </w:pPr>
            <w:r>
              <w:rPr>
                <w:rFonts w:ascii="Arial" w:cs="Arial" w:eastAsia="Arial" w:hAnsi="Arial"/>
                <w:sz w:val="13"/>
                <w:szCs w:val="13"/>
                <w:b w:val="1"/>
                <w:bCs w:val="1"/>
                <w:color w:val="auto"/>
                <w:w w:val="95"/>
              </w:rPr>
              <w:t>Derivatives</w:t>
            </w:r>
          </w:p>
        </w:tc>
        <w:tc>
          <w:tcPr>
            <w:tcW w:w="104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Portfolio</w:t>
            </w:r>
          </w:p>
        </w:tc>
        <w:tc>
          <w:tcPr>
            <w:tcW w:w="0" w:type="dxa"/>
            <w:vAlign w:val="bottom"/>
          </w:tcPr>
          <w:p>
            <w:pPr>
              <w:spacing w:after="0"/>
              <w:rPr>
                <w:sz w:val="1"/>
                <w:szCs w:val="1"/>
                <w:color w:val="auto"/>
              </w:rPr>
            </w:pPr>
          </w:p>
        </w:tc>
      </w:tr>
      <w:tr>
        <w:trPr>
          <w:trHeight w:val="145"/>
        </w:trPr>
        <w:tc>
          <w:tcPr>
            <w:tcW w:w="2220" w:type="dxa"/>
            <w:vAlign w:val="bottom"/>
            <w:tcBorders>
              <w:top w:val="single" w:sz="8" w:color="CFF0FC"/>
            </w:tcBorders>
            <w:shd w:val="clear" w:color="auto" w:fill="CFF0FC"/>
          </w:tcPr>
          <w:p>
            <w:pPr>
              <w:spacing w:after="0" w:line="145" w:lineRule="exact"/>
              <w:rPr>
                <w:sz w:val="20"/>
                <w:szCs w:val="20"/>
                <w:color w:val="auto"/>
              </w:rPr>
            </w:pPr>
            <w:r>
              <w:rPr>
                <w:rFonts w:ascii="Arial" w:cs="Arial" w:eastAsia="Arial" w:hAnsi="Arial"/>
                <w:sz w:val="13"/>
                <w:szCs w:val="13"/>
                <w:color w:val="auto"/>
              </w:rPr>
              <w:t>Fair Value at December 31, 2019</w:t>
            </w:r>
          </w:p>
        </w:tc>
        <w:tc>
          <w:tcPr>
            <w:tcW w:w="24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104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right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right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right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220" w:type="dxa"/>
            <w:vAlign w:val="bottom"/>
            <w:shd w:val="clear" w:color="auto" w:fill="CFF0FC"/>
          </w:tcPr>
          <w:p>
            <w:pPr>
              <w:ind w:left="100"/>
              <w:spacing w:after="0"/>
              <w:rPr>
                <w:sz w:val="20"/>
                <w:szCs w:val="20"/>
                <w:color w:val="auto"/>
              </w:rPr>
            </w:pPr>
            <w:r>
              <w:rPr>
                <w:rFonts w:ascii="Arial" w:cs="Arial" w:eastAsia="Arial" w:hAnsi="Arial"/>
                <w:sz w:val="13"/>
                <w:szCs w:val="13"/>
                <w:color w:val="auto"/>
              </w:rPr>
              <w:t>2020 Activity:</w:t>
            </w: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186,802,908</w:t>
            </w:r>
          </w:p>
        </w:tc>
        <w:tc>
          <w:tcPr>
            <w:tcW w:w="160" w:type="dxa"/>
            <w:vAlign w:val="bottom"/>
            <w:tcBorders>
              <w:right w:val="single" w:sz="8" w:color="CFF0FC"/>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31,968,202</w:t>
            </w: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9,864,419</w:t>
            </w:r>
          </w:p>
        </w:tc>
        <w:tc>
          <w:tcPr>
            <w:tcW w:w="160" w:type="dxa"/>
            <w:vAlign w:val="bottom"/>
            <w:tcBorders>
              <w:right w:val="single" w:sz="8" w:color="CFF0FC"/>
            </w:tcBorders>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20" w:type="dxa"/>
            <w:vAlign w:val="bottom"/>
            <w:shd w:val="clear" w:color="auto" w:fill="CFF0FC"/>
          </w:tcPr>
          <w:p>
            <w:pPr>
              <w:ind w:left="780"/>
              <w:spacing w:after="0"/>
              <w:rPr>
                <w:sz w:val="20"/>
                <w:szCs w:val="20"/>
                <w:color w:val="auto"/>
              </w:rPr>
            </w:pPr>
            <w:r>
              <w:rPr>
                <w:rFonts w:ascii="Arial" w:cs="Arial" w:eastAsia="Arial" w:hAnsi="Arial"/>
                <w:sz w:val="13"/>
                <w:szCs w:val="13"/>
                <w:color w:val="auto"/>
                <w:w w:val="91"/>
              </w:rPr>
              <w:t>—</w:t>
            </w:r>
          </w:p>
        </w:tc>
        <w:tc>
          <w:tcPr>
            <w:tcW w:w="2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45,087,967</w:t>
            </w:r>
          </w:p>
        </w:tc>
        <w:tc>
          <w:tcPr>
            <w:tcW w:w="180" w:type="dxa"/>
            <w:vAlign w:val="bottom"/>
            <w:tcBorders>
              <w:right w:val="single" w:sz="8" w:color="CFF0FC"/>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(33,437)</w:t>
            </w:r>
          </w:p>
        </w:tc>
        <w:tc>
          <w:tcPr>
            <w:tcW w:w="18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273,690,061</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20" w:type="dxa"/>
            <w:vAlign w:val="bottom"/>
          </w:tcPr>
          <w:p>
            <w:pPr>
              <w:ind w:left="260"/>
              <w:spacing w:after="0"/>
              <w:rPr>
                <w:sz w:val="20"/>
                <w:szCs w:val="20"/>
                <w:color w:val="auto"/>
              </w:rPr>
            </w:pPr>
            <w:r>
              <w:rPr>
                <w:rFonts w:ascii="Arial" w:cs="Arial" w:eastAsia="Arial" w:hAnsi="Arial"/>
                <w:sz w:val="13"/>
                <w:szCs w:val="13"/>
                <w:color w:val="auto"/>
              </w:rPr>
              <w:t>Purchases / originations / draws</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380,765,492</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4,937,711</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ind w:left="780"/>
              <w:spacing w:after="0"/>
              <w:rPr>
                <w:sz w:val="20"/>
                <w:szCs w:val="20"/>
                <w:color w:val="auto"/>
              </w:rPr>
            </w:pPr>
            <w:r>
              <w:rPr>
                <w:rFonts w:ascii="Arial" w:cs="Arial" w:eastAsia="Arial" w:hAnsi="Arial"/>
                <w:sz w:val="13"/>
                <w:szCs w:val="13"/>
                <w:color w:val="auto"/>
                <w:w w:val="91"/>
              </w:rPr>
              <w:t>—</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14,098,055</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3"/>
          </w:tcPr>
          <w:p>
            <w:pPr>
              <w:jc w:val="right"/>
              <w:ind w:right="360"/>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399,801,258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Pay-downs / pay-offs / sales</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(198,364,694)</w:t>
            </w:r>
          </w:p>
        </w:tc>
        <w:tc>
          <w:tcPr>
            <w:tcW w:w="14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(4,432,200)</w:t>
            </w:r>
          </w:p>
        </w:tc>
        <w:tc>
          <w:tcPr>
            <w:tcW w:w="160" w:type="dxa"/>
            <w:vAlign w:val="bottom"/>
            <w:shd w:val="clear" w:color="auto" w:fill="CFF0FC"/>
          </w:tcPr>
          <w:p>
            <w:pPr>
              <w:spacing w:after="0"/>
              <w:rPr>
                <w:sz w:val="14"/>
                <w:szCs w:val="14"/>
                <w:color w:val="auto"/>
              </w:rPr>
            </w:pPr>
          </w:p>
        </w:tc>
        <w:tc>
          <w:tcPr>
            <w:tcW w:w="11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(1,515,936)</w:t>
            </w:r>
          </w:p>
        </w:tc>
        <w:tc>
          <w:tcPr>
            <w:tcW w:w="160" w:type="dxa"/>
            <w:vAlign w:val="bottom"/>
            <w:shd w:val="clear" w:color="auto" w:fill="CFF0FC"/>
          </w:tcPr>
          <w:p>
            <w:pPr>
              <w:spacing w:after="0"/>
              <w:rPr>
                <w:sz w:val="14"/>
                <w:szCs w:val="14"/>
                <w:color w:val="auto"/>
              </w:rPr>
            </w:pPr>
          </w:p>
        </w:tc>
        <w:tc>
          <w:tcPr>
            <w:tcW w:w="920" w:type="dxa"/>
            <w:vAlign w:val="bottom"/>
            <w:shd w:val="clear" w:color="auto" w:fill="CFF0FC"/>
          </w:tcPr>
          <w:p>
            <w:pPr>
              <w:ind w:left="780"/>
              <w:spacing w:after="0"/>
              <w:rPr>
                <w:sz w:val="20"/>
                <w:szCs w:val="20"/>
                <w:color w:val="auto"/>
              </w:rPr>
            </w:pPr>
            <w:r>
              <w:rPr>
                <w:rFonts w:ascii="Arial" w:cs="Arial" w:eastAsia="Arial" w:hAnsi="Arial"/>
                <w:sz w:val="13"/>
                <w:szCs w:val="13"/>
                <w:color w:val="auto"/>
                <w:w w:val="91"/>
              </w:rPr>
              <w:t>—</w:t>
            </w: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(7,760,136)</w:t>
            </w:r>
          </w:p>
        </w:tc>
        <w:tc>
          <w:tcPr>
            <w:tcW w:w="8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(976,968)</w:t>
            </w:r>
          </w:p>
        </w:tc>
        <w:tc>
          <w:tcPr>
            <w:tcW w:w="18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(213,049,934)</w:t>
            </w:r>
          </w:p>
        </w:tc>
        <w:tc>
          <w:tcPr>
            <w:tcW w:w="0" w:type="dxa"/>
            <w:vAlign w:val="bottom"/>
          </w:tcPr>
          <w:p>
            <w:pPr>
              <w:spacing w:after="0"/>
              <w:rPr>
                <w:sz w:val="1"/>
                <w:szCs w:val="1"/>
                <w:color w:val="auto"/>
              </w:rPr>
            </w:pPr>
          </w:p>
        </w:tc>
      </w:tr>
      <w:tr>
        <w:trPr>
          <w:trHeight w:val="162"/>
        </w:trPr>
        <w:tc>
          <w:tcPr>
            <w:tcW w:w="2220" w:type="dxa"/>
            <w:vAlign w:val="bottom"/>
          </w:tcPr>
          <w:p>
            <w:pPr>
              <w:ind w:left="260"/>
              <w:spacing w:after="0"/>
              <w:rPr>
                <w:sz w:val="20"/>
                <w:szCs w:val="20"/>
                <w:color w:val="auto"/>
              </w:rPr>
            </w:pPr>
            <w:r>
              <w:rPr>
                <w:rFonts w:ascii="Arial" w:cs="Arial" w:eastAsia="Arial" w:hAnsi="Arial"/>
                <w:sz w:val="13"/>
                <w:szCs w:val="13"/>
                <w:color w:val="auto"/>
              </w:rPr>
              <w:t>Net accretion of interest</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8,228,390</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3,541,296</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20" w:type="dxa"/>
            <w:vAlign w:val="bottom"/>
          </w:tcPr>
          <w:p>
            <w:pPr>
              <w:ind w:left="780"/>
              <w:spacing w:after="0"/>
              <w:rPr>
                <w:sz w:val="20"/>
                <w:szCs w:val="20"/>
                <w:color w:val="auto"/>
              </w:rPr>
            </w:pPr>
            <w:r>
              <w:rPr>
                <w:rFonts w:ascii="Arial" w:cs="Arial" w:eastAsia="Arial" w:hAnsi="Arial"/>
                <w:sz w:val="13"/>
                <w:szCs w:val="13"/>
                <w:color w:val="auto"/>
                <w:w w:val="91"/>
              </w:rPr>
              <w:t>—</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160" w:type="dxa"/>
            <w:vAlign w:val="bottom"/>
            <w:gridSpan w:val="3"/>
          </w:tcPr>
          <w:p>
            <w:pPr>
              <w:jc w:val="right"/>
              <w:ind w:right="360"/>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11,769,686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Net realized gains (losses)</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7,616,860</w:t>
            </w:r>
          </w:p>
        </w:tc>
        <w:tc>
          <w:tcPr>
            <w:tcW w:w="16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11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(989,131)</w:t>
            </w:r>
          </w:p>
        </w:tc>
        <w:tc>
          <w:tcPr>
            <w:tcW w:w="160" w:type="dxa"/>
            <w:vAlign w:val="bottom"/>
            <w:shd w:val="clear" w:color="auto" w:fill="CFF0FC"/>
          </w:tcPr>
          <w:p>
            <w:pPr>
              <w:spacing w:after="0"/>
              <w:rPr>
                <w:sz w:val="14"/>
                <w:szCs w:val="14"/>
                <w:color w:val="auto"/>
              </w:rPr>
            </w:pPr>
          </w:p>
        </w:tc>
        <w:tc>
          <w:tcPr>
            <w:tcW w:w="920" w:type="dxa"/>
            <w:vAlign w:val="bottom"/>
            <w:shd w:val="clear" w:color="auto" w:fill="CFF0FC"/>
          </w:tcPr>
          <w:p>
            <w:pPr>
              <w:ind w:left="780"/>
              <w:spacing w:after="0"/>
              <w:rPr>
                <w:sz w:val="20"/>
                <w:szCs w:val="20"/>
                <w:color w:val="auto"/>
              </w:rPr>
            </w:pPr>
            <w:r>
              <w:rPr>
                <w:rFonts w:ascii="Arial" w:cs="Arial" w:eastAsia="Arial" w:hAnsi="Arial"/>
                <w:sz w:val="13"/>
                <w:szCs w:val="13"/>
                <w:color w:val="auto"/>
                <w:w w:val="91"/>
              </w:rPr>
              <w:t>—</w:t>
            </w: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0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976,968</w:t>
            </w: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7,604,698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20" w:type="dxa"/>
            <w:vAlign w:val="bottom"/>
          </w:tcPr>
          <w:p>
            <w:pPr>
              <w:ind w:left="260"/>
              <w:spacing w:after="0"/>
              <w:rPr>
                <w:sz w:val="20"/>
                <w:szCs w:val="20"/>
                <w:color w:val="auto"/>
              </w:rPr>
            </w:pPr>
            <w:r>
              <w:rPr>
                <w:rFonts w:ascii="Arial" w:cs="Arial" w:eastAsia="Arial" w:hAnsi="Arial"/>
                <w:sz w:val="13"/>
                <w:szCs w:val="13"/>
                <w:color w:val="auto"/>
              </w:rPr>
              <w:t>Increase (decrease) in fair value</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19,811,899</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3"/>
                <w:szCs w:val="13"/>
                <w:color w:val="auto"/>
              </w:rPr>
              <w:t>(11,494,743)</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1,647,812</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ind w:left="780"/>
              <w:spacing w:after="0"/>
              <w:rPr>
                <w:sz w:val="20"/>
                <w:szCs w:val="20"/>
                <w:color w:val="auto"/>
              </w:rPr>
            </w:pPr>
            <w:r>
              <w:rPr>
                <w:rFonts w:ascii="Arial" w:cs="Arial" w:eastAsia="Arial" w:hAnsi="Arial"/>
                <w:sz w:val="13"/>
                <w:szCs w:val="13"/>
                <w:color w:val="auto"/>
                <w:w w:val="91"/>
              </w:rPr>
              <w:t>—</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3"/>
                <w:szCs w:val="13"/>
                <w:color w:val="auto"/>
              </w:rPr>
              <w:t>(2,076,723)</w:t>
            </w:r>
          </w:p>
        </w:tc>
        <w:tc>
          <w:tcPr>
            <w:tcW w:w="8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3"/>
                <w:szCs w:val="13"/>
                <w:color w:val="auto"/>
              </w:rPr>
              <w:t>(1,075,182)</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6,813,063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220" w:type="dxa"/>
            <w:vAlign w:val="bottom"/>
            <w:tcBorders>
              <w:top w:val="single" w:sz="8" w:color="CFF0FC"/>
            </w:tcBorders>
            <w:shd w:val="clear" w:color="auto" w:fill="CFF0FC"/>
          </w:tcPr>
          <w:p>
            <w:pPr>
              <w:spacing w:after="0" w:line="145" w:lineRule="exact"/>
              <w:rPr>
                <w:sz w:val="20"/>
                <w:szCs w:val="20"/>
                <w:color w:val="auto"/>
              </w:rPr>
            </w:pPr>
            <w:r>
              <w:rPr>
                <w:rFonts w:ascii="Arial" w:cs="Arial" w:eastAsia="Arial" w:hAnsi="Arial"/>
                <w:sz w:val="13"/>
                <w:szCs w:val="13"/>
                <w:color w:val="auto"/>
              </w:rPr>
              <w:t>Fair Value at December 31, 2020</w:t>
            </w:r>
          </w:p>
        </w:tc>
        <w:tc>
          <w:tcPr>
            <w:tcW w:w="24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104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right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right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right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220" w:type="dxa"/>
            <w:vAlign w:val="bottom"/>
            <w:shd w:val="clear" w:color="auto" w:fill="CFF0FC"/>
          </w:tcPr>
          <w:p>
            <w:pPr>
              <w:ind w:left="100"/>
              <w:spacing w:after="0"/>
              <w:rPr>
                <w:sz w:val="20"/>
                <w:szCs w:val="20"/>
                <w:color w:val="auto"/>
              </w:rPr>
            </w:pPr>
            <w:r>
              <w:rPr>
                <w:rFonts w:ascii="Arial" w:cs="Arial" w:eastAsia="Arial" w:hAnsi="Arial"/>
                <w:sz w:val="13"/>
                <w:szCs w:val="13"/>
                <w:color w:val="auto"/>
              </w:rPr>
              <w:t>2021 Activity (unaudited):</w:t>
            </w: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404,860,855</w:t>
            </w:r>
          </w:p>
        </w:tc>
        <w:tc>
          <w:tcPr>
            <w:tcW w:w="160" w:type="dxa"/>
            <w:vAlign w:val="bottom"/>
            <w:tcBorders>
              <w:right w:val="single" w:sz="8" w:color="CFF0FC"/>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19,582,555</w:t>
            </w: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13,944,876</w:t>
            </w:r>
          </w:p>
        </w:tc>
        <w:tc>
          <w:tcPr>
            <w:tcW w:w="160" w:type="dxa"/>
            <w:vAlign w:val="bottom"/>
            <w:tcBorders>
              <w:right w:val="single" w:sz="8" w:color="CFF0FC"/>
            </w:tcBorders>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20" w:type="dxa"/>
            <w:vAlign w:val="bottom"/>
            <w:shd w:val="clear" w:color="auto" w:fill="CFF0FC"/>
          </w:tcPr>
          <w:p>
            <w:pPr>
              <w:ind w:left="780"/>
              <w:spacing w:after="0"/>
              <w:rPr>
                <w:sz w:val="20"/>
                <w:szCs w:val="20"/>
                <w:color w:val="auto"/>
              </w:rPr>
            </w:pPr>
            <w:r>
              <w:rPr>
                <w:rFonts w:ascii="Arial" w:cs="Arial" w:eastAsia="Arial" w:hAnsi="Arial"/>
                <w:sz w:val="13"/>
                <w:szCs w:val="13"/>
                <w:color w:val="auto"/>
                <w:w w:val="91"/>
              </w:rPr>
              <w:t>—</w:t>
            </w:r>
          </w:p>
        </w:tc>
        <w:tc>
          <w:tcPr>
            <w:tcW w:w="2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49,349,163</w:t>
            </w:r>
          </w:p>
        </w:tc>
        <w:tc>
          <w:tcPr>
            <w:tcW w:w="180" w:type="dxa"/>
            <w:vAlign w:val="bottom"/>
            <w:tcBorders>
              <w:right w:val="single" w:sz="8" w:color="CFF0FC"/>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(1,108,618)</w:t>
            </w:r>
          </w:p>
        </w:tc>
        <w:tc>
          <w:tcPr>
            <w:tcW w:w="18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486,628,832</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20" w:type="dxa"/>
            <w:vAlign w:val="bottom"/>
          </w:tcPr>
          <w:p>
            <w:pPr>
              <w:ind w:left="260"/>
              <w:spacing w:after="0"/>
              <w:rPr>
                <w:sz w:val="20"/>
                <w:szCs w:val="20"/>
                <w:color w:val="auto"/>
              </w:rPr>
            </w:pPr>
            <w:r>
              <w:rPr>
                <w:rFonts w:ascii="Arial" w:cs="Arial" w:eastAsia="Arial" w:hAnsi="Arial"/>
                <w:sz w:val="13"/>
                <w:szCs w:val="13"/>
                <w:color w:val="auto"/>
              </w:rPr>
              <w:t>Purchases / originations / draws</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41,592,545</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20" w:type="dxa"/>
            <w:vAlign w:val="bottom"/>
          </w:tcPr>
          <w:p>
            <w:pPr>
              <w:ind w:left="780"/>
              <w:spacing w:after="0"/>
              <w:rPr>
                <w:sz w:val="20"/>
                <w:szCs w:val="20"/>
                <w:color w:val="auto"/>
              </w:rPr>
            </w:pPr>
            <w:r>
              <w:rPr>
                <w:rFonts w:ascii="Arial" w:cs="Arial" w:eastAsia="Arial" w:hAnsi="Arial"/>
                <w:sz w:val="13"/>
                <w:szCs w:val="13"/>
                <w:color w:val="auto"/>
                <w:w w:val="91"/>
              </w:rPr>
              <w:t>—</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15,876,995</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3"/>
          </w:tcPr>
          <w:p>
            <w:pPr>
              <w:jc w:val="right"/>
              <w:ind w:right="360"/>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57,469,540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Pay-downs / pay-offs / sales</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(64,304,110)</w:t>
            </w:r>
          </w:p>
        </w:tc>
        <w:tc>
          <w:tcPr>
            <w:tcW w:w="14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(5,757,044)</w:t>
            </w:r>
          </w:p>
        </w:tc>
        <w:tc>
          <w:tcPr>
            <w:tcW w:w="160" w:type="dxa"/>
            <w:vAlign w:val="bottom"/>
            <w:shd w:val="clear" w:color="auto" w:fill="CFF0FC"/>
          </w:tcPr>
          <w:p>
            <w:pPr>
              <w:spacing w:after="0"/>
              <w:rPr>
                <w:sz w:val="14"/>
                <w:szCs w:val="14"/>
                <w:color w:val="auto"/>
              </w:rPr>
            </w:pPr>
          </w:p>
        </w:tc>
        <w:tc>
          <w:tcPr>
            <w:tcW w:w="11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(569,791)</w:t>
            </w:r>
          </w:p>
        </w:tc>
        <w:tc>
          <w:tcPr>
            <w:tcW w:w="160" w:type="dxa"/>
            <w:vAlign w:val="bottom"/>
            <w:shd w:val="clear" w:color="auto" w:fill="CFF0FC"/>
          </w:tcPr>
          <w:p>
            <w:pPr>
              <w:spacing w:after="0"/>
              <w:rPr>
                <w:sz w:val="14"/>
                <w:szCs w:val="14"/>
                <w:color w:val="auto"/>
              </w:rPr>
            </w:pPr>
          </w:p>
        </w:tc>
        <w:tc>
          <w:tcPr>
            <w:tcW w:w="920" w:type="dxa"/>
            <w:vAlign w:val="bottom"/>
            <w:shd w:val="clear" w:color="auto" w:fill="CFF0FC"/>
          </w:tcPr>
          <w:p>
            <w:pPr>
              <w:ind w:left="780"/>
              <w:spacing w:after="0"/>
              <w:rPr>
                <w:sz w:val="20"/>
                <w:szCs w:val="20"/>
                <w:color w:val="auto"/>
              </w:rPr>
            </w:pPr>
            <w:r>
              <w:rPr>
                <w:rFonts w:ascii="Arial" w:cs="Arial" w:eastAsia="Arial" w:hAnsi="Arial"/>
                <w:sz w:val="13"/>
                <w:szCs w:val="13"/>
                <w:color w:val="auto"/>
                <w:w w:val="91"/>
              </w:rPr>
              <w:t>—</w:t>
            </w: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(9,703,487)</w:t>
            </w:r>
          </w:p>
        </w:tc>
        <w:tc>
          <w:tcPr>
            <w:tcW w:w="8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(440,000)</w:t>
            </w:r>
          </w:p>
        </w:tc>
        <w:tc>
          <w:tcPr>
            <w:tcW w:w="18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(80,774,432)</w:t>
            </w:r>
          </w:p>
        </w:tc>
        <w:tc>
          <w:tcPr>
            <w:tcW w:w="0" w:type="dxa"/>
            <w:vAlign w:val="bottom"/>
          </w:tcPr>
          <w:p>
            <w:pPr>
              <w:spacing w:after="0"/>
              <w:rPr>
                <w:sz w:val="1"/>
                <w:szCs w:val="1"/>
                <w:color w:val="auto"/>
              </w:rPr>
            </w:pPr>
          </w:p>
        </w:tc>
      </w:tr>
      <w:tr>
        <w:trPr>
          <w:trHeight w:val="162"/>
        </w:trPr>
        <w:tc>
          <w:tcPr>
            <w:tcW w:w="2220" w:type="dxa"/>
            <w:vAlign w:val="bottom"/>
          </w:tcPr>
          <w:p>
            <w:pPr>
              <w:ind w:left="260"/>
              <w:spacing w:after="0"/>
              <w:rPr>
                <w:sz w:val="20"/>
                <w:szCs w:val="20"/>
                <w:color w:val="auto"/>
              </w:rPr>
            </w:pPr>
            <w:r>
              <w:rPr>
                <w:rFonts w:ascii="Arial" w:cs="Arial" w:eastAsia="Arial" w:hAnsi="Arial"/>
                <w:sz w:val="13"/>
                <w:szCs w:val="13"/>
                <w:color w:val="auto"/>
              </w:rPr>
              <w:t>Net accretion of interest</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7,263,688</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617,256</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ind w:left="780"/>
              <w:spacing w:after="0"/>
              <w:rPr>
                <w:sz w:val="20"/>
                <w:szCs w:val="20"/>
                <w:color w:val="auto"/>
              </w:rPr>
            </w:pPr>
            <w:r>
              <w:rPr>
                <w:rFonts w:ascii="Arial" w:cs="Arial" w:eastAsia="Arial" w:hAnsi="Arial"/>
                <w:sz w:val="13"/>
                <w:szCs w:val="13"/>
                <w:color w:val="auto"/>
                <w:w w:val="91"/>
              </w:rPr>
              <w:t>—</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3"/>
          </w:tcPr>
          <w:p>
            <w:pPr>
              <w:jc w:val="right"/>
              <w:ind w:right="360"/>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7,880,944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Net realized gains (losses)</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(129,204)</w:t>
            </w:r>
          </w:p>
        </w:tc>
        <w:tc>
          <w:tcPr>
            <w:tcW w:w="14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(5,323,484)</w:t>
            </w:r>
          </w:p>
        </w:tc>
        <w:tc>
          <w:tcPr>
            <w:tcW w:w="160" w:type="dxa"/>
            <w:vAlign w:val="bottom"/>
            <w:shd w:val="clear" w:color="auto" w:fill="CFF0FC"/>
          </w:tcPr>
          <w:p>
            <w:pPr>
              <w:spacing w:after="0"/>
              <w:rPr>
                <w:sz w:val="14"/>
                <w:szCs w:val="14"/>
                <w:color w:val="auto"/>
              </w:rPr>
            </w:pPr>
          </w:p>
        </w:tc>
        <w:tc>
          <w:tcPr>
            <w:tcW w:w="11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(73,100)</w:t>
            </w:r>
          </w:p>
        </w:tc>
        <w:tc>
          <w:tcPr>
            <w:tcW w:w="160" w:type="dxa"/>
            <w:vAlign w:val="bottom"/>
            <w:shd w:val="clear" w:color="auto" w:fill="CFF0FC"/>
          </w:tcPr>
          <w:p>
            <w:pPr>
              <w:spacing w:after="0"/>
              <w:rPr>
                <w:sz w:val="14"/>
                <w:szCs w:val="14"/>
                <w:color w:val="auto"/>
              </w:rPr>
            </w:pPr>
          </w:p>
        </w:tc>
        <w:tc>
          <w:tcPr>
            <w:tcW w:w="920" w:type="dxa"/>
            <w:vAlign w:val="bottom"/>
            <w:shd w:val="clear" w:color="auto" w:fill="CFF0FC"/>
          </w:tcPr>
          <w:p>
            <w:pPr>
              <w:ind w:left="780"/>
              <w:spacing w:after="0"/>
              <w:rPr>
                <w:sz w:val="20"/>
                <w:szCs w:val="20"/>
                <w:color w:val="auto"/>
              </w:rPr>
            </w:pPr>
            <w:r>
              <w:rPr>
                <w:rFonts w:ascii="Arial" w:cs="Arial" w:eastAsia="Arial" w:hAnsi="Arial"/>
                <w:sz w:val="13"/>
                <w:szCs w:val="13"/>
                <w:color w:val="auto"/>
                <w:w w:val="91"/>
              </w:rPr>
              <w:t>—</w:t>
            </w: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0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440,000</w:t>
            </w: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(5,085,788)</w:t>
            </w:r>
          </w:p>
        </w:tc>
        <w:tc>
          <w:tcPr>
            <w:tcW w:w="0" w:type="dxa"/>
            <w:vAlign w:val="bottom"/>
          </w:tcPr>
          <w:p>
            <w:pPr>
              <w:spacing w:after="0"/>
              <w:rPr>
                <w:sz w:val="1"/>
                <w:szCs w:val="1"/>
                <w:color w:val="auto"/>
              </w:rPr>
            </w:pPr>
          </w:p>
        </w:tc>
      </w:tr>
      <w:tr>
        <w:trPr>
          <w:trHeight w:val="162"/>
        </w:trPr>
        <w:tc>
          <w:tcPr>
            <w:tcW w:w="2220" w:type="dxa"/>
            <w:vAlign w:val="bottom"/>
          </w:tcPr>
          <w:p>
            <w:pPr>
              <w:ind w:left="260"/>
              <w:spacing w:after="0"/>
              <w:rPr>
                <w:sz w:val="20"/>
                <w:szCs w:val="20"/>
                <w:color w:val="auto"/>
              </w:rPr>
            </w:pPr>
            <w:r>
              <w:rPr>
                <w:rFonts w:ascii="Arial" w:cs="Arial" w:eastAsia="Arial" w:hAnsi="Arial"/>
                <w:sz w:val="13"/>
                <w:szCs w:val="13"/>
                <w:color w:val="auto"/>
              </w:rPr>
              <w:t>Increase (decrease) in fair value</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3"/>
                <w:szCs w:val="13"/>
                <w:color w:val="auto"/>
              </w:rPr>
              <w:t>(2,239,786)</w:t>
            </w: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6,902,151</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1,349,044</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ind w:left="780"/>
              <w:spacing w:after="0"/>
              <w:rPr>
                <w:sz w:val="20"/>
                <w:szCs w:val="20"/>
                <w:color w:val="auto"/>
              </w:rPr>
            </w:pPr>
            <w:r>
              <w:rPr>
                <w:rFonts w:ascii="Arial" w:cs="Arial" w:eastAsia="Arial" w:hAnsi="Arial"/>
                <w:sz w:val="13"/>
                <w:szCs w:val="13"/>
                <w:color w:val="auto"/>
                <w:w w:val="91"/>
              </w:rPr>
              <w:t>—</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1,208,285</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3"/>
                <w:szCs w:val="13"/>
                <w:color w:val="auto"/>
              </w:rPr>
              <w:t>(474,345)</w:t>
            </w: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6,745,349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20" w:type="dxa"/>
            <w:vAlign w:val="bottom"/>
            <w:vMerge w:val="restart"/>
            <w:shd w:val="clear" w:color="auto" w:fill="CFF0FC"/>
          </w:tcPr>
          <w:p>
            <w:pPr>
              <w:spacing w:after="0"/>
              <w:rPr>
                <w:sz w:val="20"/>
                <w:szCs w:val="20"/>
                <w:color w:val="auto"/>
              </w:rPr>
            </w:pPr>
            <w:r>
              <w:rPr>
                <w:rFonts w:ascii="Arial" w:cs="Arial" w:eastAsia="Arial" w:hAnsi="Arial"/>
                <w:sz w:val="13"/>
                <w:szCs w:val="13"/>
                <w:color w:val="auto"/>
              </w:rPr>
              <w:t>Fair Value at March 31, 2021</w:t>
            </w: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220" w:type="dxa"/>
            <w:vAlign w:val="bottom"/>
            <w:vMerge w:val="continue"/>
            <w:shd w:val="clear" w:color="auto" w:fill="CFF0FC"/>
          </w:tcPr>
          <w:p>
            <w:pPr>
              <w:spacing w:after="0"/>
              <w:rPr>
                <w:sz w:val="13"/>
                <w:szCs w:val="13"/>
                <w:color w:val="auto"/>
              </w:rPr>
            </w:pPr>
          </w:p>
        </w:tc>
        <w:tc>
          <w:tcPr>
            <w:tcW w:w="4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387,043,989</w:t>
            </w:r>
          </w:p>
        </w:tc>
        <w:tc>
          <w:tcPr>
            <w:tcW w:w="160" w:type="dxa"/>
            <w:vAlign w:val="bottom"/>
            <w:tcBorders>
              <w:right w:val="single" w:sz="8" w:color="CFF0FC"/>
            </w:tcBorders>
            <w:shd w:val="clear" w:color="auto" w:fill="CFF0FC"/>
          </w:tcPr>
          <w:p>
            <w:pPr>
              <w:spacing w:after="0"/>
              <w:rPr>
                <w:sz w:val="13"/>
                <w:szCs w:val="13"/>
                <w:color w:val="auto"/>
              </w:rPr>
            </w:pPr>
          </w:p>
        </w:tc>
        <w:tc>
          <w:tcPr>
            <w:tcW w:w="140" w:type="dxa"/>
            <w:vAlign w:val="bottom"/>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16,021,434</w:t>
            </w: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14,651,029</w:t>
            </w:r>
          </w:p>
        </w:tc>
        <w:tc>
          <w:tcPr>
            <w:tcW w:w="160" w:type="dxa"/>
            <w:vAlign w:val="bottom"/>
            <w:tcBorders>
              <w:right w:val="single" w:sz="8" w:color="CFF0FC"/>
            </w:tcBorders>
            <w:shd w:val="clear" w:color="auto" w:fill="CFF0FC"/>
          </w:tcPr>
          <w:p>
            <w:pPr>
              <w:spacing w:after="0"/>
              <w:rPr>
                <w:sz w:val="13"/>
                <w:szCs w:val="13"/>
                <w:color w:val="auto"/>
              </w:rPr>
            </w:pPr>
          </w:p>
        </w:tc>
        <w:tc>
          <w:tcPr>
            <w:tcW w:w="160" w:type="dxa"/>
            <w:vAlign w:val="bottom"/>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FF0FC"/>
          </w:tcPr>
          <w:p>
            <w:pPr>
              <w:ind w:left="780"/>
              <w:spacing w:after="0"/>
              <w:rPr>
                <w:sz w:val="20"/>
                <w:szCs w:val="20"/>
                <w:color w:val="auto"/>
              </w:rPr>
            </w:pPr>
            <w:r>
              <w:rPr>
                <w:rFonts w:ascii="Arial" w:cs="Arial" w:eastAsia="Arial" w:hAnsi="Arial"/>
                <w:sz w:val="13"/>
                <w:szCs w:val="13"/>
                <w:color w:val="auto"/>
                <w:w w:val="91"/>
              </w:rPr>
              <w:t>—</w:t>
            </w:r>
          </w:p>
        </w:tc>
        <w:tc>
          <w:tcPr>
            <w:tcW w:w="3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56,730,956</w:t>
            </w:r>
          </w:p>
        </w:tc>
        <w:tc>
          <w:tcPr>
            <w:tcW w:w="180" w:type="dxa"/>
            <w:vAlign w:val="bottom"/>
            <w:tcBorders>
              <w:right w:val="single" w:sz="8" w:color="CFF0FC"/>
            </w:tcBorders>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3"/>
            <w:shd w:val="clear" w:color="auto" w:fill="CFF0FC"/>
          </w:tcPr>
          <w:p>
            <w:pPr>
              <w:jc w:val="right"/>
              <w:ind w:right="120"/>
              <w:spacing w:after="0"/>
              <w:rPr>
                <w:sz w:val="20"/>
                <w:szCs w:val="20"/>
                <w:color w:val="auto"/>
              </w:rPr>
            </w:pPr>
            <w:r>
              <w:rPr>
                <w:rFonts w:ascii="Arial" w:cs="Arial" w:eastAsia="Arial" w:hAnsi="Arial"/>
                <w:sz w:val="13"/>
                <w:szCs w:val="13"/>
                <w:color w:val="auto"/>
              </w:rPr>
              <w:t>(1,582,963)  $</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472,864,445</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0" w:name="page81"/>
    <w:bookmarkEnd w:id="80"/>
    <w:p>
      <w:pPr>
        <w:ind w:right="140" w:firstLine="374"/>
        <w:spacing w:after="0" w:line="259" w:lineRule="auto"/>
        <w:rPr>
          <w:sz w:val="20"/>
          <w:szCs w:val="20"/>
          <w:color w:val="auto"/>
        </w:rPr>
      </w:pPr>
      <w:r>
        <w:rPr>
          <w:rFonts w:ascii="Arial" w:cs="Arial" w:eastAsia="Arial" w:hAnsi="Arial"/>
          <w:sz w:val="18"/>
          <w:szCs w:val="18"/>
          <w:color w:val="auto"/>
        </w:rPr>
        <w:t>The level of investment activity for investments funded and principal repayments for our investments can vary substantially from period to period depending on the number and size of investments that we invest in or divest of, and many other factors, including the amount and competition for the debt and equity securities available to middle market companies, the level of merger and acquisition activity for such companies and the general economic environment.</w:t>
      </w:r>
    </w:p>
    <w:p>
      <w:pPr>
        <w:spacing w:after="0" w:line="14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shows the Company’s portfolio by security type at March 31, 2021 and December 31, 2020:</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60" w:type="dxa"/>
            <w:vAlign w:val="bottom"/>
            <w:gridSpan w:val="4"/>
          </w:tcPr>
          <w:p>
            <w:pPr>
              <w:jc w:val="right"/>
              <w:ind w:right="900"/>
              <w:spacing w:after="0"/>
              <w:rPr>
                <w:sz w:val="20"/>
                <w:szCs w:val="20"/>
                <w:color w:val="auto"/>
              </w:rPr>
            </w:pPr>
            <w:r>
              <w:rPr>
                <w:rFonts w:ascii="Arial" w:cs="Arial" w:eastAsia="Arial" w:hAnsi="Arial"/>
                <w:sz w:val="18"/>
                <w:szCs w:val="18"/>
                <w:b w:val="1"/>
                <w:bCs w:val="1"/>
                <w:color w:val="auto"/>
              </w:rPr>
              <w:t>March 31, 2021</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0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4"/>
          </w:tcPr>
          <w:p>
            <w:pPr>
              <w:jc w:val="right"/>
              <w:ind w:right="1020"/>
              <w:spacing w:after="0"/>
              <w:rPr>
                <w:sz w:val="20"/>
                <w:szCs w:val="20"/>
                <w:color w:val="auto"/>
              </w:rPr>
            </w:pPr>
            <w:r>
              <w:rPr>
                <w:rFonts w:ascii="Arial" w:cs="Arial" w:eastAsia="Arial" w:hAnsi="Arial"/>
                <w:sz w:val="18"/>
                <w:szCs w:val="18"/>
                <w:b w:val="1"/>
                <w:bCs w:val="1"/>
                <w:color w:val="auto"/>
              </w:rPr>
              <w:t>(Unaudited)</w:t>
            </w:r>
          </w:p>
        </w:tc>
        <w:tc>
          <w:tcPr>
            <w:tcW w:w="4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4"/>
          </w:tcPr>
          <w:p>
            <w:pPr>
              <w:jc w:val="right"/>
              <w:ind w:right="760"/>
              <w:spacing w:after="0"/>
              <w:rPr>
                <w:sz w:val="20"/>
                <w:szCs w:val="20"/>
                <w:color w:val="auto"/>
              </w:rPr>
            </w:pPr>
            <w:r>
              <w:rPr>
                <w:rFonts w:ascii="Arial" w:cs="Arial" w:eastAsia="Arial" w:hAnsi="Arial"/>
                <w:sz w:val="18"/>
                <w:szCs w:val="18"/>
                <w:b w:val="1"/>
                <w:bCs w:val="1"/>
                <w:color w:val="auto"/>
              </w:rPr>
              <w:t>December 31, 2020</w:t>
            </w:r>
          </w:p>
        </w:tc>
        <w:tc>
          <w:tcPr>
            <w:tcW w:w="4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3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gridSpan w:val="2"/>
          </w:tcPr>
          <w:p>
            <w:pPr>
              <w:jc w:val="center"/>
              <w:ind w:right="440"/>
              <w:spacing w:after="0" w:line="205" w:lineRule="exact"/>
              <w:rPr>
                <w:sz w:val="20"/>
                <w:szCs w:val="20"/>
                <w:color w:val="auto"/>
              </w:rPr>
            </w:pPr>
            <w:r>
              <w:rPr>
                <w:rFonts w:ascii="Arial" w:cs="Arial" w:eastAsia="Arial" w:hAnsi="Arial"/>
                <w:sz w:val="18"/>
                <w:szCs w:val="18"/>
                <w:b w:val="1"/>
                <w:bCs w:val="1"/>
                <w:color w:val="auto"/>
                <w:w w:val="91"/>
              </w:rPr>
              <w:t>Cost/Amortized</w:t>
            </w: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right"/>
              <w:ind w:right="70"/>
              <w:spacing w:after="0" w:line="205" w:lineRule="exact"/>
              <w:rPr>
                <w:sz w:val="20"/>
                <w:szCs w:val="20"/>
                <w:color w:val="auto"/>
              </w:rPr>
            </w:pPr>
            <w:r>
              <w:rPr>
                <w:rFonts w:ascii="Arial" w:cs="Arial" w:eastAsia="Arial" w:hAnsi="Arial"/>
                <w:sz w:val="18"/>
                <w:szCs w:val="18"/>
                <w:b w:val="1"/>
                <w:bCs w:val="1"/>
                <w:color w:val="auto"/>
                <w:w w:val="93"/>
              </w:rPr>
              <w:t>Cost/Amortized</w:t>
            </w: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80" w:type="dxa"/>
            <w:vAlign w:val="bottom"/>
          </w:tcPr>
          <w:p>
            <w:pPr>
              <w:spacing w:after="0"/>
              <w:rPr>
                <w:sz w:val="20"/>
                <w:szCs w:val="20"/>
                <w:color w:val="auto"/>
              </w:rPr>
            </w:pPr>
            <w:r>
              <w:rPr>
                <w:rFonts w:ascii="Arial" w:cs="Arial" w:eastAsia="Arial" w:hAnsi="Arial"/>
                <w:sz w:val="18"/>
                <w:szCs w:val="18"/>
                <w:b w:val="1"/>
                <w:bCs w:val="1"/>
                <w:color w:val="auto"/>
              </w:rPr>
              <w:t>Security Type</w:t>
            </w:r>
          </w:p>
        </w:tc>
        <w:tc>
          <w:tcPr>
            <w:tcW w:w="140" w:type="dxa"/>
            <w:vAlign w:val="bottom"/>
          </w:tcPr>
          <w:p>
            <w:pPr>
              <w:spacing w:after="0"/>
              <w:rPr>
                <w:sz w:val="20"/>
                <w:szCs w:val="20"/>
                <w:color w:val="auto"/>
              </w:rPr>
            </w:pPr>
          </w:p>
        </w:tc>
        <w:tc>
          <w:tcPr>
            <w:tcW w:w="17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Cost</w:t>
            </w:r>
          </w:p>
        </w:tc>
        <w:tc>
          <w:tcPr>
            <w:tcW w:w="15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Fair Value</w:t>
            </w:r>
          </w:p>
        </w:tc>
        <w:tc>
          <w:tcPr>
            <w:tcW w:w="420" w:type="dxa"/>
            <w:vAlign w:val="bottom"/>
          </w:tcPr>
          <w:p>
            <w:pPr>
              <w:jc w:val="right"/>
              <w:ind w:right="10"/>
              <w:spacing w:after="0"/>
              <w:rPr>
                <w:sz w:val="20"/>
                <w:szCs w:val="20"/>
                <w:color w:val="auto"/>
              </w:rPr>
            </w:pPr>
            <w:r>
              <w:rPr>
                <w:rFonts w:ascii="Arial" w:cs="Arial" w:eastAsia="Arial" w:hAnsi="Arial"/>
                <w:sz w:val="18"/>
                <w:szCs w:val="18"/>
                <w:b w:val="1"/>
                <w:bCs w:val="1"/>
                <w:color w:val="auto"/>
              </w:rPr>
              <w:t>%¹</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jc w:val="right"/>
              <w:ind w:right="510"/>
              <w:spacing w:after="0"/>
              <w:rPr>
                <w:sz w:val="20"/>
                <w:szCs w:val="20"/>
                <w:color w:val="auto"/>
              </w:rPr>
            </w:pPr>
            <w:r>
              <w:rPr>
                <w:rFonts w:ascii="Arial" w:cs="Arial" w:eastAsia="Arial" w:hAnsi="Arial"/>
                <w:sz w:val="18"/>
                <w:szCs w:val="18"/>
                <w:b w:val="1"/>
                <w:bCs w:val="1"/>
                <w:color w:val="auto"/>
              </w:rPr>
              <w:t>Cost</w:t>
            </w:r>
          </w:p>
        </w:tc>
        <w:tc>
          <w:tcPr>
            <w:tcW w:w="300" w:type="dxa"/>
            <w:vAlign w:val="bottom"/>
          </w:tcPr>
          <w:p>
            <w:pPr>
              <w:spacing w:after="0"/>
              <w:rPr>
                <w:sz w:val="20"/>
                <w:szCs w:val="20"/>
                <w:color w:val="auto"/>
              </w:rPr>
            </w:pPr>
          </w:p>
        </w:tc>
        <w:tc>
          <w:tcPr>
            <w:tcW w:w="15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Fair Value</w:t>
            </w:r>
          </w:p>
        </w:tc>
        <w:tc>
          <w:tcPr>
            <w:tcW w:w="420" w:type="dxa"/>
            <w:vAlign w:val="bottom"/>
          </w:tcPr>
          <w:p>
            <w:pPr>
              <w:jc w:val="right"/>
              <w:ind w:right="10"/>
              <w:spacing w:after="0"/>
              <w:rPr>
                <w:sz w:val="20"/>
                <w:szCs w:val="20"/>
                <w:color w:val="auto"/>
              </w:rPr>
            </w:pPr>
            <w:r>
              <w:rPr>
                <w:rFonts w:ascii="Arial" w:cs="Arial" w:eastAsia="Arial" w:hAnsi="Arial"/>
                <w:sz w:val="18"/>
                <w:szCs w:val="18"/>
                <w:b w:val="1"/>
                <w:bCs w:val="1"/>
                <w:color w:val="auto"/>
              </w:rPr>
              <w:t>%¹</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Senior Secured Loan</w:t>
            </w:r>
          </w:p>
        </w:tc>
        <w:tc>
          <w:tcPr>
            <w:tcW w:w="14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302,205,721</w:t>
            </w:r>
          </w:p>
        </w:tc>
        <w:tc>
          <w:tcPr>
            <w:tcW w:w="280" w:type="dxa"/>
            <w:vAlign w:val="bottom"/>
            <w:tcBorders>
              <w:top w:val="single" w:sz="8" w:color="CFF0FC"/>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322,362,553</w:t>
            </w:r>
          </w:p>
        </w:tc>
        <w:tc>
          <w:tcPr>
            <w:tcW w:w="28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1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304,539,184</w:t>
            </w:r>
          </w:p>
        </w:tc>
        <w:tc>
          <w:tcPr>
            <w:tcW w:w="30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328,845,612</w:t>
            </w:r>
          </w:p>
        </w:tc>
        <w:tc>
          <w:tcPr>
            <w:tcW w:w="30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80" w:type="dxa"/>
            <w:vAlign w:val="bottom"/>
          </w:tcPr>
          <w:p>
            <w:pPr>
              <w:spacing w:after="0"/>
              <w:rPr>
                <w:sz w:val="20"/>
                <w:szCs w:val="20"/>
                <w:color w:val="auto"/>
              </w:rPr>
            </w:pPr>
            <w:r>
              <w:rPr>
                <w:rFonts w:ascii="Arial" w:cs="Arial" w:eastAsia="Arial" w:hAnsi="Arial"/>
                <w:sz w:val="18"/>
                <w:szCs w:val="18"/>
                <w:color w:val="auto"/>
              </w:rPr>
              <w:t>Junior Secured Loan</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74,733,439</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64,639,644</w:t>
            </w:r>
          </w:p>
        </w:tc>
        <w:tc>
          <w:tcPr>
            <w:tcW w:w="2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87,977,057</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75,807,477</w:t>
            </w:r>
          </w:p>
        </w:tc>
        <w:tc>
          <w:tcPr>
            <w:tcW w:w="3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Senior Unsecured Bond</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416,170</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41,792</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416,170</w:t>
            </w:r>
          </w:p>
        </w:tc>
        <w:tc>
          <w:tcPr>
            <w:tcW w:w="15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207,766</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CLO Fund Securities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35,264,540</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16,021,434</w:t>
            </w:r>
          </w:p>
        </w:tc>
        <w:tc>
          <w:tcPr>
            <w:tcW w:w="2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45,727,813</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19,582,555</w:t>
            </w:r>
          </w:p>
        </w:tc>
        <w:tc>
          <w:tcPr>
            <w:tcW w:w="3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Equity Securities</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23,950,747</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14,651,029</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24,593,639</w:t>
            </w:r>
          </w:p>
        </w:tc>
        <w:tc>
          <w:tcPr>
            <w:tcW w:w="15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13,944,876</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Asset Manager Affiliates</w:t>
            </w:r>
            <w:r>
              <w:rPr>
                <w:rFonts w:ascii="Arial" w:cs="Arial" w:eastAsia="Arial" w:hAnsi="Arial"/>
                <w:sz w:val="15"/>
                <w:szCs w:val="15"/>
                <w:color w:val="auto"/>
              </w:rPr>
              <w:t>2</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17,791,230</w:t>
            </w:r>
          </w:p>
        </w:tc>
        <w:tc>
          <w:tcPr>
            <w:tcW w:w="280" w:type="dxa"/>
            <w:vAlign w:val="bottom"/>
          </w:tcPr>
          <w:p>
            <w:pPr>
              <w:spacing w:after="0"/>
              <w:rPr>
                <w:sz w:val="19"/>
                <w:szCs w:val="19"/>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gridSpan w:val="4"/>
          </w:tcPr>
          <w:p>
            <w:pPr>
              <w:jc w:val="right"/>
              <w:ind w:right="407"/>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17,791,230</w:t>
            </w:r>
          </w:p>
        </w:tc>
        <w:tc>
          <w:tcPr>
            <w:tcW w:w="300" w:type="dxa"/>
            <w:vAlign w:val="bottom"/>
          </w:tcPr>
          <w:p>
            <w:pPr>
              <w:spacing w:after="0"/>
              <w:rPr>
                <w:sz w:val="19"/>
                <w:szCs w:val="19"/>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Joint Ventures</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61,105,966</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56,730,956</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54,932,458</w:t>
            </w:r>
          </w:p>
        </w:tc>
        <w:tc>
          <w:tcPr>
            <w:tcW w:w="15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49,349,163</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80" w:type="dxa"/>
            <w:vAlign w:val="bottom"/>
          </w:tcPr>
          <w:p>
            <w:pPr>
              <w:spacing w:after="0"/>
              <w:rPr>
                <w:sz w:val="20"/>
                <w:szCs w:val="20"/>
                <w:color w:val="auto"/>
              </w:rPr>
            </w:pPr>
            <w:r>
              <w:rPr>
                <w:rFonts w:ascii="Arial" w:cs="Arial" w:eastAsia="Arial" w:hAnsi="Arial"/>
                <w:sz w:val="18"/>
                <w:szCs w:val="18"/>
                <w:color w:val="auto"/>
              </w:rPr>
              <w:t>Derivatives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30,609</w:t>
            </w:r>
          </w:p>
        </w:tc>
        <w:tc>
          <w:tcPr>
            <w:tcW w:w="280" w:type="dxa"/>
            <w:vAlign w:val="bottom"/>
          </w:tcPr>
          <w:p>
            <w:pPr>
              <w:spacing w:after="0"/>
              <w:rPr>
                <w:sz w:val="19"/>
                <w:szCs w:val="19"/>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(1,582,963)</w:t>
            </w:r>
          </w:p>
        </w:tc>
        <w:tc>
          <w:tcPr>
            <w:tcW w:w="900" w:type="dxa"/>
            <w:vAlign w:val="bottom"/>
            <w:gridSpan w:val="4"/>
          </w:tcPr>
          <w:p>
            <w:pPr>
              <w:jc w:val="right"/>
              <w:ind w:right="407"/>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30,609</w:t>
            </w:r>
          </w:p>
        </w:tc>
        <w:tc>
          <w:tcPr>
            <w:tcW w:w="1840" w:type="dxa"/>
            <w:vAlign w:val="bottom"/>
            <w:gridSpan w:val="3"/>
          </w:tcPr>
          <w:p>
            <w:pPr>
              <w:jc w:val="right"/>
              <w:ind w:right="240"/>
              <w:spacing w:after="0"/>
              <w:rPr>
                <w:sz w:val="20"/>
                <w:szCs w:val="20"/>
                <w:color w:val="auto"/>
              </w:rPr>
            </w:pPr>
            <w:r>
              <w:rPr>
                <w:rFonts w:ascii="Arial" w:cs="Arial" w:eastAsia="Arial" w:hAnsi="Arial"/>
                <w:sz w:val="18"/>
                <w:szCs w:val="18"/>
                <w:color w:val="auto"/>
              </w:rPr>
              <w:t>(1,108,618)</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08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515,498,423</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   472,864,445</w:t>
            </w:r>
          </w:p>
        </w:tc>
        <w:tc>
          <w:tcPr>
            <w:tcW w:w="28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536,008,160</w:t>
            </w:r>
          </w:p>
        </w:tc>
        <w:tc>
          <w:tcPr>
            <w:tcW w:w="300" w:type="dxa"/>
            <w:vAlign w:val="bottom"/>
            <w:vMerge w:val="continue"/>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   486,628,831</w:t>
            </w:r>
          </w:p>
        </w:tc>
        <w:tc>
          <w:tcPr>
            <w:tcW w:w="30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jc w:val="right"/>
              <w:ind w:right="390"/>
              <w:spacing w:after="0"/>
              <w:rPr>
                <w:sz w:val="20"/>
                <w:szCs w:val="20"/>
                <w:color w:val="auto"/>
              </w:rPr>
            </w:pPr>
            <w:r>
              <w:rPr>
                <w:rFonts w:ascii="Arial" w:cs="Arial" w:eastAsia="Arial" w:hAnsi="Arial"/>
                <w:sz w:val="18"/>
                <w:szCs w:val="18"/>
                <w:color w:val="auto"/>
              </w:rPr>
              <w:t>81</w:t>
            </w: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0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41" w:right="319" w:bottom="1440" w:gutter="0" w:footer="0" w:header="0"/>
        </w:sectPr>
      </w:pPr>
    </w:p>
    <w:bookmarkStart w:id="81" w:name="page82"/>
    <w:bookmarkEnd w:id="81"/>
    <w:p>
      <w:pPr>
        <w:ind w:left="380" w:hanging="372"/>
        <w:spacing w:after="0"/>
        <w:tabs>
          <w:tab w:leader="none" w:pos="3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Represents percentage of total portfolio at fair value.</w:t>
      </w:r>
    </w:p>
    <w:p>
      <w:pPr>
        <w:spacing w:after="0" w:line="23" w:lineRule="exact"/>
        <w:rPr>
          <w:sz w:val="20"/>
          <w:szCs w:val="20"/>
          <w:color w:val="auto"/>
        </w:rPr>
      </w:pPr>
    </w:p>
    <w:p>
      <w:pPr>
        <w:ind w:left="380" w:hanging="372"/>
        <w:spacing w:after="0"/>
        <w:tabs>
          <w:tab w:leader="none" w:pos="3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Represents the equity investment in the Asset Manager Affiliates.</w:t>
      </w:r>
    </w:p>
    <w:p>
      <w:pPr>
        <w:spacing w:after="0" w:line="211" w:lineRule="exact"/>
        <w:rPr>
          <w:sz w:val="20"/>
          <w:szCs w:val="20"/>
          <w:color w:val="auto"/>
        </w:rPr>
      </w:pPr>
    </w:p>
    <w:p>
      <w:pPr>
        <w:ind w:left="760" w:right="300" w:hanging="348"/>
        <w:spacing w:after="0" w:line="277" w:lineRule="auto"/>
        <w:rPr>
          <w:sz w:val="20"/>
          <w:szCs w:val="20"/>
          <w:color w:val="auto"/>
        </w:rPr>
      </w:pPr>
      <w:r>
        <w:rPr>
          <w:rFonts w:ascii="Arial" w:cs="Arial" w:eastAsia="Arial" w:hAnsi="Arial"/>
          <w:sz w:val="18"/>
          <w:szCs w:val="18"/>
          <w:color w:val="auto"/>
        </w:rPr>
        <w:t>The industry concentrations, based on the fair value of the Company’s investment portfolio as of March 31, 2021 and December 31, 2020,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40" w:type="dxa"/>
            <w:vAlign w:val="bottom"/>
            <w:gridSpan w:val="5"/>
          </w:tcPr>
          <w:p>
            <w:pPr>
              <w:jc w:val="center"/>
              <w:ind w:left="231"/>
              <w:spacing w:after="0"/>
              <w:rPr>
                <w:sz w:val="20"/>
                <w:szCs w:val="20"/>
                <w:color w:val="auto"/>
              </w:rPr>
            </w:pPr>
            <w:r>
              <w:rPr>
                <w:rFonts w:ascii="Arial" w:cs="Arial" w:eastAsia="Arial" w:hAnsi="Arial"/>
                <w:sz w:val="18"/>
                <w:szCs w:val="18"/>
                <w:b w:val="1"/>
                <w:bCs w:val="1"/>
                <w:color w:val="auto"/>
                <w:w w:val="92"/>
              </w:rPr>
              <w:t>March 31, 2021</w:t>
            </w: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jc w:val="center"/>
              <w:ind w:right="940"/>
              <w:spacing w:after="0"/>
              <w:rPr>
                <w:sz w:val="20"/>
                <w:szCs w:val="20"/>
                <w:color w:val="auto"/>
              </w:rPr>
            </w:pPr>
            <w:r>
              <w:rPr>
                <w:rFonts w:ascii="Arial" w:cs="Arial" w:eastAsia="Arial" w:hAnsi="Arial"/>
                <w:sz w:val="18"/>
                <w:szCs w:val="18"/>
                <w:b w:val="1"/>
                <w:bCs w:val="1"/>
                <w:color w:val="auto"/>
                <w:w w:val="93"/>
              </w:rPr>
              <w:t>(Unaudited)</w:t>
            </w:r>
          </w:p>
        </w:tc>
        <w:tc>
          <w:tcPr>
            <w:tcW w:w="4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5"/>
          </w:tcPr>
          <w:p>
            <w:pPr>
              <w:ind w:left="980"/>
              <w:spacing w:after="0"/>
              <w:rPr>
                <w:sz w:val="20"/>
                <w:szCs w:val="20"/>
                <w:color w:val="auto"/>
              </w:rPr>
            </w:pPr>
            <w:r>
              <w:rPr>
                <w:rFonts w:ascii="Arial" w:cs="Arial" w:eastAsia="Arial" w:hAnsi="Arial"/>
                <w:sz w:val="18"/>
                <w:szCs w:val="18"/>
                <w:b w:val="1"/>
                <w:bCs w:val="1"/>
                <w:color w:val="auto"/>
              </w:rPr>
              <w:t>December 31, 2020</w:t>
            </w:r>
          </w:p>
        </w:tc>
        <w:tc>
          <w:tcPr>
            <w:tcW w:w="3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260" w:type="dxa"/>
            <w:vAlign w:val="bottom"/>
            <w:vMerge w:val="restart"/>
          </w:tcPr>
          <w:p>
            <w:pPr>
              <w:spacing w:after="0"/>
              <w:rPr>
                <w:sz w:val="20"/>
                <w:szCs w:val="20"/>
                <w:color w:val="auto"/>
              </w:rPr>
            </w:pPr>
            <w:r>
              <w:rPr>
                <w:rFonts w:ascii="Arial" w:cs="Arial" w:eastAsia="Arial" w:hAnsi="Arial"/>
                <w:sz w:val="18"/>
                <w:szCs w:val="18"/>
                <w:b w:val="1"/>
                <w:bCs w:val="1"/>
                <w:color w:val="auto"/>
              </w:rPr>
              <w:t>Industry Classification</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ind w:right="51"/>
              <w:spacing w:after="0"/>
              <w:rPr>
                <w:sz w:val="20"/>
                <w:szCs w:val="20"/>
                <w:color w:val="auto"/>
              </w:rPr>
            </w:pPr>
            <w:r>
              <w:rPr>
                <w:rFonts w:ascii="Arial" w:cs="Arial" w:eastAsia="Arial" w:hAnsi="Arial"/>
                <w:sz w:val="16"/>
                <w:szCs w:val="16"/>
                <w:b w:val="1"/>
                <w:bCs w:val="1"/>
                <w:color w:val="auto"/>
                <w:w w:val="93"/>
              </w:rPr>
              <w:t>Cost/Amortized</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ind w:right="51"/>
              <w:spacing w:after="0"/>
              <w:rPr>
                <w:sz w:val="20"/>
                <w:szCs w:val="20"/>
                <w:color w:val="auto"/>
              </w:rPr>
            </w:pPr>
            <w:r>
              <w:rPr>
                <w:rFonts w:ascii="Arial" w:cs="Arial" w:eastAsia="Arial" w:hAnsi="Arial"/>
                <w:sz w:val="16"/>
                <w:szCs w:val="16"/>
                <w:b w:val="1"/>
                <w:bCs w:val="1"/>
                <w:color w:val="auto"/>
                <w:w w:val="93"/>
              </w:rPr>
              <w:t>Cost/Amortized</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451"/>
              <w:spacing w:after="0"/>
              <w:rPr>
                <w:sz w:val="20"/>
                <w:szCs w:val="20"/>
                <w:color w:val="auto"/>
              </w:rPr>
            </w:pPr>
            <w:r>
              <w:rPr>
                <w:rFonts w:ascii="Arial" w:cs="Arial" w:eastAsia="Arial" w:hAnsi="Arial"/>
                <w:sz w:val="16"/>
                <w:szCs w:val="16"/>
                <w:b w:val="1"/>
                <w:bCs w:val="1"/>
                <w:color w:val="auto"/>
              </w:rPr>
              <w:t>Cost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ind w:left="100"/>
              <w:spacing w:after="0"/>
              <w:rPr>
                <w:sz w:val="20"/>
                <w:szCs w:val="20"/>
                <w:color w:val="auto"/>
              </w:rPr>
            </w:pPr>
            <w:r>
              <w:rPr>
                <w:rFonts w:ascii="Arial" w:cs="Arial" w:eastAsia="Arial" w:hAnsi="Arial"/>
                <w:sz w:val="16"/>
                <w:szCs w:val="16"/>
                <w:b w:val="1"/>
                <w:bCs w:val="1"/>
                <w:color w:val="auto"/>
              </w:rPr>
              <w:t>Fair Value</w:t>
            </w:r>
          </w:p>
        </w:tc>
        <w:tc>
          <w:tcPr>
            <w:tcW w:w="440" w:type="dxa"/>
            <w:vAlign w:val="bottom"/>
          </w:tcPr>
          <w:p>
            <w:pPr>
              <w:jc w:val="right"/>
              <w:ind w:right="30"/>
              <w:spacing w:after="0"/>
              <w:rPr>
                <w:sz w:val="20"/>
                <w:szCs w:val="20"/>
                <w:color w:val="auto"/>
              </w:rPr>
            </w:pPr>
            <w:r>
              <w:rPr>
                <w:rFonts w:ascii="Arial" w:cs="Arial" w:eastAsia="Arial" w:hAnsi="Arial"/>
                <w:sz w:val="16"/>
                <w:szCs w:val="16"/>
                <w:b w:val="1"/>
                <w:bCs w:val="1"/>
                <w:color w:val="auto"/>
              </w:rPr>
              <w:t>%¹</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ind w:right="451"/>
              <w:spacing w:after="0"/>
              <w:rPr>
                <w:sz w:val="20"/>
                <w:szCs w:val="20"/>
                <w:color w:val="auto"/>
              </w:rPr>
            </w:pPr>
            <w:r>
              <w:rPr>
                <w:rFonts w:ascii="Arial" w:cs="Arial" w:eastAsia="Arial" w:hAnsi="Arial"/>
                <w:sz w:val="16"/>
                <w:szCs w:val="16"/>
                <w:b w:val="1"/>
                <w:bCs w:val="1"/>
                <w:color w:val="auto"/>
              </w:rPr>
              <w:t>Cost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ind w:left="120"/>
              <w:spacing w:after="0"/>
              <w:rPr>
                <w:sz w:val="20"/>
                <w:szCs w:val="20"/>
                <w:color w:val="auto"/>
              </w:rPr>
            </w:pPr>
            <w:r>
              <w:rPr>
                <w:rFonts w:ascii="Arial" w:cs="Arial" w:eastAsia="Arial" w:hAnsi="Arial"/>
                <w:sz w:val="16"/>
                <w:szCs w:val="16"/>
                <w:b w:val="1"/>
                <w:bCs w:val="1"/>
                <w:color w:val="auto"/>
              </w:rPr>
              <w:t>Fair Value</w:t>
            </w:r>
          </w:p>
        </w:tc>
        <w:tc>
          <w:tcPr>
            <w:tcW w:w="380" w:type="dxa"/>
            <w:vAlign w:val="bottom"/>
          </w:tcPr>
          <w:p>
            <w:pPr>
              <w:jc w:val="right"/>
              <w:ind w:right="10"/>
              <w:spacing w:after="0"/>
              <w:rPr>
                <w:sz w:val="20"/>
                <w:szCs w:val="20"/>
                <w:color w:val="auto"/>
              </w:rPr>
            </w:pPr>
            <w:r>
              <w:rPr>
                <w:rFonts w:ascii="Arial" w:cs="Arial" w:eastAsia="Arial" w:hAnsi="Arial"/>
                <w:sz w:val="16"/>
                <w:szCs w:val="16"/>
                <w:b w:val="1"/>
                <w:bCs w:val="1"/>
                <w:color w:val="auto"/>
              </w:rPr>
              <w:t>%¹</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Aerospace and Defense</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11,344,661</w:t>
            </w:r>
          </w:p>
        </w:tc>
        <w:tc>
          <w:tcPr>
            <w:tcW w:w="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11,271,373</w:t>
            </w:r>
          </w:p>
        </w:tc>
        <w:tc>
          <w:tcPr>
            <w:tcW w:w="26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11,342,227</w:t>
            </w:r>
          </w:p>
        </w:tc>
        <w:tc>
          <w:tcPr>
            <w:tcW w:w="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11,218,193</w:t>
            </w:r>
          </w:p>
        </w:tc>
        <w:tc>
          <w:tcPr>
            <w:tcW w:w="26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tcPr>
          <w:p>
            <w:pPr>
              <w:spacing w:after="0"/>
              <w:rPr>
                <w:sz w:val="20"/>
                <w:szCs w:val="20"/>
                <w:color w:val="auto"/>
              </w:rPr>
            </w:pPr>
            <w:r>
              <w:rPr>
                <w:rFonts w:ascii="Arial" w:cs="Arial" w:eastAsia="Arial" w:hAnsi="Arial"/>
                <w:sz w:val="18"/>
                <w:szCs w:val="18"/>
                <w:color w:val="auto"/>
              </w:rPr>
              <w:t xml:space="preserve">Asset Management Company </w:t>
            </w:r>
            <w:r>
              <w:rPr>
                <w:rFonts w:ascii="Arial" w:cs="Arial" w:eastAsia="Arial" w:hAnsi="Arial"/>
                <w:sz w:val="15"/>
                <w:szCs w:val="15"/>
                <w:color w:val="auto"/>
              </w:rPr>
              <w:t>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17,791,230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17,791,230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Automotive</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10,920,081</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11,712,281</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10,840,171</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11,651,714</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tcPr>
          <w:p>
            <w:pPr>
              <w:spacing w:after="0"/>
              <w:rPr>
                <w:sz w:val="20"/>
                <w:szCs w:val="20"/>
                <w:color w:val="auto"/>
              </w:rPr>
            </w:pPr>
            <w:r>
              <w:rPr>
                <w:rFonts w:ascii="Arial" w:cs="Arial" w:eastAsia="Arial" w:hAnsi="Arial"/>
                <w:sz w:val="18"/>
                <w:szCs w:val="18"/>
                <w:color w:val="auto"/>
                <w:w w:val="94"/>
              </w:rPr>
              <w:t>Banking, Finance, Insurance &amp; Real Estate</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27,025,581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26,439,023</w:t>
            </w: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30,074,875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31,121,723</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Beverage, Food and Tobacco</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9,188,383</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9,322,475</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9,196,359</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9,100,107</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tcPr>
          <w:p>
            <w:pPr>
              <w:spacing w:after="0"/>
              <w:rPr>
                <w:sz w:val="20"/>
                <w:szCs w:val="20"/>
                <w:color w:val="auto"/>
              </w:rPr>
            </w:pPr>
            <w:r>
              <w:rPr>
                <w:rFonts w:ascii="Arial" w:cs="Arial" w:eastAsia="Arial" w:hAnsi="Arial"/>
                <w:sz w:val="18"/>
                <w:szCs w:val="18"/>
                <w:color w:val="auto"/>
              </w:rPr>
              <w:t>Capital Equipment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12,156,541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10,592,526</w:t>
            </w: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10,276,249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8,204,690</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Chemicals, Plastics &amp; Rubber</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6,639,770</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7,268,734</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6,608,887</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7,230,131</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CLO Fund Securities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35,264,540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16,021,434</w:t>
            </w: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45,727,813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19,582,555</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Construction &amp; Building</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8,532,700</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9,515,138</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9,802,754</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10,946,643</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Consumer goods: Durable</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23,767,112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26,690,292</w:t>
            </w: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32,435,115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34,858,844</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Consumer goods: Non-durable</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1,842,084</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2,101,253</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1,837,151</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2,102,176</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tcPr>
          <w:p>
            <w:pPr>
              <w:spacing w:after="0"/>
              <w:rPr>
                <w:sz w:val="20"/>
                <w:szCs w:val="20"/>
                <w:color w:val="auto"/>
              </w:rPr>
            </w:pPr>
            <w:r>
              <w:rPr>
                <w:rFonts w:ascii="Arial" w:cs="Arial" w:eastAsia="Arial" w:hAnsi="Arial"/>
                <w:sz w:val="18"/>
                <w:szCs w:val="18"/>
                <w:color w:val="auto"/>
              </w:rPr>
              <w:t>Containers, Packaging and Glass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2,800,141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2,569,320</w:t>
            </w: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2,806,740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2,502,994</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Electronics</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23,399,603</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25,721,043</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28,389,620</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31,564,533</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tcPr>
          <w:p>
            <w:pPr>
              <w:spacing w:after="0"/>
              <w:rPr>
                <w:sz w:val="20"/>
                <w:szCs w:val="20"/>
                <w:color w:val="auto"/>
              </w:rPr>
            </w:pPr>
            <w:r>
              <w:rPr>
                <w:rFonts w:ascii="Arial" w:cs="Arial" w:eastAsia="Arial" w:hAnsi="Arial"/>
                <w:sz w:val="18"/>
                <w:szCs w:val="18"/>
                <w:color w:val="auto"/>
              </w:rPr>
              <w:t>Energy: Oil &amp; Gas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12,238,205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5,622,264</w:t>
            </w: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13,501,691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6,878,115</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Environmental Industries</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3,925,360</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3,626,816</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3,939,764</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3,585,669</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Forest Products &amp; Paper</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1,578,115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1,294,720</w:t>
            </w: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1,576,633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1,270,880</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Healthcare, Education and Childcare</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13,987,772</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13,785,811</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14,059,921</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13,791,048</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Healthcare &amp; Pharmaceuticals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82,430,475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76,982,364</w:t>
            </w: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83,481,401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78,823,040</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High Tech Industries</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31,121,938</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32,974,544</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32,949,892</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35,052,389</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Joint Ventures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61,105,966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56,730,956</w:t>
            </w: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54,932,458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49,349,163</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Machinery (Non-Agrclt/Constr/Electr)</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6,847,776</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7,679,248</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6,712,460</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7,227,441</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tcPr>
          <w:p>
            <w:pPr>
              <w:spacing w:after="0"/>
              <w:rPr>
                <w:sz w:val="20"/>
                <w:szCs w:val="20"/>
                <w:color w:val="auto"/>
              </w:rPr>
            </w:pPr>
            <w:r>
              <w:rPr>
                <w:rFonts w:ascii="Arial" w:cs="Arial" w:eastAsia="Arial" w:hAnsi="Arial"/>
                <w:sz w:val="18"/>
                <w:szCs w:val="18"/>
                <w:color w:val="auto"/>
                <w:w w:val="99"/>
              </w:rPr>
              <w:t>Media: Advertising, Printing &amp; Publishing</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2,846,137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3,270,481</w:t>
            </w: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2,830,592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3,170,254</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Media: Broadcasting &amp; Subscription</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4,745,481</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4,710,306</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3,955,772</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3,901,188</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Media: Diversified &amp; Production</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2,585,014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2,628,413</w:t>
            </w: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2,658,914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2,612,250</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Metals &amp; Mining</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1,228,584</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1,324,169</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1,219,188</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1,326,500</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Retail</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5,817,066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6,661,808</w:t>
            </w: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5,790,208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6,597,338</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Services: Business</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62,849,142</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65,364,186</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58,027,464</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60,119,401</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Services: Consumer</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4,173,235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4,162,275</w:t>
            </w: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4,241,127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4,198,243</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Telecommunications</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7,197,248</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7,082,621</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8,930,322</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9,023,109</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Textiles and Leather</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12,421,470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10,992,030</w:t>
            </w: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12,415,194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10,860,696</w:t>
            </w: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Transportation: Cargo</w:t>
            </w:r>
          </w:p>
        </w:tc>
        <w:tc>
          <w:tcPr>
            <w:tcW w:w="1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7,727,090</w:t>
            </w:r>
          </w:p>
        </w:tc>
        <w:tc>
          <w:tcPr>
            <w:tcW w:w="2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8,746,541</w:t>
            </w:r>
          </w:p>
        </w:tc>
        <w:tc>
          <w:tcPr>
            <w:tcW w:w="26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7,655,970</w:t>
            </w:r>
          </w:p>
        </w:tc>
        <w:tc>
          <w:tcPr>
            <w:tcW w:w="2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8,757,804</w:t>
            </w:r>
          </w:p>
        </w:tc>
        <w:tc>
          <w:tcPr>
            <w:tcW w:w="26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60" w:type="dxa"/>
            <w:vAlign w:val="bottom"/>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515,498,498</w:t>
            </w:r>
          </w:p>
        </w:tc>
        <w:tc>
          <w:tcPr>
            <w:tcW w:w="26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472,864,445</w:t>
            </w:r>
          </w:p>
        </w:tc>
        <w:tc>
          <w:tcPr>
            <w:tcW w:w="26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536,008,160</w:t>
            </w:r>
          </w:p>
        </w:tc>
        <w:tc>
          <w:tcPr>
            <w:tcW w:w="26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486,628,831</w:t>
            </w:r>
          </w:p>
        </w:tc>
        <w:tc>
          <w:tcPr>
            <w:tcW w:w="26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380" w:hanging="372"/>
        <w:spacing w:after="0"/>
        <w:tabs>
          <w:tab w:leader="none" w:pos="380" w:val="left"/>
        </w:tabs>
        <w:numPr>
          <w:ilvl w:val="0"/>
          <w:numId w:val="83"/>
        </w:numPr>
        <w:rPr>
          <w:rFonts w:ascii="Arial" w:cs="Arial" w:eastAsia="Arial" w:hAnsi="Arial"/>
          <w:sz w:val="15"/>
          <w:szCs w:val="15"/>
          <w:color w:val="auto"/>
        </w:rPr>
      </w:pPr>
      <w:r>
        <w:rPr>
          <w:rFonts w:ascii="Arial" w:cs="Arial" w:eastAsia="Arial" w:hAnsi="Arial"/>
          <w:sz w:val="18"/>
          <w:szCs w:val="18"/>
          <w:color w:val="auto"/>
        </w:rPr>
        <w:t>Calculated as a percentage of total portfolio at fair value.</w:t>
      </w:r>
    </w:p>
    <w:p>
      <w:pPr>
        <w:spacing w:after="0" w:line="22" w:lineRule="exact"/>
        <w:rPr>
          <w:sz w:val="20"/>
          <w:szCs w:val="20"/>
          <w:color w:val="auto"/>
        </w:rPr>
      </w:pPr>
    </w:p>
    <w:p>
      <w:pPr>
        <w:ind w:left="380" w:hanging="372"/>
        <w:spacing w:after="0"/>
        <w:tabs>
          <w:tab w:leader="none" w:pos="380" w:val="left"/>
        </w:tabs>
        <w:numPr>
          <w:ilvl w:val="0"/>
          <w:numId w:val="84"/>
        </w:numPr>
        <w:rPr>
          <w:rFonts w:ascii="Arial" w:cs="Arial" w:eastAsia="Arial" w:hAnsi="Arial"/>
          <w:sz w:val="15"/>
          <w:szCs w:val="15"/>
          <w:color w:val="auto"/>
        </w:rPr>
      </w:pPr>
      <w:r>
        <w:rPr>
          <w:rFonts w:ascii="Arial" w:cs="Arial" w:eastAsia="Arial" w:hAnsi="Arial"/>
          <w:sz w:val="18"/>
          <w:szCs w:val="18"/>
          <w:color w:val="auto"/>
        </w:rPr>
        <w:t>Represents the equity investment in the Asset Manager Affiliates.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Securities Portfolio</w:t>
      </w:r>
    </w:p>
    <w:p>
      <w:pPr>
        <w:spacing w:after="0" w:line="202" w:lineRule="exact"/>
        <w:rPr>
          <w:sz w:val="20"/>
          <w:szCs w:val="20"/>
          <w:color w:val="auto"/>
        </w:rPr>
      </w:pPr>
    </w:p>
    <w:p>
      <w:pPr>
        <w:ind w:right="220" w:firstLine="374"/>
        <w:spacing w:after="0" w:line="259" w:lineRule="auto"/>
        <w:rPr>
          <w:sz w:val="20"/>
          <w:szCs w:val="20"/>
          <w:color w:val="auto"/>
        </w:rPr>
      </w:pPr>
      <w:r>
        <w:rPr>
          <w:rFonts w:ascii="Arial" w:cs="Arial" w:eastAsia="Arial" w:hAnsi="Arial"/>
          <w:sz w:val="18"/>
          <w:szCs w:val="18"/>
          <w:color w:val="auto"/>
        </w:rPr>
        <w:t>At March 31, 2021 and December 31, 2020, the weighted average contractual interest rate on our loans and debt securities was approximately 7.6% and 7.8%, respectively. At March 31, 2021 and December 31, 2020, the weighted average contractual interest rate on our loans and debt securities, excluding non-accrual and partial non-accrual investments, and excluding CLO Fund Securities and Joint Ventures, was approximately 7.5% and 7.7%, respectively.</w:t>
      </w:r>
    </w:p>
    <w:p>
      <w:pPr>
        <w:spacing w:after="0" w:line="146" w:lineRule="exact"/>
        <w:rPr>
          <w:sz w:val="20"/>
          <w:szCs w:val="20"/>
          <w:color w:val="auto"/>
        </w:rPr>
      </w:pPr>
    </w:p>
    <w:p>
      <w:pPr>
        <w:ind w:right="340" w:firstLine="374"/>
        <w:spacing w:after="0" w:line="277" w:lineRule="auto"/>
        <w:rPr>
          <w:sz w:val="20"/>
          <w:szCs w:val="20"/>
          <w:color w:val="auto"/>
        </w:rPr>
      </w:pPr>
      <w:r>
        <w:rPr>
          <w:rFonts w:ascii="Arial" w:cs="Arial" w:eastAsia="Arial" w:hAnsi="Arial"/>
          <w:sz w:val="18"/>
          <w:szCs w:val="18"/>
          <w:color w:val="auto"/>
        </w:rPr>
        <w:t>The investment portfolio (excluding our investments in the CLO Funds, Joint Ventures and short-term investments) at March 31, 2021 was spread across 28 different industries and 120 different entities with an average par balance per entity of approximately $3.1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82" w:name="page83"/>
    <w:bookmarkEnd w:id="82"/>
    <w:p>
      <w:pPr>
        <w:ind w:right="420"/>
        <w:spacing w:after="0" w:line="277" w:lineRule="auto"/>
        <w:rPr>
          <w:sz w:val="20"/>
          <w:szCs w:val="20"/>
          <w:color w:val="auto"/>
        </w:rPr>
      </w:pPr>
      <w:r>
        <w:rPr>
          <w:rFonts w:ascii="Arial" w:cs="Arial" w:eastAsia="Arial" w:hAnsi="Arial"/>
          <w:sz w:val="18"/>
          <w:szCs w:val="18"/>
          <w:color w:val="auto"/>
        </w:rPr>
        <w:t>million. As of March 31, 2021, seven of our investments were on non-accrual status. As of December 31, 2020, eight of our investments were on non-accrual status.</w:t>
      </w:r>
    </w:p>
    <w:p>
      <w:pPr>
        <w:spacing w:after="0" w:line="143" w:lineRule="exact"/>
        <w:rPr>
          <w:sz w:val="20"/>
          <w:szCs w:val="20"/>
          <w:color w:val="auto"/>
        </w:rPr>
      </w:pPr>
    </w:p>
    <w:p>
      <w:pPr>
        <w:ind w:right="260" w:firstLine="374"/>
        <w:spacing w:after="0" w:line="293" w:lineRule="auto"/>
        <w:rPr>
          <w:sz w:val="20"/>
          <w:szCs w:val="20"/>
          <w:color w:val="auto"/>
        </w:rPr>
      </w:pPr>
      <w:r>
        <w:rPr>
          <w:rFonts w:ascii="Arial" w:cs="Arial" w:eastAsia="Arial" w:hAnsi="Arial"/>
          <w:sz w:val="16"/>
          <w:szCs w:val="16"/>
          <w:color w:val="auto"/>
        </w:rPr>
        <w:t>We may invest up to 30% of our investment portfolio in “non-qualifying” opportunistic investments such as high-yield bonds, debt and equity securities of CLO Funds, foreign investments, joint ventures, managed funds, partnerships and distressed debt or equity securities of large cap public companies. At March 31, 2021 and December 31, 2020, the total amount of non-qualifying assets to total assets was approximately 13.4% and 13.8% of total assets, respectively. The majority of non-qualifying assets were the Company’s investments in joint ventures, in the aggregate representing approximately 9.5% and 8.2%, of the total assets as of March 31, 2021 and December 31, 2020, and our total assets including our investments in CLO Funds, which are typically domiciled outside the U.S. and represented approximately 2.7% and 3.3% of total assets on such dates,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Manager Affiliates</w:t>
      </w:r>
    </w:p>
    <w:p>
      <w:pPr>
        <w:spacing w:after="0" w:line="189" w:lineRule="exact"/>
        <w:rPr>
          <w:sz w:val="20"/>
          <w:szCs w:val="20"/>
          <w:color w:val="auto"/>
        </w:rPr>
      </w:pPr>
    </w:p>
    <w:p>
      <w:pPr>
        <w:ind w:right="40" w:firstLine="374"/>
        <w:spacing w:after="0" w:line="289" w:lineRule="auto"/>
        <w:rPr>
          <w:sz w:val="20"/>
          <w:szCs w:val="20"/>
          <w:color w:val="auto"/>
        </w:rPr>
      </w:pPr>
      <w:r>
        <w:rPr>
          <w:rFonts w:ascii="Arial" w:cs="Arial" w:eastAsia="Arial" w:hAnsi="Arial"/>
          <w:sz w:val="16"/>
          <w:szCs w:val="16"/>
          <w:color w:val="auto"/>
        </w:rPr>
        <w:t>The Disposed Manager Affiliates manage CLO Funds that invest in broadly syndicated loans, high yield bonds and other credit instruments. The CLO funds managed by the Disposed Asset Manager Affiliates consist primarily of credit instruments issued by corporations. In connection with the LibreMax Transaction, on December 31, 2018, our wholly-owned subsidiary Commodore Holdings, LLC sold the Disposed Manager Affiliates, which represented substantially all of our investment in the Asset Manager Affiliates, to LibreMax for a cash purchase price of approximately $37.9 million. Accordingly, certain CLO fund investments were reclassified from CLO funds managed by affiliates to CLO funds managed by non-affiliates on December 31, 2018. Effective April 1, 2019, as a result of the Externalization and related transactions, CLO Fund investments managed by LibreMax were assigned to CLO Funds managed by affiliates. In the fourth quarter of 2020, Libremax disposed of its equity interest in the Adviser and as a result, CLO funds managed by Libremax or its affiliates were reclassified to CLO funds managed by non-affiliates. As of March 31, 2021, our Asset Manager Affiliates had approximately $300 million of par value of assets under management, for which management fees were waived and thus were deemed to have no value.</w:t>
      </w:r>
    </w:p>
    <w:p>
      <w:pPr>
        <w:spacing w:after="0" w:line="58" w:lineRule="exact"/>
        <w:rPr>
          <w:sz w:val="20"/>
          <w:szCs w:val="20"/>
          <w:color w:val="auto"/>
        </w:rPr>
      </w:pPr>
    </w:p>
    <w:p>
      <w:pPr>
        <w:ind w:right="100" w:firstLine="374"/>
        <w:spacing w:after="0" w:line="301" w:lineRule="auto"/>
        <w:rPr>
          <w:sz w:val="20"/>
          <w:szCs w:val="20"/>
          <w:color w:val="auto"/>
        </w:rPr>
      </w:pPr>
      <w:r>
        <w:rPr>
          <w:rFonts w:ascii="Arial" w:cs="Arial" w:eastAsia="Arial" w:hAnsi="Arial"/>
          <w:sz w:val="16"/>
          <w:szCs w:val="16"/>
          <w:color w:val="auto"/>
        </w:rPr>
        <w:t>In connection with the Externalization, during the first quarter of 2019, KCAP Management agreed to waive management fees it is otherwise entitled to receive for managing the Fund. In addition, the Joint Venture was restructured such that we are now entitled to receive a preferred distribution in an amount equal to the fees waived by KCAP Management. The impact of these transactions was a reduction in the fair value of the Asset Manager Affiliates (realized loss) and increase the fair value of our investment in the Joint Venture (unrealized gain) during the first quarter of 2019.</w:t>
      </w:r>
    </w:p>
    <w:p>
      <w:pPr>
        <w:spacing w:after="0" w:line="49" w:lineRule="exact"/>
        <w:rPr>
          <w:sz w:val="20"/>
          <w:szCs w:val="20"/>
          <w:color w:val="auto"/>
        </w:rPr>
      </w:pPr>
    </w:p>
    <w:p>
      <w:pPr>
        <w:ind w:right="340" w:firstLine="374"/>
        <w:spacing w:after="0" w:line="301" w:lineRule="auto"/>
        <w:rPr>
          <w:sz w:val="20"/>
          <w:szCs w:val="20"/>
          <w:color w:val="auto"/>
        </w:rPr>
      </w:pPr>
      <w:r>
        <w:rPr>
          <w:rFonts w:ascii="Arial" w:cs="Arial" w:eastAsia="Arial" w:hAnsi="Arial"/>
          <w:sz w:val="16"/>
          <w:szCs w:val="16"/>
          <w:color w:val="auto"/>
        </w:rPr>
        <w:t>Although the investment in the Asset Manager Affiliates is deemed to have no value at March 31, 2020 and December 31, 2019, certain of these subsidiaries continue to exist as a legal matter and until such entities are formally dissolved, the Company will continue to report the cost basis of its investment in the Asset Manager Affiliates in its financial statements. Upon the final disposition of these entities, the Company expects to write off any remaining cost basis, which will result in a reclassification in the statement of operations between realized and unrealized gains and losses.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 Fund Securities</w:t>
      </w:r>
    </w:p>
    <w:p>
      <w:pPr>
        <w:spacing w:after="0" w:line="189" w:lineRule="exact"/>
        <w:rPr>
          <w:sz w:val="20"/>
          <w:szCs w:val="20"/>
          <w:color w:val="auto"/>
        </w:rPr>
      </w:pPr>
    </w:p>
    <w:p>
      <w:pPr>
        <w:ind w:right="160" w:firstLine="374"/>
        <w:spacing w:after="0" w:line="259" w:lineRule="auto"/>
        <w:rPr>
          <w:sz w:val="20"/>
          <w:szCs w:val="20"/>
          <w:color w:val="auto"/>
        </w:rPr>
      </w:pPr>
      <w:r>
        <w:rPr>
          <w:rFonts w:ascii="Arial" w:cs="Arial" w:eastAsia="Arial" w:hAnsi="Arial"/>
          <w:sz w:val="18"/>
          <w:szCs w:val="18"/>
          <w:color w:val="auto"/>
        </w:rPr>
        <w:t>We have made minority investments in the subordinated securities or preferred shares of CLO Funds managed by the Disposed Manager Affiliates and may selectively invest in securities issued by CLO Funds managed by other asset management companies. As of March 31, 2021 and December 31, 2020, we had approximately $16.0 million and $19.6 million, respectively, invested in CLO Fund Securities, issued primarily by CLO Funds managed by the Disposed Manager Affiliates.</w:t>
      </w:r>
    </w:p>
    <w:p>
      <w:pPr>
        <w:spacing w:after="0" w:line="14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CLO Funds invest primarily in broadly syndicated non-investment grade loans, high-yield bonds and other credit instruments of corporate issuers.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underlying assets in each of the CLO Fund Securities in which we have an investment are generally diversified secured or unsecured corporate debt.</w:t>
      </w:r>
    </w:p>
    <w:p>
      <w:pPr>
        <w:spacing w:after="0" w:line="126" w:lineRule="exact"/>
        <w:rPr>
          <w:sz w:val="20"/>
          <w:szCs w:val="20"/>
          <w:color w:val="auto"/>
        </w:rPr>
      </w:pPr>
    </w:p>
    <w:p>
      <w:pPr>
        <w:ind w:right="20" w:firstLine="499"/>
        <w:spacing w:after="0" w:line="269" w:lineRule="auto"/>
        <w:rPr>
          <w:sz w:val="20"/>
          <w:szCs w:val="20"/>
          <w:color w:val="auto"/>
        </w:rPr>
      </w:pPr>
      <w:r>
        <w:rPr>
          <w:rFonts w:ascii="Arial" w:cs="Arial" w:eastAsia="Arial" w:hAnsi="Arial"/>
          <w:sz w:val="17"/>
          <w:szCs w:val="17"/>
          <w:color w:val="auto"/>
        </w:rPr>
        <w:t>The structure of CLO Funds, which are highly levered, is extremely complicated. Since we primarily invest in securities representing the residual interests of CLO Funds, our investments are much riskier than the risk profile of the loans by which such CLO Funds are collateralized. Our investments in CLO Funds may be riskier and less transparent to us and our stockholders than direct investments in the underlying loans. The CLO Funds in which we invest have debt that ranks senior to our investment. Our CLO Fund investments are generally thinly traded or have only a limited trading market. CLO Funds are typically privately offered and sold, even in the secondary market. As a result, investments in CLO Funds may be characterized as illiquid securities. In addition to the general risks associated with investing in debt securities, CLO Funds carry additional risks, including, but not limited to: (i) the possibility that distributions from collateral securities will not be adequate to make interest or other payments; (ii) the quality of the collateral may decline in value or default; (iii) the fact that the Company’s investments in CLO tranches will likely be subordinate to other senior classes of note tranches thereof; and (iv) the complex structure of the security may not be fully understood at the time of investment and may produce disputes with the CLO Fund or unexpected investment results. The Company’s net asset value may also decline over time if the Company’s principal recovery with respect to CLO subordinated note investments is less than the price that the Company paid for those investments. For a more detailed discussion of the risks related to our investments in CLO Funds, please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83" w:name="page84"/>
    <w:bookmarkEnd w:id="83"/>
    <w:p>
      <w:pPr>
        <w:ind w:right="20"/>
        <w:spacing w:after="0" w:line="277" w:lineRule="auto"/>
        <w:rPr>
          <w:sz w:val="20"/>
          <w:szCs w:val="20"/>
          <w:color w:val="auto"/>
        </w:rPr>
      </w:pPr>
      <w:r>
        <w:rPr>
          <w:rFonts w:ascii="Arial" w:cs="Arial" w:eastAsia="Arial" w:hAnsi="Arial"/>
          <w:sz w:val="18"/>
          <w:szCs w:val="18"/>
          <w:color w:val="auto"/>
        </w:rPr>
        <w:t>see “Risk Factors — Risks Related to Our Investments — Our investments may be risky, and you could lose all or part of your investment.” in Part I, “Item 1A. Risk Factors” in our Annual Report on Form 10-K for the year ended December 31, 2020.</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CLO Fund Securities as of March 31, 2021 and December 31, 2020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40" w:type="dxa"/>
            <w:vAlign w:val="bottom"/>
            <w:gridSpan w:val="4"/>
          </w:tcPr>
          <w:p>
            <w:pPr>
              <w:ind w:left="500"/>
              <w:spacing w:after="0"/>
              <w:rPr>
                <w:sz w:val="20"/>
                <w:szCs w:val="20"/>
                <w:color w:val="auto"/>
              </w:rPr>
            </w:pPr>
            <w:r>
              <w:rPr>
                <w:rFonts w:ascii="Arial" w:cs="Arial" w:eastAsia="Arial" w:hAnsi="Arial"/>
                <w:sz w:val="18"/>
                <w:szCs w:val="18"/>
                <w:b w:val="1"/>
                <w:bCs w:val="1"/>
                <w:color w:val="auto"/>
              </w:rPr>
              <w:t>March 31, 2021</w:t>
            </w:r>
          </w:p>
        </w:tc>
        <w:tc>
          <w:tcPr>
            <w:tcW w:w="2600" w:type="dxa"/>
            <w:vAlign w:val="bottom"/>
            <w:gridSpan w:val="5"/>
          </w:tcPr>
          <w:p>
            <w:pPr>
              <w:ind w:left="440"/>
              <w:spacing w:after="0"/>
              <w:rPr>
                <w:sz w:val="20"/>
                <w:szCs w:val="20"/>
                <w:color w:val="auto"/>
              </w:rPr>
            </w:pPr>
            <w:r>
              <w:rPr>
                <w:rFonts w:ascii="Arial" w:cs="Arial" w:eastAsia="Arial" w:hAnsi="Arial"/>
                <w:sz w:val="18"/>
                <w:szCs w:val="18"/>
                <w:b w:val="1"/>
                <w:bCs w:val="1"/>
                <w:color w:val="auto"/>
              </w:rPr>
              <w:t xml:space="preserve">December 31, 2020 </w:t>
            </w:r>
            <w:r>
              <w:rPr>
                <w:rFonts w:ascii="Arial" w:cs="Arial" w:eastAsia="Arial" w:hAnsi="Arial"/>
                <w:sz w:val="15"/>
                <w:szCs w:val="15"/>
                <w:b w:val="1"/>
                <w:bCs w:val="1"/>
                <w:color w:val="auto"/>
              </w:rPr>
              <w:t>2</w:t>
            </w:r>
          </w:p>
        </w:tc>
      </w:tr>
      <w:tr>
        <w:trPr>
          <w:trHeight w:val="205"/>
        </w:trPr>
        <w:tc>
          <w:tcPr>
            <w:tcW w:w="3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70"/>
              <w:spacing w:after="0" w:line="205" w:lineRule="exact"/>
              <w:rPr>
                <w:sz w:val="20"/>
                <w:szCs w:val="20"/>
                <w:color w:val="auto"/>
              </w:rPr>
            </w:pPr>
            <w:r>
              <w:rPr>
                <w:rFonts w:ascii="Arial" w:cs="Arial" w:eastAsia="Arial" w:hAnsi="Arial"/>
                <w:sz w:val="18"/>
                <w:szCs w:val="18"/>
                <w:b w:val="1"/>
                <w:bCs w:val="1"/>
                <w:color w:val="auto"/>
                <w:w w:val="93"/>
              </w:rPr>
              <w:t>Amortized</w:t>
            </w:r>
          </w:p>
        </w:tc>
        <w:tc>
          <w:tcPr>
            <w:tcW w:w="2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Borders>
              <w:top w:val="single" w:sz="8" w:color="auto"/>
            </w:tcBorders>
            <w:gridSpan w:val="2"/>
          </w:tcPr>
          <w:p>
            <w:pPr>
              <w:jc w:val="center"/>
              <w:ind w:right="200"/>
              <w:spacing w:after="0" w:line="205" w:lineRule="exact"/>
              <w:rPr>
                <w:sz w:val="20"/>
                <w:szCs w:val="20"/>
                <w:color w:val="auto"/>
              </w:rPr>
            </w:pPr>
            <w:r>
              <w:rPr>
                <w:rFonts w:ascii="Arial" w:cs="Arial" w:eastAsia="Arial" w:hAnsi="Arial"/>
                <w:sz w:val="18"/>
                <w:szCs w:val="18"/>
                <w:b w:val="1"/>
                <w:bCs w:val="1"/>
                <w:color w:val="auto"/>
                <w:w w:val="93"/>
              </w:rPr>
              <w:t>Amortized</w:t>
            </w:r>
          </w:p>
        </w:tc>
        <w:tc>
          <w:tcPr>
            <w:tcW w:w="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3320" w:type="dxa"/>
            <w:vAlign w:val="bottom"/>
            <w:gridSpan w:val="2"/>
          </w:tcPr>
          <w:p>
            <w:pPr>
              <w:spacing w:after="0"/>
              <w:rPr>
                <w:sz w:val="20"/>
                <w:szCs w:val="20"/>
                <w:color w:val="auto"/>
              </w:rPr>
            </w:pPr>
            <w:r>
              <w:rPr>
                <w:rFonts w:ascii="Arial" w:cs="Arial" w:eastAsia="Arial" w:hAnsi="Arial"/>
                <w:sz w:val="18"/>
                <w:szCs w:val="18"/>
                <w:b w:val="1"/>
                <w:bCs w:val="1"/>
                <w:color w:val="auto"/>
              </w:rPr>
              <w:t>CLO Fund Securities</w:t>
            </w:r>
          </w:p>
        </w:tc>
        <w:tc>
          <w:tcPr>
            <w:tcW w:w="1340" w:type="dxa"/>
            <w:vAlign w:val="bottom"/>
            <w:gridSpan w:val="2"/>
          </w:tcPr>
          <w:p>
            <w:pPr>
              <w:ind w:left="180"/>
              <w:spacing w:after="0"/>
              <w:rPr>
                <w:sz w:val="20"/>
                <w:szCs w:val="20"/>
                <w:color w:val="auto"/>
              </w:rPr>
            </w:pPr>
            <w:r>
              <w:rPr>
                <w:rFonts w:ascii="Arial" w:cs="Arial" w:eastAsia="Arial" w:hAnsi="Arial"/>
                <w:sz w:val="18"/>
                <w:szCs w:val="18"/>
                <w:b w:val="1"/>
                <w:bCs w:val="1"/>
                <w:color w:val="auto"/>
              </w:rPr>
              <w:t>Investment</w:t>
            </w:r>
          </w:p>
        </w:tc>
        <w:tc>
          <w:tcPr>
            <w:tcW w:w="112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5"/>
                <w:szCs w:val="15"/>
                <w:b w:val="1"/>
                <w:bCs w:val="1"/>
                <w:color w:val="auto"/>
              </w:rPr>
              <w:t>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9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0"/>
                <w:szCs w:val="20"/>
                <w:color w:val="auto"/>
              </w:rPr>
            </w:pPr>
          </w:p>
        </w:tc>
        <w:tc>
          <w:tcPr>
            <w:tcW w:w="1320" w:type="dxa"/>
            <w:vAlign w:val="bottom"/>
            <w:gridSpan w:val="2"/>
          </w:tcPr>
          <w:p>
            <w:pPr>
              <w:ind w:left="140"/>
              <w:spacing w:after="0"/>
              <w:rPr>
                <w:sz w:val="20"/>
                <w:szCs w:val="20"/>
                <w:color w:val="auto"/>
              </w:rPr>
            </w:pPr>
            <w:r>
              <w:rPr>
                <w:rFonts w:ascii="Arial" w:cs="Arial" w:eastAsia="Arial" w:hAnsi="Arial"/>
                <w:sz w:val="18"/>
                <w:szCs w:val="18"/>
                <w:b w:val="1"/>
                <w:bCs w:val="1"/>
                <w:color w:val="auto"/>
              </w:rPr>
              <w:t>Fair Value</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Cost</w:t>
            </w:r>
          </w:p>
        </w:tc>
        <w:tc>
          <w:tcPr>
            <w:tcW w:w="20" w:type="dxa"/>
            <w:vAlign w:val="bottom"/>
          </w:tcPr>
          <w:p>
            <w:pPr>
              <w:spacing w:after="0"/>
              <w:rPr>
                <w:sz w:val="20"/>
                <w:szCs w:val="20"/>
                <w:color w:val="auto"/>
              </w:rPr>
            </w:pPr>
          </w:p>
        </w:tc>
        <w:tc>
          <w:tcPr>
            <w:tcW w:w="1240" w:type="dxa"/>
            <w:vAlign w:val="bottom"/>
            <w:gridSpan w:val="2"/>
          </w:tcPr>
          <w:p>
            <w:pPr>
              <w:ind w:left="140"/>
              <w:spacing w:after="0"/>
              <w:rPr>
                <w:sz w:val="20"/>
                <w:szCs w:val="20"/>
                <w:color w:val="auto"/>
              </w:rPr>
            </w:pPr>
            <w:r>
              <w:rPr>
                <w:rFonts w:ascii="Arial" w:cs="Arial" w:eastAsia="Arial" w:hAnsi="Arial"/>
                <w:sz w:val="18"/>
                <w:szCs w:val="18"/>
                <w:b w:val="1"/>
                <w:bCs w:val="1"/>
                <w:color w:val="auto"/>
              </w:rPr>
              <w:t>Fair Value</w:t>
            </w:r>
          </w:p>
        </w:tc>
      </w:tr>
      <w:tr>
        <w:trPr>
          <w:trHeight w:val="209"/>
        </w:trPr>
        <w:tc>
          <w:tcPr>
            <w:tcW w:w="32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Catamaran CLO 2013- 1 Ltd.</w:t>
            </w:r>
          </w:p>
        </w:tc>
        <w:tc>
          <w:tcPr>
            <w:tcW w:w="100" w:type="dxa"/>
            <w:vAlign w:val="bottom"/>
            <w:tcBorders>
              <w:top w:val="single" w:sz="8" w:color="CFF0FC"/>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Subordinated</w:t>
            </w:r>
          </w:p>
        </w:tc>
        <w:tc>
          <w:tcPr>
            <w:tcW w:w="100" w:type="dxa"/>
            <w:vAlign w:val="bottom"/>
            <w:tcBorders>
              <w:top w:val="single" w:sz="8" w:color="CFF0FC"/>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30"/>
        </w:trPr>
        <w:tc>
          <w:tcPr>
            <w:tcW w:w="3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Notes</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5,930,441</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2,541,098</w:t>
            </w:r>
          </w:p>
        </w:tc>
        <w:tc>
          <w:tcPr>
            <w:tcW w:w="20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6,219,310</w:t>
            </w:r>
          </w:p>
        </w:tc>
        <w:tc>
          <w:tcPr>
            <w:tcW w:w="22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2,611,423</w:t>
            </w:r>
          </w:p>
        </w:tc>
        <w:tc>
          <w:tcPr>
            <w:tcW w:w="120" w:type="dxa"/>
            <w:vAlign w:val="bottom"/>
            <w:shd w:val="clear" w:color="auto" w:fill="CFF0FC"/>
          </w:tcPr>
          <w:p>
            <w:pPr>
              <w:spacing w:after="0"/>
              <w:rPr>
                <w:sz w:val="20"/>
                <w:szCs w:val="20"/>
                <w:color w:val="auto"/>
              </w:rPr>
            </w:pPr>
          </w:p>
        </w:tc>
      </w:tr>
      <w:tr>
        <w:trPr>
          <w:trHeight w:val="215"/>
        </w:trPr>
        <w:tc>
          <w:tcPr>
            <w:tcW w:w="3320" w:type="dxa"/>
            <w:vAlign w:val="bottom"/>
            <w:gridSpan w:val="2"/>
          </w:tcPr>
          <w:p>
            <w:pPr>
              <w:spacing w:after="0"/>
              <w:rPr>
                <w:sz w:val="20"/>
                <w:szCs w:val="20"/>
                <w:color w:val="auto"/>
              </w:rPr>
            </w:pPr>
            <w:r>
              <w:rPr>
                <w:rFonts w:ascii="Arial" w:cs="Arial" w:eastAsia="Arial" w:hAnsi="Arial"/>
                <w:sz w:val="18"/>
                <w:szCs w:val="18"/>
                <w:color w:val="auto"/>
              </w:rPr>
              <w:t>Catamaran CLO 2014-1 Ltd.</w:t>
            </w:r>
          </w:p>
        </w:tc>
        <w:tc>
          <w:tcPr>
            <w:tcW w:w="1340" w:type="dxa"/>
            <w:vAlign w:val="bottom"/>
            <w:gridSpan w:val="2"/>
          </w:tcPr>
          <w:p>
            <w:pPr>
              <w:spacing w:after="0"/>
              <w:rPr>
                <w:sz w:val="20"/>
                <w:szCs w:val="20"/>
                <w:color w:val="auto"/>
              </w:rPr>
            </w:pPr>
            <w:r>
              <w:rPr>
                <w:rFonts w:ascii="Arial" w:cs="Arial" w:eastAsia="Arial" w:hAnsi="Arial"/>
                <w:sz w:val="18"/>
                <w:szCs w:val="18"/>
                <w:color w:val="auto"/>
              </w:rPr>
              <w:t>Subordinated</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3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spacing w:after="0"/>
              <w:rPr>
                <w:sz w:val="20"/>
                <w:szCs w:val="20"/>
                <w:color w:val="auto"/>
              </w:rPr>
            </w:pPr>
            <w:r>
              <w:rPr>
                <w:rFonts w:ascii="Arial" w:cs="Arial" w:eastAsia="Arial" w:hAnsi="Arial"/>
                <w:sz w:val="18"/>
                <w:szCs w:val="18"/>
                <w:color w:val="auto"/>
              </w:rPr>
              <w:t>Notes</w:t>
            </w:r>
          </w:p>
        </w:tc>
        <w:tc>
          <w:tcPr>
            <w:tcW w:w="1120" w:type="dxa"/>
            <w:vAlign w:val="bottom"/>
          </w:tcPr>
          <w:p>
            <w:pPr>
              <w:jc w:val="right"/>
              <w:spacing w:after="0"/>
              <w:rPr>
                <w:sz w:val="20"/>
                <w:szCs w:val="20"/>
                <w:color w:val="auto"/>
              </w:rPr>
            </w:pPr>
            <w:r>
              <w:rPr>
                <w:rFonts w:ascii="Arial" w:cs="Arial" w:eastAsia="Arial" w:hAnsi="Arial"/>
                <w:sz w:val="18"/>
                <w:szCs w:val="18"/>
                <w:color w:val="auto"/>
              </w:rPr>
              <w:t>22.2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9,730,733</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4,178,261</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9,998,258</w:t>
            </w:r>
          </w:p>
        </w:tc>
        <w:tc>
          <w:tcPr>
            <w:tcW w:w="22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3,835,632</w:t>
            </w:r>
          </w:p>
        </w:tc>
        <w:tc>
          <w:tcPr>
            <w:tcW w:w="120" w:type="dxa"/>
            <w:vAlign w:val="bottom"/>
          </w:tcPr>
          <w:p>
            <w:pPr>
              <w:spacing w:after="0"/>
              <w:rPr>
                <w:sz w:val="20"/>
                <w:szCs w:val="20"/>
                <w:color w:val="auto"/>
              </w:rPr>
            </w:pPr>
          </w:p>
        </w:tc>
      </w:tr>
      <w:tr>
        <w:trPr>
          <w:trHeight w:val="215"/>
        </w:trPr>
        <w:tc>
          <w:tcPr>
            <w:tcW w:w="3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Dryden 30 Senior Loan Fund</w:t>
            </w:r>
          </w:p>
        </w:tc>
        <w:tc>
          <w:tcPr>
            <w:tcW w:w="1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Subordinated</w:t>
            </w: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3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Notes</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1,186,447</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1,339,325</w:t>
            </w:r>
          </w:p>
        </w:tc>
        <w:tc>
          <w:tcPr>
            <w:tcW w:w="20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1,272,501</w:t>
            </w:r>
          </w:p>
        </w:tc>
        <w:tc>
          <w:tcPr>
            <w:tcW w:w="22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1,322,100</w:t>
            </w:r>
          </w:p>
        </w:tc>
        <w:tc>
          <w:tcPr>
            <w:tcW w:w="120" w:type="dxa"/>
            <w:vAlign w:val="bottom"/>
            <w:shd w:val="clear" w:color="auto" w:fill="CFF0FC"/>
          </w:tcPr>
          <w:p>
            <w:pPr>
              <w:spacing w:after="0"/>
              <w:rPr>
                <w:sz w:val="20"/>
                <w:szCs w:val="20"/>
                <w:color w:val="auto"/>
              </w:rPr>
            </w:pPr>
          </w:p>
        </w:tc>
      </w:tr>
      <w:tr>
        <w:trPr>
          <w:trHeight w:val="215"/>
        </w:trPr>
        <w:tc>
          <w:tcPr>
            <w:tcW w:w="3320" w:type="dxa"/>
            <w:vAlign w:val="bottom"/>
            <w:gridSpan w:val="2"/>
          </w:tcPr>
          <w:p>
            <w:pPr>
              <w:spacing w:after="0"/>
              <w:rPr>
                <w:sz w:val="20"/>
                <w:szCs w:val="20"/>
                <w:color w:val="auto"/>
              </w:rPr>
            </w:pPr>
            <w:r>
              <w:rPr>
                <w:rFonts w:ascii="Arial" w:cs="Arial" w:eastAsia="Arial" w:hAnsi="Arial"/>
                <w:sz w:val="18"/>
                <w:szCs w:val="18"/>
                <w:color w:val="auto"/>
              </w:rPr>
              <w:t>Catamaran CLO 2014-2 Ltd.</w:t>
            </w:r>
          </w:p>
        </w:tc>
        <w:tc>
          <w:tcPr>
            <w:tcW w:w="1340" w:type="dxa"/>
            <w:vAlign w:val="bottom"/>
            <w:gridSpan w:val="2"/>
          </w:tcPr>
          <w:p>
            <w:pPr>
              <w:spacing w:after="0"/>
              <w:rPr>
                <w:sz w:val="20"/>
                <w:szCs w:val="20"/>
                <w:color w:val="auto"/>
              </w:rPr>
            </w:pPr>
            <w:r>
              <w:rPr>
                <w:rFonts w:ascii="Arial" w:cs="Arial" w:eastAsia="Arial" w:hAnsi="Arial"/>
                <w:sz w:val="18"/>
                <w:szCs w:val="18"/>
                <w:color w:val="auto"/>
              </w:rPr>
              <w:t>Subordinated</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3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spacing w:after="0"/>
              <w:rPr>
                <w:sz w:val="20"/>
                <w:szCs w:val="20"/>
                <w:color w:val="auto"/>
              </w:rPr>
            </w:pPr>
            <w:r>
              <w:rPr>
                <w:rFonts w:ascii="Arial" w:cs="Arial" w:eastAsia="Arial" w:hAnsi="Arial"/>
                <w:sz w:val="18"/>
                <w:szCs w:val="18"/>
                <w:color w:val="auto"/>
              </w:rPr>
              <w:t>Notes</w:t>
            </w:r>
          </w:p>
        </w:tc>
        <w:tc>
          <w:tcPr>
            <w:tcW w:w="1120" w:type="dxa"/>
            <w:vAlign w:val="bottom"/>
          </w:tcPr>
          <w:p>
            <w:pPr>
              <w:jc w:val="right"/>
              <w:spacing w:after="0"/>
              <w:rPr>
                <w:sz w:val="20"/>
                <w:szCs w:val="20"/>
                <w:color w:val="auto"/>
              </w:rPr>
            </w:pPr>
            <w:r>
              <w:rPr>
                <w:rFonts w:ascii="Arial" w:cs="Arial" w:eastAsia="Arial" w:hAnsi="Arial"/>
                <w:sz w:val="18"/>
                <w:szCs w:val="18"/>
                <w:color w:val="auto"/>
              </w:rPr>
              <w:t>24.9</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6,065,598</w:t>
            </w:r>
          </w:p>
        </w:tc>
        <w:tc>
          <w:tcPr>
            <w:tcW w:w="2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6,065,598</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5"/>
        </w:trPr>
        <w:tc>
          <w:tcPr>
            <w:tcW w:w="3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Catamaran CLO 2015-1 Ltd.</w:t>
            </w:r>
          </w:p>
        </w:tc>
        <w:tc>
          <w:tcPr>
            <w:tcW w:w="1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Subordinated</w:t>
            </w: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3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Notes</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3,385,599</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1,521,750</w:t>
            </w:r>
          </w:p>
        </w:tc>
        <w:tc>
          <w:tcPr>
            <w:tcW w:w="20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4,141,981</w:t>
            </w:r>
          </w:p>
        </w:tc>
        <w:tc>
          <w:tcPr>
            <w:tcW w:w="22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1,609,400</w:t>
            </w:r>
          </w:p>
        </w:tc>
        <w:tc>
          <w:tcPr>
            <w:tcW w:w="120" w:type="dxa"/>
            <w:vAlign w:val="bottom"/>
            <w:shd w:val="clear" w:color="auto" w:fill="CFF0FC"/>
          </w:tcPr>
          <w:p>
            <w:pPr>
              <w:spacing w:after="0"/>
              <w:rPr>
                <w:sz w:val="20"/>
                <w:szCs w:val="20"/>
                <w:color w:val="auto"/>
              </w:rPr>
            </w:pPr>
          </w:p>
        </w:tc>
      </w:tr>
      <w:tr>
        <w:trPr>
          <w:trHeight w:val="215"/>
        </w:trPr>
        <w:tc>
          <w:tcPr>
            <w:tcW w:w="3320" w:type="dxa"/>
            <w:vAlign w:val="bottom"/>
            <w:gridSpan w:val="2"/>
          </w:tcPr>
          <w:p>
            <w:pPr>
              <w:spacing w:after="0"/>
              <w:rPr>
                <w:sz w:val="20"/>
                <w:szCs w:val="20"/>
                <w:color w:val="auto"/>
              </w:rPr>
            </w:pPr>
            <w:r>
              <w:rPr>
                <w:rFonts w:ascii="Arial" w:cs="Arial" w:eastAsia="Arial" w:hAnsi="Arial"/>
                <w:sz w:val="18"/>
                <w:szCs w:val="18"/>
                <w:color w:val="auto"/>
              </w:rPr>
              <w:t>Catamaran CLO 2016-1 Ltd.</w:t>
            </w:r>
          </w:p>
        </w:tc>
        <w:tc>
          <w:tcPr>
            <w:tcW w:w="1340" w:type="dxa"/>
            <w:vAlign w:val="bottom"/>
            <w:gridSpan w:val="2"/>
          </w:tcPr>
          <w:p>
            <w:pPr>
              <w:spacing w:after="0"/>
              <w:rPr>
                <w:sz w:val="20"/>
                <w:szCs w:val="20"/>
                <w:color w:val="auto"/>
              </w:rPr>
            </w:pPr>
            <w:r>
              <w:rPr>
                <w:rFonts w:ascii="Arial" w:cs="Arial" w:eastAsia="Arial" w:hAnsi="Arial"/>
                <w:sz w:val="18"/>
                <w:szCs w:val="18"/>
                <w:color w:val="auto"/>
              </w:rPr>
              <w:t>Subordinated</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3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spacing w:after="0"/>
              <w:rPr>
                <w:sz w:val="20"/>
                <w:szCs w:val="20"/>
                <w:color w:val="auto"/>
              </w:rPr>
            </w:pPr>
            <w:r>
              <w:rPr>
                <w:rFonts w:ascii="Arial" w:cs="Arial" w:eastAsia="Arial" w:hAnsi="Arial"/>
                <w:sz w:val="18"/>
                <w:szCs w:val="18"/>
                <w:color w:val="auto"/>
              </w:rPr>
              <w:t>Notes</w:t>
            </w:r>
          </w:p>
        </w:tc>
        <w:tc>
          <w:tcPr>
            <w:tcW w:w="1120" w:type="dxa"/>
            <w:vAlign w:val="bottom"/>
          </w:tcPr>
          <w:p>
            <w:pPr>
              <w:jc w:val="right"/>
              <w:spacing w:after="0"/>
              <w:rPr>
                <w:sz w:val="20"/>
                <w:szCs w:val="20"/>
                <w:color w:val="auto"/>
              </w:rPr>
            </w:pPr>
            <w:r>
              <w:rPr>
                <w:rFonts w:ascii="Arial" w:cs="Arial" w:eastAsia="Arial" w:hAnsi="Arial"/>
                <w:sz w:val="18"/>
                <w:szCs w:val="18"/>
                <w:color w:val="auto"/>
              </w:rPr>
              <w:t>24.9</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8,872,484</w:t>
            </w:r>
          </w:p>
        </w:tc>
        <w:tc>
          <w:tcPr>
            <w:tcW w:w="22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3,549,000</w:t>
            </w:r>
          </w:p>
        </w:tc>
        <w:tc>
          <w:tcPr>
            <w:tcW w:w="120" w:type="dxa"/>
            <w:vAlign w:val="bottom"/>
          </w:tcPr>
          <w:p>
            <w:pPr>
              <w:spacing w:after="0"/>
              <w:rPr>
                <w:sz w:val="20"/>
                <w:szCs w:val="20"/>
                <w:color w:val="auto"/>
              </w:rPr>
            </w:pPr>
          </w:p>
        </w:tc>
      </w:tr>
      <w:tr>
        <w:trPr>
          <w:trHeight w:val="215"/>
        </w:trPr>
        <w:tc>
          <w:tcPr>
            <w:tcW w:w="3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Catamaran CLO 2018-1 Ltd.</w:t>
            </w:r>
          </w:p>
        </w:tc>
        <w:tc>
          <w:tcPr>
            <w:tcW w:w="1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Subordinated</w:t>
            </w: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3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Notes</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8,965,723</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6,441,000</w:t>
            </w:r>
          </w:p>
        </w:tc>
        <w:tc>
          <w:tcPr>
            <w:tcW w:w="20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9,157,681</w:t>
            </w:r>
          </w:p>
        </w:tc>
        <w:tc>
          <w:tcPr>
            <w:tcW w:w="22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6,655,000</w:t>
            </w:r>
          </w:p>
        </w:tc>
        <w:tc>
          <w:tcPr>
            <w:tcW w:w="120" w:type="dxa"/>
            <w:vAlign w:val="bottom"/>
            <w:shd w:val="clear" w:color="auto" w:fill="CFF0FC"/>
          </w:tcPr>
          <w:p>
            <w:pPr>
              <w:spacing w:after="0"/>
              <w:rPr>
                <w:sz w:val="20"/>
                <w:szCs w:val="20"/>
                <w:color w:val="auto"/>
              </w:rPr>
            </w:pPr>
          </w:p>
        </w:tc>
      </w:tr>
      <w:tr>
        <w:trPr>
          <w:trHeight w:val="223"/>
        </w:trPr>
        <w:tc>
          <w:tcPr>
            <w:tcW w:w="33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35,264,540</w:t>
            </w:r>
          </w:p>
        </w:tc>
        <w:tc>
          <w:tcPr>
            <w:tcW w:w="2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   16,021,434</w:t>
            </w:r>
          </w:p>
        </w:tc>
        <w:tc>
          <w:tcPr>
            <w:tcW w:w="20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   45,727,813</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   19,582,555</w:t>
            </w:r>
          </w:p>
        </w:tc>
        <w:tc>
          <w:tcPr>
            <w:tcW w:w="120" w:type="dxa"/>
            <w:vAlign w:val="bottom"/>
          </w:tcPr>
          <w:p>
            <w:pPr>
              <w:spacing w:after="0"/>
              <w:rPr>
                <w:sz w:val="19"/>
                <w:szCs w:val="19"/>
                <w:color w:val="auto"/>
              </w:rPr>
            </w:pPr>
          </w:p>
        </w:tc>
      </w:tr>
      <w:tr>
        <w:trPr>
          <w:trHeight w:val="20"/>
        </w:trPr>
        <w:tc>
          <w:tcPr>
            <w:tcW w:w="3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hanging="372"/>
        <w:spacing w:after="0"/>
        <w:tabs>
          <w:tab w:leader="none" w:pos="380" w:val="left"/>
        </w:tabs>
        <w:numPr>
          <w:ilvl w:val="0"/>
          <w:numId w:val="85"/>
        </w:numPr>
        <w:rPr>
          <w:rFonts w:ascii="Arial" w:cs="Arial" w:eastAsia="Arial" w:hAnsi="Arial"/>
          <w:sz w:val="15"/>
          <w:szCs w:val="15"/>
          <w:color w:val="auto"/>
        </w:rPr>
      </w:pPr>
      <w:r>
        <w:rPr>
          <w:rFonts w:ascii="Arial" w:cs="Arial" w:eastAsia="Arial" w:hAnsi="Arial"/>
          <w:sz w:val="18"/>
          <w:szCs w:val="18"/>
          <w:color w:val="auto"/>
        </w:rPr>
        <w:t>Represents percentage of class held at March 31, 2021.</w:t>
      </w:r>
    </w:p>
    <w:p>
      <w:pPr>
        <w:spacing w:after="0" w:line="117" w:lineRule="exact"/>
        <w:rPr>
          <w:sz w:val="20"/>
          <w:szCs w:val="20"/>
          <w:color w:val="auto"/>
        </w:rPr>
      </w:pPr>
    </w:p>
    <w:p>
      <w:pPr>
        <w:ind w:left="380" w:hanging="372"/>
        <w:spacing w:after="0"/>
        <w:tabs>
          <w:tab w:leader="none" w:pos="380" w:val="left"/>
        </w:tabs>
        <w:numPr>
          <w:ilvl w:val="0"/>
          <w:numId w:val="86"/>
        </w:numPr>
        <w:rPr>
          <w:rFonts w:ascii="Arial" w:cs="Arial" w:eastAsia="Arial" w:hAnsi="Arial"/>
          <w:sz w:val="15"/>
          <w:szCs w:val="15"/>
          <w:color w:val="auto"/>
        </w:rPr>
      </w:pPr>
      <w:r>
        <w:rPr>
          <w:rFonts w:ascii="Arial" w:cs="Arial" w:eastAsia="Arial" w:hAnsi="Arial"/>
          <w:sz w:val="18"/>
          <w:szCs w:val="18"/>
          <w:color w:val="auto"/>
        </w:rPr>
        <w:t>As of December 31, 2020, the CLO Funds managed by Libremax were assigned to CLO Funds managed by non-affiliates.</w:t>
      </w:r>
    </w:p>
    <w:p>
      <w:pPr>
        <w:spacing w:after="0" w:line="333" w:lineRule="exact"/>
        <w:rPr>
          <w:sz w:val="20"/>
          <w:szCs w:val="20"/>
          <w:color w:val="auto"/>
        </w:rPr>
      </w:pPr>
    </w:p>
    <w:p>
      <w:pPr>
        <w:ind w:right="80" w:firstLine="374"/>
        <w:spacing w:after="0" w:line="271" w:lineRule="auto"/>
        <w:rPr>
          <w:sz w:val="20"/>
          <w:szCs w:val="20"/>
          <w:color w:val="auto"/>
        </w:rPr>
      </w:pPr>
      <w:r>
        <w:rPr>
          <w:rFonts w:ascii="Arial" w:cs="Arial" w:eastAsia="Arial" w:hAnsi="Arial"/>
          <w:sz w:val="17"/>
          <w:szCs w:val="17"/>
          <w:color w:val="auto"/>
        </w:rPr>
        <w:t>As a result of the severe economic consequences resulting from the COVID 19 pandemic, during the second quarter of 2020, the Company was notified that four of the Catamaran CLO Funds breached certain covenants contained in their respective indentures, and as a result, available cash within the CLO Fund will be diverted away from the subordinated notes owned by the Company and will be applied to more senior noteholders in the capital structure of the CLO Fund. It is also possible, based upon the severe economic consequences resulting from the COVID 19 pandemic, that additional CLO Fund Securities owned by the Company, and including the subordinated securities issued by Great Lakes KCAP F3C Senior LLC CLO, which are owned by the KCAP Freedom 3 Joint Venture, could also cease making distributions to the Company. As of March 31, 2021, three of the four CLO funds whose distributions to the Company had been temporarily interrupted in 2020 have resumed making distributions to the Company. The estimated timing and amount of future distributions, if any, from such other CLO Fund Securities is uncertain.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Joint Ventures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KCAP Freedom 3 LLC</w:t>
      </w:r>
    </w:p>
    <w:p>
      <w:pPr>
        <w:spacing w:after="0" w:line="121" w:lineRule="exact"/>
        <w:rPr>
          <w:sz w:val="20"/>
          <w:szCs w:val="20"/>
          <w:color w:val="auto"/>
        </w:rPr>
      </w:pPr>
    </w:p>
    <w:p>
      <w:pPr>
        <w:ind w:right="20" w:firstLine="374"/>
        <w:spacing w:after="0" w:line="254" w:lineRule="auto"/>
        <w:rPr>
          <w:sz w:val="20"/>
          <w:szCs w:val="20"/>
          <w:color w:val="auto"/>
        </w:rPr>
      </w:pPr>
      <w:r>
        <w:rPr>
          <w:rFonts w:ascii="Arial" w:cs="Arial" w:eastAsia="Arial" w:hAnsi="Arial"/>
          <w:sz w:val="18"/>
          <w:szCs w:val="18"/>
          <w:color w:val="auto"/>
        </w:rPr>
        <w:t>During the third quarter of 2017, we and Freedom 3 Opportunities LLC (“Freedom 3 Opportunities”), an affiliate of Freedom 3 Capital LLC, entered into an agreement to create KCAP Freedom 3 LLC (the “Joint Venture”). We contributed approximately $37 million and Freedom 3 Opportunities contributed approximately $25 million, in assets to the Joint Venture, which in turn used the assets to capitalize a new fund, Great Lakes KCAP F3C Senior Funding L.L.C. (formerly known as KCAP F3C Senior Funding, L.L.C.) (the “Fund”) managed by KCAP Management, LLC, one of the Asset Manager Affiliates. In addition, the Fund used cash on hand and borrowings under a credit facility to purchase approximately $184 million of primarily middle-market loans from us and we used the proceeds from such sale to redeem approximately $147 million in debt issued by KCAP Senior Funding I, LLC (“KCAP Senior Funding”). The Fund invests primarily in middle-market loans and the Joint Venture partners may source middle-market loans from time-to-time for the Fund.</w:t>
      </w:r>
    </w:p>
    <w:p>
      <w:pPr>
        <w:spacing w:after="0" w:line="84" w:lineRule="exact"/>
        <w:rPr>
          <w:sz w:val="20"/>
          <w:szCs w:val="20"/>
          <w:color w:val="auto"/>
        </w:rPr>
      </w:pPr>
    </w:p>
    <w:p>
      <w:pPr>
        <w:ind w:right="20" w:firstLine="374"/>
        <w:spacing w:after="0" w:line="296" w:lineRule="auto"/>
        <w:rPr>
          <w:sz w:val="20"/>
          <w:szCs w:val="20"/>
          <w:color w:val="auto"/>
        </w:rPr>
      </w:pPr>
      <w:r>
        <w:rPr>
          <w:rFonts w:ascii="Arial" w:cs="Arial" w:eastAsia="Arial" w:hAnsi="Arial"/>
          <w:sz w:val="16"/>
          <w:szCs w:val="16"/>
          <w:color w:val="auto"/>
        </w:rPr>
        <w:t>During the fourth quarter of 2017, the Fund was refinanced through the issuance of senior and subordinated notes. The Joint Venture purchased 100% of the subordinated notes issued by the Fund. In connection with the refinancing, the Joint Venture made a cash distribution to us of approximately $12.6 million. $11.8 million of this distribution was a return of capital, reducing the cost basis of our investment in the Joint Venture by that amount. The final determination of the tax attributes of distributions from the Joint Venture is made on an annual (full calendar year) basis at the end of the year, therefore, any estimate of tax attributes of distributions made on an interim basis may not be representative of the actual tax attributes of distributions for the full year.</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4" w:name="page85"/>
    <w:bookmarkEnd w:id="84"/>
    <w:p>
      <w:pPr>
        <w:ind w:right="120" w:firstLine="374"/>
        <w:spacing w:after="0" w:line="301" w:lineRule="auto"/>
        <w:rPr>
          <w:sz w:val="20"/>
          <w:szCs w:val="20"/>
          <w:color w:val="auto"/>
        </w:rPr>
      </w:pPr>
      <w:r>
        <w:rPr>
          <w:rFonts w:ascii="Arial" w:cs="Arial" w:eastAsia="Arial" w:hAnsi="Arial"/>
          <w:sz w:val="16"/>
          <w:szCs w:val="16"/>
          <w:color w:val="auto"/>
        </w:rPr>
        <w:t>In connection with the Externalization, during the first quarter of 2019, KCAP Management agreed to waive management fees it is otherwise entitled to receive for managing the Fund. In addition, the Joint Venture was restructured such that we are now entitled to receive a preferred distribution in an amount equal to the fees waived by KCAP Management. The impact of these transactions was a reduction in the fair value of the Asset Manager Affiliates (realized loss) and increase the fair value of our investment in the Joint Venture (unrealized gain) during the first quarter of 2019.</w:t>
      </w:r>
    </w:p>
    <w:p>
      <w:pPr>
        <w:spacing w:after="0" w:line="130" w:lineRule="exact"/>
        <w:rPr>
          <w:sz w:val="20"/>
          <w:szCs w:val="20"/>
          <w:color w:val="auto"/>
        </w:rPr>
      </w:pPr>
    </w:p>
    <w:p>
      <w:pPr>
        <w:ind w:right="60" w:firstLine="374"/>
        <w:spacing w:after="0" w:line="275" w:lineRule="auto"/>
        <w:rPr>
          <w:sz w:val="20"/>
          <w:szCs w:val="20"/>
          <w:color w:val="auto"/>
        </w:rPr>
      </w:pPr>
      <w:r>
        <w:rPr>
          <w:rFonts w:ascii="Arial" w:cs="Arial" w:eastAsia="Arial" w:hAnsi="Arial"/>
          <w:sz w:val="17"/>
          <w:szCs w:val="17"/>
          <w:color w:val="auto"/>
        </w:rPr>
        <w:t>While we own a 60% interest in the Joint Venture, the Joint Venture is structured as an unconsolidated Delaware limited liability company. All portfolio and other material decisions regarding the Joint Venture must be submitted to its board of managers, which is comprised of four members, two of whom were selected by us and two of whom were selected by Freedom 3 Opportunities, and must be approved by at least one member appointed by us and one appointed by Freedom 3 Opportunities. In addition, certain matters may be approved by the Joint Venture’s investment committee, which is comprised of one member appointed by us and one member appointed by Freedom 3 Opportunities.</w:t>
      </w:r>
    </w:p>
    <w:p>
      <w:pPr>
        <w:spacing w:after="0" w:line="136" w:lineRule="exact"/>
        <w:rPr>
          <w:sz w:val="20"/>
          <w:szCs w:val="20"/>
          <w:color w:val="auto"/>
        </w:rPr>
      </w:pPr>
    </w:p>
    <w:p>
      <w:pPr>
        <w:ind w:right="340" w:firstLine="374"/>
        <w:spacing w:after="0" w:line="257" w:lineRule="auto"/>
        <w:rPr>
          <w:sz w:val="20"/>
          <w:szCs w:val="20"/>
          <w:color w:val="auto"/>
        </w:rPr>
      </w:pPr>
      <w:r>
        <w:rPr>
          <w:rFonts w:ascii="Arial" w:cs="Arial" w:eastAsia="Arial" w:hAnsi="Arial"/>
          <w:sz w:val="18"/>
          <w:szCs w:val="18"/>
          <w:color w:val="auto"/>
        </w:rPr>
        <w:t>We have determined that the Joint Venture is an investment company under Accounting Standards Codification (“ASC”), Financial Services — Investment Companies (“ASC 946”), however, in accordance with such guidance, we will generally not consolidate our investment in a company other than a wholly owned investment company subsidiary or a controlled operating company whose business consists of providing services to us. We do not consolidate its interest in the Joint Venture because we do not control the Joint Venture due to allocation of the voting rights among the Joint Venture partners.</w:t>
      </w:r>
    </w:p>
    <w:p>
      <w:pPr>
        <w:spacing w:after="0" w:line="14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KCAP Freedom 3 LLC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Summarized Statement of Financial Condition</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3"/>
          </w:tcPr>
          <w:p>
            <w:pPr>
              <w:jc w:val="center"/>
              <w:ind w:right="680"/>
              <w:spacing w:after="0"/>
              <w:rPr>
                <w:sz w:val="20"/>
                <w:szCs w:val="20"/>
                <w:color w:val="auto"/>
              </w:rPr>
            </w:pPr>
            <w:r>
              <w:rPr>
                <w:rFonts w:ascii="Arial" w:cs="Arial" w:eastAsia="Arial" w:hAnsi="Arial"/>
                <w:sz w:val="18"/>
                <w:szCs w:val="18"/>
                <w:b w:val="1"/>
                <w:bCs w:val="1"/>
                <w:color w:val="auto"/>
                <w:w w:val="88"/>
              </w:rPr>
              <w:t>As of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70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91"/>
              </w:rPr>
              <w:t>As of March 31,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0"/>
              </w:rPr>
              <w:t>December 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56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center"/>
              <w:ind w:right="450"/>
              <w:spacing w:after="0"/>
              <w:rPr>
                <w:sz w:val="20"/>
                <w:szCs w:val="20"/>
                <w:color w:val="auto"/>
              </w:rPr>
            </w:pPr>
            <w:r>
              <w:rPr>
                <w:rFonts w:ascii="Arial" w:cs="Arial" w:eastAsia="Arial" w:hAnsi="Arial"/>
                <w:sz w:val="18"/>
                <w:szCs w:val="18"/>
                <w:b w:val="1"/>
                <w:bCs w:val="1"/>
                <w:color w:val="auto"/>
                <w:w w:val="89"/>
              </w:rPr>
              <w:t>2021</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center"/>
              <w:ind w:right="470"/>
              <w:spacing w:after="0"/>
              <w:rPr>
                <w:sz w:val="20"/>
                <w:szCs w:val="20"/>
                <w:color w:val="auto"/>
              </w:rPr>
            </w:pPr>
            <w:r>
              <w:rPr>
                <w:rFonts w:ascii="Arial" w:cs="Arial" w:eastAsia="Arial" w:hAnsi="Arial"/>
                <w:sz w:val="18"/>
                <w:szCs w:val="18"/>
                <w:b w:val="1"/>
                <w:bCs w:val="1"/>
                <w:color w:val="auto"/>
                <w:w w:val="89"/>
              </w:rPr>
              <w:t>2020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56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170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91"/>
              </w:rPr>
              <w:t>(unaudited)</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Investment at fair value</w:t>
            </w:r>
          </w:p>
        </w:tc>
        <w:tc>
          <w:tcPr>
            <w:tcW w:w="414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32,800,691</w:t>
            </w: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31,404,100</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Assets</w:t>
            </w:r>
          </w:p>
        </w:tc>
        <w:tc>
          <w:tcPr>
            <w:tcW w:w="4140" w:type="dxa"/>
            <w:vAlign w:val="bottom"/>
            <w:tcBorders>
              <w:bottom w:val="single" w:sz="8" w:color="CFF0FC"/>
            </w:tcBorders>
          </w:tcPr>
          <w:p>
            <w:pPr>
              <w:spacing w:after="0"/>
              <w:rPr>
                <w:sz w:val="22"/>
                <w:szCs w:val="22"/>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32,800,691</w:t>
            </w:r>
          </w:p>
        </w:tc>
        <w:tc>
          <w:tcPr>
            <w:tcW w:w="28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31,404,100</w:t>
            </w:r>
          </w:p>
        </w:tc>
        <w:tc>
          <w:tcPr>
            <w:tcW w:w="2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4140" w:type="dxa"/>
            <w:vAlign w:val="bottom"/>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182,389</w:t>
            </w:r>
          </w:p>
        </w:tc>
        <w:tc>
          <w:tcPr>
            <w:tcW w:w="280" w:type="dxa"/>
            <w:vAlign w:val="bottom"/>
            <w:shd w:val="clear" w:color="auto" w:fill="CFF0FC"/>
          </w:tcPr>
          <w:p>
            <w:pPr>
              <w:spacing w:after="0"/>
              <w:rPr>
                <w:sz w:val="18"/>
                <w:szCs w:val="18"/>
                <w:color w:val="auto"/>
              </w:rPr>
            </w:pPr>
          </w:p>
        </w:tc>
        <w:tc>
          <w:tcPr>
            <w:tcW w:w="220" w:type="dxa"/>
            <w:vAlign w:val="bottom"/>
            <w:tcBorders>
              <w:bottom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167,389</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Equity</w:t>
            </w:r>
          </w:p>
        </w:tc>
        <w:tc>
          <w:tcPr>
            <w:tcW w:w="414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32,618,302</w:t>
            </w:r>
          </w:p>
        </w:tc>
        <w:tc>
          <w:tcPr>
            <w:tcW w:w="28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31,236,711</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and Equity</w:t>
            </w:r>
          </w:p>
        </w:tc>
        <w:tc>
          <w:tcPr>
            <w:tcW w:w="414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32,800,691</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31,404,100</w:t>
            </w: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3560" w:type="dxa"/>
            <w:vAlign w:val="bottom"/>
          </w:tcPr>
          <w:p>
            <w:pPr>
              <w:spacing w:after="0"/>
              <w:rPr>
                <w:sz w:val="24"/>
                <w:szCs w:val="24"/>
                <w:color w:val="auto"/>
              </w:rPr>
            </w:pPr>
          </w:p>
        </w:tc>
        <w:tc>
          <w:tcPr>
            <w:tcW w:w="4660" w:type="dxa"/>
            <w:vAlign w:val="bottom"/>
            <w:gridSpan w:val="3"/>
          </w:tcPr>
          <w:p>
            <w:pPr>
              <w:jc w:val="center"/>
              <w:ind w:right="467"/>
              <w:spacing w:after="0"/>
              <w:rPr>
                <w:sz w:val="20"/>
                <w:szCs w:val="20"/>
                <w:color w:val="auto"/>
              </w:rPr>
            </w:pPr>
            <w:r>
              <w:rPr>
                <w:rFonts w:ascii="Arial" w:cs="Arial" w:eastAsia="Arial" w:hAnsi="Arial"/>
                <w:sz w:val="18"/>
                <w:szCs w:val="18"/>
                <w:b w:val="1"/>
                <w:bCs w:val="1"/>
                <w:color w:val="auto"/>
                <w:w w:val="96"/>
              </w:rPr>
              <w:t>KCAP Freedom 3 LLC</w:t>
            </w: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560" w:type="dxa"/>
            <w:vAlign w:val="bottom"/>
          </w:tcPr>
          <w:p>
            <w:pPr>
              <w:spacing w:after="0"/>
              <w:rPr>
                <w:sz w:val="18"/>
                <w:szCs w:val="18"/>
                <w:color w:val="auto"/>
              </w:rPr>
            </w:pPr>
          </w:p>
        </w:tc>
        <w:tc>
          <w:tcPr>
            <w:tcW w:w="4660" w:type="dxa"/>
            <w:vAlign w:val="bottom"/>
            <w:gridSpan w:val="3"/>
          </w:tcPr>
          <w:p>
            <w:pPr>
              <w:jc w:val="center"/>
              <w:ind w:right="447"/>
              <w:spacing w:after="0"/>
              <w:rPr>
                <w:sz w:val="20"/>
                <w:szCs w:val="20"/>
                <w:color w:val="auto"/>
              </w:rPr>
            </w:pPr>
            <w:r>
              <w:rPr>
                <w:rFonts w:ascii="Arial" w:cs="Arial" w:eastAsia="Arial" w:hAnsi="Arial"/>
                <w:sz w:val="18"/>
                <w:szCs w:val="18"/>
                <w:color w:val="auto"/>
                <w:w w:val="89"/>
              </w:rPr>
              <w:t>Summarized Statement of Operations</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tcPr>
          <w:p>
            <w:pPr>
              <w:spacing w:after="0"/>
              <w:rPr>
                <w:sz w:val="20"/>
                <w:szCs w:val="20"/>
                <w:color w:val="auto"/>
              </w:rPr>
            </w:pPr>
          </w:p>
        </w:tc>
        <w:tc>
          <w:tcPr>
            <w:tcW w:w="4660" w:type="dxa"/>
            <w:vAlign w:val="bottom"/>
            <w:gridSpan w:val="3"/>
          </w:tcPr>
          <w:p>
            <w:pPr>
              <w:jc w:val="center"/>
              <w:ind w:right="467"/>
              <w:spacing w:after="0"/>
              <w:rPr>
                <w:sz w:val="20"/>
                <w:szCs w:val="20"/>
                <w:color w:val="auto"/>
              </w:rPr>
            </w:pPr>
            <w:r>
              <w:rPr>
                <w:rFonts w:ascii="Arial" w:cs="Arial" w:eastAsia="Arial" w:hAnsi="Arial"/>
                <w:sz w:val="18"/>
                <w:szCs w:val="18"/>
                <w:color w:val="auto"/>
                <w:w w:val="92"/>
              </w:rPr>
              <w:t>(unaudited)</w:t>
            </w: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356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20" w:type="dxa"/>
            <w:vAlign w:val="bottom"/>
            <w:gridSpan w:val="9"/>
          </w:tcPr>
          <w:p>
            <w:pPr>
              <w:jc w:val="right"/>
              <w:ind w:right="380"/>
              <w:spacing w:after="0"/>
              <w:rPr>
                <w:sz w:val="20"/>
                <w:szCs w:val="20"/>
                <w:color w:val="auto"/>
              </w:rPr>
            </w:pPr>
            <w:r>
              <w:rPr>
                <w:rFonts w:ascii="Arial" w:cs="Arial" w:eastAsia="Arial" w:hAnsi="Arial"/>
                <w:sz w:val="18"/>
                <w:szCs w:val="18"/>
                <w:b w:val="1"/>
                <w:bCs w:val="1"/>
                <w:color w:val="auto"/>
                <w:w w:val="98"/>
              </w:rPr>
              <w:t>Three Months Ended March 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560" w:type="dxa"/>
            <w:vAlign w:val="bottom"/>
            <w:tcBorders>
              <w:bottom w:val="single" w:sz="8" w:color="CFF0FC"/>
            </w:tcBorders>
          </w:tcPr>
          <w:p>
            <w:pPr>
              <w:spacing w:after="0"/>
              <w:rPr>
                <w:sz w:val="20"/>
                <w:szCs w:val="20"/>
                <w:color w:val="auto"/>
              </w:rPr>
            </w:pPr>
          </w:p>
        </w:tc>
        <w:tc>
          <w:tcPr>
            <w:tcW w:w="4140" w:type="dxa"/>
            <w:vAlign w:val="bottom"/>
            <w:tcBorders>
              <w:bottom w:val="single" w:sz="8" w:color="CFF0FC"/>
            </w:tcBorders>
          </w:tcPr>
          <w:p>
            <w:pPr>
              <w:spacing w:after="0"/>
              <w:rPr>
                <w:sz w:val="20"/>
                <w:szCs w:val="20"/>
                <w:color w:val="auto"/>
              </w:rPr>
            </w:pPr>
          </w:p>
        </w:tc>
        <w:tc>
          <w:tcPr>
            <w:tcW w:w="440" w:type="dxa"/>
            <w:vAlign w:val="bottom"/>
            <w:tcBorders>
              <w:bottom w:val="single" w:sz="8" w:color="CFF0FC"/>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Investment income</w:t>
            </w:r>
          </w:p>
        </w:tc>
        <w:tc>
          <w:tcPr>
            <w:tcW w:w="4580" w:type="dxa"/>
            <w:vAlign w:val="bottom"/>
            <w:gridSpan w:val="2"/>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1,534,839</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1,217,413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expenses</w:t>
            </w:r>
          </w:p>
        </w:tc>
        <w:tc>
          <w:tcPr>
            <w:tcW w:w="4140" w:type="dxa"/>
            <w:vAlign w:val="bottom"/>
            <w:tcBorders>
              <w:bottom w:val="single" w:sz="8" w:color="CFF0FC"/>
            </w:tcBorders>
          </w:tcPr>
          <w:p>
            <w:pPr>
              <w:spacing w:after="0"/>
              <w:rPr>
                <w:sz w:val="19"/>
                <w:szCs w:val="19"/>
                <w:color w:val="auto"/>
              </w:rPr>
            </w:pPr>
          </w:p>
        </w:tc>
        <w:tc>
          <w:tcPr>
            <w:tcW w:w="4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16,155</w:t>
            </w:r>
          </w:p>
        </w:tc>
        <w:tc>
          <w:tcPr>
            <w:tcW w:w="14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20,000</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Net investment income</w:t>
            </w:r>
          </w:p>
        </w:tc>
        <w:tc>
          <w:tcPr>
            <w:tcW w:w="4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1,518,684</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1,197,413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Unrealized appreciation on investments</w:t>
            </w:r>
          </w:p>
        </w:tc>
        <w:tc>
          <w:tcPr>
            <w:tcW w:w="4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1,766,005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(11,199,316)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458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3,284,689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(10,001,903)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4140" w:type="dxa"/>
            <w:vAlign w:val="bottom"/>
            <w:vMerge w:val="restart"/>
          </w:tcPr>
          <w:p>
            <w:pPr>
              <w:jc w:val="center"/>
              <w:spacing w:after="0"/>
              <w:rPr>
                <w:sz w:val="20"/>
                <w:szCs w:val="20"/>
                <w:color w:val="auto"/>
              </w:rPr>
            </w:pPr>
            <w:r>
              <w:rPr>
                <w:rFonts w:ascii="Arial" w:cs="Arial" w:eastAsia="Arial" w:hAnsi="Arial"/>
                <w:sz w:val="18"/>
                <w:szCs w:val="18"/>
                <w:color w:val="auto"/>
                <w:w w:val="89"/>
              </w:rPr>
              <w:t>85</w:t>
            </w: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560" w:type="dxa"/>
            <w:vAlign w:val="bottom"/>
          </w:tcPr>
          <w:p>
            <w:pPr>
              <w:spacing w:after="0"/>
              <w:rPr>
                <w:sz w:val="24"/>
                <w:szCs w:val="24"/>
                <w:color w:val="auto"/>
              </w:rPr>
            </w:pPr>
          </w:p>
        </w:tc>
        <w:tc>
          <w:tcPr>
            <w:tcW w:w="414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560" w:type="dxa"/>
            <w:vAlign w:val="bottom"/>
            <w:tcBorders>
              <w:bottom w:val="single" w:sz="8" w:color="9A9A9A"/>
            </w:tcBorders>
          </w:tcPr>
          <w:p>
            <w:pPr>
              <w:spacing w:after="0"/>
              <w:rPr>
                <w:sz w:val="10"/>
                <w:szCs w:val="10"/>
                <w:color w:val="auto"/>
              </w:rPr>
            </w:pPr>
          </w:p>
        </w:tc>
        <w:tc>
          <w:tcPr>
            <w:tcW w:w="41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20"/>
        </w:trPr>
        <w:tc>
          <w:tcPr>
            <w:tcW w:w="3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540" w:type="dxa"/>
            <w:vAlign w:val="bottom"/>
            <w:gridSpan w:val="2"/>
          </w:tcPr>
          <w:p>
            <w:pPr>
              <w:jc w:val="center"/>
              <w:ind w:left="1050"/>
              <w:spacing w:after="0"/>
              <w:rPr>
                <w:sz w:val="20"/>
                <w:szCs w:val="20"/>
                <w:color w:val="auto"/>
              </w:rPr>
            </w:pPr>
            <w:r>
              <w:rPr>
                <w:rFonts w:ascii="Arial" w:cs="Arial" w:eastAsia="Arial" w:hAnsi="Arial"/>
                <w:sz w:val="18"/>
                <w:szCs w:val="18"/>
                <w:b w:val="1"/>
                <w:bCs w:val="1"/>
                <w:color w:val="auto"/>
                <w:w w:val="96"/>
              </w:rPr>
              <w:t>KCAP Freedom 3 LLC</w:t>
            </w: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540" w:type="dxa"/>
            <w:vAlign w:val="bottom"/>
            <w:gridSpan w:val="2"/>
          </w:tcPr>
          <w:p>
            <w:pPr>
              <w:jc w:val="center"/>
              <w:ind w:left="1050"/>
              <w:spacing w:after="0"/>
              <w:rPr>
                <w:sz w:val="20"/>
                <w:szCs w:val="20"/>
                <w:color w:val="auto"/>
              </w:rPr>
            </w:pPr>
            <w:r>
              <w:rPr>
                <w:rFonts w:ascii="Arial" w:cs="Arial" w:eastAsia="Arial" w:hAnsi="Arial"/>
                <w:sz w:val="18"/>
                <w:szCs w:val="18"/>
                <w:color w:val="auto"/>
                <w:w w:val="89"/>
              </w:rPr>
              <w:t>Schedule of Investments</w:t>
            </w: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540" w:type="dxa"/>
            <w:vAlign w:val="bottom"/>
            <w:gridSpan w:val="2"/>
          </w:tcPr>
          <w:p>
            <w:pPr>
              <w:jc w:val="center"/>
              <w:ind w:left="1070"/>
              <w:spacing w:after="0"/>
              <w:rPr>
                <w:sz w:val="20"/>
                <w:szCs w:val="20"/>
                <w:color w:val="auto"/>
              </w:rPr>
            </w:pPr>
            <w:r>
              <w:rPr>
                <w:rFonts w:ascii="Arial" w:cs="Arial" w:eastAsia="Arial" w:hAnsi="Arial"/>
                <w:sz w:val="18"/>
                <w:szCs w:val="18"/>
                <w:color w:val="auto"/>
                <w:w w:val="91"/>
              </w:rPr>
              <w:t>March 31, 2021</w:t>
            </w: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540" w:type="dxa"/>
            <w:vAlign w:val="bottom"/>
            <w:gridSpan w:val="2"/>
          </w:tcPr>
          <w:p>
            <w:pPr>
              <w:jc w:val="center"/>
              <w:ind w:left="1050"/>
              <w:spacing w:after="0"/>
              <w:rPr>
                <w:sz w:val="20"/>
                <w:szCs w:val="20"/>
                <w:color w:val="auto"/>
              </w:rPr>
            </w:pPr>
            <w:r>
              <w:rPr>
                <w:rFonts w:ascii="Arial" w:cs="Arial" w:eastAsia="Arial" w:hAnsi="Arial"/>
                <w:sz w:val="18"/>
                <w:szCs w:val="18"/>
                <w:color w:val="auto"/>
                <w:w w:val="92"/>
              </w:rPr>
              <w:t>(unaudited)</w:t>
            </w:r>
          </w:p>
        </w:tc>
        <w:tc>
          <w:tcPr>
            <w:tcW w:w="156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w w:val="86"/>
              </w:rPr>
              <w:t>Percentage</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3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Ownership</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by Joint</w:t>
            </w:r>
          </w:p>
        </w:tc>
        <w:tc>
          <w:tcPr>
            <w:tcW w:w="140" w:type="dxa"/>
            <w:vAlign w:val="bottom"/>
          </w:tcPr>
          <w:p>
            <w:pPr>
              <w:spacing w:after="0"/>
              <w:rPr>
                <w:sz w:val="18"/>
                <w:szCs w:val="18"/>
                <w:color w:val="auto"/>
              </w:rPr>
            </w:pPr>
          </w:p>
        </w:tc>
        <w:tc>
          <w:tcPr>
            <w:tcW w:w="1360" w:type="dxa"/>
            <w:vAlign w:val="bottom"/>
            <w:gridSpan w:val="2"/>
          </w:tcPr>
          <w:p>
            <w:pPr>
              <w:ind w:left="60"/>
              <w:spacing w:after="0"/>
              <w:rPr>
                <w:sz w:val="20"/>
                <w:szCs w:val="20"/>
                <w:color w:val="auto"/>
              </w:rPr>
            </w:pPr>
            <w:r>
              <w:rPr>
                <w:rFonts w:ascii="Arial" w:cs="Arial" w:eastAsia="Arial" w:hAnsi="Arial"/>
                <w:sz w:val="18"/>
                <w:szCs w:val="18"/>
                <w:b w:val="1"/>
                <w:bCs w:val="1"/>
                <w:color w:val="auto"/>
              </w:rPr>
              <w:t>Amortized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80" w:type="dxa"/>
            <w:vAlign w:val="bottom"/>
            <w:gridSpan w:val="2"/>
          </w:tcPr>
          <w:p>
            <w:pPr>
              <w:spacing w:after="0"/>
              <w:rPr>
                <w:sz w:val="20"/>
                <w:szCs w:val="20"/>
                <w:color w:val="auto"/>
              </w:rPr>
            </w:pPr>
            <w:r>
              <w:rPr>
                <w:rFonts w:ascii="Arial" w:cs="Arial" w:eastAsia="Arial" w:hAnsi="Arial"/>
                <w:sz w:val="18"/>
                <w:szCs w:val="18"/>
                <w:b w:val="1"/>
                <w:bCs w:val="1"/>
                <w:color w:val="auto"/>
              </w:rPr>
              <w:t>Portfolio Company</w:t>
            </w:r>
          </w:p>
        </w:tc>
        <w:tc>
          <w:tcPr>
            <w:tcW w:w="3540" w:type="dxa"/>
            <w:vAlign w:val="bottom"/>
            <w:gridSpan w:val="2"/>
          </w:tcPr>
          <w:p>
            <w:pPr>
              <w:ind w:left="1260"/>
              <w:spacing w:after="0"/>
              <w:rPr>
                <w:sz w:val="20"/>
                <w:szCs w:val="20"/>
                <w:color w:val="auto"/>
              </w:rPr>
            </w:pPr>
            <w:r>
              <w:rPr>
                <w:rFonts w:ascii="Arial" w:cs="Arial" w:eastAsia="Arial" w:hAnsi="Arial"/>
                <w:sz w:val="18"/>
                <w:szCs w:val="18"/>
                <w:b w:val="1"/>
                <w:bCs w:val="1"/>
                <w:color w:val="auto"/>
              </w:rPr>
              <w:t>Investment</w:t>
            </w: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Venture</w:t>
            </w:r>
          </w:p>
        </w:tc>
        <w:tc>
          <w:tcPr>
            <w:tcW w:w="140" w:type="dxa"/>
            <w:vAlign w:val="bottom"/>
          </w:tcPr>
          <w:p>
            <w:pPr>
              <w:spacing w:after="0"/>
              <w:rPr>
                <w:sz w:val="20"/>
                <w:szCs w:val="20"/>
                <w:color w:val="auto"/>
              </w:rPr>
            </w:pPr>
          </w:p>
        </w:tc>
        <w:tc>
          <w:tcPr>
            <w:tcW w:w="1360" w:type="dxa"/>
            <w:vAlign w:val="bottom"/>
            <w:gridSpan w:val="2"/>
          </w:tcPr>
          <w:p>
            <w:pPr>
              <w:ind w:left="300"/>
              <w:spacing w:after="0"/>
              <w:rPr>
                <w:sz w:val="20"/>
                <w:szCs w:val="20"/>
                <w:color w:val="auto"/>
              </w:rPr>
            </w:pPr>
            <w:r>
              <w:rPr>
                <w:rFonts w:ascii="Arial" w:cs="Arial" w:eastAsia="Arial" w:hAnsi="Arial"/>
                <w:sz w:val="18"/>
                <w:szCs w:val="18"/>
                <w:b w:val="1"/>
                <w:bCs w:val="1"/>
                <w:color w:val="auto"/>
              </w:rPr>
              <w:t>Cost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09"/>
        </w:trPr>
        <w:tc>
          <w:tcPr>
            <w:tcW w:w="3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5"/>
              </w:rPr>
              <w:t>Great Lakes KCAP F3C Senior, LLC</w:t>
            </w:r>
            <w:r>
              <w:rPr>
                <w:rFonts w:ascii="Arial" w:cs="Arial" w:eastAsia="Arial" w:hAnsi="Arial"/>
                <w:sz w:val="15"/>
                <w:szCs w:val="15"/>
                <w:color w:val="auto"/>
                <w:w w:val="95"/>
              </w:rPr>
              <w:t>(1)(2)</w:t>
            </w:r>
          </w:p>
        </w:tc>
        <w:tc>
          <w:tcPr>
            <w:tcW w:w="140" w:type="dxa"/>
            <w:vAlign w:val="bottom"/>
            <w:tcBorders>
              <w:top w:val="single" w:sz="8" w:color="CFF0FC"/>
            </w:tcBorders>
            <w:shd w:val="clear" w:color="auto" w:fill="CFF0FC"/>
          </w:tcPr>
          <w:p>
            <w:pPr>
              <w:spacing w:after="0"/>
              <w:rPr>
                <w:sz w:val="18"/>
                <w:szCs w:val="18"/>
                <w:color w:val="auto"/>
              </w:rPr>
            </w:pPr>
          </w:p>
        </w:tc>
        <w:tc>
          <w:tcPr>
            <w:tcW w:w="34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Subordinated Securities, effective interest</w:t>
            </w:r>
          </w:p>
        </w:tc>
        <w:tc>
          <w:tcPr>
            <w:tcW w:w="120" w:type="dxa"/>
            <w:vAlign w:val="bottom"/>
            <w:tcBorders>
              <w:top w:val="single" w:sz="8" w:color="CFF0FC"/>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6.8%, 12/29 maturity</w:t>
            </w:r>
          </w:p>
        </w:tc>
        <w:tc>
          <w:tcPr>
            <w:tcW w:w="15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ind w:left="300"/>
              <w:spacing w:after="0"/>
              <w:rPr>
                <w:sz w:val="20"/>
                <w:szCs w:val="20"/>
                <w:color w:val="auto"/>
              </w:rPr>
            </w:pPr>
            <w:r>
              <w:rPr>
                <w:rFonts w:ascii="Arial" w:cs="Arial" w:eastAsia="Arial" w:hAnsi="Arial"/>
                <w:sz w:val="18"/>
                <w:szCs w:val="18"/>
                <w:color w:val="auto"/>
                <w:w w:val="88"/>
              </w:rPr>
              <w:t>38,616,799</w:t>
            </w:r>
          </w:p>
        </w:tc>
        <w:tc>
          <w:tcPr>
            <w:tcW w:w="240" w:type="dxa"/>
            <w:vAlign w:val="bottom"/>
            <w:shd w:val="clear" w:color="auto" w:fill="CFF0FC"/>
          </w:tcPr>
          <w:p>
            <w:pPr>
              <w:spacing w:after="0"/>
              <w:rPr>
                <w:sz w:val="20"/>
                <w:szCs w:val="20"/>
                <w:color w:val="auto"/>
              </w:rPr>
            </w:pPr>
          </w:p>
        </w:tc>
        <w:tc>
          <w:tcPr>
            <w:tcW w:w="160" w:type="dxa"/>
            <w:vAlign w:val="bottom"/>
            <w:gridSpan w:val="2"/>
            <w:shd w:val="clear" w:color="auto" w:fill="CFF0FC"/>
          </w:tcPr>
          <w:p>
            <w:pPr>
              <w:jc w:val="right"/>
              <w:ind w:right="29"/>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32,800,691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280" w:type="dxa"/>
            <w:vAlign w:val="bottom"/>
            <w:gridSpan w:val="2"/>
          </w:tcPr>
          <w:p>
            <w:pPr>
              <w:spacing w:after="0"/>
              <w:rPr>
                <w:sz w:val="20"/>
                <w:szCs w:val="20"/>
                <w:color w:val="auto"/>
              </w:rPr>
            </w:pPr>
            <w:r>
              <w:rPr>
                <w:rFonts w:ascii="Arial" w:cs="Arial" w:eastAsia="Arial" w:hAnsi="Arial"/>
                <w:sz w:val="18"/>
                <w:szCs w:val="18"/>
                <w:b w:val="1"/>
                <w:bCs w:val="1"/>
                <w:color w:val="auto"/>
              </w:rPr>
              <w:t>Total Investments</w:t>
            </w:r>
          </w:p>
        </w:tc>
        <w:tc>
          <w:tcPr>
            <w:tcW w:w="3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b w:val="1"/>
                <w:bCs w:val="1"/>
                <w:color w:val="auto"/>
                <w:w w:val="88"/>
              </w:rPr>
              <w:t>38,616,799</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32,800,691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77" w:lineRule="exact"/>
        <w:rPr>
          <w:sz w:val="20"/>
          <w:szCs w:val="20"/>
          <w:color w:val="auto"/>
        </w:rPr>
      </w:pPr>
    </w:p>
    <w:p>
      <w:pPr>
        <w:ind w:left="380" w:right="160" w:hanging="372"/>
        <w:spacing w:after="0" w:line="254" w:lineRule="auto"/>
        <w:tabs>
          <w:tab w:leader="none" w:pos="380" w:val="left"/>
        </w:tabs>
        <w:numPr>
          <w:ilvl w:val="0"/>
          <w:numId w:val="87"/>
        </w:numPr>
        <w:rPr>
          <w:rFonts w:ascii="Arial" w:cs="Arial" w:eastAsia="Arial" w:hAnsi="Arial"/>
          <w:sz w:val="15"/>
          <w:szCs w:val="15"/>
          <w:color w:val="auto"/>
        </w:rPr>
      </w:pPr>
      <w:r>
        <w:rPr>
          <w:rFonts w:ascii="Arial" w:cs="Arial" w:eastAsia="Arial" w:hAnsi="Arial"/>
          <w:sz w:val="18"/>
          <w:szCs w:val="18"/>
          <w:color w:val="auto"/>
        </w:rPr>
        <w:t>CLO Subordinated Investments 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spacing w:after="0" w:line="2" w:lineRule="exact"/>
        <w:rPr>
          <w:rFonts w:ascii="Arial" w:cs="Arial" w:eastAsia="Arial" w:hAnsi="Arial"/>
          <w:sz w:val="15"/>
          <w:szCs w:val="15"/>
          <w:color w:val="auto"/>
        </w:rPr>
      </w:pPr>
    </w:p>
    <w:p>
      <w:pPr>
        <w:ind w:left="380" w:right="640" w:hanging="372"/>
        <w:spacing w:after="0" w:line="260" w:lineRule="auto"/>
        <w:tabs>
          <w:tab w:leader="none" w:pos="380" w:val="left"/>
        </w:tabs>
        <w:numPr>
          <w:ilvl w:val="0"/>
          <w:numId w:val="87"/>
        </w:numPr>
        <w:rPr>
          <w:rFonts w:ascii="Arial" w:cs="Arial" w:eastAsia="Arial" w:hAnsi="Arial"/>
          <w:sz w:val="15"/>
          <w:szCs w:val="15"/>
          <w:color w:val="auto"/>
        </w:rPr>
      </w:pPr>
      <w:r>
        <w:rPr>
          <w:rFonts w:ascii="Arial" w:cs="Arial" w:eastAsia="Arial" w:hAnsi="Arial"/>
          <w:sz w:val="18"/>
          <w:szCs w:val="18"/>
          <w:color w:val="auto"/>
        </w:rPr>
        <w:t>Fair value of this investment was determined using significant unobservable inputs, including default rates, prepayment rates, spreads, and the discount rate by which to value the resulting cash flows.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KCAP Freedom 3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2020</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Percentage</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Ownership</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by Joint</w:t>
            </w:r>
          </w:p>
        </w:tc>
        <w:tc>
          <w:tcPr>
            <w:tcW w:w="160" w:type="dxa"/>
            <w:vAlign w:val="bottom"/>
          </w:tcPr>
          <w:p>
            <w:pPr>
              <w:spacing w:after="0"/>
              <w:rPr>
                <w:sz w:val="18"/>
                <w:szCs w:val="18"/>
                <w:color w:val="auto"/>
              </w:rPr>
            </w:pPr>
          </w:p>
        </w:tc>
        <w:tc>
          <w:tcPr>
            <w:tcW w:w="1380" w:type="dxa"/>
            <w:vAlign w:val="bottom"/>
            <w:gridSpan w:val="2"/>
          </w:tcPr>
          <w:p>
            <w:pPr>
              <w:ind w:left="60"/>
              <w:spacing w:after="0"/>
              <w:rPr>
                <w:sz w:val="20"/>
                <w:szCs w:val="20"/>
                <w:color w:val="auto"/>
              </w:rPr>
            </w:pPr>
            <w:r>
              <w:rPr>
                <w:rFonts w:ascii="Arial" w:cs="Arial" w:eastAsia="Arial" w:hAnsi="Arial"/>
                <w:sz w:val="18"/>
                <w:szCs w:val="18"/>
                <w:b w:val="1"/>
                <w:bCs w:val="1"/>
                <w:color w:val="auto"/>
              </w:rPr>
              <w:t>Amortized</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3360" w:type="dxa"/>
            <w:vAlign w:val="bottom"/>
            <w:gridSpan w:val="2"/>
          </w:tcPr>
          <w:p>
            <w:pPr>
              <w:spacing w:after="0"/>
              <w:rPr>
                <w:sz w:val="20"/>
                <w:szCs w:val="20"/>
                <w:color w:val="auto"/>
              </w:rPr>
            </w:pPr>
            <w:r>
              <w:rPr>
                <w:rFonts w:ascii="Arial" w:cs="Arial" w:eastAsia="Arial" w:hAnsi="Arial"/>
                <w:sz w:val="18"/>
                <w:szCs w:val="18"/>
                <w:b w:val="1"/>
                <w:bCs w:val="1"/>
                <w:color w:val="auto"/>
              </w:rPr>
              <w:t>Portfolio Company</w:t>
            </w:r>
          </w:p>
        </w:tc>
        <w:tc>
          <w:tcPr>
            <w:tcW w:w="3340" w:type="dxa"/>
            <w:vAlign w:val="bottom"/>
            <w:gridSpan w:val="2"/>
          </w:tcPr>
          <w:p>
            <w:pPr>
              <w:ind w:left="1160"/>
              <w:spacing w:after="0"/>
              <w:rPr>
                <w:sz w:val="20"/>
                <w:szCs w:val="20"/>
                <w:color w:val="auto"/>
              </w:rPr>
            </w:pPr>
            <w:r>
              <w:rPr>
                <w:rFonts w:ascii="Arial" w:cs="Arial" w:eastAsia="Arial" w:hAnsi="Arial"/>
                <w:sz w:val="18"/>
                <w:szCs w:val="18"/>
                <w:b w:val="1"/>
                <w:bCs w:val="1"/>
                <w:color w:val="auto"/>
              </w:rPr>
              <w:t>Investment</w:t>
            </w:r>
          </w:p>
        </w:tc>
        <w:tc>
          <w:tcPr>
            <w:tcW w:w="16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Venture</w:t>
            </w:r>
          </w:p>
        </w:tc>
        <w:tc>
          <w:tcPr>
            <w:tcW w:w="160" w:type="dxa"/>
            <w:vAlign w:val="bottom"/>
          </w:tcPr>
          <w:p>
            <w:pPr>
              <w:spacing w:after="0"/>
              <w:rPr>
                <w:sz w:val="20"/>
                <w:szCs w:val="20"/>
                <w:color w:val="auto"/>
              </w:rPr>
            </w:pPr>
          </w:p>
        </w:tc>
        <w:tc>
          <w:tcPr>
            <w:tcW w:w="1380" w:type="dxa"/>
            <w:vAlign w:val="bottom"/>
            <w:gridSpan w:val="2"/>
          </w:tcPr>
          <w:p>
            <w:pPr>
              <w:ind w:left="300"/>
              <w:spacing w:after="0"/>
              <w:rPr>
                <w:sz w:val="20"/>
                <w:szCs w:val="20"/>
                <w:color w:val="auto"/>
              </w:rPr>
            </w:pPr>
            <w:r>
              <w:rPr>
                <w:rFonts w:ascii="Arial" w:cs="Arial" w:eastAsia="Arial" w:hAnsi="Arial"/>
                <w:sz w:val="18"/>
                <w:szCs w:val="18"/>
                <w:b w:val="1"/>
                <w:bCs w:val="1"/>
                <w:color w:val="auto"/>
              </w:rPr>
              <w:t>Cost</w:t>
            </w:r>
          </w:p>
        </w:tc>
        <w:tc>
          <w:tcPr>
            <w:tcW w:w="160" w:type="dxa"/>
            <w:vAlign w:val="bottom"/>
          </w:tcPr>
          <w:p>
            <w:pPr>
              <w:spacing w:after="0"/>
              <w:rPr>
                <w:sz w:val="20"/>
                <w:szCs w:val="20"/>
                <w:color w:val="auto"/>
              </w:rPr>
            </w:pPr>
          </w:p>
        </w:tc>
        <w:tc>
          <w:tcPr>
            <w:tcW w:w="124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r>
      <w:tr>
        <w:trPr>
          <w:trHeight w:val="209"/>
        </w:trPr>
        <w:tc>
          <w:tcPr>
            <w:tcW w:w="3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7"/>
              </w:rPr>
              <w:t>Great Lakes KCAP F3C Senior, LLC</w:t>
            </w:r>
            <w:r>
              <w:rPr>
                <w:rFonts w:ascii="Arial" w:cs="Arial" w:eastAsia="Arial" w:hAnsi="Arial"/>
                <w:sz w:val="15"/>
                <w:szCs w:val="15"/>
                <w:color w:val="auto"/>
                <w:w w:val="97"/>
              </w:rPr>
              <w:t>(1)(2)</w:t>
            </w:r>
          </w:p>
        </w:tc>
        <w:tc>
          <w:tcPr>
            <w:tcW w:w="160" w:type="dxa"/>
            <w:vAlign w:val="bottom"/>
            <w:tcBorders>
              <w:top w:val="single" w:sz="8" w:color="CFF0FC"/>
            </w:tcBorders>
            <w:shd w:val="clear" w:color="auto" w:fill="CFF0FC"/>
          </w:tcPr>
          <w:p>
            <w:pPr>
              <w:spacing w:after="0"/>
              <w:rPr>
                <w:sz w:val="18"/>
                <w:szCs w:val="18"/>
                <w:color w:val="auto"/>
              </w:rPr>
            </w:pPr>
          </w:p>
        </w:tc>
        <w:tc>
          <w:tcPr>
            <w:tcW w:w="3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5"/>
              </w:rPr>
              <w:t>Subordinated Securities, effective interest</w:t>
            </w:r>
          </w:p>
        </w:tc>
        <w:tc>
          <w:tcPr>
            <w:tcW w:w="160" w:type="dxa"/>
            <w:vAlign w:val="bottom"/>
            <w:tcBorders>
              <w:top w:val="single" w:sz="8" w:color="CFF0FC"/>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30"/>
        </w:trPr>
        <w:tc>
          <w:tcPr>
            <w:tcW w:w="3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12.3%, 12/29 maturity</w:t>
            </w:r>
          </w:p>
        </w:tc>
        <w:tc>
          <w:tcPr>
            <w:tcW w:w="16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100.0%</w:t>
            </w: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ind w:left="300"/>
              <w:spacing w:after="0"/>
              <w:rPr>
                <w:sz w:val="20"/>
                <w:szCs w:val="20"/>
                <w:color w:val="auto"/>
              </w:rPr>
            </w:pPr>
            <w:r>
              <w:rPr>
                <w:rFonts w:ascii="Arial" w:cs="Arial" w:eastAsia="Arial" w:hAnsi="Arial"/>
                <w:sz w:val="18"/>
                <w:szCs w:val="18"/>
                <w:color w:val="auto"/>
                <w:w w:val="88"/>
              </w:rPr>
              <w:t>38,986,212</w:t>
            </w:r>
          </w:p>
        </w:tc>
        <w:tc>
          <w:tcPr>
            <w:tcW w:w="26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31,404,100</w:t>
            </w:r>
          </w:p>
        </w:tc>
        <w:tc>
          <w:tcPr>
            <w:tcW w:w="120" w:type="dxa"/>
            <w:vAlign w:val="bottom"/>
            <w:shd w:val="clear" w:color="auto" w:fill="CFF0FC"/>
          </w:tcPr>
          <w:p>
            <w:pPr>
              <w:spacing w:after="0"/>
              <w:rPr>
                <w:sz w:val="20"/>
                <w:szCs w:val="20"/>
                <w:color w:val="auto"/>
              </w:rPr>
            </w:pPr>
          </w:p>
        </w:tc>
      </w:tr>
      <w:tr>
        <w:trPr>
          <w:trHeight w:val="223"/>
        </w:trPr>
        <w:tc>
          <w:tcPr>
            <w:tcW w:w="3360" w:type="dxa"/>
            <w:vAlign w:val="bottom"/>
            <w:gridSpan w:val="2"/>
          </w:tcPr>
          <w:p>
            <w:pPr>
              <w:spacing w:after="0"/>
              <w:rPr>
                <w:sz w:val="20"/>
                <w:szCs w:val="20"/>
                <w:color w:val="auto"/>
              </w:rPr>
            </w:pPr>
            <w:r>
              <w:rPr>
                <w:rFonts w:ascii="Arial" w:cs="Arial" w:eastAsia="Arial" w:hAnsi="Arial"/>
                <w:sz w:val="18"/>
                <w:szCs w:val="18"/>
                <w:b w:val="1"/>
                <w:bCs w:val="1"/>
                <w:color w:val="auto"/>
              </w:rPr>
              <w:t>Total Investments</w:t>
            </w:r>
          </w:p>
        </w:tc>
        <w:tc>
          <w:tcPr>
            <w:tcW w:w="3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w w:val="88"/>
              </w:rPr>
              <w:t>38,986,212</w:t>
            </w:r>
          </w:p>
        </w:tc>
        <w:tc>
          <w:tcPr>
            <w:tcW w:w="26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31,404,100</w:t>
            </w:r>
          </w:p>
        </w:tc>
        <w:tc>
          <w:tcPr>
            <w:tcW w:w="120" w:type="dxa"/>
            <w:vAlign w:val="bottom"/>
          </w:tcPr>
          <w:p>
            <w:pPr>
              <w:spacing w:after="0"/>
              <w:rPr>
                <w:sz w:val="19"/>
                <w:szCs w:val="19"/>
                <w:color w:val="auto"/>
              </w:rPr>
            </w:pPr>
          </w:p>
        </w:tc>
      </w:tr>
    </w:tbl>
    <w:p>
      <w:pPr>
        <w:spacing w:after="0" w:line="391" w:lineRule="exact"/>
        <w:rPr>
          <w:sz w:val="20"/>
          <w:szCs w:val="20"/>
          <w:color w:val="auto"/>
        </w:rPr>
      </w:pPr>
    </w:p>
    <w:p>
      <w:pPr>
        <w:ind w:left="380" w:right="160" w:hanging="372"/>
        <w:spacing w:after="0" w:line="251" w:lineRule="auto"/>
        <w:tabs>
          <w:tab w:leader="none" w:pos="380" w:val="left"/>
        </w:tabs>
        <w:numPr>
          <w:ilvl w:val="0"/>
          <w:numId w:val="88"/>
        </w:numPr>
        <w:rPr>
          <w:rFonts w:ascii="Arial" w:cs="Arial" w:eastAsia="Arial" w:hAnsi="Arial"/>
          <w:sz w:val="15"/>
          <w:szCs w:val="15"/>
          <w:color w:val="auto"/>
        </w:rPr>
      </w:pPr>
      <w:r>
        <w:rPr>
          <w:rFonts w:ascii="Arial" w:cs="Arial" w:eastAsia="Arial" w:hAnsi="Arial"/>
          <w:sz w:val="18"/>
          <w:szCs w:val="18"/>
          <w:color w:val="auto"/>
        </w:rPr>
        <w:t>CLO Subordinated Investments 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ind w:left="380" w:right="640" w:hanging="372"/>
        <w:spacing w:after="0" w:line="258" w:lineRule="auto"/>
        <w:tabs>
          <w:tab w:leader="none" w:pos="380" w:val="left"/>
        </w:tabs>
        <w:numPr>
          <w:ilvl w:val="0"/>
          <w:numId w:val="88"/>
        </w:numPr>
        <w:rPr>
          <w:rFonts w:ascii="Arial" w:cs="Arial" w:eastAsia="Arial" w:hAnsi="Arial"/>
          <w:sz w:val="15"/>
          <w:szCs w:val="15"/>
          <w:color w:val="auto"/>
        </w:rPr>
      </w:pPr>
      <w:r>
        <w:rPr>
          <w:rFonts w:ascii="Arial" w:cs="Arial" w:eastAsia="Arial" w:hAnsi="Arial"/>
          <w:sz w:val="18"/>
          <w:szCs w:val="18"/>
          <w:color w:val="auto"/>
        </w:rPr>
        <w:t>Fair value of this investment was determined using significant unobservable inputs, including default rates, prepayment rates, spreads, and the discount rate by which to value the resulting cash flows.</w:t>
      </w:r>
    </w:p>
    <w:p>
      <w:pPr>
        <w:spacing w:after="0" w:line="187" w:lineRule="exact"/>
        <w:rPr>
          <w:sz w:val="20"/>
          <w:szCs w:val="20"/>
          <w:color w:val="auto"/>
        </w:rPr>
      </w:pPr>
    </w:p>
    <w:p>
      <w:pPr>
        <w:ind w:right="220" w:firstLine="374"/>
        <w:spacing w:after="0" w:line="255" w:lineRule="auto"/>
        <w:rPr>
          <w:sz w:val="20"/>
          <w:szCs w:val="20"/>
          <w:color w:val="auto"/>
        </w:rPr>
      </w:pPr>
      <w:r>
        <w:rPr>
          <w:rFonts w:ascii="Arial" w:cs="Arial" w:eastAsia="Arial" w:hAnsi="Arial"/>
          <w:sz w:val="18"/>
          <w:szCs w:val="18"/>
          <w:color w:val="auto"/>
        </w:rPr>
        <w:t>As a result of the severe economic consequences resulting from the COVID 19 pandemic, it is possible that the subordinated securities issued by Great Lakes KCAP F3C Senior LLC CLO, which are owned by the KCAP Freedom 3 Joint Venture, could also cease making distributions to the KCAP Freedom 3 Joint Venture.</w:t>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BCP Great Lakes Partnership</w:t>
      </w:r>
    </w:p>
    <w:p>
      <w:pPr>
        <w:spacing w:after="0" w:line="211" w:lineRule="exact"/>
        <w:rPr>
          <w:sz w:val="20"/>
          <w:szCs w:val="20"/>
          <w:color w:val="auto"/>
        </w:rPr>
      </w:pPr>
    </w:p>
    <w:p>
      <w:pPr>
        <w:ind w:right="40" w:firstLine="374"/>
        <w:spacing w:after="0" w:line="254" w:lineRule="auto"/>
        <w:rPr>
          <w:sz w:val="20"/>
          <w:szCs w:val="20"/>
          <w:color w:val="auto"/>
        </w:rPr>
      </w:pPr>
      <w:r>
        <w:rPr>
          <w:rFonts w:ascii="Arial" w:cs="Arial" w:eastAsia="Arial" w:hAnsi="Arial"/>
          <w:sz w:val="18"/>
          <w:szCs w:val="18"/>
          <w:color w:val="auto"/>
        </w:rPr>
        <w:t>BCP Great Lakes Fund LP (the “BCP Great Lakes Partnership”) has invested in BCP Great Lakes Holdings LP, a vehicle formed as a co-investment vehicle to facilitate the participation of certain co-investors to invest, directly or indirectly, in BCP Great Lakes Funding, LLC (the “Great Lakes Joint Venture” and together with the Joint Venture, the “Joint Ventures”). We are a limited partner in the BCP Great Lakes Partnership and do not have any direct or indirect voting interests in the Great Lakes Joint Venture, and treat the investment as a joint venture since an affiliate of our Adviser manages BCP Great Lakes Holdings LP and controls a 50% voting interest in the Great Lakes Joint Venture. The investment strategy of BCP Great Lakes Funding, LLC is to underwrite and hold senior, secured unitranche loans made to middle-market companies. We do not pay any advisory fees in connection with our investment in the BCP Great Lakes Partnership.</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6" w:name="page87"/>
    <w:bookmarkEnd w:id="86"/>
    <w:p>
      <w:pPr>
        <w:ind w:right="80" w:firstLine="374"/>
        <w:spacing w:after="0" w:line="273" w:lineRule="auto"/>
        <w:rPr>
          <w:sz w:val="20"/>
          <w:szCs w:val="20"/>
          <w:color w:val="auto"/>
        </w:rPr>
      </w:pPr>
      <w:r>
        <w:rPr>
          <w:rFonts w:ascii="Arial" w:cs="Arial" w:eastAsia="Arial" w:hAnsi="Arial"/>
          <w:sz w:val="17"/>
          <w:szCs w:val="17"/>
          <w:color w:val="auto"/>
        </w:rPr>
        <w:t>The fair value of our investment in the BCP Great Lakes Partnership at March 31, 2021 and December 31, 2020 was $36.2 million and $29.6 million. Fair value has been determined utilizing the practical expedient pursuant to ASC 820-10. Pursuant to the terms of the BCP Great Lakes Fund LP Amended and Restated Exempted Limited Partnership Agreement (the “BCP Great Lakes Partnership Agreement”), generally we may not sell, exchange, assign, pledge or otherwise transfer our interest, in whole or in part, without the prior written consent of the general partner of the Great Lakes Partnership (the “General Partner”) which consent may be given or withheld in the General Partner’s sole and absolute discretion, and may be conditioned upon repayment of our share of indebtedness incurred by BCP Great Lakes Partnership.</w:t>
      </w:r>
    </w:p>
    <w:p>
      <w:pPr>
        <w:spacing w:after="0" w:line="70" w:lineRule="exact"/>
        <w:rPr>
          <w:sz w:val="20"/>
          <w:szCs w:val="20"/>
          <w:color w:val="auto"/>
        </w:rPr>
      </w:pPr>
    </w:p>
    <w:p>
      <w:pPr>
        <w:ind w:right="140" w:firstLine="374"/>
        <w:spacing w:after="0" w:line="259" w:lineRule="auto"/>
        <w:rPr>
          <w:sz w:val="20"/>
          <w:szCs w:val="20"/>
          <w:color w:val="auto"/>
        </w:rPr>
      </w:pPr>
      <w:r>
        <w:rPr>
          <w:rFonts w:ascii="Arial" w:cs="Arial" w:eastAsia="Arial" w:hAnsi="Arial"/>
          <w:sz w:val="18"/>
          <w:szCs w:val="18"/>
          <w:color w:val="auto"/>
        </w:rPr>
        <w:t>In March 2019, prior to the Externalization we increased our aggregate commitment to the BCP Great Lakes Partnership to $50 million, subject to certain limitations (including that we are not obligated to fund capital calls if such funding would cause the Company to be out of compliance with certain provisions of the Investment Company Act of 1940). As of March 31, 2021 and December 31, 2020, we have a $13.8 million and $20.0 million, respectively unfunded commitment to the BCP Great Lakes Partnership.</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ind w:right="20" w:firstLine="374"/>
        <w:spacing w:after="0" w:line="257" w:lineRule="auto"/>
        <w:rPr>
          <w:sz w:val="20"/>
          <w:szCs w:val="20"/>
          <w:color w:val="auto"/>
        </w:rPr>
      </w:pPr>
      <w:r>
        <w:rPr>
          <w:rFonts w:ascii="Arial" w:cs="Arial" w:eastAsia="Arial" w:hAnsi="Arial"/>
          <w:sz w:val="18"/>
          <w:szCs w:val="18"/>
          <w:color w:val="auto"/>
        </w:rPr>
        <w:t>The principal measure of our financial performance is the net increase (decrease) in stockholders’ equity resulting from operations, which includes net investment income (loss) and net realized and unrealized appreciation (depreciation). Net investment income (loss) is the difference between our income from interest, distributions, fees, and other investment income and our operating expenses. Net realized gain (loss) on investments is the difference between the proceeds received from dispositions of portfolio investments and their amortized cost. Net change in unrealized appreciation (depreciation) on investments is the net change in the fair value of our investment portfolio.</w:t>
      </w:r>
    </w:p>
    <w:p>
      <w:pPr>
        <w:spacing w:after="0" w:line="16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Set forth below is a discussion of our results of operations for the three months ended March 31, 2021 and 2020.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85" w:lineRule="exact"/>
        <w:rPr>
          <w:sz w:val="20"/>
          <w:szCs w:val="20"/>
          <w:color w:val="auto"/>
        </w:rPr>
      </w:pPr>
    </w:p>
    <w:p>
      <w:pPr>
        <w:ind w:right="360" w:firstLine="374"/>
        <w:spacing w:after="0" w:line="277" w:lineRule="auto"/>
        <w:rPr>
          <w:sz w:val="20"/>
          <w:szCs w:val="20"/>
          <w:color w:val="auto"/>
        </w:rPr>
      </w:pPr>
      <w:r>
        <w:rPr>
          <w:rFonts w:ascii="Arial" w:cs="Arial" w:eastAsia="Arial" w:hAnsi="Arial"/>
          <w:sz w:val="18"/>
          <w:szCs w:val="18"/>
          <w:color w:val="auto"/>
        </w:rPr>
        <w:t>Revenues consist primarily of investment income from interest and dividends on our investment portfolio and various ancillary fees related to our investment holdings.</w:t>
      </w:r>
    </w:p>
    <w:p>
      <w:pPr>
        <w:spacing w:after="0" w:line="143" w:lineRule="exact"/>
        <w:rPr>
          <w:sz w:val="20"/>
          <w:szCs w:val="20"/>
          <w:color w:val="auto"/>
        </w:rPr>
      </w:pPr>
    </w:p>
    <w:p>
      <w:pPr>
        <w:ind w:right="180" w:firstLine="374"/>
        <w:spacing w:after="0" w:line="259" w:lineRule="auto"/>
        <w:rPr>
          <w:sz w:val="20"/>
          <w:szCs w:val="20"/>
          <w:color w:val="auto"/>
        </w:rPr>
      </w:pPr>
      <w:r>
        <w:rPr>
          <w:rFonts w:ascii="Arial" w:cs="Arial" w:eastAsia="Arial" w:hAnsi="Arial"/>
          <w:sz w:val="18"/>
          <w:szCs w:val="18"/>
          <w:i w:val="1"/>
          <w:iCs w:val="1"/>
          <w:color w:val="auto"/>
        </w:rPr>
        <w:t>Interest from Investments in Debt Securities</w:t>
      </w:r>
      <w:r>
        <w:rPr>
          <w:rFonts w:ascii="Arial" w:cs="Arial" w:eastAsia="Arial" w:hAnsi="Arial"/>
          <w:sz w:val="18"/>
          <w:szCs w:val="18"/>
          <w:color w:val="auto"/>
        </w:rPr>
        <w:t>. We generate interest income from our investments in debt securities that consist primarily of senior and</w:t>
      </w:r>
      <w:r>
        <w:rPr>
          <w:rFonts w:ascii="Arial" w:cs="Arial" w:eastAsia="Arial" w:hAnsi="Arial"/>
          <w:sz w:val="18"/>
          <w:szCs w:val="18"/>
          <w:i w:val="1"/>
          <w:iCs w:val="1"/>
          <w:color w:val="auto"/>
        </w:rPr>
        <w:t xml:space="preserve"> </w:t>
      </w:r>
      <w:r>
        <w:rPr>
          <w:rFonts w:ascii="Arial" w:cs="Arial" w:eastAsia="Arial" w:hAnsi="Arial"/>
          <w:sz w:val="18"/>
          <w:szCs w:val="18"/>
          <w:color w:val="auto"/>
        </w:rPr>
        <w:t>junior secured loans. Our Debt Securities Portfolio is spread across multiple industries and geographic locations, and as such, we are broadly exposed to market conditions and business environments. As a result, although our investments are exposed to market risks, we continuously seek to limit concentration of exposure in any particular sector or issuer.</w:t>
      </w:r>
    </w:p>
    <w:p>
      <w:pPr>
        <w:spacing w:after="0" w:line="146" w:lineRule="exact"/>
        <w:rPr>
          <w:sz w:val="20"/>
          <w:szCs w:val="20"/>
          <w:color w:val="auto"/>
        </w:rPr>
      </w:pPr>
    </w:p>
    <w:p>
      <w:pPr>
        <w:ind w:right="40" w:firstLine="374"/>
        <w:spacing w:after="0" w:line="290" w:lineRule="auto"/>
        <w:rPr>
          <w:sz w:val="20"/>
          <w:szCs w:val="20"/>
          <w:color w:val="auto"/>
        </w:rPr>
      </w:pPr>
      <w:r>
        <w:rPr>
          <w:rFonts w:ascii="Arial" w:cs="Arial" w:eastAsia="Arial" w:hAnsi="Arial"/>
          <w:sz w:val="16"/>
          <w:szCs w:val="16"/>
          <w:i w:val="1"/>
          <w:iCs w:val="1"/>
          <w:color w:val="auto"/>
        </w:rPr>
        <w:t>Investment Income on Investments in CLO Fund Securities</w:t>
      </w:r>
      <w:r>
        <w:rPr>
          <w:rFonts w:ascii="Arial" w:cs="Arial" w:eastAsia="Arial" w:hAnsi="Arial"/>
          <w:sz w:val="16"/>
          <w:szCs w:val="16"/>
          <w:color w:val="auto"/>
        </w:rPr>
        <w:t>. We generate investment income from our investments in the securities (typically preferred</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or subordinated securities) of CLO Funds. We distinguish CLO Funds managed by our fomer Asset Manager Affiliates as “CLO Fund Securities Managed by Affiliates”, in our consolidated financial statements. Since the Asset Manager Affiliates were owned throughout 2018 and sold on December 31, 2018, investment income on these CLO Fund Securities is reflected on the statement of operations for the year of 2018 as “managed by affiliates”, while on the consolidated balance sheet at December 31, 2018 these investments were reflected as “managed by non-affiliates”. Effective April 1, 2019, as a result of the Externalization and related transactions, CLO Fund investments managed by LibreMax were assigned to CLO Funds Managed by Affiliates. During the fourth quarter of 2020, Libremax disposed of its interest in Sierra Crest and accordingly, the CLO Funds managed by Libremax or its affiliates were reclassified to CLO Funds Managed by Non-Affiliates as of December 31, 2020 and prospectively.</w:t>
      </w:r>
    </w:p>
    <w:p>
      <w:pPr>
        <w:spacing w:after="0" w:line="125" w:lineRule="exact"/>
        <w:rPr>
          <w:sz w:val="20"/>
          <w:szCs w:val="20"/>
          <w:color w:val="auto"/>
        </w:rPr>
      </w:pPr>
    </w:p>
    <w:p>
      <w:pPr>
        <w:ind w:firstLine="374"/>
        <w:spacing w:after="0" w:line="289" w:lineRule="auto"/>
        <w:rPr>
          <w:sz w:val="20"/>
          <w:szCs w:val="20"/>
          <w:color w:val="auto"/>
        </w:rPr>
      </w:pPr>
      <w:r>
        <w:rPr>
          <w:rFonts w:ascii="Arial" w:cs="Arial" w:eastAsia="Arial" w:hAnsi="Arial"/>
          <w:sz w:val="16"/>
          <w:szCs w:val="16"/>
          <w:color w:val="auto"/>
        </w:rPr>
        <w:t>CLO Funds invest primarily in broadly syndicated non-investment grade loans, high-yield bonds and other credit instruments of corporate issuers. The underlying assets in each of the CLO Funds in which we have an investment are generally diversified secured or unsecured corporate debt. Our CLO Fund Securities that are subordinated securities or preferred shares (“junior securities”) are subordinated to senior note holders who typically receive a return on their investment at a fixed spread relative to the LIBOR index. The CLO Funds are leveraged funds and any excess cash flow or “excess spread” (interest earned by the underlying securities in the fund less payments made to senior bond holders and less fund expenses and management fees) is paid to the holders of the CLO Fund’s subordinated securities or preferred shares. The level of excess spread from CLO Fund Securities can be impacted by the timing and level of the resetting of the benchmark interest rate for the underlying assets (which reset at various times throughout the quarter) in the CLO Fund and the related CLO Fund note liabilities (which reset at each quarterly distribution date); in periods of short-term and volatile changes in the benchmark interest rate, the levels of excess spread and resulting cash distributions to us can vary significantly.</w:t>
      </w:r>
    </w:p>
    <w:p>
      <w:pPr>
        <w:spacing w:after="0" w:line="139" w:lineRule="exact"/>
        <w:rPr>
          <w:sz w:val="20"/>
          <w:szCs w:val="20"/>
          <w:color w:val="auto"/>
        </w:rPr>
      </w:pPr>
    </w:p>
    <w:p>
      <w:pPr>
        <w:ind w:right="60" w:firstLine="374"/>
        <w:spacing w:after="0" w:line="257" w:lineRule="auto"/>
        <w:rPr>
          <w:sz w:val="20"/>
          <w:szCs w:val="20"/>
          <w:color w:val="auto"/>
        </w:rPr>
      </w:pPr>
      <w:r>
        <w:rPr>
          <w:rFonts w:ascii="Arial" w:cs="Arial" w:eastAsia="Arial" w:hAnsi="Arial"/>
          <w:sz w:val="18"/>
          <w:szCs w:val="18"/>
          <w:color w:val="auto"/>
        </w:rPr>
        <w:t>Interest income on investments in CLO equity investments is recorded using the effective interest method in accordance with the provisions of ASC 325-40, Beneficial Interests in Securitized Financial Assets (“ASC 325-40”), based on the anticipated yield and the estimated cash flows over the projected life of the investment. Yields are revised when there are changes in actual or estimated projected future cash flows due to changes in prepayments and/or re-investments, credit losses or asset pricing. Changes in estimated yield are recognized as an adjustment to the estimated yield prospectively over the remaining life of the investment from the date the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7" w:name="page88"/>
    <w:bookmarkEnd w:id="87"/>
    <w:p>
      <w:pPr>
        <w:jc w:val="both"/>
        <w:ind w:right="260"/>
        <w:spacing w:after="0" w:line="263" w:lineRule="auto"/>
        <w:rPr>
          <w:sz w:val="20"/>
          <w:szCs w:val="20"/>
          <w:color w:val="auto"/>
        </w:rPr>
      </w:pPr>
      <w:r>
        <w:rPr>
          <w:rFonts w:ascii="Arial" w:cs="Arial" w:eastAsia="Arial" w:hAnsi="Arial"/>
          <w:sz w:val="18"/>
          <w:szCs w:val="18"/>
          <w:color w:val="auto"/>
        </w:rPr>
        <w:t>estimated yield was changed. Accordingly, investment income recognized on CLO equity securities in the U.S. generally accepted accounting principles (“GAAP”) statement of operations differs from both the tax–basis investment income and from the cash distributions actually received by us during the period. As a RIC, we anticipate a timely distribution of our tax-basis taxable income.</w:t>
      </w:r>
    </w:p>
    <w:p>
      <w:pPr>
        <w:spacing w:after="0" w:line="15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For non-junior class CLO Fund securities, interest is earned at a fixed spread relative to the LIBOR index.</w:t>
      </w:r>
    </w:p>
    <w:p>
      <w:pPr>
        <w:spacing w:after="0" w:line="185" w:lineRule="exact"/>
        <w:rPr>
          <w:sz w:val="20"/>
          <w:szCs w:val="20"/>
          <w:color w:val="auto"/>
        </w:rPr>
      </w:pPr>
    </w:p>
    <w:p>
      <w:pPr>
        <w:ind w:right="60" w:firstLine="374"/>
        <w:spacing w:after="0" w:line="290" w:lineRule="auto"/>
        <w:rPr>
          <w:sz w:val="20"/>
          <w:szCs w:val="20"/>
          <w:color w:val="auto"/>
        </w:rPr>
      </w:pPr>
      <w:r>
        <w:rPr>
          <w:rFonts w:ascii="Arial" w:cs="Arial" w:eastAsia="Arial" w:hAnsi="Arial"/>
          <w:sz w:val="16"/>
          <w:szCs w:val="16"/>
          <w:i w:val="1"/>
          <w:iCs w:val="1"/>
          <w:color w:val="auto"/>
        </w:rPr>
        <w:t xml:space="preserve">Asset Manager Affiliates. </w:t>
      </w:r>
      <w:r>
        <w:rPr>
          <w:rFonts w:ascii="Arial" w:cs="Arial" w:eastAsia="Arial" w:hAnsi="Arial"/>
          <w:sz w:val="16"/>
          <w:szCs w:val="16"/>
          <w:color w:val="auto"/>
        </w:rPr>
        <w:t>Our Asset Manager Affiliates was deemed to have no value at March 31, 2021 and December 31, 2020. There were no</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distributions from the Asset Manager Affiliates during 2020 and the first quarter of 2021. The difference between cash distributions received and the tax-basis earnings and profits is recorded as an adjustment to the cost basis of the Asset Manager Affiliates investments. For interim periods, we estimate the tax attributes of any distributions as being either from tax-basis earnings and profits (i.e. dividend income) or return of capital (i.e. adjustment to our cost basis in the Asset Manager Affiliates). The final determination of the tax attributes of distributions from our Asset Manager Affiliates is made on an annual (full calendar year) basis at the end of the year based upon taxable income and distributions for the full-year. Therefore, any estimate of tax attributes of distributions made on a quarterly basis may not be representative of the actual tax attributes of distributions for a full year. The aggregate par value of assets under management by our Asset Manager Affiliates was $300 million as of each of March 31, 2021 and December 31, 2020.</w:t>
      </w:r>
    </w:p>
    <w:p>
      <w:pPr>
        <w:spacing w:after="0" w:line="125" w:lineRule="exact"/>
        <w:rPr>
          <w:sz w:val="20"/>
          <w:szCs w:val="20"/>
          <w:color w:val="auto"/>
        </w:rPr>
      </w:pPr>
    </w:p>
    <w:p>
      <w:pPr>
        <w:ind w:firstLine="374"/>
        <w:spacing w:after="0" w:line="293" w:lineRule="auto"/>
        <w:rPr>
          <w:sz w:val="20"/>
          <w:szCs w:val="20"/>
          <w:color w:val="auto"/>
        </w:rPr>
      </w:pPr>
      <w:r>
        <w:rPr>
          <w:rFonts w:ascii="Arial" w:cs="Arial" w:eastAsia="Arial" w:hAnsi="Arial"/>
          <w:sz w:val="16"/>
          <w:szCs w:val="16"/>
          <w:i w:val="1"/>
          <w:iCs w:val="1"/>
          <w:color w:val="auto"/>
        </w:rPr>
        <w:t xml:space="preserve">Investment in Joint Ventures. </w:t>
      </w:r>
      <w:r>
        <w:rPr>
          <w:rFonts w:ascii="Arial" w:cs="Arial" w:eastAsia="Arial" w:hAnsi="Arial"/>
          <w:sz w:val="16"/>
          <w:szCs w:val="16"/>
          <w:color w:val="auto"/>
        </w:rPr>
        <w:t>For the three months ended March 31, 2021 and 2020, we recognized $2.0 million and $1.6 million, respectively, in</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 income from our investment in Joint Ventures. As of March 31, 2021 and December 31, 2020, the fair value of our investments in Joint Ventures was approximately $56.7 million and $49.3 million, respectively. For interim periods, we recognize investment income on its investment in the Joint Ventures based upon our share of estimated earnings and profits of the Joint Venture. The final determination of the tax attributes of distributions from Joint Ventures is made on an annual (full calendar year) basis at the end of the year based upon taxable income and distributions for the full year. Therefore, any estimate of tax attributes of distributions made on an interim basis may not be representative of the actual tax attributes of distributions for the full year.</w:t>
      </w:r>
    </w:p>
    <w:p>
      <w:pPr>
        <w:spacing w:after="0" w:line="137" w:lineRule="exact"/>
        <w:rPr>
          <w:sz w:val="20"/>
          <w:szCs w:val="20"/>
          <w:color w:val="auto"/>
        </w:rPr>
      </w:pPr>
    </w:p>
    <w:p>
      <w:pPr>
        <w:ind w:right="120" w:firstLine="374"/>
        <w:spacing w:after="0" w:line="277" w:lineRule="auto"/>
        <w:rPr>
          <w:sz w:val="20"/>
          <w:szCs w:val="20"/>
          <w:color w:val="auto"/>
        </w:rPr>
      </w:pPr>
      <w:r>
        <w:rPr>
          <w:rFonts w:ascii="Arial" w:cs="Arial" w:eastAsia="Arial" w:hAnsi="Arial"/>
          <w:sz w:val="18"/>
          <w:szCs w:val="18"/>
          <w:i w:val="1"/>
          <w:iCs w:val="1"/>
          <w:color w:val="auto"/>
        </w:rPr>
        <w:t>Capital Structuring Service Fees</w:t>
      </w:r>
      <w:r>
        <w:rPr>
          <w:rFonts w:ascii="Arial" w:cs="Arial" w:eastAsia="Arial" w:hAnsi="Arial"/>
          <w:sz w:val="18"/>
          <w:szCs w:val="18"/>
          <w:color w:val="auto"/>
        </w:rPr>
        <w:t>. We may earn ancillary structuring and other fees related to the origination, investment, disposition or liquidation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debt and investment securities.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w:t>
      </w:r>
    </w:p>
    <w:p>
      <w:pPr>
        <w:spacing w:after="0" w:line="189" w:lineRule="exact"/>
        <w:rPr>
          <w:sz w:val="20"/>
          <w:szCs w:val="20"/>
          <w:color w:val="auto"/>
        </w:rPr>
      </w:pPr>
    </w:p>
    <w:p>
      <w:pPr>
        <w:ind w:right="320" w:firstLine="374"/>
        <w:spacing w:after="0" w:line="308" w:lineRule="auto"/>
        <w:rPr>
          <w:sz w:val="20"/>
          <w:szCs w:val="20"/>
          <w:color w:val="auto"/>
        </w:rPr>
      </w:pPr>
      <w:r>
        <w:rPr>
          <w:rFonts w:ascii="Arial" w:cs="Arial" w:eastAsia="Arial" w:hAnsi="Arial"/>
          <w:sz w:val="17"/>
          <w:szCs w:val="17"/>
          <w:color w:val="auto"/>
        </w:rPr>
        <w:t>Investment income for the three months ended March 31, 2021 and 2020 was approximately $18.3 million and $7.8 million, respectively. Of these amounts, approximately $15.2 million and $4.9 million, respectively was attributable to interest income on our Debt Securities Portfolio.</w:t>
      </w:r>
    </w:p>
    <w:p>
      <w:pPr>
        <w:spacing w:after="0" w:line="119" w:lineRule="exact"/>
        <w:rPr>
          <w:sz w:val="20"/>
          <w:szCs w:val="20"/>
          <w:color w:val="auto"/>
        </w:rPr>
      </w:pPr>
    </w:p>
    <w:p>
      <w:pPr>
        <w:ind w:right="220" w:firstLine="374"/>
        <w:spacing w:after="0" w:line="263" w:lineRule="auto"/>
        <w:rPr>
          <w:sz w:val="20"/>
          <w:szCs w:val="20"/>
          <w:color w:val="auto"/>
        </w:rPr>
      </w:pPr>
      <w:r>
        <w:rPr>
          <w:rFonts w:ascii="Arial" w:cs="Arial" w:eastAsia="Arial" w:hAnsi="Arial"/>
          <w:sz w:val="18"/>
          <w:szCs w:val="18"/>
          <w:color w:val="auto"/>
        </w:rPr>
        <w:t>At March 31, 2021 and December 31, 2020, the weighted average contractual interest rate on our loans and debt securities was approximately 7.6% and 7.8%, respectively. At March 31, 2021 and December 31, 2020, the weighted average contractual interest rate on our loans and debt securities, excluding non-accrual and partial non-accrual investments, was approximately 7.5% and 7.7%, respectively.</w:t>
      </w:r>
    </w:p>
    <w:p>
      <w:pPr>
        <w:spacing w:after="0" w:line="143" w:lineRule="exact"/>
        <w:rPr>
          <w:sz w:val="20"/>
          <w:szCs w:val="20"/>
          <w:color w:val="auto"/>
        </w:rPr>
      </w:pPr>
    </w:p>
    <w:p>
      <w:pPr>
        <w:ind w:right="160" w:firstLine="374"/>
        <w:spacing w:after="0" w:line="259" w:lineRule="auto"/>
        <w:rPr>
          <w:sz w:val="20"/>
          <w:szCs w:val="20"/>
          <w:color w:val="auto"/>
        </w:rPr>
      </w:pPr>
      <w:r>
        <w:rPr>
          <w:rFonts w:ascii="Arial" w:cs="Arial" w:eastAsia="Arial" w:hAnsi="Arial"/>
          <w:sz w:val="18"/>
          <w:szCs w:val="18"/>
          <w:color w:val="auto"/>
        </w:rPr>
        <w:t>Investment income is primarily dependent on the composition and credit quality of our investment portfolio. Generally, our Debt Securities Portfolio is expected to generate predictable, recurring interest income in accordance with the contractual terms of each loan. Corporate equity securities may pay a dividend and may increase in value for which a gain may be recognized; generally, such dividend payments and gains are less predictable than interest income on our loan portfolio.</w:t>
      </w:r>
    </w:p>
    <w:p>
      <w:pPr>
        <w:spacing w:after="0" w:line="146" w:lineRule="exact"/>
        <w:rPr>
          <w:sz w:val="20"/>
          <w:szCs w:val="20"/>
          <w:color w:val="auto"/>
        </w:rPr>
      </w:pPr>
    </w:p>
    <w:p>
      <w:pPr>
        <w:ind w:right="120" w:firstLine="374"/>
        <w:spacing w:after="0" w:line="290" w:lineRule="auto"/>
        <w:rPr>
          <w:sz w:val="20"/>
          <w:szCs w:val="20"/>
          <w:color w:val="auto"/>
        </w:rPr>
      </w:pPr>
      <w:r>
        <w:rPr>
          <w:rFonts w:ascii="Arial" w:cs="Arial" w:eastAsia="Arial" w:hAnsi="Arial"/>
          <w:sz w:val="16"/>
          <w:szCs w:val="16"/>
          <w:color w:val="auto"/>
        </w:rPr>
        <w:t>For the three months ended March 31, 2021 and 2020, approximately $0.6 million and $1.2 million, respectively, of investment income was attributable to investments in CLO Fund Securities. On a tax basis, the Company recognized $1.5 million and $1.8 million of taxable distributable income on distributions from our CLO Fund Securities during the three months ended March 31, 2021 and 2020, respectively. Distributions from CLO Fund Securities are dependent on the performance of the underlying assets in each CLO Fund; interest payments, principal amortization and prepayments of the underlying loans in each CLO Fund are primary factors which determine the level of distributions on our CLO Fund Securities. The level of excess spread from CLO Fund Securities can be impacted by the timing and level of the resetting of the benchmark interest rate for the underlying assets (which reset at various times throughout the quarter) in the CLO Fund and the related CLO Fund bond liabilities (which reset at each quarterly distribution date); in periods of short-term and volatile changes in the benchmark interest rate, the levels of excess spread and distributions to us can vary significantly.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189" w:lineRule="exact"/>
        <w:rPr>
          <w:sz w:val="20"/>
          <w:szCs w:val="20"/>
          <w:color w:val="auto"/>
        </w:rPr>
      </w:pPr>
    </w:p>
    <w:p>
      <w:pPr>
        <w:ind w:right="120" w:firstLine="374"/>
        <w:spacing w:after="0" w:line="254" w:lineRule="auto"/>
        <w:rPr>
          <w:sz w:val="20"/>
          <w:szCs w:val="20"/>
          <w:color w:val="auto"/>
        </w:rPr>
      </w:pPr>
      <w:r>
        <w:rPr>
          <w:rFonts w:ascii="Arial" w:cs="Arial" w:eastAsia="Arial" w:hAnsi="Arial"/>
          <w:sz w:val="18"/>
          <w:szCs w:val="18"/>
          <w:color w:val="auto"/>
        </w:rPr>
        <w:t>Through March 31, 2019 we were internally managed, and directly incurred the cost of management and operations. As a result, we paid no investment management fees or other fees to an external advisor. Our expenses consisted primarily of interest expense on outstanding borrowings, compensation expense and general and administrative expenses, including professional fees. Interest and compensation expense are typically our largest expenses each period. Since the Closing, we have been externally managed and no longer have any employees. However, in connection with the Advisory Agreement, we pay the Adviser certain investment advisory fees and reimburse the Adviser and Administrator for certain expenses incurred in connection with the services they provide. We bear our allocable portion of the compensation paid by the Adviser (or its affiliates) to our chief compliance officer and chief financial</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88" w:name="page89"/>
    <w:bookmarkEnd w:id="88"/>
    <w:p>
      <w:pPr>
        <w:ind w:right="120"/>
        <w:spacing w:after="0" w:line="257" w:lineRule="auto"/>
        <w:rPr>
          <w:sz w:val="20"/>
          <w:szCs w:val="20"/>
          <w:color w:val="auto"/>
        </w:rPr>
      </w:pPr>
      <w:r>
        <w:rPr>
          <w:rFonts w:ascii="Arial" w:cs="Arial" w:eastAsia="Arial" w:hAnsi="Arial"/>
          <w:sz w:val="18"/>
          <w:szCs w:val="18"/>
          <w:color w:val="auto"/>
        </w:rPr>
        <w:t>officer and their respective staffs (based on a percentage of time such individuals devote, on an estimated basis, to our business affairs). We also bear all other costs and expenses of our operations, administration and transactions, including, but not limited to (i) investment advisory fees, including management fees and incentive fees, to the Adviser, pursuant to the Advisory Agreement; (ii) our allocable portion of overhead and other expenses incurred by the Adviser (or its affiliates) in performing its administrative obligations under the Advisory Agreement, and (iii) all other expenses of our operations and transactions including, without limitation, those relating to:</w:t>
      </w:r>
    </w:p>
    <w:p>
      <w:pPr>
        <w:spacing w:after="0" w:line="161" w:lineRule="exact"/>
        <w:rPr>
          <w:sz w:val="20"/>
          <w:szCs w:val="20"/>
          <w:color w:val="auto"/>
        </w:rPr>
      </w:pPr>
    </w:p>
    <w:p>
      <w:pPr>
        <w:ind w:left="740" w:hanging="368"/>
        <w:spacing w:after="0"/>
        <w:tabs>
          <w:tab w:leader="none" w:pos="7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cost of calculating our net asset value, including the cost of any third-party valuation services;</w:t>
      </w:r>
    </w:p>
    <w:p>
      <w:pPr>
        <w:spacing w:after="0" w:line="211" w:lineRule="exact"/>
        <w:rPr>
          <w:rFonts w:ascii="Arial" w:cs="Arial" w:eastAsia="Arial" w:hAnsi="Arial"/>
          <w:sz w:val="18"/>
          <w:szCs w:val="18"/>
          <w:color w:val="auto"/>
        </w:rPr>
      </w:pPr>
    </w:p>
    <w:p>
      <w:pPr>
        <w:ind w:left="740" w:hanging="368"/>
        <w:spacing w:after="0"/>
        <w:tabs>
          <w:tab w:leader="none" w:pos="7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cost of effecting any sales and repurchases of our common stock and other securities;</w:t>
      </w:r>
    </w:p>
    <w:p>
      <w:pPr>
        <w:spacing w:after="0" w:line="211" w:lineRule="exact"/>
        <w:rPr>
          <w:rFonts w:ascii="Arial" w:cs="Arial" w:eastAsia="Arial" w:hAnsi="Arial"/>
          <w:sz w:val="18"/>
          <w:szCs w:val="18"/>
          <w:color w:val="auto"/>
        </w:rPr>
      </w:pPr>
    </w:p>
    <w:p>
      <w:pPr>
        <w:ind w:left="740" w:hanging="368"/>
        <w:spacing w:after="0"/>
        <w:tabs>
          <w:tab w:leader="none" w:pos="7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fees and expenses payable under any dealer manager or placement agent agreements, if any;</w:t>
      </w:r>
    </w:p>
    <w:p>
      <w:pPr>
        <w:spacing w:after="0" w:line="211" w:lineRule="exact"/>
        <w:rPr>
          <w:rFonts w:ascii="Arial" w:cs="Arial" w:eastAsia="Arial" w:hAnsi="Arial"/>
          <w:sz w:val="18"/>
          <w:szCs w:val="18"/>
          <w:color w:val="auto"/>
        </w:rPr>
      </w:pPr>
    </w:p>
    <w:p>
      <w:pPr>
        <w:ind w:left="740" w:hanging="368"/>
        <w:spacing w:after="0"/>
        <w:tabs>
          <w:tab w:leader="none" w:pos="740" w:val="left"/>
        </w:tabs>
        <w:numPr>
          <w:ilvl w:val="0"/>
          <w:numId w:val="89"/>
        </w:numPr>
        <w:rPr>
          <w:rFonts w:ascii="Arial" w:cs="Arial" w:eastAsia="Arial" w:hAnsi="Arial"/>
          <w:sz w:val="17"/>
          <w:szCs w:val="17"/>
          <w:color w:val="auto"/>
        </w:rPr>
      </w:pPr>
      <w:r>
        <w:rPr>
          <w:rFonts w:ascii="Arial" w:cs="Arial" w:eastAsia="Arial" w:hAnsi="Arial"/>
          <w:sz w:val="17"/>
          <w:szCs w:val="17"/>
          <w:color w:val="auto"/>
        </w:rPr>
        <w:t>administration fees payable under the Administration Agreement and any sub-administration agreements, including related expenses;</w:t>
      </w:r>
    </w:p>
    <w:p>
      <w:pPr>
        <w:spacing w:after="0" w:line="223" w:lineRule="exact"/>
        <w:rPr>
          <w:rFonts w:ascii="Arial" w:cs="Arial" w:eastAsia="Arial" w:hAnsi="Arial"/>
          <w:sz w:val="17"/>
          <w:szCs w:val="17"/>
          <w:color w:val="auto"/>
        </w:rPr>
      </w:pPr>
    </w:p>
    <w:p>
      <w:pPr>
        <w:ind w:left="740" w:hanging="368"/>
        <w:spacing w:after="0"/>
        <w:tabs>
          <w:tab w:leader="none" w:pos="7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debt service and other costs of borrowings or other financing arrangements;</w:t>
      </w:r>
    </w:p>
    <w:p>
      <w:pPr>
        <w:spacing w:after="0" w:line="211" w:lineRule="exact"/>
        <w:rPr>
          <w:rFonts w:ascii="Arial" w:cs="Arial" w:eastAsia="Arial" w:hAnsi="Arial"/>
          <w:sz w:val="18"/>
          <w:szCs w:val="18"/>
          <w:color w:val="auto"/>
        </w:rPr>
      </w:pPr>
    </w:p>
    <w:p>
      <w:pPr>
        <w:ind w:left="740" w:hanging="368"/>
        <w:spacing w:after="0"/>
        <w:tabs>
          <w:tab w:leader="none" w:pos="7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costs of hedging;</w:t>
      </w:r>
    </w:p>
    <w:p>
      <w:pPr>
        <w:spacing w:after="0" w:line="211" w:lineRule="exact"/>
        <w:rPr>
          <w:rFonts w:ascii="Arial" w:cs="Arial" w:eastAsia="Arial" w:hAnsi="Arial"/>
          <w:sz w:val="18"/>
          <w:szCs w:val="18"/>
          <w:color w:val="auto"/>
        </w:rPr>
      </w:pPr>
    </w:p>
    <w:p>
      <w:pPr>
        <w:ind w:left="740" w:right="280" w:hanging="368"/>
        <w:spacing w:after="0" w:line="277" w:lineRule="auto"/>
        <w:tabs>
          <w:tab w:leader="none" w:pos="7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expenses, including travel expense, incurred by the Adviser, or members of the investment team, or payable to third parties, performing due diligence on prospective portfolio companies and, if necessary, enforcing our rights;</w:t>
      </w:r>
    </w:p>
    <w:p>
      <w:pPr>
        <w:spacing w:after="0" w:line="129" w:lineRule="exact"/>
        <w:rPr>
          <w:rFonts w:ascii="Arial" w:cs="Arial" w:eastAsia="Arial" w:hAnsi="Arial"/>
          <w:sz w:val="18"/>
          <w:szCs w:val="18"/>
          <w:color w:val="auto"/>
        </w:rPr>
      </w:pPr>
    </w:p>
    <w:p>
      <w:pPr>
        <w:ind w:left="740" w:hanging="368"/>
        <w:spacing w:after="0"/>
        <w:tabs>
          <w:tab w:leader="none" w:pos="7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211" w:lineRule="exact"/>
        <w:rPr>
          <w:rFonts w:ascii="Arial" w:cs="Arial" w:eastAsia="Arial" w:hAnsi="Arial"/>
          <w:sz w:val="18"/>
          <w:szCs w:val="18"/>
          <w:color w:val="auto"/>
        </w:rPr>
      </w:pPr>
    </w:p>
    <w:p>
      <w:pPr>
        <w:ind w:left="740" w:hanging="368"/>
        <w:spacing w:after="0"/>
        <w:tabs>
          <w:tab w:leader="none" w:pos="7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211" w:lineRule="exact"/>
        <w:rPr>
          <w:rFonts w:ascii="Arial" w:cs="Arial" w:eastAsia="Arial" w:hAnsi="Arial"/>
          <w:sz w:val="18"/>
          <w:szCs w:val="18"/>
          <w:color w:val="auto"/>
        </w:rPr>
      </w:pPr>
    </w:p>
    <w:p>
      <w:pPr>
        <w:ind w:left="740" w:hanging="368"/>
        <w:spacing w:after="0"/>
        <w:tabs>
          <w:tab w:leader="none" w:pos="7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federal and state registration fees, any stock exchange listing fees and fees payable to rating agencies;</w:t>
      </w:r>
    </w:p>
    <w:p>
      <w:pPr>
        <w:spacing w:after="0" w:line="211" w:lineRule="exact"/>
        <w:rPr>
          <w:rFonts w:ascii="Arial" w:cs="Arial" w:eastAsia="Arial" w:hAnsi="Arial"/>
          <w:sz w:val="18"/>
          <w:szCs w:val="18"/>
          <w:color w:val="auto"/>
        </w:rPr>
      </w:pPr>
    </w:p>
    <w:p>
      <w:pPr>
        <w:ind w:left="740" w:hanging="368"/>
        <w:spacing w:after="0"/>
        <w:tabs>
          <w:tab w:leader="none" w:pos="7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211" w:lineRule="exact"/>
        <w:rPr>
          <w:rFonts w:ascii="Arial" w:cs="Arial" w:eastAsia="Arial" w:hAnsi="Arial"/>
          <w:sz w:val="18"/>
          <w:szCs w:val="18"/>
          <w:color w:val="auto"/>
        </w:rPr>
      </w:pPr>
    </w:p>
    <w:p>
      <w:pPr>
        <w:ind w:left="740" w:hanging="368"/>
        <w:spacing w:after="0"/>
        <w:tabs>
          <w:tab w:leader="none" w:pos="7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independent directors’ fees and expenses including certain travel expenses;</w:t>
      </w:r>
    </w:p>
    <w:p>
      <w:pPr>
        <w:spacing w:after="0" w:line="211" w:lineRule="exact"/>
        <w:rPr>
          <w:rFonts w:ascii="Arial" w:cs="Arial" w:eastAsia="Arial" w:hAnsi="Arial"/>
          <w:sz w:val="18"/>
          <w:szCs w:val="18"/>
          <w:color w:val="auto"/>
        </w:rPr>
      </w:pPr>
    </w:p>
    <w:p>
      <w:pPr>
        <w:ind w:left="740" w:right="400" w:hanging="368"/>
        <w:spacing w:after="0" w:line="263" w:lineRule="auto"/>
        <w:tabs>
          <w:tab w:leader="none" w:pos="7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costs of preparing financial statements and maintaining books and records and filing reports or other documents with the SEC (or other regulatory bodies) and other reporting and compliance costs, including registration and listing fees, and the compensation of professionals responsible for the preparation of the foregoing;</w:t>
      </w:r>
    </w:p>
    <w:p>
      <w:pPr>
        <w:spacing w:after="0" w:line="143" w:lineRule="exact"/>
        <w:rPr>
          <w:rFonts w:ascii="Arial" w:cs="Arial" w:eastAsia="Arial" w:hAnsi="Arial"/>
          <w:sz w:val="18"/>
          <w:szCs w:val="18"/>
          <w:color w:val="auto"/>
        </w:rPr>
      </w:pPr>
    </w:p>
    <w:p>
      <w:pPr>
        <w:ind w:left="740" w:hanging="368"/>
        <w:spacing w:after="0" w:line="308" w:lineRule="auto"/>
        <w:tabs>
          <w:tab w:leader="none" w:pos="740"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costs of any reports, proxy statements or other notices to stockholders (including printing and mailing costs), the costs of any stockholder or director meetings and the compensation of personnel responsible for the preparation of the foregoing and related matters;</w:t>
      </w:r>
    </w:p>
    <w:p>
      <w:pPr>
        <w:spacing w:after="0" w:line="105" w:lineRule="exact"/>
        <w:rPr>
          <w:rFonts w:ascii="Arial" w:cs="Arial" w:eastAsia="Arial" w:hAnsi="Arial"/>
          <w:sz w:val="17"/>
          <w:szCs w:val="17"/>
          <w:color w:val="auto"/>
        </w:rPr>
      </w:pPr>
    </w:p>
    <w:p>
      <w:pPr>
        <w:ind w:left="740" w:hanging="368"/>
        <w:spacing w:after="0"/>
        <w:tabs>
          <w:tab w:leader="none" w:pos="7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commissions and other compensation payable to brokers or dealers;</w:t>
      </w:r>
    </w:p>
    <w:p>
      <w:pPr>
        <w:spacing w:after="0" w:line="211" w:lineRule="exact"/>
        <w:rPr>
          <w:rFonts w:ascii="Arial" w:cs="Arial" w:eastAsia="Arial" w:hAnsi="Arial"/>
          <w:sz w:val="18"/>
          <w:szCs w:val="18"/>
          <w:color w:val="auto"/>
        </w:rPr>
      </w:pPr>
    </w:p>
    <w:p>
      <w:pPr>
        <w:ind w:left="740" w:hanging="368"/>
        <w:spacing w:after="0"/>
        <w:tabs>
          <w:tab w:leader="none" w:pos="7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research and market data;</w:t>
      </w:r>
    </w:p>
    <w:p>
      <w:pPr>
        <w:spacing w:after="0" w:line="211" w:lineRule="exact"/>
        <w:rPr>
          <w:rFonts w:ascii="Arial" w:cs="Arial" w:eastAsia="Arial" w:hAnsi="Arial"/>
          <w:sz w:val="18"/>
          <w:szCs w:val="18"/>
          <w:color w:val="auto"/>
        </w:rPr>
      </w:pPr>
    </w:p>
    <w:p>
      <w:pPr>
        <w:ind w:left="740" w:hanging="368"/>
        <w:spacing w:after="0"/>
        <w:tabs>
          <w:tab w:leader="none" w:pos="7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fidelity bond, directors and officers errors and omissions liability insurance and other insurance premiums;</w:t>
      </w:r>
    </w:p>
    <w:p>
      <w:pPr>
        <w:spacing w:after="0" w:line="211" w:lineRule="exact"/>
        <w:rPr>
          <w:rFonts w:ascii="Arial" w:cs="Arial" w:eastAsia="Arial" w:hAnsi="Arial"/>
          <w:sz w:val="18"/>
          <w:szCs w:val="18"/>
          <w:color w:val="auto"/>
        </w:rPr>
      </w:pPr>
    </w:p>
    <w:p>
      <w:pPr>
        <w:ind w:left="740" w:hanging="368"/>
        <w:spacing w:after="0"/>
        <w:tabs>
          <w:tab w:leader="none" w:pos="7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printing, mailing, long distance telephone and staff;</w:t>
      </w:r>
    </w:p>
    <w:p>
      <w:pPr>
        <w:spacing w:after="0" w:line="211" w:lineRule="exact"/>
        <w:rPr>
          <w:rFonts w:ascii="Arial" w:cs="Arial" w:eastAsia="Arial" w:hAnsi="Arial"/>
          <w:sz w:val="18"/>
          <w:szCs w:val="18"/>
          <w:color w:val="auto"/>
        </w:rPr>
      </w:pPr>
    </w:p>
    <w:p>
      <w:pPr>
        <w:ind w:left="740" w:hanging="368"/>
        <w:spacing w:after="0"/>
        <w:tabs>
          <w:tab w:leader="none" w:pos="7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outside legal and consulting costs;</w:t>
      </w:r>
    </w:p>
    <w:p>
      <w:pPr>
        <w:spacing w:after="0" w:line="211" w:lineRule="exact"/>
        <w:rPr>
          <w:rFonts w:ascii="Arial" w:cs="Arial" w:eastAsia="Arial" w:hAnsi="Arial"/>
          <w:sz w:val="18"/>
          <w:szCs w:val="18"/>
          <w:color w:val="auto"/>
        </w:rPr>
      </w:pPr>
    </w:p>
    <w:p>
      <w:pPr>
        <w:ind w:left="740" w:hanging="368"/>
        <w:spacing w:after="0"/>
        <w:tabs>
          <w:tab w:leader="none" w:pos="7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costs of winding up our affairs;</w:t>
      </w:r>
    </w:p>
    <w:p>
      <w:pPr>
        <w:spacing w:after="0" w:line="211" w:lineRule="exact"/>
        <w:rPr>
          <w:rFonts w:ascii="Arial" w:cs="Arial" w:eastAsia="Arial" w:hAnsi="Arial"/>
          <w:sz w:val="18"/>
          <w:szCs w:val="18"/>
          <w:color w:val="auto"/>
        </w:rPr>
      </w:pPr>
    </w:p>
    <w:p>
      <w:pPr>
        <w:ind w:left="740" w:right="220" w:hanging="368"/>
        <w:spacing w:after="0" w:line="277" w:lineRule="auto"/>
        <w:tabs>
          <w:tab w:leader="none" w:pos="7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costs incurred by either the Administrator or us in connection with administering our business, including payments under the Administration Agreement;</w:t>
      </w:r>
    </w:p>
    <w:p>
      <w:pPr>
        <w:spacing w:after="0" w:line="129" w:lineRule="exact"/>
        <w:rPr>
          <w:rFonts w:ascii="Arial" w:cs="Arial" w:eastAsia="Arial" w:hAnsi="Arial"/>
          <w:sz w:val="18"/>
          <w:szCs w:val="18"/>
          <w:color w:val="auto"/>
        </w:rPr>
      </w:pPr>
    </w:p>
    <w:p>
      <w:pPr>
        <w:ind w:left="740" w:hanging="368"/>
        <w:spacing w:after="0"/>
        <w:tabs>
          <w:tab w:leader="none" w:pos="7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extraordinary expenses (such as litigation or indemnification); and</w:t>
      </w:r>
    </w:p>
    <w:p>
      <w:pPr>
        <w:spacing w:after="0" w:line="211" w:lineRule="exact"/>
        <w:rPr>
          <w:rFonts w:ascii="Arial" w:cs="Arial" w:eastAsia="Arial" w:hAnsi="Arial"/>
          <w:sz w:val="18"/>
          <w:szCs w:val="18"/>
          <w:color w:val="auto"/>
        </w:rPr>
      </w:pPr>
    </w:p>
    <w:p>
      <w:pPr>
        <w:ind w:left="740" w:hanging="368"/>
        <w:spacing w:after="0"/>
        <w:tabs>
          <w:tab w:leader="none" w:pos="7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costs associated with reporting and compliance obligations under the 1940 Act and applicable federal and state securities laws.</w:t>
      </w:r>
    </w:p>
    <w:p>
      <w:pPr>
        <w:spacing w:after="0" w:line="23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80"/>
          </w:cols>
          <w:pgMar w:left="320" w:top="301" w:right="499" w:bottom="1440" w:gutter="0" w:footer="0" w:header="0"/>
        </w:sectPr>
      </w:pPr>
    </w:p>
    <w:bookmarkStart w:id="89" w:name="page90"/>
    <w:bookmarkEnd w:id="89"/>
    <w:p>
      <w:pPr>
        <w:ind w:right="100" w:firstLine="374"/>
        <w:spacing w:after="0" w:line="286" w:lineRule="auto"/>
        <w:rPr>
          <w:sz w:val="20"/>
          <w:szCs w:val="20"/>
          <w:color w:val="auto"/>
        </w:rPr>
      </w:pPr>
      <w:r>
        <w:rPr>
          <w:rFonts w:ascii="Arial" w:cs="Arial" w:eastAsia="Arial" w:hAnsi="Arial"/>
          <w:sz w:val="17"/>
          <w:szCs w:val="17"/>
          <w:i w:val="1"/>
          <w:iCs w:val="1"/>
          <w:color w:val="auto"/>
        </w:rPr>
        <w:t xml:space="preserve">Management Fees and Incentive Fees. </w:t>
      </w:r>
      <w:r>
        <w:rPr>
          <w:rFonts w:ascii="Arial" w:cs="Arial" w:eastAsia="Arial" w:hAnsi="Arial"/>
          <w:sz w:val="17"/>
          <w:szCs w:val="17"/>
          <w:color w:val="auto"/>
        </w:rPr>
        <w:t>Management fees for the three months ended March 31, 2021 and 2020, were approximately $1.8 million and</w:t>
      </w:r>
      <w:r>
        <w:rPr>
          <w:rFonts w:ascii="Arial" w:cs="Arial" w:eastAsia="Arial" w:hAnsi="Arial"/>
          <w:sz w:val="17"/>
          <w:szCs w:val="17"/>
          <w:i w:val="1"/>
          <w:iCs w:val="1"/>
          <w:color w:val="auto"/>
        </w:rPr>
        <w:t xml:space="preserve"> </w:t>
      </w:r>
      <w:r>
        <w:rPr>
          <w:rFonts w:ascii="Arial" w:cs="Arial" w:eastAsia="Arial" w:hAnsi="Arial"/>
          <w:sz w:val="17"/>
          <w:szCs w:val="17"/>
          <w:color w:val="auto"/>
        </w:rPr>
        <w:t>$1.0 million, respectively. Incentive fees earned during the three months ended March 31, 2021 and 2020, were approximately $2.1 million and $102 thousand, respectively, $0 and $102 thousand, respectively, of which were waived pursuant to the Externalization Agreement.</w:t>
      </w:r>
    </w:p>
    <w:p>
      <w:pPr>
        <w:spacing w:after="0" w:line="138" w:lineRule="exact"/>
        <w:rPr>
          <w:sz w:val="20"/>
          <w:szCs w:val="20"/>
          <w:color w:val="auto"/>
        </w:rPr>
      </w:pPr>
    </w:p>
    <w:p>
      <w:pPr>
        <w:ind w:firstLine="374"/>
        <w:spacing w:after="0" w:line="257" w:lineRule="auto"/>
        <w:rPr>
          <w:sz w:val="20"/>
          <w:szCs w:val="20"/>
          <w:color w:val="auto"/>
        </w:rPr>
      </w:pPr>
      <w:r>
        <w:rPr>
          <w:rFonts w:ascii="Arial" w:cs="Arial" w:eastAsia="Arial" w:hAnsi="Arial"/>
          <w:sz w:val="18"/>
          <w:szCs w:val="18"/>
          <w:i w:val="1"/>
          <w:iCs w:val="1"/>
          <w:color w:val="auto"/>
        </w:rPr>
        <w:t>Interest and Amortization of Debt Issuance Costs</w:t>
      </w:r>
      <w:r>
        <w:rPr>
          <w:rFonts w:ascii="Arial" w:cs="Arial" w:eastAsia="Arial" w:hAnsi="Arial"/>
          <w:sz w:val="18"/>
          <w:szCs w:val="18"/>
          <w:color w:val="auto"/>
        </w:rPr>
        <w:t>. Interest expense is dependent on the average outstanding balance on our borrowings and, the base</w:t>
      </w:r>
      <w:r>
        <w:rPr>
          <w:rFonts w:ascii="Arial" w:cs="Arial" w:eastAsia="Arial" w:hAnsi="Arial"/>
          <w:sz w:val="18"/>
          <w:szCs w:val="18"/>
          <w:i w:val="1"/>
          <w:iCs w:val="1"/>
          <w:color w:val="auto"/>
        </w:rPr>
        <w:t xml:space="preserve"> </w:t>
      </w:r>
      <w:r>
        <w:rPr>
          <w:rFonts w:ascii="Arial" w:cs="Arial" w:eastAsia="Arial" w:hAnsi="Arial"/>
          <w:sz w:val="18"/>
          <w:szCs w:val="18"/>
          <w:color w:val="auto"/>
        </w:rPr>
        <w:t>index rate for the period. Debt issuance costs represent fees, and other direct costs incurred in connection with our borrowings. These amounts are capitalized and amortized ratably over the expected term of the borrowing. In anticipation of the refinancing of the 6.125% Notes due 2022, during the first quarter of 2021, approximately $1.0 million of unamortized debt issuance costs related to these notes were written off and reflected in Realized Losses on Extinguishment of Debt in the Consolidated Statement of Operations.</w:t>
      </w:r>
    </w:p>
    <w:p>
      <w:pPr>
        <w:spacing w:after="0" w:line="147" w:lineRule="exact"/>
        <w:rPr>
          <w:sz w:val="20"/>
          <w:szCs w:val="20"/>
          <w:color w:val="auto"/>
        </w:rPr>
      </w:pPr>
    </w:p>
    <w:p>
      <w:pPr>
        <w:ind w:right="60" w:firstLine="374"/>
        <w:spacing w:after="0" w:line="257" w:lineRule="auto"/>
        <w:rPr>
          <w:sz w:val="20"/>
          <w:szCs w:val="20"/>
          <w:color w:val="auto"/>
        </w:rPr>
      </w:pPr>
      <w:r>
        <w:rPr>
          <w:rFonts w:ascii="Arial" w:cs="Arial" w:eastAsia="Arial" w:hAnsi="Arial"/>
          <w:sz w:val="18"/>
          <w:szCs w:val="18"/>
          <w:i w:val="1"/>
          <w:iCs w:val="1"/>
          <w:color w:val="auto"/>
        </w:rPr>
        <w:t>Compensation Expense</w:t>
      </w:r>
      <w:r>
        <w:rPr>
          <w:rFonts w:ascii="Arial" w:cs="Arial" w:eastAsia="Arial" w:hAnsi="Arial"/>
          <w:sz w:val="18"/>
          <w:szCs w:val="18"/>
          <w:color w:val="auto"/>
        </w:rPr>
        <w:t>. Prior to the Closing of the Externalization on April 1, 2019, compensation expense included base salaries, bonuses, stock</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employee benefits and employer-related payroll costs. The largest components of total compensation costs are base salaries and bonuses; generally, base salaries are expensed as incurred and annual bonus expenses are estimated and accrued. Our compensation arrangements with our employees contained a profit sharing and/or performance-based bonus component. Following the Closing, we no longer have any employees and therefore do not have any related expenses.</w:t>
      </w:r>
    </w:p>
    <w:p>
      <w:pPr>
        <w:spacing w:after="0" w:line="147" w:lineRule="exact"/>
        <w:rPr>
          <w:sz w:val="20"/>
          <w:szCs w:val="20"/>
          <w:color w:val="auto"/>
        </w:rPr>
      </w:pPr>
    </w:p>
    <w:p>
      <w:pPr>
        <w:ind w:right="280" w:firstLine="374"/>
        <w:spacing w:after="0" w:line="263" w:lineRule="auto"/>
        <w:rPr>
          <w:sz w:val="20"/>
          <w:szCs w:val="20"/>
          <w:color w:val="auto"/>
        </w:rPr>
      </w:pPr>
      <w:r>
        <w:rPr>
          <w:rFonts w:ascii="Arial" w:cs="Arial" w:eastAsia="Arial" w:hAnsi="Arial"/>
          <w:sz w:val="18"/>
          <w:szCs w:val="18"/>
          <w:i w:val="1"/>
          <w:iCs w:val="1"/>
          <w:color w:val="auto"/>
        </w:rPr>
        <w:t>Professional Fees, Administrative Services Expense and General Administrative Expenses</w:t>
      </w:r>
      <w:r>
        <w:rPr>
          <w:rFonts w:ascii="Arial" w:cs="Arial" w:eastAsia="Arial" w:hAnsi="Arial"/>
          <w:sz w:val="18"/>
          <w:szCs w:val="18"/>
          <w:color w:val="auto"/>
        </w:rPr>
        <w:t>. The balance of our expenses includes professional fees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legal, accounting, director fees, valuation and other professional services), insurance costs, Administrative services expense under the Administration Agreement and general administrative and other costs.</w:t>
      </w:r>
    </w:p>
    <w:p>
      <w:pPr>
        <w:spacing w:after="0" w:line="15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Total expenses for the three months ended March 31, 2021 and 2020 were approximately $10.1 million and $5.0 million, respectively.</w:t>
      </w:r>
    </w:p>
    <w:p>
      <w:pPr>
        <w:spacing w:after="0" w:line="185" w:lineRule="exact"/>
        <w:rPr>
          <w:sz w:val="20"/>
          <w:szCs w:val="20"/>
          <w:color w:val="auto"/>
        </w:rPr>
      </w:pPr>
    </w:p>
    <w:p>
      <w:pPr>
        <w:ind w:right="20" w:firstLine="374"/>
        <w:spacing w:after="0" w:line="277" w:lineRule="auto"/>
        <w:rPr>
          <w:sz w:val="20"/>
          <w:szCs w:val="20"/>
          <w:color w:val="auto"/>
        </w:rPr>
      </w:pPr>
      <w:r>
        <w:rPr>
          <w:rFonts w:ascii="Arial" w:cs="Arial" w:eastAsia="Arial" w:hAnsi="Arial"/>
          <w:sz w:val="18"/>
          <w:szCs w:val="18"/>
          <w:color w:val="auto"/>
        </w:rPr>
        <w:t>For the three months ended March 31, 2021 and 2020, interest expense and amortization on debt issuance costs for the period was approximately $3.4 million and $2.4 million, respectively, on average debt outstanding of $344 million and $149 million, respectively.</w:t>
      </w:r>
    </w:p>
    <w:p>
      <w:pPr>
        <w:spacing w:after="0" w:line="130" w:lineRule="exact"/>
        <w:rPr>
          <w:sz w:val="20"/>
          <w:szCs w:val="20"/>
          <w:color w:val="auto"/>
        </w:rPr>
      </w:pPr>
    </w:p>
    <w:p>
      <w:pPr>
        <w:jc w:val="both"/>
        <w:ind w:right="100" w:firstLine="374"/>
        <w:spacing w:after="0" w:line="259" w:lineRule="auto"/>
        <w:rPr>
          <w:sz w:val="20"/>
          <w:szCs w:val="20"/>
          <w:color w:val="auto"/>
        </w:rPr>
      </w:pPr>
      <w:r>
        <w:rPr>
          <w:rFonts w:ascii="Arial" w:cs="Arial" w:eastAsia="Arial" w:hAnsi="Arial"/>
          <w:sz w:val="18"/>
          <w:szCs w:val="18"/>
          <w:color w:val="auto"/>
        </w:rPr>
        <w:t>For the three months ended March 31, 2021 and 2020, respectively, professional fees and insurance expenses totaled approximately $1.7 million and $1.0 million. For the three months ended March 31, 2021 and 2020, Administrative services expenses incurred pursuant to the Administration Agreement was approximately $0.6 million and $0.5 million, respectively. Other general and administrative costs totaled approximately $0.5 million and $0.2 million for the three months ended March 31, 2021 and 2020, respectively.</w:t>
      </w:r>
    </w:p>
    <w:p>
      <w:pPr>
        <w:spacing w:after="0" w:line="160"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Net Investment Income and Net Realized Gains (Losses)</w:t>
      </w:r>
    </w:p>
    <w:p>
      <w:pPr>
        <w:spacing w:after="0" w:line="185" w:lineRule="exact"/>
        <w:rPr>
          <w:sz w:val="20"/>
          <w:szCs w:val="20"/>
          <w:color w:val="auto"/>
        </w:rPr>
      </w:pPr>
    </w:p>
    <w:p>
      <w:pPr>
        <w:ind w:right="40" w:firstLine="374"/>
        <w:spacing w:after="0" w:line="257" w:lineRule="auto"/>
        <w:rPr>
          <w:sz w:val="20"/>
          <w:szCs w:val="20"/>
          <w:color w:val="auto"/>
        </w:rPr>
      </w:pPr>
      <w:r>
        <w:rPr>
          <w:rFonts w:ascii="Arial" w:cs="Arial" w:eastAsia="Arial" w:hAnsi="Arial"/>
          <w:sz w:val="18"/>
          <w:szCs w:val="18"/>
          <w:color w:val="auto"/>
        </w:rPr>
        <w:t>Net investment income and net realized gains (losses) represents the change in stockholder’s equity before net unrealized appreciation or depreciation on investments. For the three months ended March 31, 2021, net investment income and net realized losses were approximately $3.1 million, or $0.04 per share. For the three months ended March 31, 2020, net investment income and net realized gains were approximately $1.7 million, or $0.04 per share. Net investment income represents the income earned on our investments less operating and interest expense before net realized gains or losses and unrealized appreciation or depreciation on investments.</w:t>
      </w:r>
    </w:p>
    <w:p>
      <w:pPr>
        <w:spacing w:after="0" w:line="147" w:lineRule="exact"/>
        <w:rPr>
          <w:sz w:val="20"/>
          <w:szCs w:val="20"/>
          <w:color w:val="auto"/>
        </w:rPr>
      </w:pPr>
    </w:p>
    <w:p>
      <w:pPr>
        <w:ind w:right="60" w:firstLine="374"/>
        <w:spacing w:after="0" w:line="255" w:lineRule="auto"/>
        <w:rPr>
          <w:sz w:val="20"/>
          <w:szCs w:val="20"/>
          <w:color w:val="auto"/>
        </w:rPr>
      </w:pPr>
      <w:r>
        <w:rPr>
          <w:rFonts w:ascii="Arial" w:cs="Arial" w:eastAsia="Arial" w:hAnsi="Arial"/>
          <w:sz w:val="18"/>
          <w:szCs w:val="18"/>
          <w:color w:val="auto"/>
        </w:rPr>
        <w:t>Investments are carried at fair value, with changes in fair value recorded as unrealized appreciation (depreciation) in the statement of operations. When an investment is sold or liquidated, any previously recognized unrealized appreciation/depreciation is reversed and a corresponding amount is recognized as realized gain (loss). For the three months ended March 31, 2021, GAAP-basis net investment income was approximately $8.2 million or $0.11 per share, while tax-basis distributable income was approximately $3.6 million or $0.05 per share. For the three months ended March 31, 2020, GAAP-basis net investment income was approximately $2.8 million or $0.06 per basic share, while tax-basis distributable income was approximately $3.3 million or $0.07 per share.</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01" w:right="37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auto"/>
        </w:rPr>
        <w:t>Net Unrealized (Depreciation) Appreciation on Investments</w:t>
      </w:r>
    </w:p>
    <w:p>
      <w:pPr>
        <w:spacing w:after="0" w:line="202" w:lineRule="exact"/>
        <w:rPr>
          <w:sz w:val="20"/>
          <w:szCs w:val="20"/>
          <w:color w:val="auto"/>
        </w:rPr>
      </w:pPr>
    </w:p>
    <w:p>
      <w:pPr>
        <w:ind w:right="60" w:firstLine="374"/>
        <w:spacing w:after="0" w:line="254" w:lineRule="auto"/>
        <w:rPr>
          <w:sz w:val="20"/>
          <w:szCs w:val="20"/>
          <w:color w:val="auto"/>
        </w:rPr>
      </w:pPr>
      <w:r>
        <w:rPr>
          <w:rFonts w:ascii="Arial" w:cs="Arial" w:eastAsia="Arial" w:hAnsi="Arial"/>
          <w:sz w:val="18"/>
          <w:szCs w:val="18"/>
          <w:color w:val="auto"/>
        </w:rPr>
        <w:t>During the three months ended March 31, 2021, our total investments had net unrealized appreciation of approximately $6.7 million. Included in the net unrealized appreciation are unrealized appreciation on CLO Fund Securities of approximately $6.9 million unrealized appreciation and on equity securities of approximately $1.3 million, an unrealized appreciation of $1.2 million on our Joint Ventures investment, unrealized depreciation on our debt securities of $2.2 million, and unrealized depreciation of $0.5 million on our derivatives. During the three months ended March 31, 2020, our total investments had net unrealized depreciation of approximately $30.9 million. Included in the net unrealized depreciation are unrealized depreciation on CLO Fund Securities of approximately $11.7 million unrealized depreciation on equity securities of approximately $0.3 million, an unrealized depreciation of $8.1 million on our Joint Ventures investment, unrealized depreciation on our debt securities of $10.8 million and unrealized depreciation of $26 thousand on our derivatives.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Change in Stockholder’s Equity Resulting From Operations</w:t>
      </w:r>
    </w:p>
    <w:p>
      <w:pPr>
        <w:spacing w:after="0" w:line="189" w:lineRule="exact"/>
        <w:rPr>
          <w:sz w:val="20"/>
          <w:szCs w:val="20"/>
          <w:color w:val="auto"/>
        </w:rPr>
      </w:pPr>
    </w:p>
    <w:p>
      <w:pPr>
        <w:ind w:right="100" w:firstLine="374"/>
        <w:spacing w:after="0" w:line="342" w:lineRule="auto"/>
        <w:rPr>
          <w:sz w:val="20"/>
          <w:szCs w:val="20"/>
          <w:color w:val="auto"/>
        </w:rPr>
      </w:pPr>
      <w:r>
        <w:rPr>
          <w:rFonts w:ascii="Arial" w:cs="Arial" w:eastAsia="Arial" w:hAnsi="Arial"/>
          <w:sz w:val="16"/>
          <w:szCs w:val="16"/>
          <w:color w:val="auto"/>
        </w:rPr>
        <w:t>The net increase in stockholders’ equity resulting from operations for the three months ended March 31, 2021 was $8.0 million, or $0.11 per basic share. Net decrease in stockholders’ equity resulting from operations for the three months ended March 31, 2020 was ($29.1) million, or $(0.65) per share.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189" w:lineRule="exact"/>
        <w:rPr>
          <w:sz w:val="20"/>
          <w:szCs w:val="20"/>
          <w:color w:val="auto"/>
        </w:rPr>
      </w:pPr>
    </w:p>
    <w:p>
      <w:pPr>
        <w:ind w:right="60" w:firstLine="374"/>
        <w:spacing w:after="0" w:line="257" w:lineRule="auto"/>
        <w:rPr>
          <w:sz w:val="20"/>
          <w:szCs w:val="20"/>
          <w:color w:val="auto"/>
        </w:rPr>
      </w:pPr>
      <w:r>
        <w:rPr>
          <w:rFonts w:ascii="Arial" w:cs="Arial" w:eastAsia="Arial" w:hAnsi="Arial"/>
          <w:sz w:val="18"/>
          <w:szCs w:val="18"/>
          <w:color w:val="auto"/>
        </w:rPr>
        <w:t>Liquidity is a measure of our ability to meet potential cash requirements, including ongoing commitments to repay borrowings, fund and maintain investments, pay distributions to our stockholders and other general business needs. We recognize the need to have funds available for operating our business and to make investments. We seek to have adequate liquidity at all times to cover normal cyclical swings in funding availability and to allow us to meet irregular and unexpected funding requirements. We plan to satisfy our liquidity needs through normal operations with the goal of avoiding unplanned sales of assets or emergency borrowing of funds.</w:t>
      </w:r>
    </w:p>
    <w:p>
      <w:pPr>
        <w:spacing w:after="0" w:line="14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As of March 31, 2021 and December 31, 2020 the fair value of investments and cash were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960" w:type="dxa"/>
            <w:vAlign w:val="bottom"/>
            <w:gridSpan w:val="5"/>
          </w:tcPr>
          <w:p>
            <w:pPr>
              <w:jc w:val="right"/>
              <w:ind w:right="1160"/>
              <w:spacing w:after="0"/>
              <w:rPr>
                <w:sz w:val="20"/>
                <w:szCs w:val="20"/>
                <w:color w:val="auto"/>
              </w:rPr>
            </w:pPr>
            <w:r>
              <w:rPr>
                <w:rFonts w:ascii="Arial" w:cs="Arial" w:eastAsia="Arial" w:hAnsi="Arial"/>
                <w:sz w:val="18"/>
                <w:szCs w:val="18"/>
                <w:b w:val="1"/>
                <w:bCs w:val="1"/>
                <w:color w:val="auto"/>
              </w:rPr>
              <w:t>Investments at Fair Value</w:t>
            </w:r>
          </w:p>
        </w:tc>
      </w:tr>
      <w:tr>
        <w:trPr>
          <w:trHeight w:val="223"/>
        </w:trPr>
        <w:tc>
          <w:tcPr>
            <w:tcW w:w="6920" w:type="dxa"/>
            <w:vAlign w:val="bottom"/>
          </w:tcPr>
          <w:p>
            <w:pPr>
              <w:spacing w:after="0"/>
              <w:rPr>
                <w:sz w:val="20"/>
                <w:szCs w:val="20"/>
                <w:color w:val="auto"/>
              </w:rPr>
            </w:pPr>
            <w:r>
              <w:rPr>
                <w:rFonts w:ascii="Arial" w:cs="Arial" w:eastAsia="Arial" w:hAnsi="Arial"/>
                <w:sz w:val="18"/>
                <w:szCs w:val="18"/>
                <w:b w:val="1"/>
                <w:bCs w:val="1"/>
                <w:color w:val="auto"/>
              </w:rPr>
              <w:t>Security Type</w:t>
            </w:r>
          </w:p>
        </w:tc>
        <w:tc>
          <w:tcPr>
            <w:tcW w:w="1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940" w:type="dxa"/>
            <w:vAlign w:val="bottom"/>
            <w:tcBorders>
              <w:top w:val="single" w:sz="8" w:color="auto"/>
            </w:tcBorders>
            <w:gridSpan w:val="2"/>
          </w:tcPr>
          <w:p>
            <w:pPr>
              <w:jc w:val="right"/>
              <w:ind w:right="620"/>
              <w:spacing w:after="0"/>
              <w:rPr>
                <w:sz w:val="20"/>
                <w:szCs w:val="20"/>
                <w:color w:val="auto"/>
              </w:rPr>
            </w:pPr>
            <w:r>
              <w:rPr>
                <w:rFonts w:ascii="Arial" w:cs="Arial" w:eastAsia="Arial" w:hAnsi="Arial"/>
                <w:sz w:val="18"/>
                <w:szCs w:val="18"/>
                <w:b w:val="1"/>
                <w:bCs w:val="1"/>
                <w:color w:val="auto"/>
              </w:rPr>
              <w:t>March 31, 2021</w:t>
            </w:r>
          </w:p>
        </w:tc>
        <w:tc>
          <w:tcPr>
            <w:tcW w:w="140" w:type="dxa"/>
            <w:vAlign w:val="bottom"/>
            <w:tcBorders>
              <w:top w:val="single" w:sz="8" w:color="auto"/>
            </w:tcBorders>
          </w:tcPr>
          <w:p>
            <w:pPr>
              <w:spacing w:after="0"/>
              <w:rPr>
                <w:sz w:val="19"/>
                <w:szCs w:val="19"/>
                <w:color w:val="auto"/>
              </w:rPr>
            </w:pPr>
          </w:p>
        </w:tc>
        <w:tc>
          <w:tcPr>
            <w:tcW w:w="17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2"/>
              </w:rPr>
              <w:t>December 31, 2020</w:t>
            </w:r>
          </w:p>
        </w:tc>
        <w:tc>
          <w:tcPr>
            <w:tcW w:w="120" w:type="dxa"/>
            <w:vAlign w:val="bottom"/>
          </w:tcPr>
          <w:p>
            <w:pPr>
              <w:spacing w:after="0"/>
              <w:rPr>
                <w:sz w:val="19"/>
                <w:szCs w:val="19"/>
                <w:color w:val="auto"/>
              </w:rPr>
            </w:pPr>
          </w:p>
        </w:tc>
      </w:tr>
      <w:tr>
        <w:trPr>
          <w:trHeight w:val="223"/>
        </w:trPr>
        <w:tc>
          <w:tcPr>
            <w:tcW w:w="69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30,843,590</w:t>
            </w: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6,990,008</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6920" w:type="dxa"/>
            <w:vAlign w:val="bottom"/>
          </w:tcPr>
          <w:p>
            <w:pPr>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28,452,560</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75,913,411</w:t>
            </w:r>
          </w:p>
        </w:tc>
        <w:tc>
          <w:tcPr>
            <w:tcW w:w="120" w:type="dxa"/>
            <w:vAlign w:val="bottom"/>
          </w:tcPr>
          <w:p>
            <w:pPr>
              <w:spacing w:after="0"/>
              <w:rPr>
                <w:sz w:val="19"/>
                <w:szCs w:val="19"/>
                <w:color w:val="auto"/>
              </w:rPr>
            </w:pPr>
          </w:p>
        </w:tc>
      </w:tr>
      <w:tr>
        <w:trPr>
          <w:trHeight w:val="230"/>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Senior Secured Loan</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322,362,553</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328,845,612</w:t>
            </w:r>
          </w:p>
        </w:tc>
        <w:tc>
          <w:tcPr>
            <w:tcW w:w="120" w:type="dxa"/>
            <w:vAlign w:val="bottom"/>
            <w:shd w:val="clear" w:color="auto" w:fill="CFF0FC"/>
          </w:tcPr>
          <w:p>
            <w:pPr>
              <w:spacing w:after="0"/>
              <w:rPr>
                <w:sz w:val="19"/>
                <w:szCs w:val="19"/>
                <w:color w:val="auto"/>
              </w:rPr>
            </w:pP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Junior Secured Loan</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64,639,644</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75,807,477</w:t>
            </w:r>
          </w:p>
        </w:tc>
        <w:tc>
          <w:tcPr>
            <w:tcW w:w="120" w:type="dxa"/>
            <w:vAlign w:val="bottom"/>
          </w:tcPr>
          <w:p>
            <w:pPr>
              <w:spacing w:after="0"/>
              <w:rPr>
                <w:sz w:val="19"/>
                <w:szCs w:val="19"/>
                <w:color w:val="auto"/>
              </w:rPr>
            </w:pPr>
          </w:p>
        </w:tc>
      </w:tr>
      <w:tr>
        <w:trPr>
          <w:trHeight w:val="229"/>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Senior Unsecured Bond</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41,792</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207,766</w:t>
            </w:r>
          </w:p>
        </w:tc>
        <w:tc>
          <w:tcPr>
            <w:tcW w:w="120" w:type="dxa"/>
            <w:vAlign w:val="bottom"/>
            <w:shd w:val="clear" w:color="auto" w:fill="CFF0FC"/>
          </w:tcPr>
          <w:p>
            <w:pPr>
              <w:spacing w:after="0"/>
              <w:rPr>
                <w:sz w:val="19"/>
                <w:szCs w:val="19"/>
                <w:color w:val="auto"/>
              </w:rPr>
            </w:pP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CLO Fund Securities</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16,021,434</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19,582,555</w:t>
            </w:r>
          </w:p>
        </w:tc>
        <w:tc>
          <w:tcPr>
            <w:tcW w:w="120" w:type="dxa"/>
            <w:vAlign w:val="bottom"/>
          </w:tcPr>
          <w:p>
            <w:pPr>
              <w:spacing w:after="0"/>
              <w:rPr>
                <w:sz w:val="19"/>
                <w:szCs w:val="19"/>
                <w:color w:val="auto"/>
              </w:rPr>
            </w:pPr>
          </w:p>
        </w:tc>
      </w:tr>
      <w:tr>
        <w:trPr>
          <w:trHeight w:val="230"/>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Equity Securities</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14,651,029</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13,944,876</w:t>
            </w:r>
          </w:p>
        </w:tc>
        <w:tc>
          <w:tcPr>
            <w:tcW w:w="120" w:type="dxa"/>
            <w:vAlign w:val="bottom"/>
            <w:shd w:val="clear" w:color="auto" w:fill="CFF0FC"/>
          </w:tcPr>
          <w:p>
            <w:pPr>
              <w:spacing w:after="0"/>
              <w:rPr>
                <w:sz w:val="19"/>
                <w:szCs w:val="19"/>
                <w:color w:val="auto"/>
              </w:rPr>
            </w:pP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Joint Ventures</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56,730,956</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49,349,163</w:t>
            </w:r>
          </w:p>
        </w:tc>
        <w:tc>
          <w:tcPr>
            <w:tcW w:w="120" w:type="dxa"/>
            <w:vAlign w:val="bottom"/>
          </w:tcPr>
          <w:p>
            <w:pPr>
              <w:spacing w:after="0"/>
              <w:rPr>
                <w:sz w:val="19"/>
                <w:szCs w:val="19"/>
                <w:color w:val="auto"/>
              </w:rPr>
            </w:pPr>
          </w:p>
        </w:tc>
      </w:tr>
      <w:tr>
        <w:trPr>
          <w:trHeight w:val="229"/>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Derivatives</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9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(1,582,963)</w:t>
            </w:r>
          </w:p>
        </w:tc>
        <w:tc>
          <w:tcPr>
            <w:tcW w:w="140" w:type="dxa"/>
            <w:vAlign w:val="bottom"/>
            <w:shd w:val="clear" w:color="auto" w:fill="CFF0FC"/>
          </w:tcPr>
          <w:p>
            <w:pPr>
              <w:spacing w:after="0"/>
              <w:rPr>
                <w:sz w:val="19"/>
                <w:szCs w:val="19"/>
                <w:color w:val="auto"/>
              </w:rPr>
            </w:pPr>
          </w:p>
        </w:tc>
        <w:tc>
          <w:tcPr>
            <w:tcW w:w="18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(1,108,618)</w:t>
            </w:r>
          </w:p>
        </w:tc>
      </w:tr>
      <w:tr>
        <w:trPr>
          <w:trHeight w:val="223"/>
        </w:trPr>
        <w:tc>
          <w:tcPr>
            <w:tcW w:w="6920" w:type="dxa"/>
            <w:vAlign w:val="bottom"/>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532,160,594</w:t>
            </w: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569,532,250</w:t>
            </w:r>
          </w:p>
        </w:tc>
        <w:tc>
          <w:tcPr>
            <w:tcW w:w="120" w:type="dxa"/>
            <w:vAlign w:val="bottom"/>
          </w:tcPr>
          <w:p>
            <w:pPr>
              <w:spacing w:after="0"/>
              <w:rPr>
                <w:sz w:val="19"/>
                <w:szCs w:val="19"/>
                <w:color w:val="auto"/>
              </w:rPr>
            </w:pPr>
          </w:p>
        </w:tc>
      </w:tr>
      <w:tr>
        <w:trPr>
          <w:trHeight w:val="20"/>
        </w:trPr>
        <w:tc>
          <w:tcPr>
            <w:tcW w:w="6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right="100" w:firstLine="374"/>
        <w:spacing w:after="0" w:line="273" w:lineRule="auto"/>
        <w:rPr>
          <w:sz w:val="20"/>
          <w:szCs w:val="20"/>
          <w:color w:val="auto"/>
        </w:rPr>
      </w:pPr>
      <w:r>
        <w:rPr>
          <w:rFonts w:ascii="Arial" w:cs="Arial" w:eastAsia="Arial" w:hAnsi="Arial"/>
          <w:sz w:val="17"/>
          <w:szCs w:val="17"/>
          <w:color w:val="auto"/>
        </w:rPr>
        <w:t>Subject to market conditions, we intend to grow our portfolio of assets by raising additional capital, including through the prudent use of leverage available to us. As a BDC, we are limited in the amount of leverage we can incur under the 1940 Act. Effective March 29, 2019, we are allowed to borrow amounts such that our asset coverage, as defined in the 1940 Act, equals at least 150% after such borrowing. Because we also recognize the need to have funds available for operating our business and to make investments, we seek to have adequate liquidity at all times to cover normal cyclical swings in funding availability and to allow us to meet abnormal and unexpected funding requirements. As a result, we may hold varying amounts of cash and other short-term investments from time-to-time for liquidity purposes.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Borrowings</w:t>
      </w:r>
    </w:p>
    <w:p>
      <w:pPr>
        <w:spacing w:after="0" w:line="229" w:lineRule="exact"/>
        <w:rPr>
          <w:sz w:val="20"/>
          <w:szCs w:val="20"/>
          <w:color w:val="auto"/>
        </w:rPr>
      </w:pPr>
    </w:p>
    <w:p>
      <w:pPr>
        <w:ind w:right="80" w:firstLine="374"/>
        <w:spacing w:after="0" w:line="255" w:lineRule="auto"/>
        <w:rPr>
          <w:sz w:val="20"/>
          <w:szCs w:val="20"/>
          <w:color w:val="auto"/>
        </w:rPr>
      </w:pPr>
      <w:r>
        <w:rPr>
          <w:rFonts w:ascii="Arial" w:cs="Arial" w:eastAsia="Arial" w:hAnsi="Arial"/>
          <w:sz w:val="18"/>
          <w:szCs w:val="18"/>
          <w:color w:val="auto"/>
        </w:rPr>
        <w:t>We use borrowed funds, known as “leverage,” to make investments and to attempt to increase returns to our shareholders by reducing our overall cost of capital. As a BDC, we are limited in the amount of leverage we can incur under the 1940 Act. We are only allowed to borrow amounts such that our asset coverage, as defined in the 1940 Act, equals at least 150% after such borrowing. As of March 31, 2021, we had approximately $310 million of par value of outstanding borrowings and our asset coverage ratio of total assets to total borrowings was 170%, compliant with the minimum asset coverage level of 150% generally required for a BDC by the 1940 Act. We may also borrow amounts of up to 5% of the value of our total assets for temporary purposes.</w:t>
      </w:r>
    </w:p>
    <w:p>
      <w:pPr>
        <w:spacing w:after="0" w:line="165" w:lineRule="exact"/>
        <w:rPr>
          <w:sz w:val="20"/>
          <w:szCs w:val="20"/>
          <w:color w:val="auto"/>
        </w:rPr>
      </w:pPr>
    </w:p>
    <w:p>
      <w:pPr>
        <w:ind w:right="340" w:firstLine="374"/>
        <w:spacing w:after="0" w:line="263" w:lineRule="auto"/>
        <w:rPr>
          <w:sz w:val="20"/>
          <w:szCs w:val="20"/>
          <w:color w:val="auto"/>
        </w:rPr>
      </w:pPr>
      <w:r>
        <w:rPr>
          <w:rFonts w:ascii="Arial" w:cs="Arial" w:eastAsia="Arial" w:hAnsi="Arial"/>
          <w:sz w:val="18"/>
          <w:szCs w:val="18"/>
          <w:color w:val="auto"/>
        </w:rPr>
        <w:t>The Small Business Credit Availability Act (the “SBCA”) has modified the 1940 Act by allowing a BDC to increase the maximum amount of leverage it may incur from an asset coverage ratio of 200% to an asset coverage ratio of 150%, if certain requirements are met. On March 29, 2018, the Board , including a “required majority” (as such term is defined in Section 57(o) of the</w:t>
      </w:r>
    </w:p>
    <w:p>
      <w:pPr>
        <w:sectPr>
          <w:pgSz w:w="11900" w:h="16838" w:orient="portrait"/>
          <w:cols w:equalWidth="0" w:num="1">
            <w:col w:w="11240"/>
          </w:cols>
          <w:pgMar w:left="320" w:top="297" w:right="339" w:bottom="1440" w:gutter="0" w:footer="0" w:header="0"/>
        </w:sectPr>
      </w:pP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748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91" w:name="page92"/>
    <w:bookmarkEnd w:id="91"/>
    <w:p>
      <w:pPr>
        <w:ind w:right="260"/>
        <w:spacing w:after="0" w:line="308" w:lineRule="auto"/>
        <w:rPr>
          <w:sz w:val="20"/>
          <w:szCs w:val="20"/>
          <w:color w:val="auto"/>
        </w:rPr>
      </w:pPr>
      <w:r>
        <w:rPr>
          <w:rFonts w:ascii="Arial" w:cs="Arial" w:eastAsia="Arial" w:hAnsi="Arial"/>
          <w:sz w:val="17"/>
          <w:szCs w:val="17"/>
          <w:color w:val="auto"/>
        </w:rPr>
        <w:t>1940 Act) of its Board, approved the modified asset coverage requirements set forth in Section 61(a)(2) of the 1940 Act, as amended by the SBCA. As a result, our asset coverage requirements for senior securities changed from 200% to 150%, effective as of March 29, 2019.</w:t>
      </w:r>
    </w:p>
    <w:p>
      <w:pPr>
        <w:spacing w:after="0" w:line="119"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Outstanding Notes</w:t>
      </w:r>
    </w:p>
    <w:p>
      <w:pPr>
        <w:spacing w:after="0" w:line="185" w:lineRule="exact"/>
        <w:rPr>
          <w:sz w:val="20"/>
          <w:szCs w:val="20"/>
          <w:color w:val="auto"/>
        </w:rPr>
      </w:pPr>
    </w:p>
    <w:p>
      <w:pPr>
        <w:ind w:right="20" w:firstLine="374"/>
        <w:spacing w:after="0" w:line="296" w:lineRule="auto"/>
        <w:rPr>
          <w:sz w:val="20"/>
          <w:szCs w:val="20"/>
          <w:color w:val="auto"/>
        </w:rPr>
      </w:pPr>
      <w:r>
        <w:rPr>
          <w:rFonts w:ascii="Arial" w:cs="Arial" w:eastAsia="Arial" w:hAnsi="Arial"/>
          <w:sz w:val="16"/>
          <w:szCs w:val="16"/>
          <w:color w:val="auto"/>
        </w:rPr>
        <w:t>During the third quarter of 2017, we issued $77.4 million aggregate principal amount of 6.125% Notes due 2022 (the “6.125% Notes Due 2022”). The net proceeds for the 6.125% Notes Due 2022, after the payment of underwriting expenses, were approximately $74.6 million. Interest on the 6.125% Notes Due 2022 is paid quarterly in arrears on March 30, June 30, September 30 and December 30, at a rate of 6.125% commencing September 30, 2017. The 6.125% Notes Due 2022 mature on September 30, 2022 and are senior unsecured obligations The indenture governing the 6.125% Notes Due 2022 contains certain restrictive covenants, including compliance with certain provisions of the 1940 Act relating to borrowing and dividends.</w:t>
      </w:r>
    </w:p>
    <w:p>
      <w:pPr>
        <w:spacing w:after="0" w:line="121" w:lineRule="exact"/>
        <w:rPr>
          <w:sz w:val="20"/>
          <w:szCs w:val="20"/>
          <w:color w:val="auto"/>
        </w:rPr>
      </w:pPr>
    </w:p>
    <w:p>
      <w:pPr>
        <w:ind w:right="300" w:firstLine="374"/>
        <w:spacing w:after="0" w:line="279" w:lineRule="auto"/>
        <w:rPr>
          <w:sz w:val="20"/>
          <w:szCs w:val="20"/>
          <w:color w:val="auto"/>
        </w:rPr>
      </w:pPr>
      <w:r>
        <w:rPr>
          <w:rFonts w:ascii="Arial" w:cs="Arial" w:eastAsia="Arial" w:hAnsi="Arial"/>
          <w:sz w:val="17"/>
          <w:szCs w:val="17"/>
          <w:color w:val="auto"/>
        </w:rPr>
        <w:t>During the three months ended March 31, 2020, the Company repurchased approximately $573 thousand of principal amount of the 6.125% Notes Due 2022 at a cost of approximately $419 thousand, resulting in a realized gain on extinguishment of approximately $154 thousand. The Company subsequently surrendered these notes to the Trustee for cancellation. At March 31, 2021, there was approximately $76.7 million of aggregate principal amount outstanding, and we were in compliance with all of our debt covenants on the 6.125% Notes due 2022.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Facilities</w:t>
      </w:r>
    </w:p>
    <w:p>
      <w:pPr>
        <w:spacing w:after="0" w:line="117" w:lineRule="exact"/>
        <w:rPr>
          <w:sz w:val="20"/>
          <w:szCs w:val="20"/>
          <w:color w:val="auto"/>
        </w:rPr>
      </w:pPr>
    </w:p>
    <w:p>
      <w:pPr>
        <w:ind w:right="20" w:firstLine="374"/>
        <w:spacing w:after="0" w:line="290" w:lineRule="auto"/>
        <w:rPr>
          <w:sz w:val="20"/>
          <w:szCs w:val="20"/>
          <w:color w:val="auto"/>
        </w:rPr>
      </w:pPr>
      <w:r>
        <w:rPr>
          <w:rFonts w:ascii="Arial" w:cs="Arial" w:eastAsia="Arial" w:hAnsi="Arial"/>
          <w:sz w:val="16"/>
          <w:szCs w:val="16"/>
          <w:color w:val="auto"/>
        </w:rPr>
        <w:t>On March 1, 2018, Great Lakes KCAP Funding I, LLC (“Funding”), our wholly owned subsidiary, entered into a senior secured revolving credit facility (the “Prior Revolving Credit Facility”) with certain institutional lenders, State Bank and Trust Company, as the administrative agent, lead arranger and bookrunner, CIBC Bank USA, as documentation agent and us, as the servicer. The maximum commitment amount of the Prior Revolving Credit Facility was increased on March 27, 2019 to $57.5 million, and on April 1, 2019 to $67.5 million, subject to availability under the borrowing base. The Prior Revolving Credit Facility was fully repaid and the related agreements, including security interests in assets pledged as collateral, were terminated on December 23, 2019. Borrowings under the Prior Revolving Credit Facility bore interest at a rate per annum equal to (i) in the case of LIBOR rate loans, an adjusted LIBOR rate for the applicable interest period plus 3.25% or (ii) in the case of base rate loans, the prime rate plus 3.25%. Funding paid a fee on any undrawn amounts of 0.375% per annum; provided that if 50% or less of the Prior Revolving Credit Facility was drawn, the fee would be 0.50% per annum.</w:t>
      </w:r>
    </w:p>
    <w:p>
      <w:pPr>
        <w:spacing w:after="0" w:line="57" w:lineRule="exact"/>
        <w:rPr>
          <w:sz w:val="20"/>
          <w:szCs w:val="20"/>
          <w:color w:val="auto"/>
        </w:rPr>
      </w:pPr>
    </w:p>
    <w:p>
      <w:pPr>
        <w:ind w:firstLine="374"/>
        <w:spacing w:after="0" w:line="259" w:lineRule="auto"/>
        <w:rPr>
          <w:sz w:val="20"/>
          <w:szCs w:val="20"/>
          <w:color w:val="auto"/>
        </w:rPr>
      </w:pPr>
      <w:r>
        <w:rPr>
          <w:rFonts w:ascii="Arial" w:cs="Arial" w:eastAsia="Arial" w:hAnsi="Arial"/>
          <w:sz w:val="18"/>
          <w:szCs w:val="18"/>
          <w:color w:val="auto"/>
        </w:rPr>
        <w:t>On December 18, 2019, Great Lakes Portman Ridge Funding LLC (“GLPRF LLC”), a wholly-owned subsidiary of the Company, entered into a senior secured revolving credit facility (the “Revolving Credit Facility”) with JPMorgan Chase Bank, National Association (“JPM”). JPM serves as administrative agent, U.S. Bank National Association serves as collateral agent, securities intermediary and collateral administrator, and the Company serves as portfolio manager under the Revolving Credit Facility.</w:t>
      </w:r>
    </w:p>
    <w:p>
      <w:pPr>
        <w:spacing w:after="0" w:line="79" w:lineRule="exact"/>
        <w:rPr>
          <w:sz w:val="20"/>
          <w:szCs w:val="20"/>
          <w:color w:val="auto"/>
        </w:rPr>
      </w:pPr>
    </w:p>
    <w:p>
      <w:pPr>
        <w:ind w:right="40" w:firstLine="374"/>
        <w:spacing w:after="0" w:line="255" w:lineRule="auto"/>
        <w:rPr>
          <w:sz w:val="20"/>
          <w:szCs w:val="20"/>
          <w:color w:val="auto"/>
        </w:rPr>
      </w:pPr>
      <w:r>
        <w:rPr>
          <w:rFonts w:ascii="Arial" w:cs="Arial" w:eastAsia="Arial" w:hAnsi="Arial"/>
          <w:sz w:val="18"/>
          <w:szCs w:val="18"/>
          <w:color w:val="auto"/>
        </w:rPr>
        <w:t>Advances under the Revolving Credit Facility bear interest at a per annum rate equal to the three-month LIBOR in effect, plus the applicable margin of 2.85% per annum. GLPRF LLC is required to utilize a minimum of 80% of the commitments under the Revolving Credit Facility, after an initial six-month ramp-up period during which a lesser minimum utilization requirement applies. Unused amounts below such minimum utilization amount accrue interest as if such amounts are outstanding as borrowings under the Revolving Credit Facility. In addition, GLPRF LLC will pay a non-usage fee during the first three years after the closing date in an amount not to exceed 0.50% per annum on the average daily unborrowed portion of the financing commitments in excess of such minimum utilization amount.</w:t>
      </w:r>
    </w:p>
    <w:p>
      <w:pPr>
        <w:spacing w:after="0" w:line="84" w:lineRule="exact"/>
        <w:rPr>
          <w:sz w:val="20"/>
          <w:szCs w:val="20"/>
          <w:color w:val="auto"/>
        </w:rPr>
      </w:pPr>
    </w:p>
    <w:p>
      <w:pPr>
        <w:ind w:right="40" w:firstLine="374"/>
        <w:spacing w:after="0" w:line="257" w:lineRule="auto"/>
        <w:rPr>
          <w:sz w:val="20"/>
          <w:szCs w:val="20"/>
          <w:color w:val="auto"/>
        </w:rPr>
      </w:pPr>
      <w:r>
        <w:rPr>
          <w:rFonts w:ascii="Arial" w:cs="Arial" w:eastAsia="Arial" w:hAnsi="Arial"/>
          <w:sz w:val="18"/>
          <w:szCs w:val="18"/>
          <w:color w:val="auto"/>
        </w:rPr>
        <w:t>The initial principal amount of the Revolving Credit Facility is $115 million. The Revolving Credit Facility has an accordion feature, subject to the satisfaction of various conditions, which could bring total commitments under the Revolving Credit Facility to up to $215 million. Proceeds from borrowings under the Revolving Credit Facility may be used to fund portfolio investments by GLPRF LLC and to make advances under delayed draw term loans where GLPRF LLC is a lender. All amounts outstanding under the Revolving Credit Facility must be repaid by the maturity date of December 18, 2023.</w:t>
      </w:r>
    </w:p>
    <w:p>
      <w:pPr>
        <w:spacing w:after="0" w:line="80" w:lineRule="exact"/>
        <w:rPr>
          <w:sz w:val="20"/>
          <w:szCs w:val="20"/>
          <w:color w:val="auto"/>
        </w:rPr>
      </w:pPr>
    </w:p>
    <w:p>
      <w:pPr>
        <w:ind w:right="300" w:firstLine="374"/>
        <w:spacing w:after="0" w:line="286" w:lineRule="auto"/>
        <w:rPr>
          <w:sz w:val="20"/>
          <w:szCs w:val="20"/>
          <w:color w:val="auto"/>
        </w:rPr>
      </w:pPr>
      <w:r>
        <w:rPr>
          <w:rFonts w:ascii="Arial" w:cs="Arial" w:eastAsia="Arial" w:hAnsi="Arial"/>
          <w:sz w:val="17"/>
          <w:szCs w:val="17"/>
          <w:color w:val="auto"/>
        </w:rPr>
        <w:t>GLPRF LLC’s obligations to the lenders under the Revolving Credit Facility are secured by a first priority security interest in all of GLPRF LLC’s portfolio of investments and cash. The obligations of GLPRF LLC under the Revolving Credit Facility are non-recourse to the Company, and the Company’s exposure under the Revolving Credit Facility is limited to the value of the Company’s investment in GLPRF LLC.</w:t>
      </w:r>
    </w:p>
    <w:p>
      <w:pPr>
        <w:spacing w:after="0" w:line="57" w:lineRule="exact"/>
        <w:rPr>
          <w:sz w:val="20"/>
          <w:szCs w:val="20"/>
          <w:color w:val="auto"/>
        </w:rPr>
      </w:pPr>
    </w:p>
    <w:p>
      <w:pPr>
        <w:ind w:right="80" w:firstLine="374"/>
        <w:spacing w:after="0" w:line="257" w:lineRule="auto"/>
        <w:rPr>
          <w:sz w:val="20"/>
          <w:szCs w:val="20"/>
          <w:color w:val="auto"/>
        </w:rPr>
      </w:pPr>
      <w:r>
        <w:rPr>
          <w:rFonts w:ascii="Arial" w:cs="Arial" w:eastAsia="Arial" w:hAnsi="Arial"/>
          <w:sz w:val="18"/>
          <w:szCs w:val="18"/>
          <w:color w:val="auto"/>
        </w:rPr>
        <w:t>In connection with the Revolving Credit Facility, GLPRF LLC has made certain customary representations and warranties and is required to comply with various covenants, reporting requirements and other customary requirements for similar facilities. The Revolving Credit Facility contains customary events of default for similar financing transactions, including if a change of control of GLPRF LLC occurs or if the Company is no longer the portfolio manager of GLPRF LLC. Upon the occurrence and during the continuation of an event of default, JPM may declare the outstanding advances and all other obligations under the Revolving Credit Facility immediately due and payable.</w:t>
      </w:r>
    </w:p>
    <w:p>
      <w:pPr>
        <w:spacing w:after="0" w:line="80" w:lineRule="exact"/>
        <w:rPr>
          <w:sz w:val="20"/>
          <w:szCs w:val="20"/>
          <w:color w:val="auto"/>
        </w:rPr>
      </w:pPr>
    </w:p>
    <w:p>
      <w:pPr>
        <w:ind w:right="40" w:firstLine="374"/>
        <w:spacing w:after="0" w:line="259" w:lineRule="auto"/>
        <w:rPr>
          <w:sz w:val="20"/>
          <w:szCs w:val="20"/>
          <w:color w:val="auto"/>
        </w:rPr>
      </w:pPr>
      <w:r>
        <w:rPr>
          <w:rFonts w:ascii="Arial" w:cs="Arial" w:eastAsia="Arial" w:hAnsi="Arial"/>
          <w:sz w:val="18"/>
          <w:szCs w:val="18"/>
          <w:color w:val="auto"/>
        </w:rPr>
        <w:t>The occurrence of an event of default (as described above) or a market value event (as defined in the Revolving Credit Facility) triggers a requirement that GLPRF LLC obtain the consent of JPM prior to entering into certain sales or dispositions with respect to portfolio assets, and the occurrence of a market value event triggers the right of JPM to direct GLPRF LLC to enter into sales or dispositions with respect to any portfolio assets, in each case in JPM’s sole discretion.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92" w:name="page93"/>
    <w:bookmarkEnd w:id="92"/>
    <w:p>
      <w:pPr>
        <w:ind w:right="100" w:firstLine="374"/>
        <w:spacing w:after="0" w:line="277" w:lineRule="auto"/>
        <w:rPr>
          <w:sz w:val="20"/>
          <w:szCs w:val="20"/>
          <w:color w:val="auto"/>
        </w:rPr>
      </w:pPr>
      <w:r>
        <w:rPr>
          <w:rFonts w:ascii="Arial" w:cs="Arial" w:eastAsia="Arial" w:hAnsi="Arial"/>
          <w:sz w:val="18"/>
          <w:szCs w:val="18"/>
          <w:color w:val="auto"/>
        </w:rPr>
        <w:t>At March 31, 2021, GLPRF LLC was in compliance with all of its debt covenants and $69.1 million principal amount of borrowings was outstanding under the Revolving Credit Facility.</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40" w:type="dxa"/>
            <w:vAlign w:val="bottom"/>
          </w:tcPr>
          <w:p>
            <w:pPr>
              <w:spacing w:after="0"/>
              <w:rPr>
                <w:sz w:val="20"/>
                <w:szCs w:val="20"/>
                <w:color w:val="auto"/>
              </w:rPr>
            </w:pPr>
            <w:r>
              <w:rPr>
                <w:rFonts w:ascii="Arial" w:cs="Arial" w:eastAsia="Arial" w:hAnsi="Arial"/>
                <w:sz w:val="18"/>
                <w:szCs w:val="18"/>
                <w:i w:val="1"/>
                <w:iCs w:val="1"/>
                <w:color w:val="auto"/>
              </w:rPr>
              <w:t>2018-2 Secured Notes</w:t>
            </w: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w w:val="95"/>
              </w:rPr>
              <w:t>Amortized</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90"/>
              </w:rPr>
              <w:t>Outstanding</w:t>
            </w:r>
          </w:p>
        </w:tc>
        <w:tc>
          <w:tcPr>
            <w:tcW w:w="1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7"/>
              </w:rPr>
              <w:t>Stated</w:t>
            </w:r>
          </w:p>
        </w:tc>
        <w:tc>
          <w:tcPr>
            <w:tcW w:w="0" w:type="dxa"/>
            <w:vAlign w:val="bottom"/>
          </w:tcPr>
          <w:p>
            <w:pPr>
              <w:spacing w:after="0"/>
              <w:rPr>
                <w:sz w:val="1"/>
                <w:szCs w:val="1"/>
                <w:color w:val="auto"/>
              </w:rPr>
            </w:pPr>
          </w:p>
        </w:tc>
      </w:tr>
      <w:tr>
        <w:trPr>
          <w:trHeight w:val="211"/>
        </w:trPr>
        <w:tc>
          <w:tcPr>
            <w:tcW w:w="28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40" w:type="dxa"/>
            <w:vAlign w:val="bottom"/>
          </w:tcPr>
          <w:p>
            <w:pPr>
              <w:spacing w:after="0"/>
              <w:rPr>
                <w:sz w:val="20"/>
                <w:szCs w:val="20"/>
                <w:color w:val="auto"/>
              </w:rPr>
            </w:pPr>
            <w:r>
              <w:rPr>
                <w:rFonts w:ascii="Arial" w:cs="Arial" w:eastAsia="Arial" w:hAnsi="Arial"/>
                <w:sz w:val="18"/>
                <w:szCs w:val="18"/>
                <w:b w:val="1"/>
                <w:bCs w:val="1"/>
                <w:color w:val="auto"/>
              </w:rPr>
              <w:t>March 31, 2021</w:t>
            </w:r>
          </w:p>
        </w:tc>
        <w:tc>
          <w:tcPr>
            <w:tcW w:w="2280" w:type="dxa"/>
            <w:vAlign w:val="bottom"/>
            <w:gridSpan w:val="3"/>
          </w:tcPr>
          <w:p>
            <w:pPr>
              <w:ind w:left="1100"/>
              <w:spacing w:after="0"/>
              <w:rPr>
                <w:sz w:val="20"/>
                <w:szCs w:val="20"/>
                <w:color w:val="auto"/>
              </w:rPr>
            </w:pPr>
            <w:r>
              <w:rPr>
                <w:rFonts w:ascii="Arial" w:cs="Arial" w:eastAsia="Arial" w:hAnsi="Arial"/>
                <w:sz w:val="18"/>
                <w:szCs w:val="18"/>
                <w:b w:val="1"/>
                <w:bCs w:val="1"/>
                <w:color w:val="auto"/>
                <w:w w:val="91"/>
              </w:rPr>
              <w:t>Carrying Value</w:t>
            </w:r>
          </w:p>
        </w:tc>
        <w:tc>
          <w:tcPr>
            <w:tcW w:w="440" w:type="dxa"/>
            <w:vAlign w:val="bottom"/>
          </w:tcPr>
          <w:p>
            <w:pPr>
              <w:spacing w:after="0"/>
              <w:rPr>
                <w:sz w:val="20"/>
                <w:szCs w:val="20"/>
                <w:color w:val="auto"/>
              </w:rPr>
            </w:pPr>
          </w:p>
        </w:tc>
        <w:tc>
          <w:tcPr>
            <w:tcW w:w="14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4"/>
              </w:rPr>
              <w:t>Principal at Par</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8"/>
              </w:rPr>
              <w:t>Spread</w:t>
            </w:r>
          </w:p>
        </w:tc>
        <w:tc>
          <w:tcPr>
            <w:tcW w:w="180" w:type="dxa"/>
            <w:vAlign w:val="bottom"/>
          </w:tcPr>
          <w:p>
            <w:pPr>
              <w:spacing w:after="0"/>
              <w:rPr>
                <w:sz w:val="20"/>
                <w:szCs w:val="20"/>
                <w:color w:val="auto"/>
              </w:rPr>
            </w:pPr>
          </w:p>
        </w:tc>
        <w:tc>
          <w:tcPr>
            <w:tcW w:w="15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4"/>
              </w:rPr>
              <w:t>Rating</w:t>
            </w:r>
            <w:r>
              <w:rPr>
                <w:rFonts w:ascii="Arial" w:cs="Arial" w:eastAsia="Arial" w:hAnsi="Arial"/>
                <w:sz w:val="15"/>
                <w:szCs w:val="15"/>
                <w:color w:val="auto"/>
                <w:w w:val="94"/>
              </w:rPr>
              <w:t>(1)</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9"/>
              </w:rPr>
              <w:t>Maturity</w:t>
            </w:r>
            <w:r>
              <w:rPr>
                <w:rFonts w:ascii="Arial" w:cs="Arial" w:eastAsia="Arial" w:hAnsi="Arial"/>
                <w:sz w:val="15"/>
                <w:szCs w:val="15"/>
                <w:b w:val="1"/>
                <w:bCs w:val="1"/>
                <w:color w:val="auto"/>
                <w:w w:val="99"/>
              </w:rPr>
              <w:t>(2)</w:t>
            </w:r>
          </w:p>
        </w:tc>
        <w:tc>
          <w:tcPr>
            <w:tcW w:w="0" w:type="dxa"/>
            <w:vAlign w:val="bottom"/>
          </w:tcPr>
          <w:p>
            <w:pPr>
              <w:spacing w:after="0"/>
              <w:rPr>
                <w:sz w:val="1"/>
                <w:szCs w:val="1"/>
                <w:color w:val="auto"/>
              </w:rPr>
            </w:pPr>
          </w:p>
        </w:tc>
      </w:tr>
      <w:tr>
        <w:trPr>
          <w:trHeight w:val="228"/>
        </w:trPr>
        <w:tc>
          <w:tcPr>
            <w:tcW w:w="28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2018-2 Secured Notes:</w:t>
            </w:r>
          </w:p>
        </w:tc>
        <w:tc>
          <w:tcPr>
            <w:tcW w:w="11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LIBOR + 1.58%</w:t>
            </w:r>
          </w:p>
        </w:tc>
        <w:tc>
          <w:tcPr>
            <w:tcW w:w="180" w:type="dxa"/>
            <w:vAlign w:val="bottom"/>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840" w:type="dxa"/>
            <w:vAlign w:val="bottom"/>
            <w:vMerge w:val="restart"/>
          </w:tcPr>
          <w:p>
            <w:pPr>
              <w:ind w:left="260"/>
              <w:spacing w:after="0"/>
              <w:rPr>
                <w:sz w:val="20"/>
                <w:szCs w:val="20"/>
                <w:color w:val="auto"/>
              </w:rPr>
            </w:pPr>
            <w:r>
              <w:rPr>
                <w:rFonts w:ascii="Arial" w:cs="Arial" w:eastAsia="Arial" w:hAnsi="Arial"/>
                <w:sz w:val="18"/>
                <w:szCs w:val="18"/>
                <w:color w:val="auto"/>
              </w:rPr>
              <w:t>Class A-1R-R Notes</w:t>
            </w:r>
          </w:p>
        </w:tc>
        <w:tc>
          <w:tcPr>
            <w:tcW w:w="1240" w:type="dxa"/>
            <w:vAlign w:val="bottom"/>
            <w:gridSpan w:val="2"/>
            <w:vMerge w:val="restart"/>
          </w:tcPr>
          <w:p>
            <w:pPr>
              <w:ind w:left="1100"/>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vMerge w:val="restart"/>
          </w:tcPr>
          <w:p>
            <w:pPr>
              <w:jc w:val="right"/>
              <w:spacing w:after="0"/>
              <w:rPr>
                <w:sz w:val="20"/>
                <w:szCs w:val="20"/>
                <w:color w:val="auto"/>
              </w:rPr>
            </w:pPr>
            <w:r>
              <w:rPr>
                <w:rFonts w:ascii="Arial" w:cs="Arial" w:eastAsia="Arial" w:hAnsi="Arial"/>
                <w:sz w:val="18"/>
                <w:szCs w:val="18"/>
                <w:color w:val="auto"/>
              </w:rPr>
              <w:t>#  $</w:t>
            </w:r>
          </w:p>
        </w:tc>
        <w:tc>
          <w:tcPr>
            <w:tcW w:w="13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vMerge w:val="restart"/>
          </w:tcPr>
          <w:p>
            <w:pPr>
              <w:jc w:val="center"/>
              <w:ind w:right="180"/>
              <w:spacing w:after="0"/>
              <w:rPr>
                <w:sz w:val="20"/>
                <w:szCs w:val="20"/>
                <w:color w:val="auto"/>
              </w:rPr>
            </w:pPr>
            <w:r>
              <w:rPr>
                <w:rFonts w:ascii="Arial" w:cs="Arial" w:eastAsia="Arial" w:hAnsi="Arial"/>
                <w:sz w:val="18"/>
                <w:szCs w:val="18"/>
                <w:color w:val="auto"/>
              </w:rPr>
              <w:t>AAA(sf)</w:t>
            </w:r>
          </w:p>
        </w:tc>
        <w:tc>
          <w:tcPr>
            <w:tcW w:w="1180" w:type="dxa"/>
            <w:vAlign w:val="bottom"/>
            <w:vMerge w:val="restart"/>
          </w:tcPr>
          <w:p>
            <w:pPr>
              <w:jc w:val="center"/>
              <w:spacing w:after="0"/>
              <w:rPr>
                <w:sz w:val="20"/>
                <w:szCs w:val="20"/>
                <w:color w:val="auto"/>
              </w:rPr>
            </w:pPr>
            <w:r>
              <w:rPr>
                <w:rFonts w:ascii="Arial" w:cs="Arial" w:eastAsia="Arial" w:hAnsi="Arial"/>
                <w:sz w:val="18"/>
                <w:szCs w:val="18"/>
                <w:color w:val="auto"/>
                <w:w w:val="88"/>
              </w:rPr>
              <w:t>11/20/2029</w:t>
            </w:r>
          </w:p>
        </w:tc>
        <w:tc>
          <w:tcPr>
            <w:tcW w:w="0" w:type="dxa"/>
            <w:vAlign w:val="bottom"/>
          </w:tcPr>
          <w:p>
            <w:pPr>
              <w:spacing w:after="0"/>
              <w:rPr>
                <w:sz w:val="1"/>
                <w:szCs w:val="1"/>
                <w:color w:val="auto"/>
              </w:rPr>
            </w:pPr>
          </w:p>
        </w:tc>
      </w:tr>
      <w:tr>
        <w:trPr>
          <w:trHeight w:val="189"/>
        </w:trPr>
        <w:tc>
          <w:tcPr>
            <w:tcW w:w="2840" w:type="dxa"/>
            <w:vAlign w:val="bottom"/>
            <w:vMerge w:val="continue"/>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5"/>
                <w:szCs w:val="15"/>
                <w:color w:val="auto"/>
                <w:w w:val="97"/>
              </w:rPr>
              <w:t>(3)</w:t>
            </w:r>
          </w:p>
        </w:tc>
        <w:tc>
          <w:tcPr>
            <w:tcW w:w="18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Class A-1T-R Notes</w:t>
            </w: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89,543,115</w:t>
            </w: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90,512,698</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LIBOR + 1.58%</w:t>
            </w:r>
          </w:p>
        </w:tc>
        <w:tc>
          <w:tcPr>
            <w:tcW w:w="1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rPr>
              <w:t>AAA(sf)</w:t>
            </w:r>
          </w:p>
        </w:tc>
        <w:tc>
          <w:tcPr>
            <w:tcW w:w="11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11/20/2029</w:t>
            </w:r>
          </w:p>
        </w:tc>
        <w:tc>
          <w:tcPr>
            <w:tcW w:w="0" w:type="dxa"/>
            <w:vAlign w:val="bottom"/>
          </w:tcPr>
          <w:p>
            <w:pPr>
              <w:spacing w:after="0"/>
              <w:rPr>
                <w:sz w:val="1"/>
                <w:szCs w:val="1"/>
                <w:color w:val="auto"/>
              </w:rPr>
            </w:pPr>
          </w:p>
        </w:tc>
      </w:tr>
      <w:tr>
        <w:trPr>
          <w:trHeight w:val="230"/>
        </w:trPr>
        <w:tc>
          <w:tcPr>
            <w:tcW w:w="2840" w:type="dxa"/>
            <w:vAlign w:val="bottom"/>
          </w:tcPr>
          <w:p>
            <w:pPr>
              <w:ind w:left="260"/>
              <w:spacing w:after="0"/>
              <w:rPr>
                <w:sz w:val="20"/>
                <w:szCs w:val="20"/>
                <w:color w:val="auto"/>
              </w:rPr>
            </w:pPr>
            <w:r>
              <w:rPr>
                <w:rFonts w:ascii="Arial" w:cs="Arial" w:eastAsia="Arial" w:hAnsi="Arial"/>
                <w:sz w:val="18"/>
                <w:szCs w:val="18"/>
                <w:color w:val="auto"/>
              </w:rPr>
              <w:t>Class A-2-R Notes</w:t>
            </w: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54,681,332</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55,100,000</w:t>
            </w:r>
          </w:p>
        </w:tc>
        <w:tc>
          <w:tcPr>
            <w:tcW w:w="2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3"/>
              </w:rPr>
              <w:t>LIBOR + 2.45%</w:t>
            </w:r>
          </w:p>
        </w:tc>
        <w:tc>
          <w:tcPr>
            <w:tcW w:w="180" w:type="dxa"/>
            <w:vAlign w:val="bottom"/>
          </w:tcPr>
          <w:p>
            <w:pPr>
              <w:spacing w:after="0"/>
              <w:rPr>
                <w:sz w:val="19"/>
                <w:szCs w:val="19"/>
                <w:color w:val="auto"/>
              </w:rPr>
            </w:pPr>
          </w:p>
        </w:tc>
        <w:tc>
          <w:tcPr>
            <w:tcW w:w="1500" w:type="dxa"/>
            <w:vAlign w:val="bottom"/>
            <w:gridSpan w:val="2"/>
          </w:tcPr>
          <w:p>
            <w:pPr>
              <w:jc w:val="center"/>
              <w:ind w:right="160"/>
              <w:spacing w:after="0"/>
              <w:rPr>
                <w:sz w:val="20"/>
                <w:szCs w:val="20"/>
                <w:color w:val="auto"/>
              </w:rPr>
            </w:pPr>
            <w:r>
              <w:rPr>
                <w:rFonts w:ascii="Arial" w:cs="Arial" w:eastAsia="Arial" w:hAnsi="Arial"/>
                <w:sz w:val="18"/>
                <w:szCs w:val="18"/>
                <w:color w:val="auto"/>
                <w:w w:val="98"/>
              </w:rPr>
              <w:t>AA (sf)</w:t>
            </w:r>
          </w:p>
        </w:tc>
        <w:tc>
          <w:tcPr>
            <w:tcW w:w="1180" w:type="dxa"/>
            <w:vAlign w:val="bottom"/>
          </w:tcPr>
          <w:p>
            <w:pPr>
              <w:jc w:val="center"/>
              <w:spacing w:after="0"/>
              <w:rPr>
                <w:sz w:val="20"/>
                <w:szCs w:val="20"/>
                <w:color w:val="auto"/>
              </w:rPr>
            </w:pPr>
            <w:r>
              <w:rPr>
                <w:rFonts w:ascii="Arial" w:cs="Arial" w:eastAsia="Arial" w:hAnsi="Arial"/>
                <w:sz w:val="18"/>
                <w:szCs w:val="18"/>
                <w:color w:val="auto"/>
                <w:w w:val="88"/>
              </w:rPr>
              <w:t>11/20/2029</w:t>
            </w:r>
          </w:p>
        </w:tc>
        <w:tc>
          <w:tcPr>
            <w:tcW w:w="0" w:type="dxa"/>
            <w:vAlign w:val="bottom"/>
          </w:tcPr>
          <w:p>
            <w:pPr>
              <w:spacing w:after="0"/>
              <w:rPr>
                <w:sz w:val="1"/>
                <w:szCs w:val="1"/>
                <w:color w:val="auto"/>
              </w:rPr>
            </w:pPr>
          </w:p>
        </w:tc>
      </w:tr>
      <w:tr>
        <w:trPr>
          <w:trHeight w:val="229"/>
        </w:trPr>
        <w:tc>
          <w:tcPr>
            <w:tcW w:w="2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Class B-R Notes</w:t>
            </w: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18,102,679</w:t>
            </w: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18,250,000</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LIBOR + 3.17%</w:t>
            </w:r>
          </w:p>
        </w:tc>
        <w:tc>
          <w:tcPr>
            <w:tcW w:w="1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7"/>
              </w:rPr>
              <w:t>A (sf)</w:t>
            </w:r>
          </w:p>
        </w:tc>
        <w:tc>
          <w:tcPr>
            <w:tcW w:w="11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11/20/2029</w:t>
            </w:r>
          </w:p>
        </w:tc>
        <w:tc>
          <w:tcPr>
            <w:tcW w:w="0" w:type="dxa"/>
            <w:vAlign w:val="bottom"/>
          </w:tcPr>
          <w:p>
            <w:pPr>
              <w:spacing w:after="0"/>
              <w:rPr>
                <w:sz w:val="1"/>
                <w:szCs w:val="1"/>
                <w:color w:val="auto"/>
              </w:rPr>
            </w:pPr>
          </w:p>
        </w:tc>
      </w:tr>
      <w:tr>
        <w:trPr>
          <w:trHeight w:val="229"/>
        </w:trPr>
        <w:tc>
          <w:tcPr>
            <w:tcW w:w="28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8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162,327,125</w:t>
            </w:r>
          </w:p>
        </w:tc>
        <w:tc>
          <w:tcPr>
            <w:tcW w:w="4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163,862,698</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380" w:right="340" w:hanging="372"/>
        <w:spacing w:after="0" w:line="189" w:lineRule="auto"/>
        <w:tabs>
          <w:tab w:leader="none" w:pos="380" w:val="left"/>
        </w:tabs>
        <w:numPr>
          <w:ilvl w:val="0"/>
          <w:numId w:val="90"/>
        </w:numPr>
        <w:rPr>
          <w:rFonts w:ascii="Arial" w:cs="Arial" w:eastAsia="Arial" w:hAnsi="Arial"/>
          <w:sz w:val="29"/>
          <w:szCs w:val="29"/>
          <w:color w:val="auto"/>
          <w:vertAlign w:val="superscript"/>
        </w:rPr>
      </w:pPr>
      <w:r>
        <w:rPr>
          <w:rFonts w:ascii="Arial" w:cs="Arial" w:eastAsia="Arial" w:hAnsi="Arial"/>
          <w:sz w:val="16"/>
          <w:szCs w:val="16"/>
          <w:color w:val="auto"/>
        </w:rPr>
        <w:t>Represents ratings from each of S&amp;P and DBRS for the Class A-1R-R Notes and the Class A-1T-R Notes and from S&amp;P for the Class A-2-R Notes and Class B-R Notes as of the closing of the CLO on October 18, 2018.</w:t>
      </w:r>
    </w:p>
    <w:p>
      <w:pPr>
        <w:spacing w:after="0" w:line="1" w:lineRule="exact"/>
        <w:rPr>
          <w:rFonts w:ascii="Arial" w:cs="Arial" w:eastAsia="Arial" w:hAnsi="Arial"/>
          <w:sz w:val="29"/>
          <w:szCs w:val="29"/>
          <w:color w:val="auto"/>
          <w:vertAlign w:val="superscript"/>
        </w:rPr>
      </w:pPr>
    </w:p>
    <w:p>
      <w:pPr>
        <w:ind w:left="380" w:right="500" w:hanging="372"/>
        <w:spacing w:after="0" w:line="187" w:lineRule="auto"/>
        <w:tabs>
          <w:tab w:leader="none" w:pos="380" w:val="left"/>
        </w:tabs>
        <w:numPr>
          <w:ilvl w:val="0"/>
          <w:numId w:val="90"/>
        </w:numPr>
        <w:rPr>
          <w:rFonts w:ascii="Arial" w:cs="Arial" w:eastAsia="Arial" w:hAnsi="Arial"/>
          <w:sz w:val="29"/>
          <w:szCs w:val="29"/>
          <w:color w:val="auto"/>
          <w:vertAlign w:val="superscript"/>
        </w:rPr>
      </w:pPr>
      <w:r>
        <w:rPr>
          <w:rFonts w:ascii="Arial" w:cs="Arial" w:eastAsia="Arial" w:hAnsi="Arial"/>
          <w:sz w:val="16"/>
          <w:szCs w:val="16"/>
          <w:color w:val="auto"/>
        </w:rPr>
        <w:t>The indenture governing our CLO permits the repricing or refinancing of the secured notes after November 20, 2020, which may result in the redemption of the outstanding notes occurring prior to their stated maturity.</w:t>
      </w:r>
    </w:p>
    <w:p>
      <w:pPr>
        <w:spacing w:after="0" w:line="1" w:lineRule="exact"/>
        <w:rPr>
          <w:rFonts w:ascii="Arial" w:cs="Arial" w:eastAsia="Arial" w:hAnsi="Arial"/>
          <w:sz w:val="29"/>
          <w:szCs w:val="29"/>
          <w:color w:val="auto"/>
          <w:vertAlign w:val="superscript"/>
        </w:rPr>
      </w:pPr>
    </w:p>
    <w:p>
      <w:pPr>
        <w:ind w:left="380" w:hanging="372"/>
        <w:spacing w:after="0" w:line="183" w:lineRule="auto"/>
        <w:tabs>
          <w:tab w:leader="none" w:pos="380" w:val="left"/>
        </w:tabs>
        <w:numPr>
          <w:ilvl w:val="0"/>
          <w:numId w:val="90"/>
        </w:numPr>
        <w:rPr>
          <w:rFonts w:ascii="Arial" w:cs="Arial" w:eastAsia="Arial" w:hAnsi="Arial"/>
          <w:sz w:val="23"/>
          <w:szCs w:val="23"/>
          <w:color w:val="auto"/>
          <w:vertAlign w:val="superscript"/>
        </w:rPr>
      </w:pPr>
      <w:r>
        <w:rPr>
          <w:rFonts w:ascii="Arial" w:cs="Arial" w:eastAsia="Arial" w:hAnsi="Arial"/>
          <w:sz w:val="13"/>
          <w:szCs w:val="13"/>
          <w:color w:val="auto"/>
        </w:rPr>
        <w:t>Interest may be indexed to either the CP Rate (as defined in the governing indenture) or three-month USD LIBOR.</w:t>
      </w:r>
    </w:p>
    <w:p>
      <w:pPr>
        <w:spacing w:after="0" w:line="116" w:lineRule="exact"/>
        <w:rPr>
          <w:sz w:val="20"/>
          <w:szCs w:val="20"/>
          <w:color w:val="auto"/>
        </w:rPr>
      </w:pPr>
    </w:p>
    <w:p>
      <w:pPr>
        <w:ind w:right="140" w:firstLine="374"/>
        <w:spacing w:after="0" w:line="253" w:lineRule="auto"/>
        <w:rPr>
          <w:sz w:val="20"/>
          <w:szCs w:val="20"/>
          <w:color w:val="auto"/>
        </w:rPr>
      </w:pPr>
      <w:r>
        <w:rPr>
          <w:rFonts w:ascii="Arial" w:cs="Arial" w:eastAsia="Arial" w:hAnsi="Arial"/>
          <w:sz w:val="18"/>
          <w:szCs w:val="18"/>
          <w:color w:val="auto"/>
        </w:rPr>
        <w:t>October 28, 2020 the Company completed the GARS Acquisition, pursuant to the terms and conditions of the GARS Merger Agreement. In connection therewith, the Company now consolidates the financial statements the 2018-2 CLO a $420.0 million par value CLO facility. On the date of the transaction the debt assumed was recognized at fair value, resulting in a $2.4 million discount which is amortized over the remaining term of the borrowings.</w:t>
      </w:r>
    </w:p>
    <w:p>
      <w:pPr>
        <w:spacing w:after="0" w:line="191" w:lineRule="exact"/>
        <w:rPr>
          <w:sz w:val="20"/>
          <w:szCs w:val="20"/>
          <w:color w:val="auto"/>
        </w:rPr>
      </w:pPr>
    </w:p>
    <w:p>
      <w:pPr>
        <w:ind w:firstLine="374"/>
        <w:spacing w:after="0" w:line="286" w:lineRule="auto"/>
        <w:rPr>
          <w:sz w:val="20"/>
          <w:szCs w:val="20"/>
          <w:color w:val="auto"/>
        </w:rPr>
      </w:pPr>
      <w:r>
        <w:rPr>
          <w:rFonts w:ascii="Arial" w:cs="Arial" w:eastAsia="Arial" w:hAnsi="Arial"/>
          <w:sz w:val="16"/>
          <w:szCs w:val="16"/>
          <w:color w:val="auto"/>
        </w:rPr>
        <w:t>The CLO was executed by GF 2018-2 (the “Issuer”) and Garrison Funding 2018-2 LLC (together with the Issuer, the “Co-Issuers”) who issued $312.0 million of senior secured notes (collectively referred to as the “2018-2 Secured Notes” individually defined above in the table) and $108.0 million of subordinated notes (the “2018-2 Subordinated Notes” and, together with the 2018-2 Secured Notes, the “2018-2 Notes”) backed by a diversified portfolio of primarily senior secured loans. The Company owns all $108.0 million of the 2018-2 Subordinated Notes and $18.3 million of the Class B-R Notes and serves as collateral manager for the Co-Issuers. The Company is entitled to receive interest from the Class B-R Notes, distributions from the 2018-2 Subordinated Notes and fees for serving as collateral manager in accordance with the CLO’s governing documents and to the extent funds are available for such purposes. However, as a result of retaining all of the 2018-2 Subordinated Notes, the Company consolidates the accounts of the Co-Issuers into its financial statements and all transactions between the Company and the Co-Issuers are eliminated on consolidation. As a result of this consolidation, the 2018-2 Secured Notes issued by the CLO is treated as the Company’s indebtedness, except any 2018-2 Secured Notes owned by the Company, which are eliminated in consolidation. The 2018-2 Notes are scheduled to mature on November 20, 2029, however the Co-Issuers may redeem the 2018-2 Notes on any business day after November 20, 2020. The indenture governing the 2018-2 Notes provides that, to the extent cash is available from cash collections, the holders of the 2018-2 Notes are to receive quarterly interest payments on the 20th day or, if not a business day, the next succeeding business day of February, May, August and November of each year until the stated maturity or earlier redemption. On July 18, 2019, $25.0 million outstanding of the aggregate $50.0 million Class A-1R-R Notes available under the CLO converted to Class A-1T-R Notes. The remaining $25.0 million of Class A-1R-R Notes, to the extent drawn, will convert to term notes on or before November 20, 2022.</w:t>
      </w:r>
    </w:p>
    <w:p>
      <w:pPr>
        <w:spacing w:after="0" w:line="167" w:lineRule="exact"/>
        <w:rPr>
          <w:sz w:val="20"/>
          <w:szCs w:val="20"/>
          <w:color w:val="auto"/>
        </w:rPr>
      </w:pPr>
    </w:p>
    <w:p>
      <w:pPr>
        <w:ind w:right="620" w:firstLine="374"/>
        <w:spacing w:after="0" w:line="277" w:lineRule="auto"/>
        <w:rPr>
          <w:sz w:val="20"/>
          <w:szCs w:val="20"/>
          <w:color w:val="auto"/>
        </w:rPr>
      </w:pPr>
      <w:r>
        <w:rPr>
          <w:rFonts w:ascii="Arial" w:cs="Arial" w:eastAsia="Arial" w:hAnsi="Arial"/>
          <w:sz w:val="18"/>
          <w:szCs w:val="18"/>
          <w:color w:val="auto"/>
        </w:rPr>
        <w:t>During the first quarter of 2021, the Company redeemed approximately $88 million of the 2018-2 Secured Notes. In connection therewith, the Company recognized a realized loss on extinguishment of debt of approximately $0.9 million.</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Distributions</w:t>
      </w:r>
    </w:p>
    <w:p>
      <w:pPr>
        <w:spacing w:after="0" w:line="202" w:lineRule="exact"/>
        <w:rPr>
          <w:sz w:val="20"/>
          <w:szCs w:val="20"/>
          <w:color w:val="auto"/>
        </w:rPr>
      </w:pPr>
    </w:p>
    <w:p>
      <w:pPr>
        <w:ind w:right="240" w:firstLine="374"/>
        <w:spacing w:after="0" w:line="277" w:lineRule="auto"/>
        <w:rPr>
          <w:sz w:val="20"/>
          <w:szCs w:val="20"/>
          <w:color w:val="auto"/>
        </w:rPr>
      </w:pPr>
      <w:r>
        <w:rPr>
          <w:rFonts w:ascii="Arial" w:cs="Arial" w:eastAsia="Arial" w:hAnsi="Arial"/>
          <w:sz w:val="18"/>
          <w:szCs w:val="18"/>
          <w:color w:val="auto"/>
        </w:rPr>
        <w:t>We intend to continue to make quarterly distributions to our stockholders. To avoid certain excise taxes imposed on RICs, we generally endeavor to distribute during each calendar year an amount at least equal to the sum of:</w:t>
      </w:r>
    </w:p>
    <w:p>
      <w:pPr>
        <w:spacing w:after="0" w:line="130" w:lineRule="exact"/>
        <w:rPr>
          <w:sz w:val="20"/>
          <w:szCs w:val="20"/>
          <w:color w:val="auto"/>
        </w:rPr>
      </w:pPr>
    </w:p>
    <w:p>
      <w:pPr>
        <w:ind w:left="740" w:hanging="368"/>
        <w:spacing w:after="0"/>
        <w:tabs>
          <w:tab w:leader="none" w:pos="7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98% of our ordinary net taxable income for the calendar year;</w:t>
      </w:r>
    </w:p>
    <w:p>
      <w:pPr>
        <w:spacing w:after="0" w:line="211" w:lineRule="exact"/>
        <w:rPr>
          <w:rFonts w:ascii="Arial" w:cs="Arial" w:eastAsia="Arial" w:hAnsi="Arial"/>
          <w:sz w:val="18"/>
          <w:szCs w:val="18"/>
          <w:color w:val="auto"/>
        </w:rPr>
      </w:pPr>
    </w:p>
    <w:p>
      <w:pPr>
        <w:ind w:left="740" w:hanging="368"/>
        <w:spacing w:after="0"/>
        <w:tabs>
          <w:tab w:leader="none" w:pos="7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98.2% of our capital gains, if any, in excess of capital losses for the one-year period ending on October 31 of the calendar year; and</w:t>
      </w:r>
    </w:p>
    <w:p>
      <w:pPr>
        <w:spacing w:after="0" w:line="211" w:lineRule="exact"/>
        <w:rPr>
          <w:rFonts w:ascii="Arial" w:cs="Arial" w:eastAsia="Arial" w:hAnsi="Arial"/>
          <w:sz w:val="18"/>
          <w:szCs w:val="18"/>
          <w:color w:val="auto"/>
        </w:rPr>
      </w:pPr>
    </w:p>
    <w:p>
      <w:pPr>
        <w:ind w:left="740" w:right="480" w:hanging="368"/>
        <w:spacing w:after="0" w:line="277" w:lineRule="auto"/>
        <w:tabs>
          <w:tab w:leader="none" w:pos="7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any net ordinary income and net capital gains for the preceding year that were not distributed during such year and on which we do not pay corporate tax.</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93" w:name="page94"/>
    <w:bookmarkEnd w:id="93"/>
    <w:p>
      <w:pPr>
        <w:ind w:right="60" w:firstLine="374"/>
        <w:spacing w:after="0" w:line="277" w:lineRule="auto"/>
        <w:rPr>
          <w:sz w:val="20"/>
          <w:szCs w:val="20"/>
          <w:color w:val="auto"/>
        </w:rPr>
      </w:pPr>
      <w:r>
        <w:rPr>
          <w:rFonts w:ascii="Arial" w:cs="Arial" w:eastAsia="Arial" w:hAnsi="Arial"/>
          <w:sz w:val="18"/>
          <w:szCs w:val="18"/>
          <w:color w:val="auto"/>
        </w:rPr>
        <w:t>We may choose to carry forward taxable income in excess of current year distributions into the next tax year and pay a 4% excise tax on such income, to the extent required.</w:t>
      </w:r>
    </w:p>
    <w:p>
      <w:pPr>
        <w:spacing w:after="0" w:line="143" w:lineRule="exact"/>
        <w:rPr>
          <w:sz w:val="20"/>
          <w:szCs w:val="20"/>
          <w:color w:val="auto"/>
        </w:rPr>
      </w:pPr>
    </w:p>
    <w:p>
      <w:pPr>
        <w:ind w:right="320" w:firstLine="374"/>
        <w:spacing w:after="0" w:line="277" w:lineRule="auto"/>
        <w:rPr>
          <w:sz w:val="20"/>
          <w:szCs w:val="20"/>
          <w:color w:val="auto"/>
        </w:rPr>
      </w:pPr>
      <w:r>
        <w:rPr>
          <w:rFonts w:ascii="Arial" w:cs="Arial" w:eastAsia="Arial" w:hAnsi="Arial"/>
          <w:sz w:val="18"/>
          <w:szCs w:val="18"/>
          <w:color w:val="auto"/>
        </w:rPr>
        <w:t>The amount of our declared distributions, as evaluated by management and approved by our Board, is based primarily on our evaluation of our net investment income and distributable taxable income.</w:t>
      </w:r>
    </w:p>
    <w:p>
      <w:pPr>
        <w:spacing w:after="0" w:line="130" w:lineRule="exact"/>
        <w:rPr>
          <w:sz w:val="20"/>
          <w:szCs w:val="20"/>
          <w:color w:val="auto"/>
        </w:rPr>
      </w:pPr>
    </w:p>
    <w:p>
      <w:pPr>
        <w:ind w:right="20" w:firstLine="374"/>
        <w:spacing w:after="0" w:line="268" w:lineRule="auto"/>
        <w:rPr>
          <w:sz w:val="20"/>
          <w:szCs w:val="20"/>
          <w:color w:val="auto"/>
        </w:rPr>
      </w:pPr>
      <w:r>
        <w:rPr>
          <w:rFonts w:ascii="Arial" w:cs="Arial" w:eastAsia="Arial" w:hAnsi="Arial"/>
          <w:sz w:val="17"/>
          <w:szCs w:val="17"/>
          <w:color w:val="auto"/>
        </w:rPr>
        <w:t>We may distribute taxable dividends that are payable in cash or shares of our common stock at the election of each stockholder. Under certain applicable provisions of the Code and the Treasury regulations, distributions payable in cash or in shares of stock at the election of stockholders are treated as taxable dividends. The Internal Revenue Service has published guidance indicating that this rule will apply even where the total amount of cash that may be distributed is limited to no more than 20% of the total distribution. Under this guidance, if too many stockholders elect to receive their distributions in cash, the cash available for distribution must be allocated among the stockholders electing to receive cash (with the balance of the distribution paid in stock). If we decide to make any distributions consistent with this guidance that are payable in part in our stock, taxable stockholders receiving such dividends will be required to include the full amount of the dividend (whether received in cash, shares of our stock, or a combination thereof) as ordinary income (or as long-term capital gain to the extent such distribution is properly reported as a capital gain dividend) to the extent of our current and accumulated earnings and profits for U.S. federal income tax purposes. As a result, a U.S. stockholder may be required to pay tax with respect to such dividends in excess of any cash received. If a U.S. stockholder sells the stock it receives in order to pay this tax, the sales proceeds may be less than the amount included in income with respect to the dividend, depending on the market price of our stock at the time of the sale. Furthermore, with respect to non-U.S. stockholders, we may be required to withhold U.S. tax with respect to such dividends, including in respect of all or a portion of such dividend that is payable in stock. In addition, if a significant number of our stockholders determine to sell shares of our stock in order to pay taxes owed on dividends, it may put downward pressure on the trading price of our stock.</w:t>
      </w:r>
    </w:p>
    <w:p>
      <w:pPr>
        <w:spacing w:after="0" w:line="76" w:lineRule="exact"/>
        <w:rPr>
          <w:sz w:val="20"/>
          <w:szCs w:val="20"/>
          <w:color w:val="auto"/>
        </w:rPr>
      </w:pPr>
    </w:p>
    <w:p>
      <w:pPr>
        <w:ind w:right="680" w:firstLine="374"/>
        <w:spacing w:after="0" w:line="277" w:lineRule="auto"/>
        <w:rPr>
          <w:sz w:val="20"/>
          <w:szCs w:val="20"/>
          <w:color w:val="auto"/>
        </w:rPr>
      </w:pPr>
      <w:r>
        <w:rPr>
          <w:rFonts w:ascii="Arial" w:cs="Arial" w:eastAsia="Arial" w:hAnsi="Arial"/>
          <w:sz w:val="18"/>
          <w:szCs w:val="18"/>
          <w:color w:val="auto"/>
        </w:rPr>
        <w:t>On May 6, 2021, our Board declared a cash distribution of $0.06 per share of common stock, consistent with the current dividend policy. The distribution is payable on June 1, 2021 to shareholders of record at the close of business as of May 19, 2021.</w:t>
      </w:r>
    </w:p>
    <w:p>
      <w:pPr>
        <w:spacing w:after="0" w:line="62" w:lineRule="exact"/>
        <w:rPr>
          <w:sz w:val="20"/>
          <w:szCs w:val="20"/>
          <w:color w:val="auto"/>
        </w:rPr>
      </w:pPr>
    </w:p>
    <w:p>
      <w:pPr>
        <w:ind w:right="140" w:firstLine="374"/>
        <w:spacing w:after="0" w:line="293" w:lineRule="auto"/>
        <w:rPr>
          <w:sz w:val="20"/>
          <w:szCs w:val="20"/>
          <w:color w:val="auto"/>
        </w:rPr>
      </w:pPr>
      <w:r>
        <w:rPr>
          <w:rFonts w:ascii="Arial" w:cs="Arial" w:eastAsia="Arial" w:hAnsi="Arial"/>
          <w:sz w:val="16"/>
          <w:szCs w:val="16"/>
          <w:color w:val="auto"/>
        </w:rPr>
        <w:t>We are also prohibited by the 1940 Act and the indenture governing our 6.125% Notes Due 2022 from making distributions on our common stock if, at the time of declaration, our asset coverage, as defined in the 1940 Act, is below 150% (subject to any exemptive relief granted to us by the SEC and (ii) no-action relief granted by the SEC to another BDC (or to the Company if it determines to seek such similar no-action or other relief) permitting the BDC to declare any cash dividend or distribution notwithstanding the prohibition contained in Section 18(a)(1)(B) as modified by Section 61(a)(1) of the 1940 Act in order to maintain its status as a RIC under the Code). In any such event, we would be prohibited from making distributions required in order to maintain our status as a RIC unless made in accordance with any such exemptive or no-action relief granted by the SEC.</w:t>
      </w:r>
    </w:p>
    <w:p>
      <w:pPr>
        <w:spacing w:after="0" w:line="12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sets forth the quarterly distributions paid by us since 2019.</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ind w:left="180"/>
              <w:spacing w:after="0"/>
              <w:rPr>
                <w:sz w:val="20"/>
                <w:szCs w:val="20"/>
                <w:color w:val="auto"/>
              </w:rPr>
            </w:pPr>
            <w:r>
              <w:rPr>
                <w:rFonts w:ascii="Arial" w:cs="Arial" w:eastAsia="Arial" w:hAnsi="Arial"/>
                <w:sz w:val="18"/>
                <w:szCs w:val="18"/>
                <w:b w:val="1"/>
                <w:bCs w:val="1"/>
                <w:color w:val="auto"/>
              </w:rPr>
              <w:t>Declaration</w:t>
            </w: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Record</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w w:val="91"/>
              </w:rPr>
              <w:t>Distribution</w:t>
            </w:r>
          </w:p>
        </w:tc>
        <w:tc>
          <w:tcPr>
            <w:tcW w:w="220" w:type="dxa"/>
            <w:vAlign w:val="bottom"/>
          </w:tcPr>
          <w:p>
            <w:pPr>
              <w:spacing w:after="0"/>
              <w:rPr>
                <w:sz w:val="20"/>
                <w:szCs w:val="20"/>
                <w:color w:val="auto"/>
              </w:rPr>
            </w:pPr>
          </w:p>
        </w:tc>
        <w:tc>
          <w:tcPr>
            <w:tcW w:w="1380" w:type="dxa"/>
            <w:vAlign w:val="bottom"/>
            <w:gridSpan w:val="2"/>
          </w:tcPr>
          <w:p>
            <w:pPr>
              <w:ind w:left="460"/>
              <w:spacing w:after="0"/>
              <w:rPr>
                <w:sz w:val="20"/>
                <w:szCs w:val="20"/>
                <w:color w:val="auto"/>
              </w:rPr>
            </w:pPr>
            <w:r>
              <w:rPr>
                <w:rFonts w:ascii="Arial" w:cs="Arial" w:eastAsia="Arial" w:hAnsi="Arial"/>
                <w:sz w:val="18"/>
                <w:szCs w:val="18"/>
                <w:b w:val="1"/>
                <w:bCs w:val="1"/>
                <w:color w:val="auto"/>
              </w:rPr>
              <w:t>Date</w:t>
            </w: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Date</w:t>
            </w:r>
          </w:p>
        </w:tc>
        <w:tc>
          <w:tcPr>
            <w:tcW w:w="1280" w:type="dxa"/>
            <w:vAlign w:val="bottom"/>
          </w:tcPr>
          <w:p>
            <w:pPr>
              <w:jc w:val="right"/>
              <w:ind w:right="210"/>
              <w:spacing w:after="0"/>
              <w:rPr>
                <w:sz w:val="20"/>
                <w:szCs w:val="20"/>
                <w:color w:val="auto"/>
              </w:rPr>
            </w:pPr>
            <w:r>
              <w:rPr>
                <w:rFonts w:ascii="Arial" w:cs="Arial" w:eastAsia="Arial" w:hAnsi="Arial"/>
                <w:sz w:val="18"/>
                <w:szCs w:val="18"/>
                <w:b w:val="1"/>
                <w:bCs w:val="1"/>
                <w:color w:val="auto"/>
              </w:rPr>
              <w:t>Pay Date</w:t>
            </w:r>
          </w:p>
        </w:tc>
        <w:tc>
          <w:tcPr>
            <w:tcW w:w="0" w:type="dxa"/>
            <w:vAlign w:val="bottom"/>
          </w:tcPr>
          <w:p>
            <w:pPr>
              <w:spacing w:after="0"/>
              <w:rPr>
                <w:sz w:val="1"/>
                <w:szCs w:val="1"/>
                <w:color w:val="auto"/>
              </w:rPr>
            </w:pPr>
          </w:p>
        </w:tc>
      </w:tr>
      <w:tr>
        <w:trPr>
          <w:trHeight w:val="223"/>
        </w:trPr>
        <w:tc>
          <w:tcPr>
            <w:tcW w:w="3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2021:</w:t>
            </w:r>
          </w:p>
        </w:tc>
        <w:tc>
          <w:tcPr>
            <w:tcW w:w="2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20" w:type="dxa"/>
            <w:vAlign w:val="bottom"/>
          </w:tcPr>
          <w:p>
            <w:pPr>
              <w:ind w:left="260"/>
              <w:spacing w:after="0"/>
              <w:rPr>
                <w:sz w:val="20"/>
                <w:szCs w:val="20"/>
                <w:color w:val="auto"/>
              </w:rPr>
            </w:pPr>
            <w:r>
              <w:rPr>
                <w:rFonts w:ascii="Arial" w:cs="Arial" w:eastAsia="Arial" w:hAnsi="Arial"/>
                <w:sz w:val="18"/>
                <w:szCs w:val="18"/>
                <w:color w:val="auto"/>
              </w:rPr>
              <w:t>Second quarter</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0.06</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5/6/2021</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5/19/2021</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6/1/2021</w:t>
            </w:r>
          </w:p>
        </w:tc>
        <w:tc>
          <w:tcPr>
            <w:tcW w:w="0" w:type="dxa"/>
            <w:vAlign w:val="bottom"/>
          </w:tcPr>
          <w:p>
            <w:pPr>
              <w:spacing w:after="0"/>
              <w:rPr>
                <w:sz w:val="1"/>
                <w:szCs w:val="1"/>
                <w:color w:val="auto"/>
              </w:rPr>
            </w:pPr>
          </w:p>
        </w:tc>
      </w:tr>
      <w:tr>
        <w:trPr>
          <w:trHeight w:val="230"/>
        </w:trPr>
        <w:tc>
          <w:tcPr>
            <w:tcW w:w="3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First quarter</w:t>
            </w:r>
          </w:p>
        </w:tc>
        <w:tc>
          <w:tcPr>
            <w:tcW w:w="210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148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2/12/2021</w:t>
            </w:r>
          </w:p>
        </w:tc>
        <w:tc>
          <w:tcPr>
            <w:tcW w:w="120" w:type="dxa"/>
            <w:vAlign w:val="bottom"/>
            <w:tcBorders>
              <w:bottom w:val="single" w:sz="8" w:color="CFF0FC"/>
            </w:tcBorders>
          </w:tcPr>
          <w:p>
            <w:pPr>
              <w:spacing w:after="0"/>
              <w:rPr>
                <w:sz w:val="20"/>
                <w:szCs w:val="20"/>
                <w:color w:val="auto"/>
              </w:rPr>
            </w:pPr>
          </w:p>
        </w:tc>
        <w:tc>
          <w:tcPr>
            <w:tcW w:w="12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2/22/2021</w:t>
            </w:r>
          </w:p>
        </w:tc>
        <w:tc>
          <w:tcPr>
            <w:tcW w:w="120" w:type="dxa"/>
            <w:vAlign w:val="bottom"/>
            <w:tcBorders>
              <w:bottom w:val="single" w:sz="8" w:color="CFF0FC"/>
            </w:tcBorders>
          </w:tcPr>
          <w:p>
            <w:pPr>
              <w:spacing w:after="0"/>
              <w:rPr>
                <w:sz w:val="20"/>
                <w:szCs w:val="20"/>
                <w:color w:val="auto"/>
              </w:rPr>
            </w:pPr>
          </w:p>
        </w:tc>
        <w:tc>
          <w:tcPr>
            <w:tcW w:w="12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3/2/2021</w:t>
            </w:r>
          </w:p>
        </w:tc>
        <w:tc>
          <w:tcPr>
            <w:tcW w:w="0" w:type="dxa"/>
            <w:vAlign w:val="bottom"/>
          </w:tcPr>
          <w:p>
            <w:pPr>
              <w:spacing w:after="0"/>
              <w:rPr>
                <w:sz w:val="1"/>
                <w:szCs w:val="1"/>
                <w:color w:val="auto"/>
              </w:rPr>
            </w:pPr>
          </w:p>
        </w:tc>
      </w:tr>
      <w:tr>
        <w:trPr>
          <w:trHeight w:val="223"/>
        </w:trPr>
        <w:tc>
          <w:tcPr>
            <w:tcW w:w="3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declared in 2021</w:t>
            </w:r>
          </w:p>
        </w:tc>
        <w:tc>
          <w:tcPr>
            <w:tcW w:w="2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0.12</w:t>
            </w:r>
          </w:p>
        </w:tc>
        <w:tc>
          <w:tcPr>
            <w:tcW w:w="22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rPr>
                <w:sz w:val="20"/>
                <w:szCs w:val="20"/>
                <w:color w:val="auto"/>
              </w:rPr>
            </w:pPr>
            <w:r>
              <w:rPr>
                <w:rFonts w:ascii="Arial" w:cs="Arial" w:eastAsia="Arial" w:hAnsi="Arial"/>
                <w:sz w:val="18"/>
                <w:szCs w:val="18"/>
                <w:color w:val="auto"/>
              </w:rPr>
              <w:t>2020:</w:t>
            </w:r>
          </w:p>
        </w:tc>
        <w:tc>
          <w:tcPr>
            <w:tcW w:w="2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20" w:type="dxa"/>
            <w:vAlign w:val="bottom"/>
            <w:vMerge w:val="continue"/>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Fourth quarter</w:t>
            </w:r>
          </w:p>
        </w:tc>
        <w:tc>
          <w:tcPr>
            <w:tcW w:w="2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0.06</w:t>
            </w:r>
          </w:p>
        </w:tc>
        <w:tc>
          <w:tcPr>
            <w:tcW w:w="1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10/16/2020</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10/26/2020</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11/27/2020</w:t>
            </w:r>
          </w:p>
        </w:tc>
        <w:tc>
          <w:tcPr>
            <w:tcW w:w="0" w:type="dxa"/>
            <w:vAlign w:val="bottom"/>
          </w:tcPr>
          <w:p>
            <w:pPr>
              <w:spacing w:after="0"/>
              <w:rPr>
                <w:sz w:val="1"/>
                <w:szCs w:val="1"/>
                <w:color w:val="auto"/>
              </w:rPr>
            </w:pPr>
          </w:p>
        </w:tc>
      </w:tr>
      <w:tr>
        <w:trPr>
          <w:trHeight w:val="230"/>
        </w:trPr>
        <w:tc>
          <w:tcPr>
            <w:tcW w:w="3720" w:type="dxa"/>
            <w:vAlign w:val="bottom"/>
          </w:tcPr>
          <w:p>
            <w:pPr>
              <w:ind w:left="260"/>
              <w:spacing w:after="0"/>
              <w:rPr>
                <w:sz w:val="20"/>
                <w:szCs w:val="20"/>
                <w:color w:val="auto"/>
              </w:rPr>
            </w:pPr>
            <w:r>
              <w:rPr>
                <w:rFonts w:ascii="Arial" w:cs="Arial" w:eastAsia="Arial" w:hAnsi="Arial"/>
                <w:sz w:val="18"/>
                <w:szCs w:val="18"/>
                <w:color w:val="auto"/>
              </w:rPr>
              <w:t>Third quarter</w:t>
            </w: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0.06</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8/5/2020</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8/17/2020</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8/28/2020</w:t>
            </w:r>
          </w:p>
        </w:tc>
        <w:tc>
          <w:tcPr>
            <w:tcW w:w="0" w:type="dxa"/>
            <w:vAlign w:val="bottom"/>
          </w:tcPr>
          <w:p>
            <w:pPr>
              <w:spacing w:after="0"/>
              <w:rPr>
                <w:sz w:val="1"/>
                <w:szCs w:val="1"/>
                <w:color w:val="auto"/>
              </w:rPr>
            </w:pPr>
          </w:p>
        </w:tc>
      </w:tr>
      <w:tr>
        <w:trPr>
          <w:trHeight w:val="230"/>
        </w:trPr>
        <w:tc>
          <w:tcPr>
            <w:tcW w:w="3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Second quarter</w:t>
            </w:r>
          </w:p>
        </w:tc>
        <w:tc>
          <w:tcPr>
            <w:tcW w:w="2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0.06</w:t>
            </w:r>
          </w:p>
        </w:tc>
        <w:tc>
          <w:tcPr>
            <w:tcW w:w="1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3/17/2020</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5/7/2020</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5/27/2020</w:t>
            </w:r>
          </w:p>
        </w:tc>
        <w:tc>
          <w:tcPr>
            <w:tcW w:w="0" w:type="dxa"/>
            <w:vAlign w:val="bottom"/>
          </w:tcPr>
          <w:p>
            <w:pPr>
              <w:spacing w:after="0"/>
              <w:rPr>
                <w:sz w:val="1"/>
                <w:szCs w:val="1"/>
                <w:color w:val="auto"/>
              </w:rPr>
            </w:pPr>
          </w:p>
        </w:tc>
      </w:tr>
      <w:tr>
        <w:trPr>
          <w:trHeight w:val="229"/>
        </w:trPr>
        <w:tc>
          <w:tcPr>
            <w:tcW w:w="3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First quarter</w:t>
            </w:r>
          </w:p>
        </w:tc>
        <w:tc>
          <w:tcPr>
            <w:tcW w:w="2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148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2/5/2020</w:t>
            </w:r>
          </w:p>
        </w:tc>
        <w:tc>
          <w:tcPr>
            <w:tcW w:w="120" w:type="dxa"/>
            <w:vAlign w:val="bottom"/>
            <w:tcBorders>
              <w:bottom w:val="single" w:sz="8" w:color="CFF0FC"/>
            </w:tcBorders>
          </w:tcPr>
          <w:p>
            <w:pPr>
              <w:spacing w:after="0"/>
              <w:rPr>
                <w:sz w:val="19"/>
                <w:szCs w:val="19"/>
                <w:color w:val="auto"/>
              </w:rPr>
            </w:pPr>
          </w:p>
        </w:tc>
        <w:tc>
          <w:tcPr>
            <w:tcW w:w="12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2/18/2020</w:t>
            </w:r>
          </w:p>
        </w:tc>
        <w:tc>
          <w:tcPr>
            <w:tcW w:w="120" w:type="dxa"/>
            <w:vAlign w:val="bottom"/>
            <w:tcBorders>
              <w:bottom w:val="single" w:sz="8" w:color="CFF0FC"/>
            </w:tcBorders>
          </w:tcPr>
          <w:p>
            <w:pPr>
              <w:spacing w:after="0"/>
              <w:rPr>
                <w:sz w:val="19"/>
                <w:szCs w:val="19"/>
                <w:color w:val="auto"/>
              </w:rPr>
            </w:pPr>
          </w:p>
        </w:tc>
        <w:tc>
          <w:tcPr>
            <w:tcW w:w="12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2/28/2020</w:t>
            </w:r>
          </w:p>
        </w:tc>
        <w:tc>
          <w:tcPr>
            <w:tcW w:w="0" w:type="dxa"/>
            <w:vAlign w:val="bottom"/>
          </w:tcPr>
          <w:p>
            <w:pPr>
              <w:spacing w:after="0"/>
              <w:rPr>
                <w:sz w:val="1"/>
                <w:szCs w:val="1"/>
                <w:color w:val="auto"/>
              </w:rPr>
            </w:pPr>
          </w:p>
        </w:tc>
      </w:tr>
      <w:tr>
        <w:trPr>
          <w:trHeight w:val="223"/>
        </w:trPr>
        <w:tc>
          <w:tcPr>
            <w:tcW w:w="3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declared in 2020</w:t>
            </w:r>
          </w:p>
        </w:tc>
        <w:tc>
          <w:tcPr>
            <w:tcW w:w="2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0.24</w:t>
            </w:r>
          </w:p>
        </w:tc>
        <w:tc>
          <w:tcPr>
            <w:tcW w:w="22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rPr>
                <w:sz w:val="20"/>
                <w:szCs w:val="20"/>
                <w:color w:val="auto"/>
              </w:rPr>
            </w:pPr>
            <w:r>
              <w:rPr>
                <w:rFonts w:ascii="Arial" w:cs="Arial" w:eastAsia="Arial" w:hAnsi="Arial"/>
                <w:sz w:val="18"/>
                <w:szCs w:val="18"/>
                <w:color w:val="auto"/>
              </w:rPr>
              <w:t>2019:</w:t>
            </w:r>
          </w:p>
        </w:tc>
        <w:tc>
          <w:tcPr>
            <w:tcW w:w="2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20" w:type="dxa"/>
            <w:vAlign w:val="bottom"/>
            <w:vMerge w:val="continue"/>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Fourth quarter</w:t>
            </w:r>
          </w:p>
        </w:tc>
        <w:tc>
          <w:tcPr>
            <w:tcW w:w="2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0.06</w:t>
            </w:r>
          </w:p>
        </w:tc>
        <w:tc>
          <w:tcPr>
            <w:tcW w:w="1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11/5/2019</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11/15/2019</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11/29/2019</w:t>
            </w:r>
          </w:p>
        </w:tc>
        <w:tc>
          <w:tcPr>
            <w:tcW w:w="0" w:type="dxa"/>
            <w:vAlign w:val="bottom"/>
          </w:tcPr>
          <w:p>
            <w:pPr>
              <w:spacing w:after="0"/>
              <w:rPr>
                <w:sz w:val="1"/>
                <w:szCs w:val="1"/>
                <w:color w:val="auto"/>
              </w:rPr>
            </w:pPr>
          </w:p>
        </w:tc>
      </w:tr>
      <w:tr>
        <w:trPr>
          <w:trHeight w:val="230"/>
        </w:trPr>
        <w:tc>
          <w:tcPr>
            <w:tcW w:w="3720" w:type="dxa"/>
            <w:vAlign w:val="bottom"/>
          </w:tcPr>
          <w:p>
            <w:pPr>
              <w:ind w:left="260"/>
              <w:spacing w:after="0"/>
              <w:rPr>
                <w:sz w:val="20"/>
                <w:szCs w:val="20"/>
                <w:color w:val="auto"/>
              </w:rPr>
            </w:pPr>
            <w:r>
              <w:rPr>
                <w:rFonts w:ascii="Arial" w:cs="Arial" w:eastAsia="Arial" w:hAnsi="Arial"/>
                <w:sz w:val="18"/>
                <w:szCs w:val="18"/>
                <w:color w:val="auto"/>
              </w:rPr>
              <w:t>Third quarter</w:t>
            </w: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0.06</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8/5/2019</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8/12/2019</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8/29/2019</w:t>
            </w:r>
          </w:p>
        </w:tc>
        <w:tc>
          <w:tcPr>
            <w:tcW w:w="0" w:type="dxa"/>
            <w:vAlign w:val="bottom"/>
          </w:tcPr>
          <w:p>
            <w:pPr>
              <w:spacing w:after="0"/>
              <w:rPr>
                <w:sz w:val="1"/>
                <w:szCs w:val="1"/>
                <w:color w:val="auto"/>
              </w:rPr>
            </w:pPr>
          </w:p>
        </w:tc>
      </w:tr>
      <w:tr>
        <w:trPr>
          <w:trHeight w:val="230"/>
        </w:trPr>
        <w:tc>
          <w:tcPr>
            <w:tcW w:w="3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Second quarter</w:t>
            </w:r>
          </w:p>
        </w:tc>
        <w:tc>
          <w:tcPr>
            <w:tcW w:w="2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0.10</w:t>
            </w:r>
          </w:p>
        </w:tc>
        <w:tc>
          <w:tcPr>
            <w:tcW w:w="1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3/20/2019</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4/5/2019</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4/26/2019</w:t>
            </w:r>
          </w:p>
        </w:tc>
        <w:tc>
          <w:tcPr>
            <w:tcW w:w="0" w:type="dxa"/>
            <w:vAlign w:val="bottom"/>
          </w:tcPr>
          <w:p>
            <w:pPr>
              <w:spacing w:after="0"/>
              <w:rPr>
                <w:sz w:val="1"/>
                <w:szCs w:val="1"/>
                <w:color w:val="auto"/>
              </w:rPr>
            </w:pPr>
          </w:p>
        </w:tc>
      </w:tr>
      <w:tr>
        <w:trPr>
          <w:trHeight w:val="230"/>
        </w:trPr>
        <w:tc>
          <w:tcPr>
            <w:tcW w:w="3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First quarter</w:t>
            </w:r>
          </w:p>
        </w:tc>
        <w:tc>
          <w:tcPr>
            <w:tcW w:w="2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1600" w:type="dxa"/>
            <w:vAlign w:val="bottom"/>
            <w:tcBorders>
              <w:bottom w:val="single" w:sz="8" w:color="CFF0FC"/>
            </w:tcBorders>
            <w:gridSpan w:val="3"/>
          </w:tcPr>
          <w:p>
            <w:pPr>
              <w:ind w:left="660"/>
              <w:spacing w:after="0"/>
              <w:rPr>
                <w:sz w:val="20"/>
                <w:szCs w:val="20"/>
                <w:color w:val="auto"/>
              </w:rPr>
            </w:pPr>
            <w:r>
              <w:rPr>
                <w:rFonts w:ascii="Arial" w:cs="Arial" w:eastAsia="Arial" w:hAnsi="Arial"/>
                <w:sz w:val="18"/>
                <w:szCs w:val="18"/>
                <w:color w:val="auto"/>
                <w:w w:val="93"/>
              </w:rPr>
              <w:t>12/12/2018</w:t>
            </w:r>
            <w:r>
              <w:rPr>
                <w:rFonts w:ascii="Arial" w:cs="Arial" w:eastAsia="Arial" w:hAnsi="Arial"/>
                <w:sz w:val="15"/>
                <w:szCs w:val="15"/>
                <w:color w:val="auto"/>
                <w:w w:val="93"/>
              </w:rPr>
              <w:t>1</w:t>
            </w:r>
          </w:p>
        </w:tc>
        <w:tc>
          <w:tcPr>
            <w:tcW w:w="12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1/7/2019</w:t>
            </w:r>
          </w:p>
        </w:tc>
        <w:tc>
          <w:tcPr>
            <w:tcW w:w="120" w:type="dxa"/>
            <w:vAlign w:val="bottom"/>
            <w:tcBorders>
              <w:bottom w:val="single" w:sz="8" w:color="CFF0FC"/>
            </w:tcBorders>
          </w:tcPr>
          <w:p>
            <w:pPr>
              <w:spacing w:after="0"/>
              <w:rPr>
                <w:sz w:val="19"/>
                <w:szCs w:val="19"/>
                <w:color w:val="auto"/>
              </w:rPr>
            </w:pPr>
          </w:p>
        </w:tc>
        <w:tc>
          <w:tcPr>
            <w:tcW w:w="12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1/31/2019</w:t>
            </w:r>
          </w:p>
        </w:tc>
        <w:tc>
          <w:tcPr>
            <w:tcW w:w="0" w:type="dxa"/>
            <w:vAlign w:val="bottom"/>
          </w:tcPr>
          <w:p>
            <w:pPr>
              <w:spacing w:after="0"/>
              <w:rPr>
                <w:sz w:val="1"/>
                <w:szCs w:val="1"/>
                <w:color w:val="auto"/>
              </w:rPr>
            </w:pPr>
          </w:p>
        </w:tc>
      </w:tr>
      <w:tr>
        <w:trPr>
          <w:trHeight w:val="223"/>
        </w:trPr>
        <w:tc>
          <w:tcPr>
            <w:tcW w:w="3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declared in 2019</w:t>
            </w:r>
          </w:p>
        </w:tc>
        <w:tc>
          <w:tcPr>
            <w:tcW w:w="2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0.32</w:t>
            </w:r>
          </w:p>
        </w:tc>
        <w:tc>
          <w:tcPr>
            <w:tcW w:w="22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740" w:hanging="368"/>
        <w:spacing w:after="0"/>
        <w:tabs>
          <w:tab w:leader="none" w:pos="7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Since the record date of this distribution is subsequent to year-end, it is a subsequent year tax event.</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94" w:name="page95"/>
    <w:bookmarkEnd w:id="94"/>
    <w:p>
      <w:pPr>
        <w:ind w:right="80" w:firstLine="374"/>
        <w:spacing w:after="0" w:line="289" w:lineRule="auto"/>
        <w:rPr>
          <w:sz w:val="20"/>
          <w:szCs w:val="20"/>
          <w:color w:val="auto"/>
        </w:rPr>
      </w:pPr>
      <w:r>
        <w:rPr>
          <w:rFonts w:ascii="Arial" w:cs="Arial" w:eastAsia="Arial" w:hAnsi="Arial"/>
          <w:sz w:val="16"/>
          <w:szCs w:val="16"/>
          <w:color w:val="auto"/>
        </w:rPr>
        <w:t>On March 5, 2020, the Board of Directors of the Company approved a $10 million stock repurchase program (the “Stock Repurchase Program”). Under this repurchase program, shares may be repurchased from time to time in open market transactions, in privately negotiated transactions or otherwise subject to any law or agreement to which we are party including any restrictions under the 1940 Act and in the indenture for our 6.125% Notes Due 2022. The timing and actual number of shares repurchased will depend on a variety of factors, including legal requirements, price, and economic and market conditions. This Stock Repurchase Program may be suspended or discontinued at any time. On March 11, 2021, the Board of Directors of the Company authorized a renewed stock repurchase program of up to $10 million (the “Renewed Stock Repurchase Program”) for an approximately one-year period, effective March 11, 2021 and terminating on March 31, 2022. The terms and conditions of the Renewed Stock Repurchase Program are substantially similar to the prior Stock Repurchase Program. The Renewed Stock Repurchase Program may be suspended or discontinued at any time. Subject to these restrictions, we will selectively pursue opportunities to repurchase shares which are accretive to net asset value per share.</w:t>
      </w:r>
    </w:p>
    <w:p>
      <w:pPr>
        <w:spacing w:after="0" w:line="166" w:lineRule="exact"/>
        <w:rPr>
          <w:sz w:val="20"/>
          <w:szCs w:val="20"/>
          <w:color w:val="auto"/>
        </w:rPr>
      </w:pPr>
    </w:p>
    <w:p>
      <w:pPr>
        <w:ind w:right="120" w:firstLine="374"/>
        <w:spacing w:after="0" w:line="277" w:lineRule="auto"/>
        <w:rPr>
          <w:sz w:val="20"/>
          <w:szCs w:val="20"/>
          <w:color w:val="auto"/>
        </w:rPr>
      </w:pPr>
      <w:r>
        <w:rPr>
          <w:rFonts w:ascii="Arial" w:cs="Arial" w:eastAsia="Arial" w:hAnsi="Arial"/>
          <w:sz w:val="18"/>
          <w:szCs w:val="18"/>
          <w:color w:val="auto"/>
        </w:rPr>
        <w:t>There were no share repurchases during the first quarter of 2021. During the three months ended March 31, 2020, the Company repurchased 121,548 of shares under the Stock Repurchase Program at an aggregate cost of approximately $123 thousand.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firstLine="374"/>
        <w:spacing w:after="0" w:line="255" w:lineRule="auto"/>
        <w:rPr>
          <w:sz w:val="20"/>
          <w:szCs w:val="20"/>
          <w:color w:val="auto"/>
        </w:rPr>
      </w:pPr>
      <w:r>
        <w:rPr>
          <w:rFonts w:ascii="Arial" w:cs="Arial" w:eastAsia="Arial" w:hAnsi="Arial"/>
          <w:sz w:val="18"/>
          <w:szCs w:val="18"/>
          <w:color w:val="auto"/>
        </w:rPr>
        <w:t>From time-to-time we are a party to financial instruments with off-balance sheet risk in the normal course of business in order to meet the needs of our investment in portfolio companies. Such instruments include commitments to extend credit and may involve, in varying degrees, elements of credit risk in excess of amounts recognized on our balance sheet. Prior to extending such credit, we attempt to limit our credit risk by conducting extensive due diligence, obtaining collateral where necessary and negotiating appropriate financial covenants. As of March 31, 2021 and December 31, 2020, we had approximately $25.0 million and $32.9 million commitments to fund investments, respectively. We may also enter into derivative contracts with off-balance sheet risk in connection with its investing activities.</w:t>
      </w:r>
    </w:p>
    <w:p>
      <w:pPr>
        <w:spacing w:after="0" w:line="84" w:lineRule="exact"/>
        <w:rPr>
          <w:sz w:val="20"/>
          <w:szCs w:val="20"/>
          <w:color w:val="auto"/>
        </w:rPr>
      </w:pPr>
    </w:p>
    <w:p>
      <w:pPr>
        <w:ind w:right="160" w:firstLine="374"/>
        <w:spacing w:after="0" w:line="259" w:lineRule="auto"/>
        <w:rPr>
          <w:sz w:val="20"/>
          <w:szCs w:val="20"/>
          <w:color w:val="auto"/>
        </w:rPr>
      </w:pPr>
      <w:r>
        <w:rPr>
          <w:rFonts w:ascii="Arial" w:cs="Arial" w:eastAsia="Arial" w:hAnsi="Arial"/>
          <w:sz w:val="18"/>
          <w:szCs w:val="18"/>
          <w:color w:val="auto"/>
        </w:rPr>
        <w:t>We have made an aggregate commitment to the BCP Great Lakes Partnership of $50 million, subject to certain limitations (including that we are not obligated to fund capital calls if such funding would cause us to be out of compliance with certain provisions of the 1940 Act). As of March 31, 2021 and December 31, 2020, we had a $13.8 million and $20.0 million, respectively unfunded commitment to the BCP Great Lakes Partnership, subject to the limitations noted above.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summarizes our contractual cash obligations and other commercial commitments as of March 31, 2021: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gridSpan w:val="7"/>
          </w:tcPr>
          <w:p>
            <w:pPr>
              <w:jc w:val="center"/>
              <w:ind w:right="340"/>
              <w:spacing w:after="0"/>
              <w:rPr>
                <w:sz w:val="20"/>
                <w:szCs w:val="20"/>
                <w:color w:val="auto"/>
              </w:rPr>
            </w:pPr>
            <w:r>
              <w:rPr>
                <w:rFonts w:ascii="Arial" w:cs="Arial" w:eastAsia="Arial" w:hAnsi="Arial"/>
                <w:sz w:val="18"/>
                <w:szCs w:val="18"/>
                <w:b w:val="1"/>
                <w:bCs w:val="1"/>
                <w:color w:val="auto"/>
                <w:w w:val="89"/>
              </w:rPr>
              <w:t>Payments Due by Period</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5"/>
        </w:trPr>
        <w:tc>
          <w:tcPr>
            <w:tcW w:w="5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340"/>
              <w:spacing w:after="0" w:line="205" w:lineRule="exact"/>
              <w:rPr>
                <w:sz w:val="20"/>
                <w:szCs w:val="20"/>
                <w:color w:val="auto"/>
              </w:rPr>
            </w:pPr>
            <w:r>
              <w:rPr>
                <w:rFonts w:ascii="Arial" w:cs="Arial" w:eastAsia="Arial" w:hAnsi="Arial"/>
                <w:sz w:val="18"/>
                <w:szCs w:val="18"/>
                <w:b w:val="1"/>
                <w:bCs w:val="1"/>
                <w:color w:val="auto"/>
                <w:w w:val="88"/>
              </w:rPr>
              <w:t>Less than</w:t>
            </w: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5"/>
              </w:rPr>
              <w:t>More than</w:t>
            </w:r>
          </w:p>
        </w:tc>
        <w:tc>
          <w:tcPr>
            <w:tcW w:w="100" w:type="dxa"/>
            <w:vAlign w:val="bottom"/>
          </w:tcPr>
          <w:p>
            <w:pPr>
              <w:spacing w:after="0"/>
              <w:rPr>
                <w:sz w:val="17"/>
                <w:szCs w:val="17"/>
                <w:color w:val="auto"/>
              </w:rPr>
            </w:pPr>
          </w:p>
        </w:tc>
      </w:tr>
      <w:tr>
        <w:trPr>
          <w:trHeight w:val="234"/>
        </w:trPr>
        <w:tc>
          <w:tcPr>
            <w:tcW w:w="5140" w:type="dxa"/>
            <w:vAlign w:val="bottom"/>
            <w:gridSpan w:val="2"/>
          </w:tcPr>
          <w:p>
            <w:pPr>
              <w:spacing w:after="0"/>
              <w:rPr>
                <w:sz w:val="20"/>
                <w:szCs w:val="20"/>
                <w:color w:val="auto"/>
              </w:rPr>
            </w:pPr>
            <w:r>
              <w:rPr>
                <w:rFonts w:ascii="Arial" w:cs="Arial" w:eastAsia="Arial" w:hAnsi="Arial"/>
                <w:sz w:val="18"/>
                <w:szCs w:val="18"/>
                <w:b w:val="1"/>
                <w:bCs w:val="1"/>
                <w:color w:val="auto"/>
              </w:rPr>
              <w:t>Contractual Obligations</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2"/>
              </w:rPr>
              <w:t>Total</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one year</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8"/>
              </w:rPr>
              <w:t>2 - 3 years</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b w:val="1"/>
                <w:bCs w:val="1"/>
                <w:color w:val="auto"/>
              </w:rPr>
              <w:t>4 - 5 years</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5 years</w:t>
            </w:r>
          </w:p>
        </w:tc>
      </w:tr>
      <w:tr>
        <w:trPr>
          <w:trHeight w:val="223"/>
        </w:trPr>
        <w:tc>
          <w:tcPr>
            <w:tcW w:w="50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Long-term debt obligations</w:t>
            </w:r>
          </w:p>
        </w:tc>
        <w:tc>
          <w:tcPr>
            <w:tcW w:w="1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$ 309,659,572</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ind w:left="70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$ 145,796,874</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ind w:left="70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$ 163,862,698</w:t>
            </w:r>
          </w:p>
        </w:tc>
        <w:tc>
          <w:tcPr>
            <w:tcW w:w="100" w:type="dxa"/>
            <w:vAlign w:val="bottom"/>
            <w:tcBorders>
              <w:top w:val="single" w:sz="8" w:color="CFF0FC"/>
            </w:tcBorders>
            <w:shd w:val="clear" w:color="auto" w:fill="CFF0FC"/>
          </w:tcPr>
          <w:p>
            <w:pPr>
              <w:spacing w:after="0"/>
              <w:rPr>
                <w:sz w:val="19"/>
                <w:szCs w:val="19"/>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89" w:lineRule="exact"/>
        <w:rPr>
          <w:sz w:val="20"/>
          <w:szCs w:val="20"/>
          <w:color w:val="auto"/>
        </w:rPr>
      </w:pPr>
    </w:p>
    <w:p>
      <w:pPr>
        <w:ind w:right="20" w:firstLine="374"/>
        <w:spacing w:after="0" w:line="275" w:lineRule="auto"/>
        <w:rPr>
          <w:sz w:val="20"/>
          <w:szCs w:val="20"/>
          <w:color w:val="auto"/>
        </w:rPr>
      </w:pPr>
      <w:r>
        <w:rPr>
          <w:rFonts w:ascii="Arial" w:cs="Arial" w:eastAsia="Arial" w:hAnsi="Arial"/>
          <w:sz w:val="17"/>
          <w:szCs w:val="17"/>
          <w:color w:val="auto"/>
        </w:rPr>
        <w:t>The consolidated financial statements are based on the selection and application of critical accounting policies, which require management to make significant estimates and assumptions. Critical accounting policies are those that are both important to the presentation of our financial condition and results of operations and require management’s most difficult, complex, or subjective judgments. Our critical accounting policies are those applicable to the basis of presentation, valuation of investments, and certain revenue recognition matters as discussed below. See Note 2 to our consolidated financial statements, “Significant Accounting Policies — Investments” contained elsewhere herein</w:t>
      </w:r>
      <w:r>
        <w:rPr>
          <w:rFonts w:ascii="Arial" w:cs="Arial" w:eastAsia="Arial" w:hAnsi="Arial"/>
          <w:sz w:val="17"/>
          <w:szCs w:val="17"/>
          <w:i w:val="1"/>
          <w:iCs w:val="1"/>
          <w:color w:val="auto"/>
        </w:rPr>
        <w:t>.</w:t>
      </w:r>
    </w:p>
    <w:p>
      <w:pPr>
        <w:spacing w:after="0" w:line="14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Valuation of Portfolio Investments</w:t>
      </w:r>
    </w:p>
    <w:p>
      <w:pPr>
        <w:spacing w:after="0" w:line="185" w:lineRule="exact"/>
        <w:rPr>
          <w:sz w:val="20"/>
          <w:szCs w:val="20"/>
          <w:color w:val="auto"/>
        </w:rPr>
      </w:pPr>
    </w:p>
    <w:p>
      <w:pPr>
        <w:ind w:right="520" w:firstLine="374"/>
        <w:spacing w:after="0" w:line="277" w:lineRule="auto"/>
        <w:rPr>
          <w:sz w:val="20"/>
          <w:szCs w:val="20"/>
          <w:color w:val="auto"/>
        </w:rPr>
      </w:pPr>
      <w:r>
        <w:rPr>
          <w:rFonts w:ascii="Arial" w:cs="Arial" w:eastAsia="Arial" w:hAnsi="Arial"/>
          <w:sz w:val="18"/>
          <w:szCs w:val="18"/>
          <w:color w:val="auto"/>
        </w:rPr>
        <w:t>The most significant estimate inherent in the preparation of our consolidated financial statements is the valuation of investments and the related amounts of unrealized appreciation and depreciation of investments recorded.</w:t>
      </w:r>
    </w:p>
    <w:p>
      <w:pPr>
        <w:spacing w:after="0" w:line="130" w:lineRule="exact"/>
        <w:rPr>
          <w:sz w:val="20"/>
          <w:szCs w:val="20"/>
          <w:color w:val="auto"/>
        </w:rPr>
      </w:pPr>
    </w:p>
    <w:p>
      <w:pPr>
        <w:ind w:right="140" w:firstLine="374"/>
        <w:spacing w:after="0" w:line="255" w:lineRule="auto"/>
        <w:rPr>
          <w:sz w:val="20"/>
          <w:szCs w:val="20"/>
          <w:color w:val="auto"/>
        </w:rPr>
      </w:pPr>
      <w:r>
        <w:rPr>
          <w:rFonts w:ascii="Arial" w:cs="Arial" w:eastAsia="Arial" w:hAnsi="Arial"/>
          <w:sz w:val="18"/>
          <w:szCs w:val="18"/>
          <w:color w:val="auto"/>
        </w:rPr>
        <w:t>Value, as defined in Section 2(a)(41) of 1940 Act, is (1) the market price for those securities for which a market quotation is readily available and (2) for all other securities and assets, fair value as determined in good faith by our Board pursuant to procedures approved by our Board. Our valuation policy is intended to provide a consistent basis for determining the fair value of the portfolio based on the nature of the security, the market for the security and other considerations including the financial performance and enterprise value of the portfolio company. Because of the inherent uncertainty of valuation, the Board determined values may differ significantly from the values that would have been used had a ready market existed for the investments, and the differences could be material.</w:t>
      </w:r>
    </w:p>
    <w:p>
      <w:pPr>
        <w:spacing w:after="0" w:line="165" w:lineRule="exact"/>
        <w:rPr>
          <w:sz w:val="20"/>
          <w:szCs w:val="20"/>
          <w:color w:val="auto"/>
        </w:rPr>
      </w:pPr>
    </w:p>
    <w:p>
      <w:pPr>
        <w:ind w:right="80" w:firstLine="374"/>
        <w:spacing w:after="0" w:line="277" w:lineRule="auto"/>
        <w:rPr>
          <w:sz w:val="20"/>
          <w:szCs w:val="20"/>
          <w:color w:val="auto"/>
        </w:rPr>
      </w:pPr>
      <w:r>
        <w:rPr>
          <w:rFonts w:ascii="Arial" w:cs="Arial" w:eastAsia="Arial" w:hAnsi="Arial"/>
          <w:sz w:val="18"/>
          <w:szCs w:val="18"/>
          <w:color w:val="auto"/>
        </w:rPr>
        <w:t>Pursuant to ASC 946: Financial Services — Investment Companies (“ASC 946”), we reflect our investments on our balance sheet at their determined fair value with unrealized gains and losses resulting from changes in fair value reflected as a component 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5" w:name="page96"/>
    <w:bookmarkEnd w:id="95"/>
    <w:p>
      <w:pPr>
        <w:ind w:right="100"/>
        <w:spacing w:after="0" w:line="277" w:lineRule="auto"/>
        <w:rPr>
          <w:sz w:val="20"/>
          <w:szCs w:val="20"/>
          <w:color w:val="auto"/>
        </w:rPr>
      </w:pPr>
      <w:r>
        <w:rPr>
          <w:rFonts w:ascii="Arial" w:cs="Arial" w:eastAsia="Arial" w:hAnsi="Arial"/>
          <w:sz w:val="18"/>
          <w:szCs w:val="18"/>
          <w:color w:val="auto"/>
        </w:rPr>
        <w:t>unrealized gains or losses on our statements of operations. Fair value is the amount that would be received to sell the investments in an orderly transaction between market participants at the measurement date (i.e., the exit price).</w:t>
      </w:r>
    </w:p>
    <w:p>
      <w:pPr>
        <w:spacing w:after="0" w:line="143" w:lineRule="exact"/>
        <w:rPr>
          <w:sz w:val="20"/>
          <w:szCs w:val="20"/>
          <w:color w:val="auto"/>
        </w:rPr>
      </w:pPr>
    </w:p>
    <w:p>
      <w:pPr>
        <w:ind w:right="100" w:firstLine="374"/>
        <w:spacing w:after="0" w:line="277" w:lineRule="auto"/>
        <w:rPr>
          <w:sz w:val="20"/>
          <w:szCs w:val="20"/>
          <w:color w:val="auto"/>
        </w:rPr>
      </w:pPr>
      <w:r>
        <w:rPr>
          <w:rFonts w:ascii="Arial" w:cs="Arial" w:eastAsia="Arial" w:hAnsi="Arial"/>
          <w:sz w:val="18"/>
          <w:szCs w:val="18"/>
          <w:color w:val="auto"/>
        </w:rPr>
        <w:t>See Note 4 to the consolidated financial statements for the additional information about the level of market observability associated with investments carried at fair value.</w:t>
      </w:r>
    </w:p>
    <w:p>
      <w:pPr>
        <w:spacing w:after="0" w:line="130" w:lineRule="exact"/>
        <w:rPr>
          <w:sz w:val="20"/>
          <w:szCs w:val="20"/>
          <w:color w:val="auto"/>
        </w:rPr>
      </w:pPr>
    </w:p>
    <w:p>
      <w:pPr>
        <w:ind w:firstLine="374"/>
        <w:spacing w:after="0" w:line="287" w:lineRule="auto"/>
        <w:rPr>
          <w:sz w:val="20"/>
          <w:szCs w:val="20"/>
          <w:color w:val="auto"/>
        </w:rPr>
      </w:pPr>
      <w:r>
        <w:rPr>
          <w:rFonts w:ascii="Arial" w:cs="Arial" w:eastAsia="Arial" w:hAnsi="Arial"/>
          <w:sz w:val="16"/>
          <w:szCs w:val="16"/>
          <w:color w:val="auto"/>
        </w:rPr>
        <w:t>We follow the provisions of ASC 820: Fair Value Measurements and Disclosures (“ASC 820: Fair Value”), which among other matters, requires enhanced disclosures about investments that are measured and reported at fair value. This standard defines fair value and establishes a hierarchal disclosure framework which prioritizes and ranks the level of market price observability used in measuring investments at fair value and expands disclosures about assets and liabilities measured at fair value. ASC 820: Fair Value defines “fair value” as the price that would be received to sell an asset or paid to transfer a liability in an orderly transaction between market participants at the measurement date. This fair value definition focuses on an exit price in the principle, or most advantageous market, and prioritizes, within a measurement of fair value, the use of market-based inputs (which may be weighted or adjusted for relevance, reliability and specific attributes relative to the subject investment) over entity-specific inputs. Market price observability is affected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 Subsequent to the adoption of ASC 820: Fair Value, the FASB has issued various staff positions clarifying the initial standard (see Note 2 to the consolidated financial statements: “Significant Accounting Policies — Investments”).</w:t>
      </w:r>
    </w:p>
    <w:p>
      <w:pPr>
        <w:spacing w:after="0" w:line="131" w:lineRule="exact"/>
        <w:rPr>
          <w:sz w:val="20"/>
          <w:szCs w:val="20"/>
          <w:color w:val="auto"/>
        </w:rPr>
      </w:pPr>
    </w:p>
    <w:p>
      <w:pPr>
        <w:ind w:right="180" w:firstLine="374"/>
        <w:spacing w:after="0" w:line="277" w:lineRule="auto"/>
        <w:rPr>
          <w:sz w:val="20"/>
          <w:szCs w:val="20"/>
          <w:color w:val="auto"/>
        </w:rPr>
      </w:pPr>
      <w:r>
        <w:rPr>
          <w:rFonts w:ascii="Arial" w:cs="Arial" w:eastAsia="Arial" w:hAnsi="Arial"/>
          <w:sz w:val="18"/>
          <w:szCs w:val="18"/>
          <w:color w:val="auto"/>
        </w:rPr>
        <w:t>ASC 820: Fair Value establishes the following three-level hierarchy, based upon the transparency of inputs to the fair value measurement of an asset or liability as of the measurement date:</w:t>
      </w:r>
    </w:p>
    <w:p>
      <w:pPr>
        <w:spacing w:after="0" w:line="143" w:lineRule="exact"/>
        <w:rPr>
          <w:sz w:val="20"/>
          <w:szCs w:val="20"/>
          <w:color w:val="auto"/>
        </w:rPr>
      </w:pPr>
    </w:p>
    <w:p>
      <w:pPr>
        <w:ind w:left="740" w:right="180" w:hanging="368"/>
        <w:spacing w:after="0" w:line="286" w:lineRule="auto"/>
        <w:tabs>
          <w:tab w:leader="none" w:pos="740" w:val="left"/>
        </w:tabs>
        <w:numPr>
          <w:ilvl w:val="0"/>
          <w:numId w:val="93"/>
        </w:numPr>
        <w:rPr>
          <w:rFonts w:ascii="Arial" w:cs="Arial" w:eastAsia="Arial" w:hAnsi="Arial"/>
          <w:sz w:val="17"/>
          <w:szCs w:val="17"/>
          <w:color w:val="auto"/>
        </w:rPr>
      </w:pPr>
      <w:r>
        <w:rPr>
          <w:rFonts w:ascii="Arial" w:cs="Arial" w:eastAsia="Arial" w:hAnsi="Arial"/>
          <w:sz w:val="17"/>
          <w:szCs w:val="17"/>
          <w:color w:val="auto"/>
        </w:rPr>
        <w:t>Level I –Unadjusted quoted prices are available in active markets for identical investments as of the reporting date. The type of investments included in Level I include listed equities and listed securities. As required by ASC 820: Fair Value, we do not adjust the quoted price for these investments, even in situations where we hold a large position and a sale could reasonably affect the quoted price.</w:t>
      </w:r>
    </w:p>
    <w:p>
      <w:pPr>
        <w:spacing w:after="0" w:line="124" w:lineRule="exact"/>
        <w:rPr>
          <w:rFonts w:ascii="Arial" w:cs="Arial" w:eastAsia="Arial" w:hAnsi="Arial"/>
          <w:sz w:val="17"/>
          <w:szCs w:val="17"/>
          <w:color w:val="auto"/>
        </w:rPr>
      </w:pPr>
    </w:p>
    <w:p>
      <w:pPr>
        <w:ind w:left="740" w:right="60" w:hanging="368"/>
        <w:spacing w:after="0" w:line="296" w:lineRule="auto"/>
        <w:tabs>
          <w:tab w:leader="none" w:pos="740" w:val="left"/>
        </w:tabs>
        <w:numPr>
          <w:ilvl w:val="0"/>
          <w:numId w:val="93"/>
        </w:numPr>
        <w:rPr>
          <w:rFonts w:ascii="Arial" w:cs="Arial" w:eastAsia="Arial" w:hAnsi="Arial"/>
          <w:sz w:val="16"/>
          <w:szCs w:val="16"/>
          <w:color w:val="auto"/>
        </w:rPr>
      </w:pPr>
      <w:r>
        <w:rPr>
          <w:rFonts w:ascii="Arial" w:cs="Arial" w:eastAsia="Arial" w:hAnsi="Arial"/>
          <w:sz w:val="16"/>
          <w:szCs w:val="16"/>
          <w:color w:val="auto"/>
        </w:rPr>
        <w:t>Level II –Pricing inputs are other than quoted prices in active markets, which are either directly or indirectly observable as of the reporting date. Such inputs may be quoted prices for similar assets or liabilities, quoted markets that are not active, or other inputs that are observable or can be corroborated by observable market data for substantially the full character of the financial instrument, or inputs that are derived principally from, or corroborated by, observable market information. Investments which are generally included in this category include illiquid debt securities and less liquid, privately held or restricted equity securities, for which some level of recent trading activity has been observed.</w:t>
      </w:r>
    </w:p>
    <w:p>
      <w:pPr>
        <w:spacing w:after="0" w:line="120" w:lineRule="exact"/>
        <w:rPr>
          <w:rFonts w:ascii="Arial" w:cs="Arial" w:eastAsia="Arial" w:hAnsi="Arial"/>
          <w:sz w:val="16"/>
          <w:szCs w:val="16"/>
          <w:color w:val="auto"/>
        </w:rPr>
      </w:pPr>
    </w:p>
    <w:p>
      <w:pPr>
        <w:ind w:left="740" w:right="80" w:hanging="368"/>
        <w:spacing w:after="0" w:line="293" w:lineRule="auto"/>
        <w:tabs>
          <w:tab w:leader="none" w:pos="740" w:val="left"/>
        </w:tabs>
        <w:numPr>
          <w:ilvl w:val="0"/>
          <w:numId w:val="93"/>
        </w:numPr>
        <w:rPr>
          <w:rFonts w:ascii="Arial" w:cs="Arial" w:eastAsia="Arial" w:hAnsi="Arial"/>
          <w:sz w:val="16"/>
          <w:szCs w:val="16"/>
          <w:color w:val="auto"/>
        </w:rPr>
      </w:pPr>
      <w:r>
        <w:rPr>
          <w:rFonts w:ascii="Arial" w:cs="Arial" w:eastAsia="Arial" w:hAnsi="Arial"/>
          <w:sz w:val="16"/>
          <w:szCs w:val="16"/>
          <w:color w:val="auto"/>
        </w:rPr>
        <w:t>Level III – Pricing inputs are unobservable for the investment and includes situations where there is little, if any, market activity for the investment. The inputs may be based on our own assumptions about how market participants would price the asset or liability or may use Level II inputs, as adjusted, to reflect specific investment attributes relative to a broader market assumption. These inputs into the determination of fair value may require significant management judgment or estimation. Even if observable market data for comparable performance or valuation measures (earnings multiples, discount rates, other financial/valuation ratios, etc.) are available, such investments are grouped as Level III if any significant data point that is not also market observable (private company earnings, cash flows, etc.) is used in the valuation methodology.</w:t>
      </w:r>
    </w:p>
    <w:p>
      <w:pPr>
        <w:spacing w:after="0" w:line="124" w:lineRule="exact"/>
        <w:rPr>
          <w:sz w:val="20"/>
          <w:szCs w:val="20"/>
          <w:color w:val="auto"/>
        </w:rPr>
      </w:pPr>
    </w:p>
    <w:p>
      <w:pPr>
        <w:ind w:right="20" w:firstLine="374"/>
        <w:spacing w:after="0" w:line="270" w:lineRule="auto"/>
        <w:rPr>
          <w:sz w:val="20"/>
          <w:szCs w:val="20"/>
          <w:color w:val="auto"/>
        </w:rPr>
      </w:pPr>
      <w:r>
        <w:rPr>
          <w:rFonts w:ascii="Arial" w:cs="Arial" w:eastAsia="Arial" w:hAnsi="Arial"/>
          <w:sz w:val="17"/>
          <w:szCs w:val="17"/>
          <w:color w:val="auto"/>
        </w:rPr>
        <w:t>In certain cases, the inputs used to measure fair value may fall into different levels of the fair value hierarchy. In such cases, an investment’s level within the fair value hierarchy is based on the lowest level of input that is significant to the fair value measurement. We assess of the significance of a particular input to the fair value measurement in its entirety requires judgment, and we consider factors specific to the investment. The majority of our investments are classified as Level III. We evaluate the source of inputs, including any markets in which its investments are trading, in determining fair value. Inputs that are backed by actual transactions, those that are highly correlated to the specific investment being valued and those derived from reliable or knowledgeable sources will tend to have a higher weighting in determining fair value. Our fair value determinations may include factors such as an assessment of each underlying investment, its current and prospective operating and financial performance, consideration of financing and sale transactions with third parties, expected cash flows and market-based information, including comparable transactions, performance factors, and other investment or industry specific market data, among other factors.</w:t>
      </w:r>
    </w:p>
    <w:p>
      <w:pPr>
        <w:spacing w:after="0" w:line="140" w:lineRule="exact"/>
        <w:rPr>
          <w:sz w:val="20"/>
          <w:szCs w:val="20"/>
          <w:color w:val="auto"/>
        </w:rPr>
      </w:pPr>
    </w:p>
    <w:p>
      <w:pPr>
        <w:ind w:right="340" w:firstLine="374"/>
        <w:spacing w:after="0" w:line="311" w:lineRule="auto"/>
        <w:rPr>
          <w:sz w:val="20"/>
          <w:szCs w:val="20"/>
          <w:color w:val="auto"/>
        </w:rPr>
      </w:pPr>
      <w:r>
        <w:rPr>
          <w:rFonts w:ascii="Arial" w:cs="Arial" w:eastAsia="Arial" w:hAnsi="Arial"/>
          <w:sz w:val="16"/>
          <w:szCs w:val="16"/>
          <w:color w:val="auto"/>
        </w:rPr>
        <w:t>We have valued our investments, in the absence of observable market prices, using the valuation methodologies described below applied on a consistent basis. For some investments, little market activity may exist; management’s determination of fair value is then based on the best information available in the circumstances, and may incorporate management’s own assumptions and involves a significant degree of management’s judgment.</w:t>
      </w:r>
    </w:p>
    <w:p>
      <w:pPr>
        <w:spacing w:after="0" w:line="108" w:lineRule="exact"/>
        <w:rPr>
          <w:sz w:val="20"/>
          <w:szCs w:val="20"/>
          <w:color w:val="auto"/>
        </w:rPr>
      </w:pPr>
    </w:p>
    <w:p>
      <w:pPr>
        <w:ind w:right="260" w:firstLine="374"/>
        <w:spacing w:after="0" w:line="263" w:lineRule="auto"/>
        <w:rPr>
          <w:sz w:val="20"/>
          <w:szCs w:val="20"/>
          <w:color w:val="auto"/>
        </w:rPr>
      </w:pPr>
      <w:r>
        <w:rPr>
          <w:rFonts w:ascii="Arial" w:cs="Arial" w:eastAsia="Arial" w:hAnsi="Arial"/>
          <w:sz w:val="18"/>
          <w:szCs w:val="18"/>
          <w:color w:val="auto"/>
        </w:rPr>
        <w:t>Our investments in CLO Fund Securities are carried at fair value, which is based either on (i) the present value of the net expected cash inflows for interest income and principal repayments from underlying assets and the cash outflows for interest expense, debt paydown and other fund costs for the CLO Funds which are approaching or past the end of their reinvestment period and therefore are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96" w:name="page97"/>
    <w:bookmarkEnd w:id="96"/>
    <w:p>
      <w:pPr>
        <w:ind w:right="160"/>
        <w:spacing w:after="0" w:line="270" w:lineRule="auto"/>
        <w:rPr>
          <w:sz w:val="20"/>
          <w:szCs w:val="20"/>
          <w:color w:val="auto"/>
        </w:rPr>
      </w:pPr>
      <w:r>
        <w:rPr>
          <w:rFonts w:ascii="Arial" w:cs="Arial" w:eastAsia="Arial" w:hAnsi="Arial"/>
          <w:sz w:val="17"/>
          <w:szCs w:val="17"/>
          <w:color w:val="auto"/>
        </w:rPr>
        <w:t>selling assets and/or using principal repayments to pay-down CLO Fund debt, and for which there continue to be net cash distributions to the class of securities we own, or (ii) a discounted cash flow model that utilizes prepayment and loss assumptions based on historical experience and projected performance, economic factors, the characteristics of the underlying cash flow and comparable yields for similar securities or preferred shares to those in which we have invested, or (iii) indicative prices provided by the underwriters or brokers who arrange CLO Funds. We recognize unrealized appreciation or depreciation on our investments in CLO Fund Securities as comparable yields in the market change and/or based on changes in net asset values or estimated cash flows resulting from changes in prepayment or loss assumptions in the underlying collateral pool. As each investment in CLO Fund Securities ages, the expected amount of losses and the expected timing of recognition of such losses in the underlying collateral pool are updated and the revised cash flows are used in determining the fair value of the CLO Fund Securities. We determine the fair value of our investments in CLO Fund Securities on a security-by-security basis.</w:t>
      </w:r>
    </w:p>
    <w:p>
      <w:pPr>
        <w:spacing w:after="0" w:line="154" w:lineRule="exact"/>
        <w:rPr>
          <w:sz w:val="20"/>
          <w:szCs w:val="20"/>
          <w:color w:val="auto"/>
        </w:rPr>
      </w:pPr>
    </w:p>
    <w:p>
      <w:pPr>
        <w:ind w:firstLine="374"/>
        <w:spacing w:after="0" w:line="296" w:lineRule="auto"/>
        <w:rPr>
          <w:sz w:val="20"/>
          <w:szCs w:val="20"/>
          <w:color w:val="auto"/>
        </w:rPr>
      </w:pPr>
      <w:r>
        <w:rPr>
          <w:rFonts w:ascii="Arial" w:cs="Arial" w:eastAsia="Arial" w:hAnsi="Arial"/>
          <w:sz w:val="16"/>
          <w:szCs w:val="16"/>
          <w:color w:val="auto"/>
        </w:rPr>
        <w:t>Our investments in our wholly-owned Asset Manager Affiliates are carried at fair value, which is primarily determined utilizing a discounted cash flow model which incorporates different levels of discount rates depending on the hierarchy of fees earned (including the likelihood of realization of senior, subordinate and incentive fees) and prospective modeled performance (“Discounted Cash Flow”). Such valuation takes into consideration an analysis of comparable asset management companies and a percentage of assets under management. The Asset Manager Affiliates are classified as a Level III investment (as described above). Any change in value from period to period is recognized as net change in unrealized appreciation or depreciation.</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carry investments in joint ventures at fair value based upon the fair value of the investments held by the joint venture.</w:t>
      </w:r>
    </w:p>
    <w:p>
      <w:pPr>
        <w:spacing w:after="0" w:line="185" w:lineRule="exact"/>
        <w:rPr>
          <w:sz w:val="20"/>
          <w:szCs w:val="20"/>
          <w:color w:val="auto"/>
        </w:rPr>
      </w:pPr>
    </w:p>
    <w:p>
      <w:pPr>
        <w:ind w:firstLine="374"/>
        <w:spacing w:after="0" w:line="270" w:lineRule="auto"/>
        <w:rPr>
          <w:sz w:val="20"/>
          <w:szCs w:val="20"/>
          <w:color w:val="auto"/>
        </w:rPr>
      </w:pPr>
      <w:r>
        <w:rPr>
          <w:rFonts w:ascii="Arial" w:cs="Arial" w:eastAsia="Arial" w:hAnsi="Arial"/>
          <w:sz w:val="17"/>
          <w:szCs w:val="17"/>
          <w:color w:val="auto"/>
        </w:rPr>
        <w:t>Fair values of other investments for which market prices are not observable are determined by reference to public market or private transactions or valuations for comparable companies or assets in the relevant asset class and/or industry when such amounts are available. Generally, these valuations are derived by multiplying a key performance metric of the investee company or asset (e.g., EBITDA) by the relevant valuation multiple observed for comparable companies or transactions, adjusted by management for differences between the investment and the referenced comparable. Such investments may also be valued at cost for a period of time after an acquisition as the best indicator of fair value. If the fair value of such investments cannot be valued by reference to observable valuation measures for comparable companies, then the primary analytical method used to estimate the fair value is a discounted cash flow method and/or cap rate analysis. A sensitivity analysis is applied to the estimated future cash flows using various factors depending on the investment, including assumed growth rates (in cash flows), capitalization rates (for determining terminal values) and appropriate discount rates to determine a range of reasonable values or to compute projected return on investment.</w:t>
      </w:r>
    </w:p>
    <w:p>
      <w:pPr>
        <w:spacing w:after="0" w:line="154" w:lineRule="exact"/>
        <w:rPr>
          <w:sz w:val="20"/>
          <w:szCs w:val="20"/>
          <w:color w:val="auto"/>
        </w:rPr>
      </w:pPr>
    </w:p>
    <w:p>
      <w:pPr>
        <w:ind w:right="60" w:firstLine="374"/>
        <w:spacing w:after="0" w:line="275" w:lineRule="auto"/>
        <w:rPr>
          <w:sz w:val="20"/>
          <w:szCs w:val="20"/>
          <w:color w:val="auto"/>
        </w:rPr>
      </w:pPr>
      <w:r>
        <w:rPr>
          <w:rFonts w:ascii="Arial" w:cs="Arial" w:eastAsia="Arial" w:hAnsi="Arial"/>
          <w:sz w:val="17"/>
          <w:szCs w:val="17"/>
          <w:color w:val="auto"/>
        </w:rPr>
        <w:t>For bond rated note tranches of CLO Fund securities (those above the junior class) without transactions to support a fair value for the specific CLO Fund and tranche, fair value is based on discounting estimated bond payments at current market yields, which may reflect the adjusted yield on the leveraged loan index for similarly rated tranches, as well as prices for similar tranches for other CLO Funds and also other factors such as indicative prices provided by underwriters or brokers who arrange CLO Funds, and the default and recovery rates of underlying assets in the CLO Fund, as may be applicable. Such model assumptions may vary and incorporate adjustments for risk premiums and CLO Fund specific attributes.</w:t>
      </w:r>
    </w:p>
    <w:p>
      <w:pPr>
        <w:spacing w:after="0" w:line="136" w:lineRule="exact"/>
        <w:rPr>
          <w:sz w:val="20"/>
          <w:szCs w:val="20"/>
          <w:color w:val="auto"/>
        </w:rPr>
      </w:pPr>
    </w:p>
    <w:p>
      <w:pPr>
        <w:ind w:right="100" w:firstLine="374"/>
        <w:spacing w:after="0" w:line="286" w:lineRule="auto"/>
        <w:rPr>
          <w:sz w:val="20"/>
          <w:szCs w:val="20"/>
          <w:color w:val="auto"/>
        </w:rPr>
      </w:pPr>
      <w:r>
        <w:rPr>
          <w:rFonts w:ascii="Arial" w:cs="Arial" w:eastAsia="Arial" w:hAnsi="Arial"/>
          <w:sz w:val="17"/>
          <w:szCs w:val="17"/>
          <w:color w:val="auto"/>
        </w:rPr>
        <w:t>We derive fair value for our illiquid loan investments that do not have indicative fair values based upon active trades primarily by using the Income Approach, and also consider recent loan amendments or other activity specific to the subject asset as described above. Other significant assumptions, such as coupon and maturity, are asset-specific and are noted for each investment in the Schedules of Investments.</w:t>
      </w:r>
    </w:p>
    <w:p>
      <w:pPr>
        <w:spacing w:after="0" w:line="125" w:lineRule="exact"/>
        <w:rPr>
          <w:sz w:val="20"/>
          <w:szCs w:val="20"/>
          <w:color w:val="auto"/>
        </w:rPr>
      </w:pPr>
    </w:p>
    <w:p>
      <w:pPr>
        <w:ind w:right="140" w:firstLine="374"/>
        <w:spacing w:after="0" w:line="259" w:lineRule="auto"/>
        <w:rPr>
          <w:sz w:val="20"/>
          <w:szCs w:val="20"/>
          <w:color w:val="auto"/>
        </w:rPr>
      </w:pPr>
      <w:r>
        <w:rPr>
          <w:rFonts w:ascii="Arial" w:cs="Arial" w:eastAsia="Arial" w:hAnsi="Arial"/>
          <w:sz w:val="18"/>
          <w:szCs w:val="18"/>
          <w:color w:val="auto"/>
        </w:rPr>
        <w:t>The determination of fair value using this methodology takes into consideration a range of factors, including but not limited to the price at which the investment was acquired, the nature of the investment, local market conditions, trading values on public exchanges for comparable securities, current and projected operating performance and financing transactions subsequent to the acquisition of the investment. This valuation methodology involves a significant degree of our judgment.</w:t>
      </w:r>
    </w:p>
    <w:p>
      <w:pPr>
        <w:spacing w:after="0" w:line="160" w:lineRule="exact"/>
        <w:rPr>
          <w:sz w:val="20"/>
          <w:szCs w:val="20"/>
          <w:color w:val="auto"/>
        </w:rPr>
      </w:pPr>
    </w:p>
    <w:p>
      <w:pPr>
        <w:ind w:left="380" w:right="1020"/>
        <w:spacing w:after="0" w:line="453" w:lineRule="auto"/>
        <w:rPr>
          <w:sz w:val="20"/>
          <w:szCs w:val="20"/>
          <w:color w:val="auto"/>
        </w:rPr>
      </w:pPr>
      <w:r>
        <w:rPr>
          <w:rFonts w:ascii="Arial" w:cs="Arial" w:eastAsia="Arial" w:hAnsi="Arial"/>
          <w:sz w:val="18"/>
          <w:szCs w:val="18"/>
          <w:color w:val="auto"/>
        </w:rPr>
        <w:t xml:space="preserve">Our Board may consider other methods of valuation to determine the fair value of investments as appropriate in conformity with GAAP. </w:t>
      </w:r>
      <w:r>
        <w:rPr>
          <w:rFonts w:ascii="Arial" w:cs="Arial" w:eastAsia="Arial" w:hAnsi="Arial"/>
          <w:sz w:val="18"/>
          <w:szCs w:val="18"/>
          <w:b w:val="1"/>
          <w:bCs w:val="1"/>
          <w:i w:val="1"/>
          <w:iCs w:val="1"/>
          <w:color w:val="auto"/>
        </w:rPr>
        <w:t>Interest Income</w:t>
      </w:r>
    </w:p>
    <w:p>
      <w:pPr>
        <w:spacing w:after="0" w:line="2" w:lineRule="exact"/>
        <w:rPr>
          <w:sz w:val="20"/>
          <w:szCs w:val="20"/>
          <w:color w:val="auto"/>
        </w:rPr>
      </w:pPr>
    </w:p>
    <w:p>
      <w:pPr>
        <w:ind w:firstLine="374"/>
        <w:spacing w:after="0" w:line="291" w:lineRule="auto"/>
        <w:rPr>
          <w:sz w:val="20"/>
          <w:szCs w:val="20"/>
          <w:color w:val="auto"/>
        </w:rPr>
      </w:pPr>
      <w:r>
        <w:rPr>
          <w:rFonts w:ascii="Arial" w:cs="Arial" w:eastAsia="Arial" w:hAnsi="Arial"/>
          <w:sz w:val="16"/>
          <w:szCs w:val="16"/>
          <w:color w:val="auto"/>
        </w:rPr>
        <w:t>Interest income, including amortization of premium and accretion of discount and accrual payment-in-kind (“PIK”) interest, is recorded on the accrual basis to the extent that such amounts are expected to be collected. We generally place a loan on non-accrual status and cease recognizing interest income on such loan or security when a loan or security becomes 90 days or more past due or if we otherwise do not expect the debtor to be able to service its debt obligations. For investments with PIK interest, which represents contractual interest accrued and added to the principal balance that generally becomes due at maturity, we will not accrue PIK interest if the portfolio company valuation indicates that the PIK interest is not collectible (i.e. via a partial or full non-accrual). Loans which are on partial or full non-accrual remain in such status until the borrower has demonstrated the ability and intent to pay contractual amounts due or such loans become current. As of March 31, 2021, seven of our investments were on non-accrual status.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97" w:name="page98"/>
    <w:bookmarkEnd w:id="97"/>
    <w:p>
      <w:pPr>
        <w:ind w:left="380"/>
        <w:spacing w:after="0"/>
        <w:rPr>
          <w:sz w:val="20"/>
          <w:szCs w:val="20"/>
          <w:color w:val="auto"/>
        </w:rPr>
      </w:pPr>
      <w:r>
        <w:rPr>
          <w:rFonts w:ascii="Arial" w:cs="Arial" w:eastAsia="Arial" w:hAnsi="Arial"/>
          <w:sz w:val="18"/>
          <w:szCs w:val="18"/>
          <w:b w:val="1"/>
          <w:bCs w:val="1"/>
          <w:i w:val="1"/>
          <w:iCs w:val="1"/>
          <w:color w:val="auto"/>
        </w:rPr>
        <w:t>Investment Income on CLO Fund Securities</w:t>
      </w:r>
    </w:p>
    <w:p>
      <w:pPr>
        <w:spacing w:after="0" w:line="198" w:lineRule="exact"/>
        <w:rPr>
          <w:sz w:val="20"/>
          <w:szCs w:val="20"/>
          <w:color w:val="auto"/>
        </w:rPr>
      </w:pPr>
    </w:p>
    <w:p>
      <w:pPr>
        <w:ind w:firstLine="374"/>
        <w:spacing w:after="0" w:line="270" w:lineRule="auto"/>
        <w:rPr>
          <w:sz w:val="20"/>
          <w:szCs w:val="20"/>
          <w:color w:val="auto"/>
        </w:rPr>
      </w:pPr>
      <w:r>
        <w:rPr>
          <w:rFonts w:ascii="Arial" w:cs="Arial" w:eastAsia="Arial" w:hAnsi="Arial"/>
          <w:sz w:val="17"/>
          <w:szCs w:val="17"/>
          <w:color w:val="auto"/>
        </w:rPr>
        <w:t>We receive distributions from our investments in the most junior class of securities of CLO Funds (typically preferred shares or subordinated securities). Our CLO Fund junior class securities are subordinated to senior note holders who typically receive a return on their investment at a fixed spread relative to the LIBOR index. The CLO Funds are leveraged funds and any excess cash flow or “excess spread” (interest earned by the underlying securities in the fund less payments made to senior note holders and less fund expenses and management fees) is paid to the holders of the CLO Fund’s subordinated securities or preferred shares. The level of excess spread from CLO Fund Securities can be impacted from the timing and level of the resetting of the benchmark interest rate for the underlying assets (which reset at various times throughout the quarter) in the CLO Fund and the related CLO Fund note liabilities (which reset at each quarterly distribution date); in periods of short-term and volatile changes in the benchmark interest rate, the levels of excess spread and distributions to us can vary significantly. In addition, the failure of CLO Funds in which we invest to comply with certain financial covenants may lead to the temporary suspension or deferral of cash distributions to us.</w:t>
      </w:r>
    </w:p>
    <w:p>
      <w:pPr>
        <w:spacing w:after="0" w:line="140" w:lineRule="exact"/>
        <w:rPr>
          <w:sz w:val="20"/>
          <w:szCs w:val="20"/>
          <w:color w:val="auto"/>
        </w:rPr>
      </w:pPr>
    </w:p>
    <w:p>
      <w:pPr>
        <w:ind w:right="60" w:firstLine="374"/>
        <w:spacing w:after="0" w:line="273" w:lineRule="auto"/>
        <w:rPr>
          <w:sz w:val="20"/>
          <w:szCs w:val="20"/>
          <w:color w:val="auto"/>
        </w:rPr>
      </w:pPr>
      <w:r>
        <w:rPr>
          <w:rFonts w:ascii="Arial" w:cs="Arial" w:eastAsia="Arial" w:hAnsi="Arial"/>
          <w:sz w:val="17"/>
          <w:szCs w:val="17"/>
          <w:color w:val="auto"/>
        </w:rPr>
        <w:t>GAAP-basis investment income on CLO equity investments is recorded using the effective interest method in accordance with the provisions of ASC 325-40, based on the anticipated yield and the estimated cash flows over the projected life of the investment. Yields are revised when there are changes in actual or estimated projected future cash flows due to changes in prepayments and/or re-investments, credit losses or asset pricing. Changes in estimated yield are recognized as an adjustment to the estimated yield prospectively over the remaining life of the investment from the date the estimated yield was changed. Accordingly, investment income recognized on CLO equity securities in the GAAP statement of operations differs from both the tax-basis investment income and from the cash distributions actually received by us during the period.</w:t>
      </w:r>
    </w:p>
    <w:p>
      <w:pPr>
        <w:spacing w:after="0" w:line="13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For non-junior class CLO Fund Securities interest is earned at a fixed spread relative to the LIBOR index.</w:t>
      </w:r>
    </w:p>
    <w:p>
      <w:pPr>
        <w:spacing w:after="0" w:line="198"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Payment in Kind Interest</w:t>
      </w:r>
    </w:p>
    <w:p>
      <w:pPr>
        <w:spacing w:after="0" w:line="185" w:lineRule="exact"/>
        <w:rPr>
          <w:sz w:val="20"/>
          <w:szCs w:val="20"/>
          <w:color w:val="auto"/>
        </w:rPr>
      </w:pPr>
    </w:p>
    <w:p>
      <w:pPr>
        <w:ind w:right="120" w:firstLine="374"/>
        <w:spacing w:after="0" w:line="263" w:lineRule="auto"/>
        <w:rPr>
          <w:sz w:val="20"/>
          <w:szCs w:val="20"/>
          <w:color w:val="auto"/>
        </w:rPr>
      </w:pPr>
      <w:r>
        <w:rPr>
          <w:rFonts w:ascii="Arial" w:cs="Arial" w:eastAsia="Arial" w:hAnsi="Arial"/>
          <w:sz w:val="18"/>
          <w:szCs w:val="18"/>
          <w:color w:val="auto"/>
        </w:rPr>
        <w:t>We may have loans in our portfolio that contain a PIK provision. PIK interest, computed at the contractual rate specified in each loan agreement, is added to the principal balance of the loan and recorded as interest income. To maintain our RIC status, this non-cash source of income must be distributed to stockholders in the form of cash dividends, even though we have not yet collected any cash.</w:t>
      </w:r>
    </w:p>
    <w:p>
      <w:pPr>
        <w:spacing w:after="0" w:line="143"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Fee Income</w:t>
      </w:r>
    </w:p>
    <w:p>
      <w:pPr>
        <w:spacing w:after="0" w:line="198" w:lineRule="exact"/>
        <w:rPr>
          <w:sz w:val="20"/>
          <w:szCs w:val="20"/>
          <w:color w:val="auto"/>
        </w:rPr>
      </w:pPr>
    </w:p>
    <w:p>
      <w:pPr>
        <w:ind w:right="80" w:firstLine="374"/>
        <w:spacing w:after="0" w:line="259" w:lineRule="auto"/>
        <w:rPr>
          <w:sz w:val="20"/>
          <w:szCs w:val="20"/>
          <w:color w:val="auto"/>
        </w:rPr>
      </w:pPr>
      <w:r>
        <w:rPr>
          <w:rFonts w:ascii="Arial" w:cs="Arial" w:eastAsia="Arial" w:hAnsi="Arial"/>
          <w:sz w:val="18"/>
          <w:szCs w:val="18"/>
          <w:color w:val="auto"/>
        </w:rPr>
        <w:t>Fee income includes fees, if any, for due diligence, structuring, commitment and facility fees, and fees, if any, for transaction services and management services rendered by us to portfolio companies and other third parties. Commitment and facility fees are generally recognized as income over the life of the underlying loan, whereas due diligence, structuring, transaction service and management service fees are generally recognized as income when the services are rendered.</w:t>
      </w:r>
    </w:p>
    <w:p>
      <w:pPr>
        <w:spacing w:after="0" w:line="146"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Management Compensation</w:t>
      </w:r>
    </w:p>
    <w:p>
      <w:pPr>
        <w:spacing w:after="0" w:line="185" w:lineRule="exact"/>
        <w:rPr>
          <w:sz w:val="20"/>
          <w:szCs w:val="20"/>
          <w:color w:val="auto"/>
        </w:rPr>
      </w:pPr>
    </w:p>
    <w:p>
      <w:pPr>
        <w:ind w:right="180" w:firstLine="374"/>
        <w:spacing w:after="0" w:line="296" w:lineRule="auto"/>
        <w:rPr>
          <w:sz w:val="20"/>
          <w:szCs w:val="20"/>
          <w:color w:val="auto"/>
        </w:rPr>
      </w:pPr>
      <w:r>
        <w:rPr>
          <w:rFonts w:ascii="Arial" w:cs="Arial" w:eastAsia="Arial" w:hAnsi="Arial"/>
          <w:sz w:val="16"/>
          <w:szCs w:val="16"/>
          <w:color w:val="auto"/>
        </w:rPr>
        <w:t>As a result of the Closing we will no longer issue stock options or restricted stock under the Company’s Equity Incentive Plan or the 2008 Non-Employee Director Plan. The 1940 Act does not permit externally managed investment companies and BDCs to issue or have outstanding options or restricted stock granted to directors and employees. Immediately prior to the Closing, by virtue of the Externalization and subject to the execution of an option cancellation agreement, each option to purchase shares of our common stock granted under our Non-Employee Director Plan that was outstanding immediately prior to the Externalization (each, a “Company Stock Option”) was cancelled in exchange for the payment in cash to the holder thereof.</w:t>
      </w:r>
    </w:p>
    <w:p>
      <w:pPr>
        <w:spacing w:after="0" w:line="134" w:lineRule="exact"/>
        <w:rPr>
          <w:sz w:val="20"/>
          <w:szCs w:val="20"/>
          <w:color w:val="auto"/>
        </w:rPr>
      </w:pPr>
    </w:p>
    <w:p>
      <w:pPr>
        <w:ind w:right="280" w:firstLine="374"/>
        <w:spacing w:after="0" w:line="259" w:lineRule="auto"/>
        <w:rPr>
          <w:sz w:val="20"/>
          <w:szCs w:val="20"/>
          <w:color w:val="auto"/>
        </w:rPr>
      </w:pPr>
      <w:r>
        <w:rPr>
          <w:rFonts w:ascii="Arial" w:cs="Arial" w:eastAsia="Arial" w:hAnsi="Arial"/>
          <w:sz w:val="18"/>
          <w:szCs w:val="18"/>
          <w:color w:val="auto"/>
        </w:rPr>
        <w:t>Immediately prior to the Closing, each restricted share of our (the “Company Restricted Share”) outstanding and not previously forfeited under the Company’s Equity Incentive Plan and the Company’s Non-Employee Director Plan became fully vested, all restrictions with respect to such Company Restricted Shares lapsed, and the holders of such Company Restricted Shares became entitled to receive a pro rata share of the payment made to stockholders in connection with the Externalization.</w:t>
      </w:r>
    </w:p>
    <w:p>
      <w:pPr>
        <w:spacing w:after="0" w:line="146"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United States Federal Income Taxes</w:t>
      </w:r>
    </w:p>
    <w:p>
      <w:pPr>
        <w:spacing w:after="0" w:line="185" w:lineRule="exact"/>
        <w:rPr>
          <w:sz w:val="20"/>
          <w:szCs w:val="20"/>
          <w:color w:val="auto"/>
        </w:rPr>
      </w:pPr>
    </w:p>
    <w:p>
      <w:pPr>
        <w:ind w:right="40" w:firstLine="374"/>
        <w:spacing w:after="0" w:line="257" w:lineRule="auto"/>
        <w:rPr>
          <w:sz w:val="20"/>
          <w:szCs w:val="20"/>
          <w:color w:val="auto"/>
        </w:rPr>
      </w:pPr>
      <w:r>
        <w:rPr>
          <w:rFonts w:ascii="Arial" w:cs="Arial" w:eastAsia="Arial" w:hAnsi="Arial"/>
          <w:sz w:val="18"/>
          <w:szCs w:val="18"/>
          <w:color w:val="auto"/>
        </w:rPr>
        <w:t>We have elected to be treated as a RIC and intend to continue to qualify for the tax treatment applicable to RICs under Subchapter M of the Code and, among other things, intends to make the required distributions to our stockholders as specified therein. In order to qualify for tax treatment as a RIC, the Company is required to timely distribute to its stockholders at least 90% of investment company taxable income, as defined by the Code, for each year. Depending on the level of taxable income earned in a tax year, we may choose to carry forward taxable income in excess of current year distributions into the next tax year and pay a 4% excise tax on such income, to the extent required.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98" w:name="page99"/>
    <w:bookmarkEnd w:id="98"/>
    <w:p>
      <w:pPr>
        <w:ind w:left="380"/>
        <w:spacing w:after="0"/>
        <w:rPr>
          <w:sz w:val="20"/>
          <w:szCs w:val="20"/>
          <w:color w:val="auto"/>
        </w:rPr>
      </w:pPr>
      <w:r>
        <w:rPr>
          <w:rFonts w:ascii="Arial" w:cs="Arial" w:eastAsia="Arial" w:hAnsi="Arial"/>
          <w:sz w:val="18"/>
          <w:szCs w:val="18"/>
          <w:b w:val="1"/>
          <w:bCs w:val="1"/>
          <w:i w:val="1"/>
          <w:iCs w:val="1"/>
          <w:color w:val="auto"/>
        </w:rPr>
        <w:t>Distributions to Shareholders</w:t>
      </w:r>
    </w:p>
    <w:p>
      <w:pPr>
        <w:spacing w:after="0" w:line="198" w:lineRule="exact"/>
        <w:rPr>
          <w:sz w:val="20"/>
          <w:szCs w:val="20"/>
          <w:color w:val="auto"/>
        </w:rPr>
      </w:pPr>
    </w:p>
    <w:p>
      <w:pPr>
        <w:ind w:right="600" w:firstLine="374"/>
        <w:spacing w:after="0" w:line="277" w:lineRule="auto"/>
        <w:rPr>
          <w:sz w:val="20"/>
          <w:szCs w:val="20"/>
          <w:color w:val="auto"/>
        </w:rPr>
      </w:pPr>
      <w:r>
        <w:rPr>
          <w:rFonts w:ascii="Arial" w:cs="Arial" w:eastAsia="Arial" w:hAnsi="Arial"/>
          <w:sz w:val="18"/>
          <w:szCs w:val="18"/>
          <w:color w:val="auto"/>
        </w:rPr>
        <w:t>The amount of our declared distributions, as evaluated by management and approved by our Board, is based primarily on our evaluation of net investment income and distributable taxable income.</w:t>
      </w:r>
    </w:p>
    <w:p>
      <w:pPr>
        <w:spacing w:after="0" w:line="170" w:lineRule="exact"/>
        <w:rPr>
          <w:sz w:val="20"/>
          <w:szCs w:val="20"/>
          <w:color w:val="auto"/>
        </w:rPr>
      </w:pPr>
    </w:p>
    <w:p>
      <w:pPr>
        <w:ind w:right="820" w:firstLine="374"/>
        <w:spacing w:after="0" w:line="277" w:lineRule="auto"/>
        <w:rPr>
          <w:sz w:val="20"/>
          <w:szCs w:val="20"/>
          <w:color w:val="auto"/>
        </w:rPr>
      </w:pPr>
      <w:r>
        <w:rPr>
          <w:rFonts w:ascii="Arial" w:cs="Arial" w:eastAsia="Arial" w:hAnsi="Arial"/>
          <w:sz w:val="18"/>
          <w:szCs w:val="18"/>
          <w:color w:val="auto"/>
        </w:rPr>
        <w:t>On May 6, 2021, our Board declared a cash distribution of $0.06 per share of common stock. The distribution is payable on June 1, 2021 to stockholders of record at the close of business as of May 19, 2021.</w:t>
      </w:r>
    </w:p>
    <w:p>
      <w:pPr>
        <w:spacing w:after="0" w:line="13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sets forth the quarterly distributions paid by us for the 2021, 2020 and 2019 calendar years.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ind w:left="180"/>
              <w:spacing w:after="0"/>
              <w:rPr>
                <w:sz w:val="20"/>
                <w:szCs w:val="20"/>
                <w:color w:val="auto"/>
              </w:rPr>
            </w:pPr>
            <w:r>
              <w:rPr>
                <w:rFonts w:ascii="Arial" w:cs="Arial" w:eastAsia="Arial" w:hAnsi="Arial"/>
                <w:sz w:val="18"/>
                <w:szCs w:val="18"/>
                <w:b w:val="1"/>
                <w:bCs w:val="1"/>
                <w:color w:val="auto"/>
              </w:rPr>
              <w:t>Declaration</w:t>
            </w: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Record</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w w:val="91"/>
              </w:rPr>
              <w:t>Distribution</w:t>
            </w:r>
          </w:p>
        </w:tc>
        <w:tc>
          <w:tcPr>
            <w:tcW w:w="220" w:type="dxa"/>
            <w:vAlign w:val="bottom"/>
          </w:tcPr>
          <w:p>
            <w:pPr>
              <w:spacing w:after="0"/>
              <w:rPr>
                <w:sz w:val="20"/>
                <w:szCs w:val="20"/>
                <w:color w:val="auto"/>
              </w:rPr>
            </w:pPr>
          </w:p>
        </w:tc>
        <w:tc>
          <w:tcPr>
            <w:tcW w:w="1380" w:type="dxa"/>
            <w:vAlign w:val="bottom"/>
            <w:gridSpan w:val="2"/>
          </w:tcPr>
          <w:p>
            <w:pPr>
              <w:ind w:left="460"/>
              <w:spacing w:after="0"/>
              <w:rPr>
                <w:sz w:val="20"/>
                <w:szCs w:val="20"/>
                <w:color w:val="auto"/>
              </w:rPr>
            </w:pPr>
            <w:r>
              <w:rPr>
                <w:rFonts w:ascii="Arial" w:cs="Arial" w:eastAsia="Arial" w:hAnsi="Arial"/>
                <w:sz w:val="18"/>
                <w:szCs w:val="18"/>
                <w:b w:val="1"/>
                <w:bCs w:val="1"/>
                <w:color w:val="auto"/>
              </w:rPr>
              <w:t>Date</w:t>
            </w: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Date</w:t>
            </w:r>
          </w:p>
        </w:tc>
        <w:tc>
          <w:tcPr>
            <w:tcW w:w="1280" w:type="dxa"/>
            <w:vAlign w:val="bottom"/>
          </w:tcPr>
          <w:p>
            <w:pPr>
              <w:jc w:val="right"/>
              <w:ind w:right="210"/>
              <w:spacing w:after="0"/>
              <w:rPr>
                <w:sz w:val="20"/>
                <w:szCs w:val="20"/>
                <w:color w:val="auto"/>
              </w:rPr>
            </w:pPr>
            <w:r>
              <w:rPr>
                <w:rFonts w:ascii="Arial" w:cs="Arial" w:eastAsia="Arial" w:hAnsi="Arial"/>
                <w:sz w:val="18"/>
                <w:szCs w:val="18"/>
                <w:b w:val="1"/>
                <w:bCs w:val="1"/>
                <w:color w:val="auto"/>
              </w:rPr>
              <w:t>Pay Date</w:t>
            </w:r>
          </w:p>
        </w:tc>
        <w:tc>
          <w:tcPr>
            <w:tcW w:w="0" w:type="dxa"/>
            <w:vAlign w:val="bottom"/>
          </w:tcPr>
          <w:p>
            <w:pPr>
              <w:spacing w:after="0"/>
              <w:rPr>
                <w:sz w:val="1"/>
                <w:szCs w:val="1"/>
                <w:color w:val="auto"/>
              </w:rPr>
            </w:pPr>
          </w:p>
        </w:tc>
      </w:tr>
      <w:tr>
        <w:trPr>
          <w:trHeight w:val="223"/>
        </w:trPr>
        <w:tc>
          <w:tcPr>
            <w:tcW w:w="3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2021:</w:t>
            </w:r>
          </w:p>
        </w:tc>
        <w:tc>
          <w:tcPr>
            <w:tcW w:w="2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20" w:type="dxa"/>
            <w:vAlign w:val="bottom"/>
          </w:tcPr>
          <w:p>
            <w:pPr>
              <w:ind w:left="260"/>
              <w:spacing w:after="0"/>
              <w:rPr>
                <w:sz w:val="20"/>
                <w:szCs w:val="20"/>
                <w:color w:val="auto"/>
              </w:rPr>
            </w:pPr>
            <w:r>
              <w:rPr>
                <w:rFonts w:ascii="Arial" w:cs="Arial" w:eastAsia="Arial" w:hAnsi="Arial"/>
                <w:sz w:val="18"/>
                <w:szCs w:val="18"/>
                <w:color w:val="auto"/>
              </w:rPr>
              <w:t>Second quarter</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0.06</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5/6/2021</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5/19/2021</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6/1/2021</w:t>
            </w:r>
          </w:p>
        </w:tc>
        <w:tc>
          <w:tcPr>
            <w:tcW w:w="0" w:type="dxa"/>
            <w:vAlign w:val="bottom"/>
          </w:tcPr>
          <w:p>
            <w:pPr>
              <w:spacing w:after="0"/>
              <w:rPr>
                <w:sz w:val="1"/>
                <w:szCs w:val="1"/>
                <w:color w:val="auto"/>
              </w:rPr>
            </w:pPr>
          </w:p>
        </w:tc>
      </w:tr>
      <w:tr>
        <w:trPr>
          <w:trHeight w:val="230"/>
        </w:trPr>
        <w:tc>
          <w:tcPr>
            <w:tcW w:w="3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First quarter</w:t>
            </w:r>
          </w:p>
        </w:tc>
        <w:tc>
          <w:tcPr>
            <w:tcW w:w="210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148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2/12/2021</w:t>
            </w:r>
          </w:p>
        </w:tc>
        <w:tc>
          <w:tcPr>
            <w:tcW w:w="120" w:type="dxa"/>
            <w:vAlign w:val="bottom"/>
            <w:tcBorders>
              <w:bottom w:val="single" w:sz="8" w:color="CFF0FC"/>
            </w:tcBorders>
          </w:tcPr>
          <w:p>
            <w:pPr>
              <w:spacing w:after="0"/>
              <w:rPr>
                <w:sz w:val="20"/>
                <w:szCs w:val="20"/>
                <w:color w:val="auto"/>
              </w:rPr>
            </w:pPr>
          </w:p>
        </w:tc>
        <w:tc>
          <w:tcPr>
            <w:tcW w:w="12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2/22/2021</w:t>
            </w:r>
          </w:p>
        </w:tc>
        <w:tc>
          <w:tcPr>
            <w:tcW w:w="120" w:type="dxa"/>
            <w:vAlign w:val="bottom"/>
            <w:tcBorders>
              <w:bottom w:val="single" w:sz="8" w:color="CFF0FC"/>
            </w:tcBorders>
          </w:tcPr>
          <w:p>
            <w:pPr>
              <w:spacing w:after="0"/>
              <w:rPr>
                <w:sz w:val="20"/>
                <w:szCs w:val="20"/>
                <w:color w:val="auto"/>
              </w:rPr>
            </w:pPr>
          </w:p>
        </w:tc>
        <w:tc>
          <w:tcPr>
            <w:tcW w:w="12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3/2/2021</w:t>
            </w:r>
          </w:p>
        </w:tc>
        <w:tc>
          <w:tcPr>
            <w:tcW w:w="0" w:type="dxa"/>
            <w:vAlign w:val="bottom"/>
          </w:tcPr>
          <w:p>
            <w:pPr>
              <w:spacing w:after="0"/>
              <w:rPr>
                <w:sz w:val="1"/>
                <w:szCs w:val="1"/>
                <w:color w:val="auto"/>
              </w:rPr>
            </w:pPr>
          </w:p>
        </w:tc>
      </w:tr>
      <w:tr>
        <w:trPr>
          <w:trHeight w:val="223"/>
        </w:trPr>
        <w:tc>
          <w:tcPr>
            <w:tcW w:w="3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declared in 2021</w:t>
            </w:r>
          </w:p>
        </w:tc>
        <w:tc>
          <w:tcPr>
            <w:tcW w:w="2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0.12</w:t>
            </w:r>
          </w:p>
        </w:tc>
        <w:tc>
          <w:tcPr>
            <w:tcW w:w="22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rPr>
                <w:sz w:val="20"/>
                <w:szCs w:val="20"/>
                <w:color w:val="auto"/>
              </w:rPr>
            </w:pPr>
            <w:r>
              <w:rPr>
                <w:rFonts w:ascii="Arial" w:cs="Arial" w:eastAsia="Arial" w:hAnsi="Arial"/>
                <w:sz w:val="18"/>
                <w:szCs w:val="18"/>
                <w:color w:val="auto"/>
              </w:rPr>
              <w:t>2020:</w:t>
            </w:r>
          </w:p>
        </w:tc>
        <w:tc>
          <w:tcPr>
            <w:tcW w:w="2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20" w:type="dxa"/>
            <w:vAlign w:val="bottom"/>
            <w:vMerge w:val="continue"/>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Fourth quarter</w:t>
            </w:r>
          </w:p>
        </w:tc>
        <w:tc>
          <w:tcPr>
            <w:tcW w:w="2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0.06</w:t>
            </w:r>
          </w:p>
        </w:tc>
        <w:tc>
          <w:tcPr>
            <w:tcW w:w="1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10/16/2020</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10/26/2020</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11/27/2020</w:t>
            </w:r>
          </w:p>
        </w:tc>
        <w:tc>
          <w:tcPr>
            <w:tcW w:w="0" w:type="dxa"/>
            <w:vAlign w:val="bottom"/>
          </w:tcPr>
          <w:p>
            <w:pPr>
              <w:spacing w:after="0"/>
              <w:rPr>
                <w:sz w:val="1"/>
                <w:szCs w:val="1"/>
                <w:color w:val="auto"/>
              </w:rPr>
            </w:pPr>
          </w:p>
        </w:tc>
      </w:tr>
      <w:tr>
        <w:trPr>
          <w:trHeight w:val="230"/>
        </w:trPr>
        <w:tc>
          <w:tcPr>
            <w:tcW w:w="3720" w:type="dxa"/>
            <w:vAlign w:val="bottom"/>
          </w:tcPr>
          <w:p>
            <w:pPr>
              <w:ind w:left="260"/>
              <w:spacing w:after="0"/>
              <w:rPr>
                <w:sz w:val="20"/>
                <w:szCs w:val="20"/>
                <w:color w:val="auto"/>
              </w:rPr>
            </w:pPr>
            <w:r>
              <w:rPr>
                <w:rFonts w:ascii="Arial" w:cs="Arial" w:eastAsia="Arial" w:hAnsi="Arial"/>
                <w:sz w:val="18"/>
                <w:szCs w:val="18"/>
                <w:color w:val="auto"/>
              </w:rPr>
              <w:t>Third quarter</w:t>
            </w: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0.06</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8/5/2020</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8/17/2020</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8/28/2020</w:t>
            </w:r>
          </w:p>
        </w:tc>
        <w:tc>
          <w:tcPr>
            <w:tcW w:w="0" w:type="dxa"/>
            <w:vAlign w:val="bottom"/>
          </w:tcPr>
          <w:p>
            <w:pPr>
              <w:spacing w:after="0"/>
              <w:rPr>
                <w:sz w:val="1"/>
                <w:szCs w:val="1"/>
                <w:color w:val="auto"/>
              </w:rPr>
            </w:pPr>
          </w:p>
        </w:tc>
      </w:tr>
      <w:tr>
        <w:trPr>
          <w:trHeight w:val="229"/>
        </w:trPr>
        <w:tc>
          <w:tcPr>
            <w:tcW w:w="3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Second quarter</w:t>
            </w:r>
          </w:p>
        </w:tc>
        <w:tc>
          <w:tcPr>
            <w:tcW w:w="2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0.06</w:t>
            </w:r>
          </w:p>
        </w:tc>
        <w:tc>
          <w:tcPr>
            <w:tcW w:w="1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3/17/2020</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5/7/2020</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5/27/2020</w:t>
            </w:r>
          </w:p>
        </w:tc>
        <w:tc>
          <w:tcPr>
            <w:tcW w:w="0" w:type="dxa"/>
            <w:vAlign w:val="bottom"/>
          </w:tcPr>
          <w:p>
            <w:pPr>
              <w:spacing w:after="0"/>
              <w:rPr>
                <w:sz w:val="1"/>
                <w:szCs w:val="1"/>
                <w:color w:val="auto"/>
              </w:rPr>
            </w:pPr>
          </w:p>
        </w:tc>
      </w:tr>
      <w:tr>
        <w:trPr>
          <w:trHeight w:val="230"/>
        </w:trPr>
        <w:tc>
          <w:tcPr>
            <w:tcW w:w="3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First quarter</w:t>
            </w:r>
          </w:p>
        </w:tc>
        <w:tc>
          <w:tcPr>
            <w:tcW w:w="2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148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2/5/2020</w:t>
            </w:r>
          </w:p>
        </w:tc>
        <w:tc>
          <w:tcPr>
            <w:tcW w:w="120" w:type="dxa"/>
            <w:vAlign w:val="bottom"/>
            <w:tcBorders>
              <w:bottom w:val="single" w:sz="8" w:color="CFF0FC"/>
            </w:tcBorders>
          </w:tcPr>
          <w:p>
            <w:pPr>
              <w:spacing w:after="0"/>
              <w:rPr>
                <w:sz w:val="19"/>
                <w:szCs w:val="19"/>
                <w:color w:val="auto"/>
              </w:rPr>
            </w:pPr>
          </w:p>
        </w:tc>
        <w:tc>
          <w:tcPr>
            <w:tcW w:w="12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2/18/2020</w:t>
            </w:r>
          </w:p>
        </w:tc>
        <w:tc>
          <w:tcPr>
            <w:tcW w:w="120" w:type="dxa"/>
            <w:vAlign w:val="bottom"/>
            <w:tcBorders>
              <w:bottom w:val="single" w:sz="8" w:color="CFF0FC"/>
            </w:tcBorders>
          </w:tcPr>
          <w:p>
            <w:pPr>
              <w:spacing w:after="0"/>
              <w:rPr>
                <w:sz w:val="19"/>
                <w:szCs w:val="19"/>
                <w:color w:val="auto"/>
              </w:rPr>
            </w:pPr>
          </w:p>
        </w:tc>
        <w:tc>
          <w:tcPr>
            <w:tcW w:w="12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2/28/2020</w:t>
            </w:r>
          </w:p>
        </w:tc>
        <w:tc>
          <w:tcPr>
            <w:tcW w:w="0" w:type="dxa"/>
            <w:vAlign w:val="bottom"/>
          </w:tcPr>
          <w:p>
            <w:pPr>
              <w:spacing w:after="0"/>
              <w:rPr>
                <w:sz w:val="1"/>
                <w:szCs w:val="1"/>
                <w:color w:val="auto"/>
              </w:rPr>
            </w:pPr>
          </w:p>
        </w:tc>
      </w:tr>
      <w:tr>
        <w:trPr>
          <w:trHeight w:val="223"/>
        </w:trPr>
        <w:tc>
          <w:tcPr>
            <w:tcW w:w="3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declared in 2020</w:t>
            </w:r>
          </w:p>
        </w:tc>
        <w:tc>
          <w:tcPr>
            <w:tcW w:w="2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0.24</w:t>
            </w:r>
          </w:p>
        </w:tc>
        <w:tc>
          <w:tcPr>
            <w:tcW w:w="22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rPr>
                <w:sz w:val="20"/>
                <w:szCs w:val="20"/>
                <w:color w:val="auto"/>
              </w:rPr>
            </w:pPr>
            <w:r>
              <w:rPr>
                <w:rFonts w:ascii="Arial" w:cs="Arial" w:eastAsia="Arial" w:hAnsi="Arial"/>
                <w:sz w:val="18"/>
                <w:szCs w:val="18"/>
                <w:color w:val="auto"/>
              </w:rPr>
              <w:t>2019:</w:t>
            </w:r>
          </w:p>
        </w:tc>
        <w:tc>
          <w:tcPr>
            <w:tcW w:w="2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20" w:type="dxa"/>
            <w:vAlign w:val="bottom"/>
            <w:vMerge w:val="continue"/>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Fourth quarter</w:t>
            </w:r>
          </w:p>
        </w:tc>
        <w:tc>
          <w:tcPr>
            <w:tcW w:w="2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0.06</w:t>
            </w:r>
          </w:p>
        </w:tc>
        <w:tc>
          <w:tcPr>
            <w:tcW w:w="1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11/5/2019</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11/15/2019</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11/29/2019</w:t>
            </w:r>
          </w:p>
        </w:tc>
        <w:tc>
          <w:tcPr>
            <w:tcW w:w="0" w:type="dxa"/>
            <w:vAlign w:val="bottom"/>
          </w:tcPr>
          <w:p>
            <w:pPr>
              <w:spacing w:after="0"/>
              <w:rPr>
                <w:sz w:val="1"/>
                <w:szCs w:val="1"/>
                <w:color w:val="auto"/>
              </w:rPr>
            </w:pPr>
          </w:p>
        </w:tc>
      </w:tr>
      <w:tr>
        <w:trPr>
          <w:trHeight w:val="230"/>
        </w:trPr>
        <w:tc>
          <w:tcPr>
            <w:tcW w:w="3720" w:type="dxa"/>
            <w:vAlign w:val="bottom"/>
          </w:tcPr>
          <w:p>
            <w:pPr>
              <w:ind w:left="260"/>
              <w:spacing w:after="0"/>
              <w:rPr>
                <w:sz w:val="20"/>
                <w:szCs w:val="20"/>
                <w:color w:val="auto"/>
              </w:rPr>
            </w:pPr>
            <w:r>
              <w:rPr>
                <w:rFonts w:ascii="Arial" w:cs="Arial" w:eastAsia="Arial" w:hAnsi="Arial"/>
                <w:sz w:val="18"/>
                <w:szCs w:val="18"/>
                <w:color w:val="auto"/>
              </w:rPr>
              <w:t>Third quarter</w:t>
            </w: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0.06</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8/5/2019</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8/12/2019</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8/29/2019</w:t>
            </w:r>
          </w:p>
        </w:tc>
        <w:tc>
          <w:tcPr>
            <w:tcW w:w="0" w:type="dxa"/>
            <w:vAlign w:val="bottom"/>
          </w:tcPr>
          <w:p>
            <w:pPr>
              <w:spacing w:after="0"/>
              <w:rPr>
                <w:sz w:val="1"/>
                <w:szCs w:val="1"/>
                <w:color w:val="auto"/>
              </w:rPr>
            </w:pPr>
          </w:p>
        </w:tc>
      </w:tr>
      <w:tr>
        <w:trPr>
          <w:trHeight w:val="229"/>
        </w:trPr>
        <w:tc>
          <w:tcPr>
            <w:tcW w:w="3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Second quarter</w:t>
            </w:r>
          </w:p>
        </w:tc>
        <w:tc>
          <w:tcPr>
            <w:tcW w:w="2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0.10</w:t>
            </w:r>
          </w:p>
        </w:tc>
        <w:tc>
          <w:tcPr>
            <w:tcW w:w="1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3/20/2019</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4/5/2019</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4/26/2019</w:t>
            </w:r>
          </w:p>
        </w:tc>
        <w:tc>
          <w:tcPr>
            <w:tcW w:w="0" w:type="dxa"/>
            <w:vAlign w:val="bottom"/>
          </w:tcPr>
          <w:p>
            <w:pPr>
              <w:spacing w:after="0"/>
              <w:rPr>
                <w:sz w:val="1"/>
                <w:szCs w:val="1"/>
                <w:color w:val="auto"/>
              </w:rPr>
            </w:pPr>
          </w:p>
        </w:tc>
      </w:tr>
      <w:tr>
        <w:trPr>
          <w:trHeight w:val="230"/>
        </w:trPr>
        <w:tc>
          <w:tcPr>
            <w:tcW w:w="3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First quarter</w:t>
            </w:r>
          </w:p>
        </w:tc>
        <w:tc>
          <w:tcPr>
            <w:tcW w:w="2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1600" w:type="dxa"/>
            <w:vAlign w:val="bottom"/>
            <w:tcBorders>
              <w:bottom w:val="single" w:sz="8" w:color="CFF0FC"/>
            </w:tcBorders>
            <w:gridSpan w:val="3"/>
          </w:tcPr>
          <w:p>
            <w:pPr>
              <w:ind w:left="660"/>
              <w:spacing w:after="0"/>
              <w:rPr>
                <w:sz w:val="20"/>
                <w:szCs w:val="20"/>
                <w:color w:val="auto"/>
              </w:rPr>
            </w:pPr>
            <w:r>
              <w:rPr>
                <w:rFonts w:ascii="Arial" w:cs="Arial" w:eastAsia="Arial" w:hAnsi="Arial"/>
                <w:sz w:val="18"/>
                <w:szCs w:val="18"/>
                <w:color w:val="auto"/>
                <w:w w:val="93"/>
              </w:rPr>
              <w:t>12/12/2018</w:t>
            </w:r>
            <w:r>
              <w:rPr>
                <w:rFonts w:ascii="Arial" w:cs="Arial" w:eastAsia="Arial" w:hAnsi="Arial"/>
                <w:sz w:val="15"/>
                <w:szCs w:val="15"/>
                <w:color w:val="auto"/>
                <w:w w:val="93"/>
              </w:rPr>
              <w:t>1</w:t>
            </w:r>
          </w:p>
        </w:tc>
        <w:tc>
          <w:tcPr>
            <w:tcW w:w="12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1/7/2019</w:t>
            </w:r>
          </w:p>
        </w:tc>
        <w:tc>
          <w:tcPr>
            <w:tcW w:w="120" w:type="dxa"/>
            <w:vAlign w:val="bottom"/>
            <w:tcBorders>
              <w:bottom w:val="single" w:sz="8" w:color="CFF0FC"/>
            </w:tcBorders>
          </w:tcPr>
          <w:p>
            <w:pPr>
              <w:spacing w:after="0"/>
              <w:rPr>
                <w:sz w:val="19"/>
                <w:szCs w:val="19"/>
                <w:color w:val="auto"/>
              </w:rPr>
            </w:pPr>
          </w:p>
        </w:tc>
        <w:tc>
          <w:tcPr>
            <w:tcW w:w="12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1/31/2019</w:t>
            </w:r>
          </w:p>
        </w:tc>
        <w:tc>
          <w:tcPr>
            <w:tcW w:w="0" w:type="dxa"/>
            <w:vAlign w:val="bottom"/>
          </w:tcPr>
          <w:p>
            <w:pPr>
              <w:spacing w:after="0"/>
              <w:rPr>
                <w:sz w:val="1"/>
                <w:szCs w:val="1"/>
                <w:color w:val="auto"/>
              </w:rPr>
            </w:pPr>
          </w:p>
        </w:tc>
      </w:tr>
      <w:tr>
        <w:trPr>
          <w:trHeight w:val="223"/>
        </w:trPr>
        <w:tc>
          <w:tcPr>
            <w:tcW w:w="3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declared in 2019</w:t>
            </w:r>
          </w:p>
        </w:tc>
        <w:tc>
          <w:tcPr>
            <w:tcW w:w="2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0.32</w:t>
            </w:r>
          </w:p>
        </w:tc>
        <w:tc>
          <w:tcPr>
            <w:tcW w:w="22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740" w:hanging="368"/>
        <w:spacing w:after="0"/>
        <w:tabs>
          <w:tab w:leader="none" w:pos="7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Since the record date of this distribution is subsequent to year-end, it is a subsequent year tax event.</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Notes Offering</w:t>
      </w:r>
    </w:p>
    <w:p>
      <w:pPr>
        <w:spacing w:after="0" w:line="225" w:lineRule="exact"/>
        <w:rPr>
          <w:sz w:val="20"/>
          <w:szCs w:val="20"/>
          <w:color w:val="auto"/>
        </w:rPr>
      </w:pPr>
    </w:p>
    <w:p>
      <w:pPr>
        <w:ind w:right="20" w:firstLine="374"/>
        <w:spacing w:after="0" w:line="273" w:lineRule="auto"/>
        <w:rPr>
          <w:sz w:val="20"/>
          <w:szCs w:val="20"/>
          <w:color w:val="auto"/>
        </w:rPr>
      </w:pPr>
      <w:r>
        <w:rPr>
          <w:rFonts w:ascii="Arial" w:cs="Arial" w:eastAsia="Arial" w:hAnsi="Arial"/>
          <w:sz w:val="17"/>
          <w:szCs w:val="17"/>
          <w:color w:val="auto"/>
        </w:rPr>
        <w:t>On April 27, 2021, we priced an offering of $80,000,000 in aggregate principal amount of unsecured 4.875% Notes due 2026 (the “4.875% Notes due 2026”) in a private placement exempt from registration under the Section 4(a)(2) of the Securities Act. The private offering closed on April 30, 2021. The 4.875% Notes due 2026 have not been registered under the Securities Act or any state securities laws and may not be reoffered or resold in the United States absent registration or an applicable exemption from such registration requirements. The net proceeds to us were approximately $77.7 million, after deducting estimated offering expenses. We intend to use the net proceeds of the offering to redeem in full our 6.125% Notes due 2022, make investments in portfolio companies in accordance with our investment objectives, and for general corporate purposes.</w:t>
      </w:r>
    </w:p>
    <w:p>
      <w:pPr>
        <w:spacing w:after="0" w:line="178" w:lineRule="exact"/>
        <w:rPr>
          <w:sz w:val="20"/>
          <w:szCs w:val="20"/>
          <w:color w:val="auto"/>
        </w:rPr>
      </w:pPr>
    </w:p>
    <w:p>
      <w:pPr>
        <w:ind w:firstLine="374"/>
        <w:spacing w:after="0" w:line="259" w:lineRule="auto"/>
        <w:rPr>
          <w:sz w:val="20"/>
          <w:szCs w:val="20"/>
          <w:color w:val="auto"/>
        </w:rPr>
      </w:pPr>
      <w:r>
        <w:rPr>
          <w:rFonts w:ascii="Arial" w:cs="Arial" w:eastAsia="Arial" w:hAnsi="Arial"/>
          <w:sz w:val="18"/>
          <w:szCs w:val="18"/>
          <w:color w:val="auto"/>
        </w:rPr>
        <w:t>On April 30, 2021, the Company and U.S. Bank National Association (the “Trustee”) entered into a Supplemental Indenture (the “Third Supplemental Indenture”), which supplements that certain Base Indenture, dated as of October 10, 2012 (as may be further amended, supplemented or otherwise modified from time to time, the “Base Indenture” and, together with the Third Supplemental Indenture, the “Indenture”). The Third Supplemental Indenture relates to the Company’s issuance of the 4.875% Notes due 2026.</w:t>
      </w:r>
    </w:p>
    <w:p>
      <w:pPr>
        <w:spacing w:after="0" w:line="187" w:lineRule="exact"/>
        <w:rPr>
          <w:sz w:val="20"/>
          <w:szCs w:val="20"/>
          <w:color w:val="auto"/>
        </w:rPr>
      </w:pPr>
    </w:p>
    <w:p>
      <w:pPr>
        <w:ind w:right="20" w:firstLine="374"/>
        <w:spacing w:after="0" w:line="291" w:lineRule="auto"/>
        <w:rPr>
          <w:sz w:val="20"/>
          <w:szCs w:val="20"/>
          <w:color w:val="auto"/>
        </w:rPr>
      </w:pPr>
      <w:r>
        <w:rPr>
          <w:rFonts w:ascii="Arial" w:cs="Arial" w:eastAsia="Arial" w:hAnsi="Arial"/>
          <w:sz w:val="16"/>
          <w:szCs w:val="16"/>
          <w:color w:val="auto"/>
        </w:rPr>
        <w:t>The 4.875% Notes due 2026 will mature on April 30, 2026 and may be redeemed in whole or in part at our option at any time or from time to time at the redemption prices set forth in the Indenture and bear interest at a rate of 4.875% per year payable semi-annually on March 16 and September 16 of each year, commencing on September 16, 2021. The 4.875% Notes due 2026 are general unsecured obligations of the Company that rank senior in right of payment to all of the Company’s existing and future indebtedness that is expressly subordinated in right of payment to the 4.875% Notes due 2026, rank pari passu with all existing and future unsecured unsubordinated indebtedness issued by us, rank effectively junior to any of our secured indebtedness (including unsecured indebtedness that we later secure) to the extent of the value of the assets securing such indebtedness, and rank structurally junior to all existing and future indebtedness (including trade payables) incurred by our subsidiaries, financing vehicles or similar facilities.</w:t>
      </w:r>
    </w:p>
    <w:p>
      <w:pPr>
        <w:spacing w:after="0" w:line="166" w:lineRule="exact"/>
        <w:rPr>
          <w:sz w:val="20"/>
          <w:szCs w:val="20"/>
          <w:color w:val="auto"/>
        </w:rPr>
      </w:pPr>
    </w:p>
    <w:p>
      <w:pPr>
        <w:ind w:right="260" w:firstLine="374"/>
        <w:spacing w:after="0" w:line="277" w:lineRule="auto"/>
        <w:rPr>
          <w:sz w:val="20"/>
          <w:szCs w:val="20"/>
          <w:color w:val="auto"/>
        </w:rPr>
      </w:pPr>
      <w:r>
        <w:rPr>
          <w:rFonts w:ascii="Arial" w:cs="Arial" w:eastAsia="Arial" w:hAnsi="Arial"/>
          <w:sz w:val="18"/>
          <w:szCs w:val="18"/>
          <w:color w:val="auto"/>
        </w:rPr>
        <w:t>The Indenture contains certain covenants, including covenants requiring us to comply with the asset coverage requirements of Sections 18(a)(1)(A) and 18(a)(1)(B) as modified by Section 61(a)(2) of the 1940 Act, whether or not we are subject to those</w:t>
      </w:r>
    </w:p>
    <w:p>
      <w:pPr>
        <w:sectPr>
          <w:pgSz w:w="11900" w:h="16838" w:orient="portrait"/>
          <w:cols w:equalWidth="0" w:num="1">
            <w:col w:w="11240"/>
          </w:cols>
          <w:pgMar w:left="320" w:top="301" w:right="339"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7486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type w:val="continuous"/>
        </w:sectPr>
      </w:pPr>
    </w:p>
    <w:bookmarkStart w:id="99" w:name="page100"/>
    <w:bookmarkEnd w:id="99"/>
    <w:p>
      <w:pPr>
        <w:spacing w:after="0" w:line="259" w:lineRule="auto"/>
        <w:rPr>
          <w:sz w:val="20"/>
          <w:szCs w:val="20"/>
          <w:color w:val="auto"/>
        </w:rPr>
      </w:pPr>
      <w:r>
        <w:rPr>
          <w:rFonts w:ascii="Arial" w:cs="Arial" w:eastAsia="Arial" w:hAnsi="Arial"/>
          <w:sz w:val="18"/>
          <w:szCs w:val="18"/>
          <w:color w:val="auto"/>
        </w:rPr>
        <w:t>requirements, and to provide financial information to the holders of the 4.875% Notes due 2026 and the Trustee if the Company is no longer subject to the reporting requirements under the Securities Exchange Act of 1934, as amended (the “Exchange Act”). Additionally, we have agreed to use its commercially reasonable efforts to maintain a rating of the 4.875% Notes due 2026 from a rating agency, as long as the notes are outstanding. These covenants are subject to important limitations and exceptions that are described in the Indenture.</w:t>
      </w:r>
    </w:p>
    <w:p>
      <w:pPr>
        <w:spacing w:after="0" w:line="187" w:lineRule="exact"/>
        <w:rPr>
          <w:sz w:val="20"/>
          <w:szCs w:val="20"/>
          <w:color w:val="auto"/>
        </w:rPr>
      </w:pPr>
    </w:p>
    <w:p>
      <w:pPr>
        <w:ind w:right="40" w:firstLine="374"/>
        <w:spacing w:after="0" w:line="342" w:lineRule="auto"/>
        <w:rPr>
          <w:sz w:val="20"/>
          <w:szCs w:val="20"/>
          <w:color w:val="auto"/>
        </w:rPr>
      </w:pPr>
      <w:r>
        <w:rPr>
          <w:rFonts w:ascii="Arial" w:cs="Arial" w:eastAsia="Arial" w:hAnsi="Arial"/>
          <w:sz w:val="16"/>
          <w:szCs w:val="16"/>
          <w:color w:val="auto"/>
        </w:rPr>
        <w:t>In addition, on the occurrence of a “change of control repurchase event,” as defined in the Indenture, we will generally be required to make an offer to purchase the outstanding notes at a price equal to 100% of the principal amount of such notes plus accrued and unpaid interest to the repurchase date.</w:t>
      </w:r>
    </w:p>
    <w:p>
      <w:pPr>
        <w:spacing w:after="0" w:line="124" w:lineRule="exact"/>
        <w:rPr>
          <w:sz w:val="20"/>
          <w:szCs w:val="20"/>
          <w:color w:val="auto"/>
        </w:rPr>
      </w:pPr>
    </w:p>
    <w:p>
      <w:pPr>
        <w:ind w:right="80" w:firstLine="374"/>
        <w:spacing w:after="0" w:line="277" w:lineRule="auto"/>
        <w:rPr>
          <w:sz w:val="20"/>
          <w:szCs w:val="20"/>
          <w:color w:val="auto"/>
        </w:rPr>
      </w:pPr>
      <w:r>
        <w:rPr>
          <w:rFonts w:ascii="Arial" w:cs="Arial" w:eastAsia="Arial" w:hAnsi="Arial"/>
          <w:sz w:val="18"/>
          <w:szCs w:val="18"/>
          <w:color w:val="auto"/>
        </w:rPr>
        <w:t>The foregoing description of the Indenture does not purport to be complete and is qualified in its entirety by reference to the full text of the Indenture, filed as an exhibit to the Company’s Form 8-K filed with the SEC on May 3, 2021.</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Registration Rights Agreement</w:t>
      </w:r>
    </w:p>
    <w:p>
      <w:pPr>
        <w:spacing w:after="0" w:line="225" w:lineRule="exact"/>
        <w:rPr>
          <w:sz w:val="20"/>
          <w:szCs w:val="20"/>
          <w:color w:val="auto"/>
        </w:rPr>
      </w:pPr>
    </w:p>
    <w:p>
      <w:pPr>
        <w:ind w:right="20" w:firstLine="374"/>
        <w:spacing w:after="0" w:line="271" w:lineRule="auto"/>
        <w:rPr>
          <w:sz w:val="20"/>
          <w:szCs w:val="20"/>
          <w:color w:val="auto"/>
        </w:rPr>
      </w:pPr>
      <w:r>
        <w:rPr>
          <w:rFonts w:ascii="Arial" w:cs="Arial" w:eastAsia="Arial" w:hAnsi="Arial"/>
          <w:sz w:val="17"/>
          <w:szCs w:val="17"/>
          <w:color w:val="auto"/>
        </w:rPr>
        <w:t>In connection with the offering of 4.875% Notes due 2026, we entered into a Registration Rights Agreement, dated as of April 30, 2021 (the “Registration Rights Agreement”), with the purchasers of the 4.875% Notes due 2026. Pursuant to the Registration Rights Agreement, we are obligated to file with the SEC a registration statement relating to an offer to exchange the 4.875% Notes due 2026 for new notes issued by us that are registered under the Securities Act and otherwise have terms substantially identical to those of the 4.875% Notes due 2026, and to use our commercially reasonable efforts to cause such registration statement to be declared effective. If we are not able to effect the exchange offer, we will be obligated to file a shelf registration statement covering the resale of the 4.875% Notes due 2026 and use our commercially reasonable efforts to cause such registration statement to be declared effective. If we fail to satisfy its registration obligations by certain dates specified in the Registration Rights Agreement, we will be required to pay additional interest to the holders of the 4.875% Notes due 2026.</w:t>
      </w:r>
    </w:p>
    <w:p>
      <w:pPr>
        <w:spacing w:after="0" w:line="178" w:lineRule="exact"/>
        <w:rPr>
          <w:sz w:val="20"/>
          <w:szCs w:val="20"/>
          <w:color w:val="auto"/>
        </w:rPr>
      </w:pPr>
    </w:p>
    <w:p>
      <w:pPr>
        <w:ind w:right="80" w:firstLine="374"/>
        <w:spacing w:after="0" w:line="308" w:lineRule="auto"/>
        <w:rPr>
          <w:sz w:val="20"/>
          <w:szCs w:val="20"/>
          <w:color w:val="auto"/>
        </w:rPr>
      </w:pPr>
      <w:r>
        <w:rPr>
          <w:rFonts w:ascii="Arial" w:cs="Arial" w:eastAsia="Arial" w:hAnsi="Arial"/>
          <w:sz w:val="17"/>
          <w:szCs w:val="17"/>
          <w:color w:val="auto"/>
        </w:rPr>
        <w:t>The foregoing description of the Registration Rights Agreement does not purport to be complete and is qualified in its entirety by reference to the full text of the Registration Rights Agreement, filed as an exhibit to the Company’s Form 8-K filed with the SEC on May 3, 2021.</w:t>
      </w:r>
    </w:p>
    <w:p>
      <w:pPr>
        <w:spacing w:after="0" w:line="146"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Redemption of 6.125% Notes due 2022</w:t>
      </w:r>
    </w:p>
    <w:p>
      <w:pPr>
        <w:spacing w:after="0" w:line="225" w:lineRule="exact"/>
        <w:rPr>
          <w:sz w:val="20"/>
          <w:szCs w:val="20"/>
          <w:color w:val="auto"/>
        </w:rPr>
      </w:pPr>
    </w:p>
    <w:p>
      <w:pPr>
        <w:jc w:val="both"/>
        <w:ind w:right="120" w:firstLine="374"/>
        <w:spacing w:after="0" w:line="287" w:lineRule="auto"/>
        <w:rPr>
          <w:sz w:val="20"/>
          <w:szCs w:val="20"/>
          <w:color w:val="auto"/>
        </w:rPr>
      </w:pPr>
      <w:r>
        <w:rPr>
          <w:rFonts w:ascii="Arial" w:cs="Arial" w:eastAsia="Arial" w:hAnsi="Arial"/>
          <w:sz w:val="16"/>
          <w:szCs w:val="16"/>
          <w:color w:val="auto"/>
        </w:rPr>
        <w:t>On April 30, 2021, we notified the trustee for the Company’s 6.125% Notes due 2022 of our election to redeem the $77.4 million aggregate principal amount of the 6.125% Notes due 2022 outstanding, and instructed the trustee to provide notice of such redemption to the holders of the 6.125% Notes due 2022 in accordance with the terms of the indenture governing the 6.125% Notes due 2022. We expect the redemption to be completed on May 30, 2021.</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Following the redemption, none of the 6.125% Notes due 2022 will remain outstanding, and they will be delisted from the NASDAQ Global Select Market.</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0" w:name="page101"/>
    <w:bookmarkEnd w:id="100"/>
    <w:p>
      <w:pPr>
        <w:spacing w:after="0"/>
        <w:tabs>
          <w:tab w:leader="none" w:pos="11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89" w:lineRule="exact"/>
        <w:rPr>
          <w:sz w:val="20"/>
          <w:szCs w:val="20"/>
          <w:color w:val="auto"/>
        </w:rPr>
      </w:pPr>
    </w:p>
    <w:p>
      <w:pPr>
        <w:ind w:right="180" w:firstLine="374"/>
        <w:spacing w:after="0" w:line="259" w:lineRule="auto"/>
        <w:rPr>
          <w:sz w:val="20"/>
          <w:szCs w:val="20"/>
          <w:color w:val="auto"/>
        </w:rPr>
      </w:pPr>
      <w:r>
        <w:rPr>
          <w:rFonts w:ascii="Arial" w:cs="Arial" w:eastAsia="Arial" w:hAnsi="Arial"/>
          <w:sz w:val="18"/>
          <w:szCs w:val="18"/>
          <w:color w:val="auto"/>
        </w:rPr>
        <w:t>Our business activities contain elements of market risks. We consider our principal market risks to be fluctuations in interest rates and the valuations of our investment portfolio. Managing these risks is essential to our business. Accordingly, we have systems and procedures designed to identify and analyze our risks, to establish appropriate policies and thresholds and to continually monitor these risks and thresholds by means of administrative and information technology systems and other policies and processes.</w:t>
      </w:r>
    </w:p>
    <w:p>
      <w:pPr>
        <w:spacing w:after="0" w:line="16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85" w:lineRule="exact"/>
        <w:rPr>
          <w:sz w:val="20"/>
          <w:szCs w:val="20"/>
          <w:color w:val="auto"/>
        </w:rPr>
      </w:pPr>
    </w:p>
    <w:p>
      <w:pPr>
        <w:ind w:firstLine="374"/>
        <w:spacing w:after="0" w:line="257" w:lineRule="auto"/>
        <w:rPr>
          <w:sz w:val="20"/>
          <w:szCs w:val="20"/>
          <w:color w:val="auto"/>
        </w:rPr>
      </w:pPr>
      <w:r>
        <w:rPr>
          <w:rFonts w:ascii="Arial" w:cs="Arial" w:eastAsia="Arial" w:hAnsi="Arial"/>
          <w:sz w:val="18"/>
          <w:szCs w:val="18"/>
          <w:color w:val="auto"/>
        </w:rPr>
        <w:t>Interest rate risk is defined as the sensitivity of our current and future earnings to interest rate volatility, variability of spread relationships, the difference in re-pricing intervals between our assets and liabilities and the effect that interest rates may have on our cash flows. Changes in the general level of interest rates can affect our net interest income, which is the difference between the interest income earned on interest earning assets and our interest expense incurred in connection with our interest-bearing debt and liabilities. Changes in interest rates can also affect, among other things, our ability to acquire and originate loans and securities and the value of our investment portfolio.</w:t>
      </w:r>
    </w:p>
    <w:p>
      <w:pPr>
        <w:spacing w:after="0" w:line="147" w:lineRule="exact"/>
        <w:rPr>
          <w:sz w:val="20"/>
          <w:szCs w:val="20"/>
          <w:color w:val="auto"/>
        </w:rPr>
      </w:pPr>
    </w:p>
    <w:p>
      <w:pPr>
        <w:ind w:right="60" w:firstLine="374"/>
        <w:spacing w:after="0" w:line="275" w:lineRule="auto"/>
        <w:rPr>
          <w:sz w:val="20"/>
          <w:szCs w:val="20"/>
          <w:color w:val="auto"/>
        </w:rPr>
      </w:pPr>
      <w:r>
        <w:rPr>
          <w:rFonts w:ascii="Arial" w:cs="Arial" w:eastAsia="Arial" w:hAnsi="Arial"/>
          <w:sz w:val="17"/>
          <w:szCs w:val="17"/>
          <w:color w:val="auto"/>
        </w:rPr>
        <w:t>Our investment income is affected by fluctuations in various interest rates, including LIBOR and prime rates. As of March 31, 2021, approximately 75% of our Debt Securities Portfolio were either floating rate with a spread to an interest rate index such as LIBOR or the prime rate. 71% of these floating rate loans contain LIBOR floors ranging between 1.00% and 1.50%. We generally expect that future portfolio investments will predominately be floating rate investments. As of March 31, 2021, we had $309.7 million (par value) of borrowings outstanding at a current weighted average rate of 3.4%, of which $76.7 million par value had a fixed rate and $232.9 million par value has a floating rate.</w:t>
      </w:r>
    </w:p>
    <w:p>
      <w:pPr>
        <w:spacing w:after="0" w:line="149" w:lineRule="exact"/>
        <w:rPr>
          <w:sz w:val="20"/>
          <w:szCs w:val="20"/>
          <w:color w:val="auto"/>
        </w:rPr>
      </w:pPr>
    </w:p>
    <w:p>
      <w:pPr>
        <w:ind w:firstLine="374"/>
        <w:spacing w:after="0" w:line="311" w:lineRule="auto"/>
        <w:rPr>
          <w:sz w:val="20"/>
          <w:szCs w:val="20"/>
          <w:color w:val="auto"/>
        </w:rPr>
      </w:pPr>
      <w:r>
        <w:rPr>
          <w:rFonts w:ascii="Arial" w:cs="Arial" w:eastAsia="Arial" w:hAnsi="Arial"/>
          <w:sz w:val="16"/>
          <w:szCs w:val="16"/>
          <w:color w:val="auto"/>
        </w:rPr>
        <w:t>Because we borrow money to make investments, our net investment income is dependent upon the difference between our borrowing rate and the rate we earn on the invested proceeds borrowed. In periods of rising or lowering interest rates, the cost of the portion of our debt associated with our fixed rate borrowings would remain the same, while the interest rate on borrowings under the Revolving Credit Facility would fluctuate with changes in interest rates.</w:t>
      </w:r>
    </w:p>
    <w:p>
      <w:pPr>
        <w:spacing w:after="0" w:line="108" w:lineRule="exact"/>
        <w:rPr>
          <w:sz w:val="20"/>
          <w:szCs w:val="20"/>
          <w:color w:val="auto"/>
        </w:rPr>
      </w:pPr>
    </w:p>
    <w:p>
      <w:pPr>
        <w:jc w:val="both"/>
        <w:ind w:right="20" w:firstLine="374"/>
        <w:spacing w:after="0" w:line="263" w:lineRule="auto"/>
        <w:rPr>
          <w:sz w:val="20"/>
          <w:szCs w:val="20"/>
          <w:color w:val="auto"/>
        </w:rPr>
      </w:pPr>
      <w:r>
        <w:rPr>
          <w:rFonts w:ascii="Arial" w:cs="Arial" w:eastAsia="Arial" w:hAnsi="Arial"/>
          <w:sz w:val="18"/>
          <w:szCs w:val="18"/>
          <w:color w:val="auto"/>
        </w:rPr>
        <w:t>Generally, we would expect that an increase in the base rate index for our floating rate investment assets would increase our gross investment income and that a decrease in the base rate index for such assets would decrease our gross investment income (in either case, such increase/decrease may be limited by interest rate floors/minimums for certain investment assets).</w:t>
      </w:r>
    </w:p>
    <w:p>
      <w:pPr>
        <w:spacing w:after="0" w:line="143" w:lineRule="exact"/>
        <w:rPr>
          <w:sz w:val="20"/>
          <w:szCs w:val="20"/>
          <w:color w:val="auto"/>
        </w:rPr>
      </w:pPr>
    </w:p>
    <w:p>
      <w:pPr>
        <w:ind w:right="160" w:firstLine="374"/>
        <w:spacing w:after="0" w:line="263" w:lineRule="auto"/>
        <w:rPr>
          <w:sz w:val="20"/>
          <w:szCs w:val="20"/>
          <w:color w:val="auto"/>
        </w:rPr>
      </w:pPr>
      <w:r>
        <w:rPr>
          <w:rFonts w:ascii="Arial" w:cs="Arial" w:eastAsia="Arial" w:hAnsi="Arial"/>
          <w:sz w:val="18"/>
          <w:szCs w:val="18"/>
          <w:color w:val="auto"/>
        </w:rPr>
        <w:t>We have analyzed the potential impact of changes in interest rates on interest income net of interest expense. Assuming that our balance sheet at March 31, 2021 was to remain constant and no actions were taken to alter the existing interest rate sensitivity, the table below illustrates the impact on net investment income on our Debt Securities Portfolio for various hypothetical increases in interest rates: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300" w:type="dxa"/>
            <w:vAlign w:val="bottom"/>
            <w:gridSpan w:val="8"/>
          </w:tcPr>
          <w:p>
            <w:pPr>
              <w:jc w:val="center"/>
              <w:ind w:right="440"/>
              <w:spacing w:after="0"/>
              <w:rPr>
                <w:sz w:val="20"/>
                <w:szCs w:val="20"/>
                <w:color w:val="auto"/>
              </w:rPr>
            </w:pPr>
            <w:r>
              <w:rPr>
                <w:rFonts w:ascii="Arial" w:cs="Arial" w:eastAsia="Arial" w:hAnsi="Arial"/>
                <w:sz w:val="18"/>
                <w:szCs w:val="18"/>
                <w:b w:val="1"/>
                <w:bCs w:val="1"/>
                <w:color w:val="auto"/>
                <w:w w:val="90"/>
              </w:rPr>
              <w:t>Impact on net investment income from</w:t>
            </w:r>
          </w:p>
        </w:tc>
      </w:tr>
      <w:tr>
        <w:trPr>
          <w:trHeight w:val="234"/>
        </w:trPr>
        <w:tc>
          <w:tcPr>
            <w:tcW w:w="41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6"/>
          </w:tcPr>
          <w:p>
            <w:pPr>
              <w:jc w:val="center"/>
              <w:ind w:left="570"/>
              <w:spacing w:after="0"/>
              <w:rPr>
                <w:sz w:val="20"/>
                <w:szCs w:val="20"/>
                <w:color w:val="auto"/>
              </w:rPr>
            </w:pPr>
            <w:r>
              <w:rPr>
                <w:rFonts w:ascii="Arial" w:cs="Arial" w:eastAsia="Arial" w:hAnsi="Arial"/>
                <w:sz w:val="18"/>
                <w:szCs w:val="18"/>
                <w:b w:val="1"/>
                <w:bCs w:val="1"/>
                <w:color w:val="auto"/>
                <w:w w:val="89"/>
              </w:rPr>
              <w:t>a change in interest rates at:</w:t>
            </w:r>
          </w:p>
        </w:tc>
        <w:tc>
          <w:tcPr>
            <w:tcW w:w="9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4180" w:type="dxa"/>
            <w:vAlign w:val="bottom"/>
            <w:tcBorders>
              <w:bottom w:val="single" w:sz="8" w:color="CFF0FC"/>
            </w:tcBorders>
          </w:tcPr>
          <w:p>
            <w:pPr>
              <w:spacing w:after="0"/>
              <w:rPr>
                <w:sz w:val="19"/>
                <w:szCs w:val="19"/>
                <w:color w:val="auto"/>
              </w:rPr>
            </w:pPr>
          </w:p>
        </w:tc>
        <w:tc>
          <w:tcPr>
            <w:tcW w:w="24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1%</w:t>
            </w: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rPr>
              <w:t>2%</w:t>
            </w:r>
          </w:p>
        </w:tc>
        <w:tc>
          <w:tcPr>
            <w:tcW w:w="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3%</w:t>
            </w:r>
          </w:p>
        </w:tc>
        <w:tc>
          <w:tcPr>
            <w:tcW w:w="120" w:type="dxa"/>
            <w:vAlign w:val="bottom"/>
            <w:tcBorders>
              <w:bottom w:val="single" w:sz="8" w:color="CFF0FC"/>
            </w:tcBorders>
          </w:tcPr>
          <w:p>
            <w:pPr>
              <w:spacing w:after="0"/>
              <w:rPr>
                <w:sz w:val="19"/>
                <w:szCs w:val="19"/>
                <w:color w:val="auto"/>
              </w:rPr>
            </w:pPr>
          </w:p>
        </w:tc>
      </w:tr>
      <w:tr>
        <w:trPr>
          <w:trHeight w:val="223"/>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Increase in interest rate</w:t>
            </w:r>
          </w:p>
        </w:tc>
        <w:tc>
          <w:tcPr>
            <w:tcW w:w="24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(1,034,258)</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192,373</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1,508,087</w:t>
            </w:r>
          </w:p>
        </w:tc>
        <w:tc>
          <w:tcPr>
            <w:tcW w:w="120" w:type="dxa"/>
            <w:vAlign w:val="bottom"/>
            <w:shd w:val="clear" w:color="auto" w:fill="CFF0FC"/>
          </w:tcPr>
          <w:p>
            <w:pPr>
              <w:spacing w:after="0"/>
              <w:rPr>
                <w:sz w:val="19"/>
                <w:szCs w:val="19"/>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Decrease in interest rate</w:t>
            </w:r>
          </w:p>
        </w:tc>
        <w:tc>
          <w:tcPr>
            <w:tcW w:w="276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350,646</w:t>
            </w:r>
          </w:p>
        </w:tc>
        <w:tc>
          <w:tcPr>
            <w:tcW w:w="5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350,646</w:t>
            </w:r>
          </w:p>
        </w:tc>
        <w:tc>
          <w:tcPr>
            <w:tcW w:w="24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350,646</w:t>
            </w:r>
          </w:p>
        </w:tc>
        <w:tc>
          <w:tcPr>
            <w:tcW w:w="120" w:type="dxa"/>
            <w:vAlign w:val="bottom"/>
          </w:tcPr>
          <w:p>
            <w:pPr>
              <w:spacing w:after="0"/>
              <w:rPr>
                <w:sz w:val="20"/>
                <w:szCs w:val="20"/>
                <w:color w:val="auto"/>
              </w:rPr>
            </w:pPr>
          </w:p>
        </w:tc>
      </w:tr>
    </w:tbl>
    <w:p>
      <w:pPr>
        <w:spacing w:after="0" w:line="201" w:lineRule="exact"/>
        <w:rPr>
          <w:sz w:val="20"/>
          <w:szCs w:val="20"/>
          <w:color w:val="auto"/>
        </w:rPr>
      </w:pPr>
    </w:p>
    <w:p>
      <w:pPr>
        <w:ind w:right="140" w:firstLine="374"/>
        <w:spacing w:after="0" w:line="263" w:lineRule="auto"/>
        <w:rPr>
          <w:sz w:val="20"/>
          <w:szCs w:val="20"/>
          <w:color w:val="auto"/>
        </w:rPr>
      </w:pPr>
      <w:r>
        <w:rPr>
          <w:rFonts w:ascii="Arial" w:cs="Arial" w:eastAsia="Arial" w:hAnsi="Arial"/>
          <w:sz w:val="18"/>
          <w:szCs w:val="18"/>
          <w:color w:val="auto"/>
        </w:rPr>
        <w:t>As shown above, net investment income assuming a 1% increase in interest rates would decrease by approximately $1.0 million on an annualized basis. If the increase in rates was more significant, such as 2% or 3%, the net effect on net investment income would be an increase of approximately $0.2 million and $1.5 million, respectively.</w:t>
      </w:r>
    </w:p>
    <w:p>
      <w:pPr>
        <w:spacing w:after="0" w:line="157" w:lineRule="exact"/>
        <w:rPr>
          <w:sz w:val="20"/>
          <w:szCs w:val="20"/>
          <w:color w:val="auto"/>
        </w:rPr>
      </w:pPr>
    </w:p>
    <w:p>
      <w:pPr>
        <w:ind w:right="160" w:firstLine="374"/>
        <w:spacing w:after="0" w:line="286" w:lineRule="auto"/>
        <w:rPr>
          <w:sz w:val="20"/>
          <w:szCs w:val="20"/>
          <w:color w:val="auto"/>
        </w:rPr>
      </w:pPr>
      <w:r>
        <w:rPr>
          <w:rFonts w:ascii="Arial" w:cs="Arial" w:eastAsia="Arial" w:hAnsi="Arial"/>
          <w:sz w:val="17"/>
          <w:szCs w:val="17"/>
          <w:color w:val="auto"/>
        </w:rPr>
        <w:t>On an annualized basis, a decrease in interest rates of 1%, 2% and 3% would result in an increase in net investment income of approximately $0.4 million, $0.4 million and $0.4 million, respectively. The effect on net investment income from declines in interest rates impacted by interest rate floors on certain of our floating rate investments, as there is no floor on our floating rate debt facility and the 2018-2 Secured Notes.</w:t>
      </w:r>
    </w:p>
    <w:p>
      <w:pPr>
        <w:spacing w:after="0" w:line="125" w:lineRule="exact"/>
        <w:rPr>
          <w:sz w:val="20"/>
          <w:szCs w:val="20"/>
          <w:color w:val="auto"/>
        </w:rPr>
      </w:pPr>
    </w:p>
    <w:p>
      <w:pPr>
        <w:ind w:right="60" w:firstLine="374"/>
        <w:spacing w:after="0" w:line="259" w:lineRule="auto"/>
        <w:rPr>
          <w:sz w:val="20"/>
          <w:szCs w:val="20"/>
          <w:color w:val="auto"/>
        </w:rPr>
      </w:pPr>
      <w:r>
        <w:rPr>
          <w:rFonts w:ascii="Arial" w:cs="Arial" w:eastAsia="Arial" w:hAnsi="Arial"/>
          <w:sz w:val="18"/>
          <w:szCs w:val="18"/>
          <w:color w:val="auto"/>
        </w:rPr>
        <w:t>Although management believes that this measure is indicative of sensitivity to interest rate changes on our Debt Securities Portfolio, it does not adjust for potential changes in credit quality, size and composition of the assets on the balance sheet and other business developments that could affect a net change in assets resulting from operations or net income. Accordingly, no assurances can be given that actual results would not materially differ from the potential outcome simulated by this estimate.</w:t>
      </w:r>
    </w:p>
    <w:p>
      <w:pPr>
        <w:spacing w:after="0" w:line="14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Portfolio Valuation</w:t>
      </w:r>
    </w:p>
    <w:p>
      <w:pPr>
        <w:spacing w:after="0" w:line="198" w:lineRule="exact"/>
        <w:rPr>
          <w:sz w:val="20"/>
          <w:szCs w:val="20"/>
          <w:color w:val="auto"/>
        </w:rPr>
      </w:pPr>
    </w:p>
    <w:p>
      <w:pPr>
        <w:ind w:firstLine="374"/>
        <w:spacing w:after="0" w:line="259" w:lineRule="auto"/>
        <w:rPr>
          <w:sz w:val="20"/>
          <w:szCs w:val="20"/>
          <w:color w:val="auto"/>
        </w:rPr>
      </w:pPr>
      <w:r>
        <w:rPr>
          <w:rFonts w:ascii="Arial" w:cs="Arial" w:eastAsia="Arial" w:hAnsi="Arial"/>
          <w:sz w:val="18"/>
          <w:szCs w:val="18"/>
          <w:color w:val="auto"/>
        </w:rPr>
        <w:t>We carry our investments at fair value, as determined in good faith by our Board pursuant to a valuation methodology approved by our Board. Investments for which market quotations are generally readily available are generally valued at such market quotations. Investments for which there is not a readily available market value are valued at fair value as determined in good faith by our Board under a valuation policy and consistently applied valuation process. However, due to the inherent uncertainty of determining the fair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1" w:name="page102"/>
    <w:bookmarkEnd w:id="101"/>
    <w:p>
      <w:pPr>
        <w:ind w:right="20"/>
        <w:spacing w:after="0" w:line="293" w:lineRule="auto"/>
        <w:rPr>
          <w:sz w:val="20"/>
          <w:szCs w:val="20"/>
          <w:color w:val="auto"/>
        </w:rPr>
      </w:pPr>
      <w:r>
        <w:rPr>
          <w:rFonts w:ascii="Arial" w:cs="Arial" w:eastAsia="Arial" w:hAnsi="Arial"/>
          <w:sz w:val="16"/>
          <w:szCs w:val="16"/>
          <w:color w:val="auto"/>
        </w:rPr>
        <w:t>value of investments that cannot be marked to market, the fair value of our investments may differ materially from the values that would have been used had a ready market existed for such investments. In addition, changes in the market environment and other events that may occur over the life of the investments may cause the value realized on these investments to be different than the valuations that are assigned. The types of factors that we may take into account in fair value pricing of our investments include, as relevant, the nature and realizable value of any collateral, third party valuations, the portfolio company’s ability to make payments and its earnings and discounted cash flow, the markets in which the portfolio company does business, comparison to publicly-traded securities, recent sales of or offers to buy comparable companies, and other relevant factors.</w:t>
      </w:r>
    </w:p>
    <w:p>
      <w:pPr>
        <w:spacing w:after="0" w:line="137" w:lineRule="exact"/>
        <w:rPr>
          <w:sz w:val="20"/>
          <w:szCs w:val="20"/>
          <w:color w:val="auto"/>
        </w:rPr>
      </w:pPr>
    </w:p>
    <w:p>
      <w:pPr>
        <w:ind w:firstLine="374"/>
        <w:spacing w:after="0" w:line="275" w:lineRule="auto"/>
        <w:rPr>
          <w:sz w:val="20"/>
          <w:szCs w:val="20"/>
          <w:color w:val="auto"/>
        </w:rPr>
      </w:pPr>
      <w:r>
        <w:rPr>
          <w:rFonts w:ascii="Arial" w:cs="Arial" w:eastAsia="Arial" w:hAnsi="Arial"/>
          <w:sz w:val="17"/>
          <w:szCs w:val="17"/>
          <w:color w:val="auto"/>
        </w:rPr>
        <w:t>The Company has engaged an independent valuation firm to provide third party valuation consulting services to the Board. Each quarter, the independent valuation firm will perform third party valuations on the Company’s material investments in illiquid securities such that they are reviewed at least once during a trailing 12-month period. These third-party valuation estimates were considered as one of the relevant data inputs in the Company’s determination of fair value. The Company intends to continue to engage an independent valuation firm in the future to provide certain valuation services, including the review of certain portfolio assets, as part of the quarterly and annual year-end valuation process.</w:t>
      </w:r>
    </w:p>
    <w:p>
      <w:pPr>
        <w:spacing w:after="0" w:line="39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40"/>
          </w:cols>
          <w:pgMar w:left="320" w:top="301" w:right="539" w:bottom="1440" w:gutter="0" w:footer="0" w:header="0"/>
        </w:sectPr>
      </w:pPr>
    </w:p>
    <w:bookmarkStart w:id="102" w:name="page103"/>
    <w:bookmarkEnd w:id="102"/>
    <w:p>
      <w:pPr>
        <w:spacing w:after="0"/>
        <w:tabs>
          <w:tab w:leader="none" w:pos="11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Controls and Procedures</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firstLine="374"/>
        <w:spacing w:after="0" w:line="254" w:lineRule="auto"/>
        <w:rPr>
          <w:sz w:val="20"/>
          <w:szCs w:val="20"/>
          <w:color w:val="auto"/>
        </w:rPr>
      </w:pPr>
      <w:r>
        <w:rPr>
          <w:rFonts w:ascii="Arial" w:cs="Arial" w:eastAsia="Arial" w:hAnsi="Arial"/>
          <w:sz w:val="18"/>
          <w:szCs w:val="18"/>
          <w:color w:val="auto"/>
        </w:rPr>
        <w:t>The Company’s management, under the supervision and with the participation of various members of management, including its Chief Executive Officer (“CEO”) and its Chief Financial Officer (“CFO”), has evaluated the effectiveness of its disclosure controls and procedures (as defined in Rule 13a-15(e) or Rule 15d-15(e) of the Exchange Act) as of the end of the period covered by this report. Based upon that evaluation, the Company’s CEO and CFO have concluded that the Company’s disclosure controls and procedures are effective to ensure that information required to be disclosed by us in reports that we file or submit under the Exchange Acts recorded, processed, summarized, and reported within the time periods specified in the SEC’s rules and forms, and that information required to be disclosed by us in the reports that we file or submit under the Exchange Act is accumulated and communicated to our management, including our CEO and CFO, as appropriate to allow timely decisions regarding required disclosures as of the end of the period covered by this report.</w:t>
      </w:r>
    </w:p>
    <w:p>
      <w:pPr>
        <w:spacing w:after="0" w:line="151"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98" w:lineRule="exact"/>
        <w:rPr>
          <w:sz w:val="20"/>
          <w:szCs w:val="20"/>
          <w:color w:val="auto"/>
        </w:rPr>
      </w:pPr>
    </w:p>
    <w:p>
      <w:pPr>
        <w:ind w:right="140" w:firstLine="374"/>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period ended March 31, 2021 that have materially affected, or are reasonably likely to materially affect, our internal control over financial reporting.</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918" w:right="379" w:bottom="1440" w:gutter="0" w:footer="0" w:header="0"/>
        </w:sectPr>
      </w:pPr>
    </w:p>
    <w:bookmarkStart w:id="103" w:name="page104"/>
    <w:bookmarkEnd w:id="103"/>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18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231F20"/>
        </w:rPr>
        <w:t>The Company is not currently a party to any material legal proceedings except as set forth below.</w:t>
      </w:r>
    </w:p>
    <w:p>
      <w:pPr>
        <w:spacing w:after="0" w:line="117" w:lineRule="exact"/>
        <w:rPr>
          <w:sz w:val="20"/>
          <w:szCs w:val="20"/>
          <w:color w:val="auto"/>
        </w:rPr>
      </w:pPr>
    </w:p>
    <w:p>
      <w:pPr>
        <w:ind w:right="40" w:firstLine="374"/>
        <w:spacing w:after="0" w:line="291" w:lineRule="auto"/>
        <w:rPr>
          <w:sz w:val="20"/>
          <w:szCs w:val="20"/>
          <w:color w:val="auto"/>
        </w:rPr>
      </w:pPr>
      <w:r>
        <w:rPr>
          <w:rFonts w:ascii="Arial" w:cs="Arial" w:eastAsia="Arial" w:hAnsi="Arial"/>
          <w:sz w:val="16"/>
          <w:szCs w:val="16"/>
          <w:color w:val="auto"/>
        </w:rPr>
        <w:t>Between September 22, 2020 and September 29, 2020 various GARS stockholders filed complaints (collectively referred to as the “Merger Litigation”) in connection with the GARS Acquisition. The Merger Litigation alleged breach of fiduciary duty claims against the board of directors of GARS and/or violations of sections 14(a) and 20(a) of the Exchange Act against GARS and/or the board of directors of GARS and, with respect to one lawsuit, us and our wholly owned merger subsidiary, in connection with the solicitation of stockholder approval of the GARS Acquisition. The claims against us were made as a purported “control person” of GARS under Section 20(a) of the Exchange Act. The Merger Litigation alleged, among other things, that the proxy statement GARS issued seeking approval of the GARS Acquisition omitted certain information that the plaintiffs claimed is material. The plaintiffs in the Merger Litigation sought to enjoin the merger or, in the alternative, an award of recessionary damages, as well as costs and fees.</w:t>
      </w:r>
    </w:p>
    <w:p>
      <w:pPr>
        <w:spacing w:after="0" w:line="58" w:lineRule="exact"/>
        <w:rPr>
          <w:sz w:val="20"/>
          <w:szCs w:val="20"/>
          <w:color w:val="auto"/>
        </w:rPr>
      </w:pPr>
    </w:p>
    <w:p>
      <w:pPr>
        <w:ind w:right="40" w:firstLine="374"/>
        <w:spacing w:after="0" w:line="291" w:lineRule="auto"/>
        <w:rPr>
          <w:sz w:val="20"/>
          <w:szCs w:val="20"/>
          <w:color w:val="auto"/>
        </w:rPr>
      </w:pPr>
      <w:r>
        <w:rPr>
          <w:rFonts w:ascii="Arial" w:cs="Arial" w:eastAsia="Arial" w:hAnsi="Arial"/>
          <w:sz w:val="16"/>
          <w:szCs w:val="16"/>
          <w:color w:val="auto"/>
        </w:rPr>
        <w:t xml:space="preserve">During the fourth quarter of 2020, all of the lawsuits in the Merger Litigation were voluntarily dismissed by the applicable plaintiffs. On January 4, 2021, the parties to the complaint filed by Kenneth Bachmeier on behalf of himself and all others similarly situated in the Delaware Court of Chancery, captioned Bachmeier v. Tansey, et al., No. 2020-0812-SG (Del. Ch.) informed the court that, while denying any and all liability, GARS had agreed to pay a settlement amount to the plaintiff’s counsel for attorneys’ fees and expenses, and on January 21, 2021, the </w:t>
      </w:r>
      <w:r>
        <w:rPr>
          <w:rFonts w:ascii="Arial" w:cs="Arial" w:eastAsia="Arial" w:hAnsi="Arial"/>
          <w:sz w:val="16"/>
          <w:szCs w:val="16"/>
          <w:i w:val="1"/>
          <w:iCs w:val="1"/>
          <w:color w:val="auto"/>
        </w:rPr>
        <w:t>Bachmeier</w:t>
      </w:r>
      <w:r>
        <w:rPr>
          <w:rFonts w:ascii="Arial" w:cs="Arial" w:eastAsia="Arial" w:hAnsi="Arial"/>
          <w:sz w:val="16"/>
          <w:szCs w:val="16"/>
          <w:color w:val="auto"/>
        </w:rPr>
        <w:t xml:space="preserve"> case was closed as a result. The amount of the settlement payment to the plaintiff’s counsel in the </w:t>
      </w:r>
      <w:r>
        <w:rPr>
          <w:rFonts w:ascii="Arial" w:cs="Arial" w:eastAsia="Arial" w:hAnsi="Arial"/>
          <w:sz w:val="16"/>
          <w:szCs w:val="16"/>
          <w:i w:val="1"/>
          <w:iCs w:val="1"/>
          <w:color w:val="auto"/>
        </w:rPr>
        <w:t>Bachmeier</w:t>
      </w:r>
      <w:r>
        <w:rPr>
          <w:rFonts w:ascii="Arial" w:cs="Arial" w:eastAsia="Arial" w:hAnsi="Arial"/>
          <w:sz w:val="16"/>
          <w:szCs w:val="16"/>
          <w:color w:val="auto"/>
        </w:rPr>
        <w:t xml:space="preserve"> case was not material to the financial position or results of operations of the Company. As of March 31, 2021, all of the lawsuits in the Merger Litigation have been dismissed, and there have not been any other developments with respect to the Merger Litigation that have been material to the financial position or results of operations of the Company during the first quarter of 2021.</w:t>
      </w:r>
    </w:p>
    <w:p>
      <w:pPr>
        <w:spacing w:after="0" w:line="122"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7" w:lineRule="exact"/>
        <w:rPr>
          <w:sz w:val="20"/>
          <w:szCs w:val="20"/>
          <w:color w:val="auto"/>
        </w:rPr>
      </w:pPr>
    </w:p>
    <w:p>
      <w:pPr>
        <w:ind w:right="300" w:firstLine="749"/>
        <w:spacing w:after="0" w:line="250" w:lineRule="auto"/>
        <w:rPr>
          <w:sz w:val="20"/>
          <w:szCs w:val="20"/>
          <w:color w:val="auto"/>
        </w:rPr>
      </w:pPr>
      <w:r>
        <w:rPr>
          <w:rFonts w:ascii="Arial" w:cs="Arial" w:eastAsia="Arial" w:hAnsi="Arial"/>
          <w:sz w:val="18"/>
          <w:szCs w:val="18"/>
          <w:color w:val="auto"/>
        </w:rPr>
        <w:t>Other than the items noted below, there have been no material changes during fiscal 2021 to the risk factors that were included in our Annual Report on Form 10-K for the year ended December 31, 2020.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4.875% Notes due 2026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4.875% Notes due 2026 are unsecured and therefore are effectively subordinated to any secured indebtedness we may incur.</w:t>
      </w:r>
    </w:p>
    <w:p>
      <w:pPr>
        <w:spacing w:after="0" w:line="9" w:lineRule="exact"/>
        <w:rPr>
          <w:sz w:val="20"/>
          <w:szCs w:val="20"/>
          <w:color w:val="auto"/>
        </w:rPr>
      </w:pPr>
    </w:p>
    <w:p>
      <w:pPr>
        <w:ind w:right="40" w:firstLine="749"/>
        <w:spacing w:after="0" w:line="281" w:lineRule="auto"/>
        <w:rPr>
          <w:sz w:val="20"/>
          <w:szCs w:val="20"/>
          <w:color w:val="auto"/>
        </w:rPr>
      </w:pPr>
      <w:r>
        <w:rPr>
          <w:rFonts w:ascii="Arial" w:cs="Arial" w:eastAsia="Arial" w:hAnsi="Arial"/>
          <w:sz w:val="16"/>
          <w:szCs w:val="16"/>
          <w:color w:val="auto"/>
        </w:rPr>
        <w:t>The 4.875% Notes due 2026 are not secured by any of our assets or any of the assets of our subsidiaries. As a result, the 4.875% Notes due 2026 are effectively subordinated to any secured indebtedness we or our subsidiaries have currently incurred or that we or our subsidiaries may incur in the future (or any indebtedness that is initially unsecured in respect of which we subsequently grant security) to the extent of the value of the assets securing such indebtedness. In any liquidation, dissolution, bankruptcy or other similar proceeding, the holders of any of our existing or future secured indebtedness and the secured indebtedness of our subsidiaries may assert rights against the assets pledged to secure that indebtedness in order to receive full payment of their indebtedness before the assets may be used to pay other creditors, including the holders of the 4.875% Notes due 2026.</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4.875% Notes due 2026 will be subordinated structurally to the indebtedness and other liabilities of our subsidiaries.</w:t>
      </w:r>
    </w:p>
    <w:p>
      <w:pPr>
        <w:spacing w:after="0" w:line="9" w:lineRule="exact"/>
        <w:rPr>
          <w:sz w:val="20"/>
          <w:szCs w:val="20"/>
          <w:color w:val="auto"/>
        </w:rPr>
      </w:pPr>
    </w:p>
    <w:p>
      <w:pPr>
        <w:ind w:firstLine="749"/>
        <w:spacing w:after="0" w:line="265" w:lineRule="auto"/>
        <w:rPr>
          <w:sz w:val="20"/>
          <w:szCs w:val="20"/>
          <w:color w:val="auto"/>
        </w:rPr>
      </w:pPr>
      <w:r>
        <w:rPr>
          <w:rFonts w:ascii="Arial" w:cs="Arial" w:eastAsia="Arial" w:hAnsi="Arial"/>
          <w:sz w:val="17"/>
          <w:szCs w:val="17"/>
          <w:color w:val="auto"/>
        </w:rPr>
        <w:t>The 4.875% Notes due 2026 are obligations exclusively of Portman Ridge Finance Corporation and not of any of our subsidiaries. None of our subsidiaries are guarantors of the 4.875% Notes due 2026, and the 4.875% Notes due 2026 will not be required to be guaranteed by any subsidiaries we may acquire or create in the future. Except to the extent we are a creditor with recognized claims against our subsidiaries, all claims of creditors, including trade creditors, of our subsidiaries will have priority over our claims (and therefore the claims of our creditors, including holders of the 4.875% Notes due 2026) with respect to the assets of such subsidiaries. Even if we were recognized as a creditor of one or more of our subsidiaries, our claims would still be effectively subordinated to any security interests in the assets of any such subsidiary and to any indebtedness or other liabilities of any such subsidiary senior to our claims. Consequently, the 4.875% Notes due 2026 are subordinated structurally to all indebtedness and other liabilities of any of our subsidiaries and any subsidiaries that we may in the future acquire or establish as financing vehicles or otherwise. All of the existing indebtedness of our subsidiaries is structurally senior to the 4.875% Notes due 2026. In addition, our subsidiaries may incur substantial additional indebtedness in the future, all of which would be structurally senior to the 4.875% Notes due 2026.</w:t>
      </w:r>
    </w:p>
    <w:p>
      <w:pPr>
        <w:spacing w:after="0" w:line="2"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b w:val="1"/>
          <w:bCs w:val="1"/>
          <w:i w:val="1"/>
          <w:iCs w:val="1"/>
          <w:color w:val="auto"/>
        </w:rPr>
        <w:t>There is currently no public market for the 4.875% Notes due 2026. If an active trading market for the 4.875% Notes due 2026 does not develop or is not maintained, holders of the 4.875% Notes due 2026 may not be able to sell them.</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4" w:name="page105"/>
    <w:bookmarkEnd w:id="104"/>
    <w:p>
      <w:pPr>
        <w:ind w:firstLine="749"/>
        <w:spacing w:after="0" w:line="267" w:lineRule="auto"/>
        <w:rPr>
          <w:sz w:val="20"/>
          <w:szCs w:val="20"/>
          <w:color w:val="auto"/>
        </w:rPr>
      </w:pPr>
      <w:r>
        <w:rPr>
          <w:rFonts w:ascii="Arial" w:cs="Arial" w:eastAsia="Arial" w:hAnsi="Arial"/>
          <w:sz w:val="17"/>
          <w:szCs w:val="17"/>
          <w:color w:val="auto"/>
        </w:rPr>
        <w:t>The 4.875% Notes due 2026 are a new issue of debt securities for which there currently is no trading market. We do not currently intend to apply for listing of the 4.875% Notes due 2026 on any securities exchange or for quotation of the 4.875% Notes due 2026 on any automated dealer quotation system. If no active trading market develops, you may not be able to resell your 4.875% Notes due 2026 at their fair market value or at all. If the 4.875% Notes due 2026 are traded after their initial issuance, they may trade at a discount from their initial offering price depending on prevailing interest rates, the market for similar securities, our credit ratings, general economic conditions, our financial condition, performance and prospects and other factors. Accordingly, we cannot assure you that an active and liquid trading market will develop or continue for the 4.875% Notes due 2026, that you will be able to sell your 4.875% Notes due 2026 at a particular time or that the price you receive when you sell will be favorable. To the extent an active trading market does not develop, the liquidity and trading price for the 4.875% Notes due 2026 may be harmed. Accordingly, you may be required to bear the financial risk of an investment in the 4.875% Notes due 2026 for an indefinite period of time.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significant restrictions on the ability to transfer or resell the 4.875% Notes due 2026.</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4.875% Notes due 2026 have not been registered under the Securities Act of 1933, as amended (the “Securities Act”). Accordingly,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4.875% Notes due 2026 may only be offered or sold in transactions that are not subject to, or that are otherwise exempt from, the registration requirements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Securities Act and applicable state securities laws or pursuant to an effective registration statement. Therefore, you may transfer or resell the 4.875%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Notes due 2026 in the U.S. only in a transaction exempt from the registration requirements of Securities Act and applicable state securities laws or pursuant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an effective registration statement, and you may be required to bear the risk of your investment until the maturity of the 4.875% Notes due 2026.</w:t>
      </w:r>
    </w:p>
    <w:p>
      <w:pPr>
        <w:spacing w:after="0" w:line="21" w:lineRule="exact"/>
        <w:rPr>
          <w:sz w:val="20"/>
          <w:szCs w:val="20"/>
          <w:color w:val="auto"/>
        </w:rPr>
      </w:pPr>
    </w:p>
    <w:p>
      <w:pPr>
        <w:ind w:right="160" w:firstLine="749"/>
        <w:spacing w:after="0" w:line="281" w:lineRule="auto"/>
        <w:rPr>
          <w:sz w:val="20"/>
          <w:szCs w:val="20"/>
          <w:color w:val="auto"/>
        </w:rPr>
      </w:pPr>
      <w:r>
        <w:rPr>
          <w:rFonts w:ascii="Arial" w:cs="Arial" w:eastAsia="Arial" w:hAnsi="Arial"/>
          <w:sz w:val="16"/>
          <w:szCs w:val="16"/>
          <w:color w:val="auto"/>
        </w:rPr>
        <w:t>Although under the registration rights agreement we are required to consummate an offer to exchange the 4.875% Notes due 2026 for substantially equivalent registered securities or to register the resale of the 4.875% Notes due 2026, until the exchange offer is consummated or such a registration statement has been declared effective, as the case may be, holders of the 4.875% Notes due 2026 may not offer or sell the 4.875% Notes due 2026 except pursuant to an exemption from, or in a transaction not subject to, the registration requirements of the Securities Act and applicable state securities laws or pursuant to an effective registration statement. The SEC, however, has broad discretion to determine whether any registration statement will be declared effective and may delay or deny effectiveness of any such registration statement filed by us for a variety of reasons. Our ability to have declared effective by the SEC a registration statement pertaining to the registered exchange offer on a timely basis will depend upon our ability to resolve any issues that may be raised by the SEC. No assurance can be given as to when a registration statement with respect to the 4.875% Notes due 2026 will become effective. Failure to have the registration statement become effective could adversely affect the liquidity and price of the 4.875% Notes due 2026.</w:t>
      </w:r>
    </w:p>
    <w:p>
      <w:pPr>
        <w:spacing w:after="0" w:line="5" w:lineRule="exact"/>
        <w:rPr>
          <w:sz w:val="20"/>
          <w:szCs w:val="20"/>
          <w:color w:val="auto"/>
        </w:rPr>
      </w:pPr>
    </w:p>
    <w:p>
      <w:pPr>
        <w:ind w:right="640"/>
        <w:spacing w:after="0" w:line="250" w:lineRule="auto"/>
        <w:rPr>
          <w:sz w:val="20"/>
          <w:szCs w:val="20"/>
          <w:color w:val="auto"/>
        </w:rPr>
      </w:pPr>
      <w:r>
        <w:rPr>
          <w:rFonts w:ascii="Arial" w:cs="Arial" w:eastAsia="Arial" w:hAnsi="Arial"/>
          <w:sz w:val="18"/>
          <w:szCs w:val="18"/>
          <w:b w:val="1"/>
          <w:bCs w:val="1"/>
          <w:i w:val="1"/>
          <w:iCs w:val="1"/>
          <w:color w:val="auto"/>
        </w:rPr>
        <w:t>Our current indebtedness could adversely affect our business, financial condition and results of operations and our ability to meet our payment obligations under the 4.875% Notes due 2026 and our other debt.</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use of debt could have significant consequences on our future operations, including:</w:t>
      </w:r>
    </w:p>
    <w:p>
      <w:pPr>
        <w:spacing w:after="0" w:line="89" w:lineRule="exact"/>
        <w:rPr>
          <w:sz w:val="20"/>
          <w:szCs w:val="20"/>
          <w:color w:val="auto"/>
        </w:rPr>
      </w:pPr>
    </w:p>
    <w:p>
      <w:pPr>
        <w:ind w:left="1120" w:hanging="370"/>
        <w:spacing w:after="0"/>
        <w:tabs>
          <w:tab w:leader="none" w:pos="1120" w:val="left"/>
        </w:tabs>
        <w:numPr>
          <w:ilvl w:val="0"/>
          <w:numId w:val="95"/>
        </w:numPr>
        <w:rPr>
          <w:rFonts w:ascii="Arial" w:cs="Arial" w:eastAsia="Arial" w:hAnsi="Arial"/>
          <w:sz w:val="16"/>
          <w:szCs w:val="16"/>
          <w:color w:val="auto"/>
        </w:rPr>
      </w:pPr>
      <w:r>
        <w:rPr>
          <w:rFonts w:ascii="Arial" w:cs="Arial" w:eastAsia="Arial" w:hAnsi="Arial"/>
          <w:sz w:val="16"/>
          <w:szCs w:val="16"/>
          <w:color w:val="auto"/>
        </w:rPr>
        <w:t>making it more difficult for us to meet our payment and other obligations under the 4.875% Notes due 2026 and our other outstanding debt;</w:t>
      </w:r>
    </w:p>
    <w:p>
      <w:pPr>
        <w:spacing w:after="0" w:line="234" w:lineRule="exact"/>
        <w:rPr>
          <w:rFonts w:ascii="Arial" w:cs="Arial" w:eastAsia="Arial" w:hAnsi="Arial"/>
          <w:sz w:val="16"/>
          <w:szCs w:val="16"/>
          <w:color w:val="auto"/>
        </w:rPr>
      </w:pPr>
    </w:p>
    <w:p>
      <w:pPr>
        <w:ind w:left="1120" w:right="960" w:hanging="370"/>
        <w:spacing w:after="0" w:line="342" w:lineRule="auto"/>
        <w:tabs>
          <w:tab w:leader="none" w:pos="1120" w:val="left"/>
        </w:tabs>
        <w:numPr>
          <w:ilvl w:val="0"/>
          <w:numId w:val="95"/>
        </w:numPr>
        <w:rPr>
          <w:rFonts w:ascii="Arial" w:cs="Arial" w:eastAsia="Arial" w:hAnsi="Arial"/>
          <w:sz w:val="16"/>
          <w:szCs w:val="16"/>
          <w:color w:val="auto"/>
        </w:rPr>
      </w:pPr>
      <w:r>
        <w:rPr>
          <w:rFonts w:ascii="Arial" w:cs="Arial" w:eastAsia="Arial" w:hAnsi="Arial"/>
          <w:sz w:val="16"/>
          <w:szCs w:val="16"/>
          <w:color w:val="auto"/>
        </w:rPr>
        <w:t>resulting in an event of default if we fail to comply with the financial and other restrictive covenants contained in our financing arrangements, which event of default could result in substantially all of our debt becoming immediately due and payable;</w:t>
      </w:r>
    </w:p>
    <w:p>
      <w:pPr>
        <w:spacing w:after="0" w:line="83" w:lineRule="exact"/>
        <w:rPr>
          <w:rFonts w:ascii="Arial" w:cs="Arial" w:eastAsia="Arial" w:hAnsi="Arial"/>
          <w:sz w:val="16"/>
          <w:szCs w:val="16"/>
          <w:color w:val="auto"/>
        </w:rPr>
      </w:pPr>
    </w:p>
    <w:p>
      <w:pPr>
        <w:ind w:left="1120" w:right="100" w:hanging="370"/>
        <w:spacing w:after="0" w:line="277" w:lineRule="auto"/>
        <w:tabs>
          <w:tab w:leader="none" w:pos="11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reducing the availability of our cash flow to fund investments, acquisitions and other general corporate purposes, and limiting our ability to obtain additional financing for these purposes;</w:t>
      </w:r>
    </w:p>
    <w:p>
      <w:pPr>
        <w:spacing w:after="0" w:line="129" w:lineRule="exact"/>
        <w:rPr>
          <w:rFonts w:ascii="Arial" w:cs="Arial" w:eastAsia="Arial" w:hAnsi="Arial"/>
          <w:sz w:val="18"/>
          <w:szCs w:val="18"/>
          <w:color w:val="auto"/>
        </w:rPr>
      </w:pPr>
    </w:p>
    <w:p>
      <w:pPr>
        <w:ind w:left="1120" w:right="740" w:hanging="370"/>
        <w:spacing w:after="0" w:line="277" w:lineRule="auto"/>
        <w:tabs>
          <w:tab w:leader="none" w:pos="11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subjecting us to the risk of increased sensitivity to interest rate increases on our indebtedness with variable interest rates, including borrowings under our financing arrangements; and</w:t>
      </w:r>
    </w:p>
    <w:p>
      <w:pPr>
        <w:spacing w:after="0" w:line="129" w:lineRule="exact"/>
        <w:rPr>
          <w:rFonts w:ascii="Arial" w:cs="Arial" w:eastAsia="Arial" w:hAnsi="Arial"/>
          <w:sz w:val="18"/>
          <w:szCs w:val="18"/>
          <w:color w:val="auto"/>
        </w:rPr>
      </w:pPr>
    </w:p>
    <w:p>
      <w:pPr>
        <w:ind w:left="1120" w:right="120" w:hanging="370"/>
        <w:spacing w:after="0" w:line="277" w:lineRule="auto"/>
        <w:tabs>
          <w:tab w:leader="none" w:pos="11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and increasing our vulnerability to, changes in our business, the industry in which we operate and the general economy.</w:t>
      </w:r>
    </w:p>
    <w:p>
      <w:pPr>
        <w:spacing w:after="0" w:line="35" w:lineRule="exact"/>
        <w:rPr>
          <w:sz w:val="20"/>
          <w:szCs w:val="20"/>
          <w:color w:val="auto"/>
        </w:rPr>
      </w:pPr>
    </w:p>
    <w:p>
      <w:pPr>
        <w:ind w:right="80" w:firstLine="749"/>
        <w:spacing w:after="0" w:line="258" w:lineRule="auto"/>
        <w:rPr>
          <w:sz w:val="20"/>
          <w:szCs w:val="20"/>
          <w:color w:val="auto"/>
        </w:rPr>
      </w:pPr>
      <w:r>
        <w:rPr>
          <w:rFonts w:ascii="Arial" w:cs="Arial" w:eastAsia="Arial" w:hAnsi="Arial"/>
          <w:sz w:val="18"/>
          <w:szCs w:val="18"/>
          <w:color w:val="auto"/>
        </w:rPr>
        <w:t>Any of the above-listed factors could have an adverse effect on our business, financial condition and results of operations and our ability to meet our payment obligations under the 4.875% Notes due 2026 and our other debt.</w:t>
      </w:r>
    </w:p>
    <w:p>
      <w:pPr>
        <w:spacing w:after="0" w:line="1" w:lineRule="exact"/>
        <w:rPr>
          <w:sz w:val="20"/>
          <w:szCs w:val="20"/>
          <w:color w:val="auto"/>
        </w:rPr>
      </w:pPr>
    </w:p>
    <w:p>
      <w:pPr>
        <w:ind w:right="60" w:firstLine="749"/>
        <w:spacing w:after="0" w:line="290" w:lineRule="auto"/>
        <w:rPr>
          <w:sz w:val="20"/>
          <w:szCs w:val="20"/>
          <w:color w:val="auto"/>
        </w:rPr>
      </w:pPr>
      <w:r>
        <w:rPr>
          <w:rFonts w:ascii="Arial" w:cs="Arial" w:eastAsia="Arial" w:hAnsi="Arial"/>
          <w:sz w:val="16"/>
          <w:szCs w:val="16"/>
          <w:color w:val="auto"/>
        </w:rPr>
        <w:t>Our ability to meet our payment and other obligations under our financing arrangements depends on our ability to generate significant cash flow in the future. This, to some extent, is subject to general economic, financial, competitive, legislative and regulatory factors as well as other factors that are beyond our control. We cannot assure you that our business will generate cash flow from operations, or that future borrowings will be available to us under our financing arrangements or otherwise, in an amount sufficient to enable us to meet our payment obligations under the 4.875% Notes due 2026 and our other debt and to fund other liquidity needs. If we are not able to generate sufficient cash flow to service our debt obligations, we may need to refinance or restructure our debt, including the 4.875% Notes due 2026, sell assets, reduce or delay capital investments, or seek to raise additional</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5" w:name="page106"/>
    <w:bookmarkEnd w:id="105"/>
    <w:p>
      <w:pPr>
        <w:ind w:right="120"/>
        <w:spacing w:after="0" w:line="258" w:lineRule="auto"/>
        <w:rPr>
          <w:sz w:val="20"/>
          <w:szCs w:val="20"/>
          <w:color w:val="auto"/>
        </w:rPr>
      </w:pPr>
      <w:r>
        <w:rPr>
          <w:rFonts w:ascii="Arial" w:cs="Arial" w:eastAsia="Arial" w:hAnsi="Arial"/>
          <w:sz w:val="18"/>
          <w:szCs w:val="18"/>
          <w:color w:val="auto"/>
        </w:rPr>
        <w:t>capital. If we are unable to implement one or more of these alternatives, we may not be able to meet our payment obligations under the 4.875% Notes due 2026 and our other debt.</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8"/>
          <w:szCs w:val="18"/>
          <w:b w:val="1"/>
          <w:bCs w:val="1"/>
          <w:i w:val="1"/>
          <w:iCs w:val="1"/>
          <w:color w:val="auto"/>
        </w:rPr>
        <w:t>A downgrade, suspension or withdrawal of the credit rating assigned by a rating agency to us or the 4.875% Notes due 2026 could cause the liquidity or market value of the 4.875% Notes due 2026 to decline significantly.</w:t>
      </w:r>
    </w:p>
    <w:p>
      <w:pPr>
        <w:spacing w:after="0" w:line="1" w:lineRule="exact"/>
        <w:rPr>
          <w:sz w:val="20"/>
          <w:szCs w:val="20"/>
          <w:color w:val="auto"/>
        </w:rPr>
      </w:pPr>
    </w:p>
    <w:p>
      <w:pPr>
        <w:ind w:firstLine="749"/>
        <w:spacing w:after="0" w:line="250" w:lineRule="auto"/>
        <w:rPr>
          <w:sz w:val="20"/>
          <w:szCs w:val="20"/>
          <w:color w:val="auto"/>
        </w:rPr>
      </w:pPr>
      <w:r>
        <w:rPr>
          <w:rFonts w:ascii="Arial" w:cs="Arial" w:eastAsia="Arial" w:hAnsi="Arial"/>
          <w:sz w:val="18"/>
          <w:szCs w:val="18"/>
          <w:color w:val="auto"/>
        </w:rPr>
        <w:t>Our credit ratings are an assessment by rating agencies of our ability to pay our debts when due. Consequently, real or anticipated changes in our credit ratings will generally affect the market value of the 4.875% Notes due 2026. These credit ratings may not reflect the potential impact of risks relating to the structure or marketing of the 4.875% Notes due 2026. Credit ratings are not a recommendation to buy, sell or hold any security, and may be revised or withdrawn at any time by the issuing organization in its sole discretion.</w:t>
      </w:r>
    </w:p>
    <w:p>
      <w:pPr>
        <w:spacing w:after="0" w:line="2" w:lineRule="exact"/>
        <w:rPr>
          <w:sz w:val="20"/>
          <w:szCs w:val="20"/>
          <w:color w:val="auto"/>
        </w:rPr>
      </w:pPr>
    </w:p>
    <w:p>
      <w:pPr>
        <w:jc w:val="both"/>
        <w:ind w:right="120" w:firstLine="749"/>
        <w:spacing w:after="0" w:line="265" w:lineRule="auto"/>
        <w:rPr>
          <w:sz w:val="20"/>
          <w:szCs w:val="20"/>
          <w:color w:val="auto"/>
        </w:rPr>
      </w:pPr>
      <w:r>
        <w:rPr>
          <w:rFonts w:ascii="Arial" w:cs="Arial" w:eastAsia="Arial" w:hAnsi="Arial"/>
          <w:sz w:val="17"/>
          <w:szCs w:val="17"/>
          <w:color w:val="auto"/>
        </w:rPr>
        <w:t>The 4.875% Notes due 2026 are rated by Egan-Jones Ratings Company (“EJR”). There can be no assurance that EJR’s credit rating will remain for any given period of time or that such credit rating will not be lowered or withdrawn entirely by EJR if in its judgment future circumstances relating to the basis of the credit rating, such as adverse changes in our business, financial condition and results of operations, so warrant.</w:t>
      </w:r>
    </w:p>
    <w:p>
      <w:pPr>
        <w:spacing w:after="0"/>
        <w:rPr>
          <w:sz w:val="20"/>
          <w:szCs w:val="20"/>
          <w:color w:val="auto"/>
        </w:rPr>
      </w:pPr>
      <w:r>
        <w:rPr>
          <w:rFonts w:ascii="Arial" w:cs="Arial" w:eastAsia="Arial" w:hAnsi="Arial"/>
          <w:sz w:val="18"/>
          <w:szCs w:val="18"/>
          <w:b w:val="1"/>
          <w:bCs w:val="1"/>
          <w:i w:val="1"/>
          <w:iCs w:val="1"/>
          <w:color w:val="auto"/>
        </w:rPr>
        <w:t>The indenture governing the 4.875% Notes due 2026 contains limited protection for holders of the 4.875% Notes due 2026.</w:t>
      </w:r>
    </w:p>
    <w:p>
      <w:pPr>
        <w:spacing w:after="0" w:line="9" w:lineRule="exact"/>
        <w:rPr>
          <w:sz w:val="20"/>
          <w:szCs w:val="20"/>
          <w:color w:val="auto"/>
        </w:rPr>
      </w:pPr>
    </w:p>
    <w:p>
      <w:pPr>
        <w:ind w:right="400" w:firstLine="749"/>
        <w:spacing w:after="0" w:line="273" w:lineRule="auto"/>
        <w:rPr>
          <w:sz w:val="20"/>
          <w:szCs w:val="20"/>
          <w:color w:val="auto"/>
        </w:rPr>
      </w:pPr>
      <w:r>
        <w:rPr>
          <w:rFonts w:ascii="Arial" w:cs="Arial" w:eastAsia="Arial" w:hAnsi="Arial"/>
          <w:sz w:val="17"/>
          <w:szCs w:val="17"/>
          <w:color w:val="auto"/>
        </w:rPr>
        <w:t>The indenture governing the 4.875% Notes due 2026 offers limited protection to holders of the 4.875% Notes due 2026. The terms of the indenture and the 4.875% Notes due 2026 do not restrict our or any of our subsidiaries’ ability to engage in, or otherwise be a party to, a variety of corporate transactions, circumstances or events that could have an adverse impact on your investment in the 4.875% Notes due 2026. In particular, the terms of the indenture and the 4.875% Notes due 2026 do not place any restrictions on our or our subsidiaries’ ability to:</w:t>
      </w:r>
    </w:p>
    <w:p>
      <w:pPr>
        <w:spacing w:after="0" w:line="55" w:lineRule="exact"/>
        <w:rPr>
          <w:sz w:val="20"/>
          <w:szCs w:val="20"/>
          <w:color w:val="auto"/>
        </w:rPr>
      </w:pPr>
    </w:p>
    <w:p>
      <w:pPr>
        <w:ind w:left="1120" w:right="100" w:hanging="370"/>
        <w:spacing w:after="0" w:line="271" w:lineRule="auto"/>
        <w:tabs>
          <w:tab w:leader="none" w:pos="1120" w:val="left"/>
        </w:tabs>
        <w:numPr>
          <w:ilvl w:val="0"/>
          <w:numId w:val="96"/>
        </w:numPr>
        <w:rPr>
          <w:rFonts w:ascii="Arial" w:cs="Arial" w:eastAsia="Arial" w:hAnsi="Arial"/>
          <w:sz w:val="17"/>
          <w:szCs w:val="17"/>
          <w:color w:val="auto"/>
        </w:rPr>
      </w:pPr>
      <w:r>
        <w:rPr>
          <w:rFonts w:ascii="Arial" w:cs="Arial" w:eastAsia="Arial" w:hAnsi="Arial"/>
          <w:sz w:val="17"/>
          <w:szCs w:val="17"/>
          <w:color w:val="auto"/>
        </w:rPr>
        <w:t>issue securities or otherwise incur additional indebtedness or other obligations, including (1) any indebtedness or other obligations that would be equal in right of payment to the 4.875% Notes due 2026, (2) any indebtedness or other obligations that would be secured and therefore rank effectively senior in right of payment to the 4.875% Notes due 2026 to the extent of the values of the assets securing such debt, (3) indebtedness of ours that is guaranteed by one or more of our subsidiaries and which therefore is structurally senior to the 4.875% Notes due 2026 and (4) securities, indebtedness or obligations issued or incurred by our subsidiaries that would be senior to our equity interests in our subsidiaries and therefore rank structurally senior to the 4.875% Notes due 2026 with respect to the assets of our subsidiaries, in each case other than an incurrence of indebtedness that would cause a violation of Section 18(a)(1)(A) of the 1940 Act as modified by Section 61(a)(2) of the 1940 Act;</w:t>
      </w:r>
    </w:p>
    <w:p>
      <w:pPr>
        <w:spacing w:after="0" w:line="137" w:lineRule="exact"/>
        <w:rPr>
          <w:rFonts w:ascii="Arial" w:cs="Arial" w:eastAsia="Arial" w:hAnsi="Arial"/>
          <w:sz w:val="17"/>
          <w:szCs w:val="17"/>
          <w:color w:val="auto"/>
        </w:rPr>
      </w:pPr>
    </w:p>
    <w:p>
      <w:pPr>
        <w:ind w:left="1120" w:right="40" w:hanging="370"/>
        <w:spacing w:after="0" w:line="272" w:lineRule="auto"/>
        <w:tabs>
          <w:tab w:leader="none" w:pos="1120" w:val="left"/>
        </w:tabs>
        <w:numPr>
          <w:ilvl w:val="0"/>
          <w:numId w:val="96"/>
        </w:numPr>
        <w:rPr>
          <w:rFonts w:ascii="Arial" w:cs="Arial" w:eastAsia="Arial" w:hAnsi="Arial"/>
          <w:sz w:val="17"/>
          <w:szCs w:val="17"/>
          <w:color w:val="auto"/>
        </w:rPr>
      </w:pPr>
      <w:r>
        <w:rPr>
          <w:rFonts w:ascii="Arial" w:cs="Arial" w:eastAsia="Arial" w:hAnsi="Arial"/>
          <w:sz w:val="17"/>
          <w:szCs w:val="17"/>
          <w:color w:val="auto"/>
        </w:rPr>
        <w:t>pay dividends on, or purchase or redeem or make any payments in respect of, capital stock or other securities ranking junior in right of payment to the 4.875% Notes due 2026, including preferred stock or subordinated indebtedness, in each case other than dividends, purchases, redemptions or payments that would cause a violation of Section 18(a)(1)(B) as modified by Section 61(a)(2) of the 1940 Act or any successor provisions, giving effect to any no-action relief granted by the SEC to another BDC and upon which we may reasonably rely (or to us if we determine to seek such similar SEC no-action or other relief) permitting the BDC to declare any cash dividend or distribution notwithstanding the prohibition contained in Section 18(a)(1)(B) as modified by Section 61(a)(2) of the 1940 Act in order to maintain the BDC’s status as a RIC under Subchapter M of the Code;</w:t>
      </w:r>
    </w:p>
    <w:p>
      <w:pPr>
        <w:spacing w:after="0" w:line="136" w:lineRule="exact"/>
        <w:rPr>
          <w:rFonts w:ascii="Arial" w:cs="Arial" w:eastAsia="Arial" w:hAnsi="Arial"/>
          <w:sz w:val="17"/>
          <w:szCs w:val="17"/>
          <w:color w:val="auto"/>
        </w:rPr>
      </w:pPr>
    </w:p>
    <w:p>
      <w:pPr>
        <w:ind w:left="1120" w:hanging="370"/>
        <w:spacing w:after="0"/>
        <w:tabs>
          <w:tab w:leader="none" w:pos="1120" w:val="left"/>
        </w:tabs>
        <w:numPr>
          <w:ilvl w:val="0"/>
          <w:numId w:val="96"/>
        </w:numPr>
        <w:rPr>
          <w:rFonts w:ascii="Arial" w:cs="Arial" w:eastAsia="Arial" w:hAnsi="Arial"/>
          <w:sz w:val="17"/>
          <w:szCs w:val="17"/>
          <w:color w:val="auto"/>
        </w:rPr>
      </w:pPr>
      <w:r>
        <w:rPr>
          <w:rFonts w:ascii="Arial" w:cs="Arial" w:eastAsia="Arial" w:hAnsi="Arial"/>
          <w:sz w:val="17"/>
          <w:szCs w:val="17"/>
          <w:color w:val="auto"/>
        </w:rPr>
        <w:t>sell assets (other than certain limited restrictions on our ability to consolidate, merge or sell all or substantially all of our assets);</w:t>
      </w:r>
    </w:p>
    <w:p>
      <w:pPr>
        <w:spacing w:after="0" w:line="223" w:lineRule="exact"/>
        <w:rPr>
          <w:rFonts w:ascii="Arial" w:cs="Arial" w:eastAsia="Arial" w:hAnsi="Arial"/>
          <w:sz w:val="17"/>
          <w:szCs w:val="17"/>
          <w:color w:val="auto"/>
        </w:rPr>
      </w:pPr>
    </w:p>
    <w:p>
      <w:pPr>
        <w:ind w:left="1120" w:hanging="370"/>
        <w:spacing w:after="0"/>
        <w:tabs>
          <w:tab w:leader="none" w:pos="11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211" w:lineRule="exact"/>
        <w:rPr>
          <w:rFonts w:ascii="Arial" w:cs="Arial" w:eastAsia="Arial" w:hAnsi="Arial"/>
          <w:sz w:val="18"/>
          <w:szCs w:val="18"/>
          <w:color w:val="auto"/>
        </w:rPr>
      </w:pPr>
    </w:p>
    <w:p>
      <w:pPr>
        <w:ind w:left="1120" w:hanging="370"/>
        <w:spacing w:after="0"/>
        <w:tabs>
          <w:tab w:leader="none" w:pos="11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create liens (including liens on the shares of our subsidiaries) or enter into sale and leaseback transactions;</w:t>
      </w:r>
    </w:p>
    <w:p>
      <w:pPr>
        <w:spacing w:after="0" w:line="211" w:lineRule="exact"/>
        <w:rPr>
          <w:rFonts w:ascii="Arial" w:cs="Arial" w:eastAsia="Arial" w:hAnsi="Arial"/>
          <w:sz w:val="18"/>
          <w:szCs w:val="18"/>
          <w:color w:val="auto"/>
        </w:rPr>
      </w:pPr>
    </w:p>
    <w:p>
      <w:pPr>
        <w:ind w:left="1120" w:hanging="370"/>
        <w:spacing w:after="0"/>
        <w:tabs>
          <w:tab w:leader="none" w:pos="11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make investments; or</w:t>
      </w:r>
    </w:p>
    <w:p>
      <w:pPr>
        <w:spacing w:after="0" w:line="211" w:lineRule="exact"/>
        <w:rPr>
          <w:rFonts w:ascii="Arial" w:cs="Arial" w:eastAsia="Arial" w:hAnsi="Arial"/>
          <w:sz w:val="18"/>
          <w:szCs w:val="18"/>
          <w:color w:val="auto"/>
        </w:rPr>
      </w:pPr>
    </w:p>
    <w:p>
      <w:pPr>
        <w:ind w:left="1120" w:hanging="370"/>
        <w:spacing w:after="0"/>
        <w:tabs>
          <w:tab w:leader="none" w:pos="11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create restrictions on the payment of dividends or other amounts to us from our subsidiaries.</w:t>
      </w:r>
    </w:p>
    <w:p>
      <w:pPr>
        <w:spacing w:after="0" w:line="117" w:lineRule="exact"/>
        <w:rPr>
          <w:sz w:val="20"/>
          <w:szCs w:val="20"/>
          <w:color w:val="auto"/>
        </w:rPr>
      </w:pPr>
    </w:p>
    <w:p>
      <w:pPr>
        <w:ind w:right="20" w:firstLine="749"/>
        <w:spacing w:after="0" w:line="254" w:lineRule="auto"/>
        <w:rPr>
          <w:sz w:val="20"/>
          <w:szCs w:val="20"/>
          <w:color w:val="auto"/>
        </w:rPr>
      </w:pPr>
      <w:r>
        <w:rPr>
          <w:rFonts w:ascii="Arial" w:cs="Arial" w:eastAsia="Arial" w:hAnsi="Arial"/>
          <w:sz w:val="18"/>
          <w:szCs w:val="18"/>
          <w:color w:val="auto"/>
        </w:rPr>
        <w:t>In addition, the terms of the indenture and the 4.875% Notes due 2026 do not protect holders of the 4.875% Notes due 2026 in the event that we experience changes (including significant adverse changes) in our financial condition, results of operations or credit ratings, as they will not require that we or our subsidiaries adhere to any financial tests or ratios or specified levels of net worth, revenues, income, cash flow or liquidity other than as described above.</w:t>
      </w:r>
    </w:p>
    <w:p>
      <w:pPr>
        <w:spacing w:after="0" w:line="2" w:lineRule="exact"/>
        <w:rPr>
          <w:sz w:val="20"/>
          <w:szCs w:val="20"/>
          <w:color w:val="auto"/>
        </w:rPr>
      </w:pPr>
    </w:p>
    <w:p>
      <w:pPr>
        <w:jc w:val="both"/>
        <w:ind w:right="380" w:firstLine="749"/>
        <w:spacing w:after="0" w:line="277" w:lineRule="auto"/>
        <w:rPr>
          <w:sz w:val="20"/>
          <w:szCs w:val="20"/>
          <w:color w:val="auto"/>
        </w:rPr>
      </w:pPr>
      <w:r>
        <w:rPr>
          <w:rFonts w:ascii="Arial" w:cs="Arial" w:eastAsia="Arial" w:hAnsi="Arial"/>
          <w:sz w:val="17"/>
          <w:szCs w:val="17"/>
          <w:color w:val="auto"/>
        </w:rPr>
        <w:t>Our ability to recapitalize, incur additional debt and take a number of other actions will not be limited by the terms of the 4.875% Notes due 2026 and may have important consequences for you as a holder of the 4.875% Notes due 2026, including making it more difficult for us to satisfy our obligations with respect to the 4.875% Notes due 2026 or negatively affecting the trading value of the 4.875% Notes due 2026.</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6" w:name="page107"/>
    <w:bookmarkEnd w:id="106"/>
    <w:p>
      <w:pPr>
        <w:ind w:right="160" w:firstLine="749"/>
        <w:spacing w:after="0" w:line="255" w:lineRule="auto"/>
        <w:rPr>
          <w:sz w:val="20"/>
          <w:szCs w:val="20"/>
          <w:color w:val="auto"/>
        </w:rPr>
      </w:pPr>
      <w:r>
        <w:rPr>
          <w:rFonts w:ascii="Arial" w:cs="Arial" w:eastAsia="Arial" w:hAnsi="Arial"/>
          <w:sz w:val="18"/>
          <w:szCs w:val="18"/>
          <w:color w:val="auto"/>
        </w:rPr>
        <w:t>Other debt we issue or incur in the future could contain more protections for its holders than the indenture and the 4.875% Notes due 2026, including additional covenants and events of default. The issuance or incurrence of any such debt with incremental protections could affect the market for and trading levels and prices of the 4.875% Notes due 2026.</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repurchase the 4.875% Notes due 2026 upon a Change of Control Repurchase Event.</w:t>
      </w:r>
    </w:p>
    <w:p>
      <w:pPr>
        <w:spacing w:after="0" w:line="9" w:lineRule="exact"/>
        <w:rPr>
          <w:sz w:val="20"/>
          <w:szCs w:val="20"/>
          <w:color w:val="auto"/>
        </w:rPr>
      </w:pPr>
    </w:p>
    <w:p>
      <w:pPr>
        <w:ind w:firstLine="749"/>
        <w:spacing w:after="0" w:line="251" w:lineRule="auto"/>
        <w:rPr>
          <w:sz w:val="20"/>
          <w:szCs w:val="20"/>
          <w:color w:val="auto"/>
        </w:rPr>
      </w:pPr>
      <w:r>
        <w:rPr>
          <w:rFonts w:ascii="Arial" w:cs="Arial" w:eastAsia="Arial" w:hAnsi="Arial"/>
          <w:sz w:val="18"/>
          <w:szCs w:val="18"/>
          <w:color w:val="auto"/>
        </w:rPr>
        <w:t>We may not be able to repurchase the 4.875% Notes due 2026 upon a Change of Control Repurchase Event (as defined in the indenture governing the 4.875% Notes due 2026) because we may not have sufficient funds. Upon a Change of Control Repurchase Event, holders of the 4.875% Notes due 2026 may require us to repurchase for cash some or all of the 4.875% Notes due 2026 at a repurchase price equal to 100% of the aggregate principal amount of the 4.875% Notes due 2026 being repurchased, plus accrued and unpaid interest to, but not including, the repurchase date. Our failure to purchase such tendered 4.875% Notes due 2026 upon the occurrence of such Change of Control Repurchase Event would cause an event of default under the indenture governing the 4.875% Notes due 2026 and may cause a cross-default under the agreements governing certain of our other indebtedness, which may result in the acceleration of such indebtedness requiring us to repay that indebtedness immediately. If a Change of Control Repurchase Event were to occur, we may not have sufficient funds to repay any such accelerated indebtedness and/or to make the required repurchase of the 4.875% Notes due 2026.</w:t>
      </w:r>
    </w:p>
    <w:p>
      <w:pPr>
        <w:spacing w:after="0" w:line="369"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89" w:lineRule="exact"/>
        <w:rPr>
          <w:sz w:val="20"/>
          <w:szCs w:val="20"/>
          <w:color w:val="auto"/>
        </w:rPr>
      </w:pPr>
    </w:p>
    <w:p>
      <w:pPr>
        <w:ind w:right="60" w:firstLine="374"/>
        <w:spacing w:after="0" w:line="311" w:lineRule="auto"/>
        <w:rPr>
          <w:sz w:val="20"/>
          <w:szCs w:val="20"/>
          <w:color w:val="auto"/>
        </w:rPr>
      </w:pPr>
      <w:r>
        <w:rPr>
          <w:rFonts w:ascii="Arial" w:cs="Arial" w:eastAsia="Arial" w:hAnsi="Arial"/>
          <w:sz w:val="16"/>
          <w:szCs w:val="16"/>
          <w:color w:val="auto"/>
        </w:rPr>
        <w:t>While we did not engage in any sales of unregistered securities during the three months ended March 31, 2021, we issued a total of 30,911 shares of common stock under our dividend reinvestment plan (“DRIP”). This issuance was not subject to the registration requirements of the Securities Act. For the three months ended March 31, 2021, the aggregate value of the shares of our common stock issued under our DRIP was approximately $64 thousand.</w:t>
      </w:r>
    </w:p>
    <w:p>
      <w:pPr>
        <w:spacing w:after="0" w:line="122" w:lineRule="exact"/>
        <w:rPr>
          <w:sz w:val="20"/>
          <w:szCs w:val="20"/>
          <w:color w:val="auto"/>
        </w:rPr>
      </w:pPr>
    </w:p>
    <w:p>
      <w:pPr>
        <w:ind w:right="480" w:firstLine="374"/>
        <w:spacing w:after="0" w:line="277" w:lineRule="auto"/>
        <w:rPr>
          <w:sz w:val="20"/>
          <w:szCs w:val="20"/>
          <w:color w:val="auto"/>
        </w:rPr>
      </w:pPr>
      <w:r>
        <w:rPr>
          <w:rFonts w:ascii="Arial" w:cs="Arial" w:eastAsia="Arial" w:hAnsi="Arial"/>
          <w:sz w:val="18"/>
          <w:szCs w:val="18"/>
          <w:color w:val="auto"/>
        </w:rPr>
        <w:t>The following table sets forth information regarding recent repurchases of shares of our common stock. We did not repurchase any shares of our common stock during the three months ended March 31, 2021.</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Approximate Dollar Value of</w:t>
            </w: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2"/>
              </w:rPr>
              <w:t>Average Price</w:t>
            </w: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280" w:type="dxa"/>
            <w:vAlign w:val="bottom"/>
          </w:tcPr>
          <w:p>
            <w:pPr>
              <w:spacing w:after="0"/>
              <w:rPr>
                <w:sz w:val="12"/>
                <w:szCs w:val="12"/>
                <w:color w:val="auto"/>
              </w:rPr>
            </w:pPr>
          </w:p>
        </w:tc>
        <w:tc>
          <w:tcPr>
            <w:tcW w:w="23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Shares that May Yet Be Purchased</w:t>
            </w: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Publicly Announced Plans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Under the Program (Dollars in</w:t>
            </w: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per Share</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3"/>
              </w:rPr>
              <w:t>or Programs (a)</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Thousands) (a)</w:t>
            </w:r>
          </w:p>
        </w:tc>
        <w:tc>
          <w:tcPr>
            <w:tcW w:w="0" w:type="dxa"/>
            <w:vAlign w:val="bottom"/>
          </w:tcPr>
          <w:p>
            <w:pPr>
              <w:spacing w:after="0"/>
              <w:rPr>
                <w:sz w:val="1"/>
                <w:szCs w:val="1"/>
                <w:color w:val="auto"/>
              </w:rPr>
            </w:pPr>
          </w:p>
        </w:tc>
      </w:tr>
      <w:tr>
        <w:trPr>
          <w:trHeight w:val="223"/>
        </w:trPr>
        <w:tc>
          <w:tcPr>
            <w:tcW w:w="3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March 1-March 31, 2020</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121,548</w:t>
            </w:r>
          </w:p>
        </w:tc>
        <w:tc>
          <w:tcPr>
            <w:tcW w:w="2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280" w:type="dxa"/>
            <w:vAlign w:val="bottom"/>
            <w:tcBorders>
              <w:top w:val="single" w:sz="8" w:color="CFF0FC"/>
            </w:tcBorders>
            <w:shd w:val="clear" w:color="auto" w:fill="CFF0FC"/>
          </w:tcPr>
          <w:p>
            <w:pPr>
              <w:spacing w:after="0"/>
              <w:rPr>
                <w:sz w:val="19"/>
                <w:szCs w:val="19"/>
                <w:color w:val="auto"/>
              </w:rPr>
            </w:pPr>
          </w:p>
        </w:tc>
        <w:tc>
          <w:tcPr>
            <w:tcW w:w="1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121,548</w:t>
            </w:r>
          </w:p>
        </w:tc>
        <w:tc>
          <w:tcPr>
            <w:tcW w:w="2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2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9,877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April 1-June 30, 2020</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253,896</w:t>
            </w:r>
          </w:p>
        </w:tc>
        <w:tc>
          <w:tcPr>
            <w:tcW w:w="48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28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253,896</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9,593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July 1-September 30, 2020</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358,959</w:t>
            </w:r>
          </w:p>
        </w:tc>
        <w:tc>
          <w:tcPr>
            <w:tcW w:w="48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28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358,959</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9,137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October 1-December 31, 2020</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9,137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Total, December 31, 2020</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734,403</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734,403</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740" w:hanging="368"/>
        <w:spacing w:after="0" w:line="293" w:lineRule="auto"/>
        <w:tabs>
          <w:tab w:leader="none" w:pos="740" w:val="left"/>
        </w:tabs>
        <w:numPr>
          <w:ilvl w:val="0"/>
          <w:numId w:val="97"/>
        </w:numPr>
        <w:rPr>
          <w:rFonts w:ascii="Arial" w:cs="Arial" w:eastAsia="Arial" w:hAnsi="Arial"/>
          <w:sz w:val="16"/>
          <w:szCs w:val="16"/>
          <w:color w:val="auto"/>
        </w:rPr>
      </w:pPr>
      <w:r>
        <w:rPr>
          <w:rFonts w:ascii="Arial" w:cs="Arial" w:eastAsia="Arial" w:hAnsi="Arial"/>
          <w:sz w:val="16"/>
          <w:szCs w:val="16"/>
          <w:color w:val="auto"/>
        </w:rPr>
        <w:t>On March 5, 2020, the Board of Directors of the Company approved a $10 million stock repurchase program (the “Stock Repurchase Program”). Under this repurchase program, shares may be repurchased from time to time in open market transactions, in privately negotiated transactions or otherwise subject to any law or agreement to which we are party including any restrictions in the 1940 Act or the indenture for our 6.125% Notes Due 2022. The timing and actual number of shares repurchased will depend on a variety of factors, including legal requirements, price, and economic and market conditions. This Stock Repurchase Program may be suspended or discontinued at any time. Subject to these restrictions, we will selectively pursue opportunities to repurchase shares which are accretive to net asset value per share.</w:t>
      </w:r>
    </w:p>
    <w:p>
      <w:pPr>
        <w:spacing w:after="0" w:line="164" w:lineRule="exact"/>
        <w:rPr>
          <w:sz w:val="20"/>
          <w:szCs w:val="20"/>
          <w:color w:val="auto"/>
        </w:rPr>
      </w:pPr>
    </w:p>
    <w:p>
      <w:pPr>
        <w:ind w:right="20" w:firstLine="374"/>
        <w:spacing w:after="0" w:line="296" w:lineRule="auto"/>
        <w:rPr>
          <w:sz w:val="20"/>
          <w:szCs w:val="20"/>
          <w:color w:val="auto"/>
        </w:rPr>
      </w:pPr>
      <w:r>
        <w:rPr>
          <w:rFonts w:ascii="Arial" w:cs="Arial" w:eastAsia="Arial" w:hAnsi="Arial"/>
          <w:sz w:val="16"/>
          <w:szCs w:val="16"/>
          <w:color w:val="auto"/>
        </w:rPr>
        <w:t>On March 11, 2021, our Board of Directors authorized a renewed stock repurchase program of up to $10 million (the “Renewed Stock Repurchase Program”) for an approximately one-year period, effective March 11, 2021 and terminating on March 31, 2022. The terms and conditions of the Renewed Stock Repurchase Program are substantially similar to the prior Stock Repurchase Program. The Renewed Stock Repurchase Program may be suspended or discontinued at any time. Subject to these restrictions, we will selectively pursue opportunities to repurchase shares which are accretive to net asset value per share. There were no share repurchases during the first quarter of 2021 under the Renewed Stock Repurchase Program.</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7" w:name="page108"/>
    <w:bookmarkEnd w:id="107"/>
    <w:p>
      <w:pPr>
        <w:ind w:firstLine="374"/>
        <w:spacing w:after="0" w:line="263" w:lineRule="auto"/>
        <w:rPr>
          <w:sz w:val="20"/>
          <w:szCs w:val="20"/>
          <w:color w:val="auto"/>
        </w:rPr>
      </w:pPr>
      <w:r>
        <w:rPr>
          <w:rFonts w:ascii="Arial" w:cs="Arial" w:eastAsia="Arial" w:hAnsi="Arial"/>
          <w:sz w:val="18"/>
          <w:szCs w:val="18"/>
          <w:color w:val="auto"/>
        </w:rPr>
        <w:t>As permitted by our policies and procedures governing transactions in our securities by our directors, executive officers and other employees, from time to time some of these persons may establish plans or arrangements complying with Rule 10b5-1 under the Exchange Act, and similar plans and arrangements relating to our common stock</w:t>
      </w:r>
    </w:p>
    <w:p>
      <w:pPr>
        <w:spacing w:after="0" w:line="139"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89"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Reference is made to the Exhibit List filed as a part of this report beginning on page E-1. Each of such exhibits is incorporated by reference herein.</w:t>
      </w:r>
    </w:p>
    <w:p>
      <w:pPr>
        <w:spacing w:after="0" w:line="24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980"/>
          </w:cols>
          <w:pgMar w:left="320" w:top="341" w:right="59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20" w:type="dxa"/>
            <w:vAlign w:val="bottom"/>
            <w:gridSpan w:val="23"/>
          </w:tcPr>
          <w:p>
            <w:pPr>
              <w:ind w:left="80"/>
              <w:spacing w:after="0"/>
              <w:rPr>
                <w:sz w:val="20"/>
                <w:szCs w:val="20"/>
                <w:color w:val="auto"/>
              </w:rPr>
            </w:pPr>
            <w:r>
              <w:rPr>
                <w:rFonts w:ascii="Arial" w:cs="Arial" w:eastAsia="Arial" w:hAnsi="Arial"/>
                <w:sz w:val="18"/>
                <w:szCs w:val="18"/>
                <w:b w:val="1"/>
                <w:bCs w:val="1"/>
                <w:color w:val="auto"/>
              </w:rPr>
              <w:t>Exhibit Index</w:t>
            </w:r>
          </w:p>
        </w:tc>
      </w:tr>
      <w:tr>
        <w:trPr>
          <w:trHeight w:val="414"/>
        </w:trPr>
        <w:tc>
          <w:tcPr>
            <w:tcW w:w="760" w:type="dxa"/>
            <w:vAlign w:val="bottom"/>
            <w:gridSpan w:val="4"/>
          </w:tcPr>
          <w:p>
            <w:pPr>
              <w:spacing w:after="0"/>
              <w:rPr>
                <w:sz w:val="20"/>
                <w:szCs w:val="20"/>
                <w:color w:val="auto"/>
              </w:rPr>
            </w:pPr>
            <w:r>
              <w:rPr>
                <w:rFonts w:ascii="Arial" w:cs="Arial" w:eastAsia="Arial" w:hAnsi="Arial"/>
                <w:sz w:val="18"/>
                <w:szCs w:val="18"/>
                <w:b w:val="1"/>
                <w:bCs w:val="1"/>
                <w:color w:val="auto"/>
              </w:rPr>
              <w:t>Exhibit</w:t>
            </w:r>
          </w:p>
        </w:tc>
        <w:tc>
          <w:tcPr>
            <w:tcW w:w="1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4"/>
        </w:trPr>
        <w:tc>
          <w:tcPr>
            <w:tcW w:w="76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rPr>
              <w:t>Number</w:t>
            </w:r>
          </w:p>
        </w:tc>
        <w:tc>
          <w:tcPr>
            <w:tcW w:w="120" w:type="dxa"/>
            <w:vAlign w:val="bottom"/>
            <w:tcBorders>
              <w:bottom w:val="single" w:sz="8" w:color="auto"/>
            </w:tcBorders>
          </w:tcPr>
          <w:p>
            <w:pPr>
              <w:spacing w:after="0"/>
              <w:rPr>
                <w:sz w:val="20"/>
                <w:szCs w:val="20"/>
                <w:color w:val="auto"/>
              </w:rPr>
            </w:pPr>
          </w:p>
        </w:tc>
        <w:tc>
          <w:tcPr>
            <w:tcW w:w="36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760" w:type="dxa"/>
            <w:vAlign w:val="bottom"/>
            <w:tcBorders>
              <w:bottom w:val="single" w:sz="8" w:color="auto"/>
            </w:tcBorders>
            <w:gridSpan w:val="19"/>
          </w:tcPr>
          <w:p>
            <w:pPr>
              <w:ind w:left="480"/>
              <w:spacing w:after="0"/>
              <w:rPr>
                <w:sz w:val="20"/>
                <w:szCs w:val="20"/>
                <w:color w:val="auto"/>
              </w:rPr>
            </w:pPr>
            <w:r>
              <w:rPr>
                <w:rFonts w:ascii="Arial" w:cs="Arial" w:eastAsia="Arial" w:hAnsi="Arial"/>
                <w:sz w:val="18"/>
                <w:szCs w:val="18"/>
                <w:b w:val="1"/>
                <w:bCs w:val="1"/>
                <w:color w:val="auto"/>
              </w:rPr>
              <w:t>Description of Document</w:t>
            </w:r>
          </w:p>
        </w:tc>
      </w:tr>
      <w:tr>
        <w:trPr>
          <w:trHeight w:val="412"/>
        </w:trPr>
        <w:tc>
          <w:tcPr>
            <w:tcW w:w="240" w:type="dxa"/>
            <w:vAlign w:val="bottom"/>
          </w:tcPr>
          <w:p>
            <w:pPr>
              <w:spacing w:after="0"/>
              <w:rPr>
                <w:rFonts w:ascii="Arial" w:cs="Arial" w:eastAsia="Arial" w:hAnsi="Arial"/>
                <w:sz w:val="18"/>
                <w:szCs w:val="18"/>
                <w:color w:val="0000EE"/>
                <w:w w:val="87"/>
              </w:rPr>
            </w:pPr>
            <w:hyperlink r:id="rId179">
              <w:r>
                <w:rPr>
                  <w:rFonts w:ascii="Arial" w:cs="Arial" w:eastAsia="Arial" w:hAnsi="Arial"/>
                  <w:sz w:val="18"/>
                  <w:szCs w:val="18"/>
                  <w:color w:val="0000EE"/>
                  <w:w w:val="87"/>
                </w:rPr>
                <w:t>3.</w:t>
              </w:r>
              <w:r>
                <w:rPr>
                  <w:rFonts w:ascii="Arial" w:cs="Arial" w:eastAsia="Arial" w:hAnsi="Arial"/>
                  <w:sz w:val="18"/>
                  <w:szCs w:val="18"/>
                  <w:u w:val="single" w:color="auto"/>
                  <w:color w:val="0000EE"/>
                  <w:w w:val="87"/>
                </w:rPr>
                <w:t>1</w:t>
              </w:r>
            </w:hyperlink>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20" w:type="dxa"/>
            <w:vAlign w:val="bottom"/>
            <w:gridSpan w:val="24"/>
          </w:tcPr>
          <w:p>
            <w:pPr>
              <w:spacing w:after="0"/>
              <w:rPr>
                <w:rFonts w:ascii="Arial" w:cs="Arial" w:eastAsia="Arial" w:hAnsi="Arial"/>
                <w:sz w:val="18"/>
                <w:szCs w:val="18"/>
                <w:color w:val="0000EE"/>
                <w:w w:val="93"/>
              </w:rPr>
            </w:pPr>
            <w:hyperlink r:id="rId179">
              <w:r>
                <w:rPr>
                  <w:rFonts w:ascii="Arial" w:cs="Arial" w:eastAsia="Arial" w:hAnsi="Arial"/>
                  <w:sz w:val="18"/>
                  <w:szCs w:val="18"/>
                  <w:color w:val="0000EE"/>
                  <w:w w:val="93"/>
                </w:rPr>
                <w:t>Form of Certificate of Incorporation of Company (incorporated by reference to the exhibit</w:t>
              </w:r>
            </w:hyperlink>
          </w:p>
        </w:tc>
      </w:tr>
      <w:tr>
        <w:trPr>
          <w:trHeight w:val="196"/>
        </w:trPr>
        <w:tc>
          <w:tcPr>
            <w:tcW w:w="24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36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1"/>
              </w:rPr>
            </w:pPr>
            <w:hyperlink r:id="rId179">
              <w:r>
                <w:rPr>
                  <w:rFonts w:ascii="Arial" w:cs="Arial" w:eastAsia="Arial" w:hAnsi="Arial"/>
                  <w:sz w:val="18"/>
                  <w:szCs w:val="18"/>
                  <w:color w:val="0000EE"/>
                  <w:w w:val="91"/>
                </w:rPr>
                <w:t>included in Pre-Effective Amendment No. 1 on Form N-2, as filed on October 6, 2006 ).</w:t>
              </w:r>
            </w:hyperlink>
          </w:p>
        </w:tc>
        <w:tc>
          <w:tcPr>
            <w:tcW w:w="120" w:type="dxa"/>
            <w:vAlign w:val="bottom"/>
            <w:tcBorders>
              <w:top w:val="single" w:sz="8" w:color="0000EE"/>
            </w:tcBorders>
            <w:gridSpan w:val="3"/>
          </w:tcPr>
          <w:p>
            <w:pPr>
              <w:spacing w:after="0"/>
              <w:rPr>
                <w:sz w:val="17"/>
                <w:szCs w:val="17"/>
                <w:color w:val="auto"/>
              </w:rPr>
            </w:pPr>
          </w:p>
        </w:tc>
        <w:tc>
          <w:tcPr>
            <w:tcW w:w="140" w:type="dxa"/>
            <w:vAlign w:val="bottom"/>
            <w:gridSpan w:val="4"/>
          </w:tcPr>
          <w:p>
            <w:pPr>
              <w:spacing w:after="0"/>
              <w:rPr>
                <w:sz w:val="17"/>
                <w:szCs w:val="17"/>
                <w:color w:val="auto"/>
              </w:rPr>
            </w:pPr>
          </w:p>
        </w:tc>
      </w:tr>
      <w:tr>
        <w:trPr>
          <w:trHeight w:val="318"/>
        </w:trPr>
        <w:tc>
          <w:tcPr>
            <w:tcW w:w="360" w:type="dxa"/>
            <w:vAlign w:val="bottom"/>
            <w:tcBorders>
              <w:bottom w:val="single" w:sz="8" w:color="0000EE"/>
            </w:tcBorders>
            <w:gridSpan w:val="2"/>
          </w:tcPr>
          <w:p>
            <w:pPr>
              <w:spacing w:after="0"/>
              <w:rPr>
                <w:rFonts w:ascii="Arial" w:cs="Arial" w:eastAsia="Arial" w:hAnsi="Arial"/>
                <w:sz w:val="18"/>
                <w:szCs w:val="18"/>
                <w:color w:val="0000EE"/>
                <w:w w:val="84"/>
              </w:rPr>
            </w:pPr>
            <w:hyperlink r:id="rId180">
              <w:r>
                <w:rPr>
                  <w:rFonts w:ascii="Arial" w:cs="Arial" w:eastAsia="Arial" w:hAnsi="Arial"/>
                  <w:sz w:val="18"/>
                  <w:szCs w:val="18"/>
                  <w:color w:val="0000EE"/>
                  <w:w w:val="84"/>
                </w:rPr>
                <w:t>3.</w:t>
              </w:r>
              <w:r>
                <w:rPr>
                  <w:rFonts w:ascii="Arial" w:cs="Arial" w:eastAsia="Arial" w:hAnsi="Arial"/>
                  <w:sz w:val="18"/>
                  <w:szCs w:val="18"/>
                  <w:u w:val="single" w:color="auto"/>
                  <w:color w:val="0000EE"/>
                  <w:w w:val="84"/>
                </w:rPr>
                <w:t>1.1</w:t>
              </w:r>
            </w:hyperlink>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60" w:type="dxa"/>
            <w:vAlign w:val="bottom"/>
            <w:tcBorders>
              <w:bottom w:val="single" w:sz="8" w:color="0000EE"/>
            </w:tcBorders>
            <w:gridSpan w:val="13"/>
          </w:tcPr>
          <w:p>
            <w:pPr>
              <w:spacing w:after="0"/>
              <w:rPr>
                <w:rFonts w:ascii="Arial" w:cs="Arial" w:eastAsia="Arial" w:hAnsi="Arial"/>
                <w:sz w:val="18"/>
                <w:szCs w:val="18"/>
                <w:color w:val="0000EE"/>
                <w:w w:val="92"/>
              </w:rPr>
            </w:pPr>
            <w:hyperlink r:id="rId180">
              <w:r>
                <w:rPr>
                  <w:rFonts w:ascii="Arial" w:cs="Arial" w:eastAsia="Arial" w:hAnsi="Arial"/>
                  <w:sz w:val="18"/>
                  <w:szCs w:val="18"/>
                  <w:color w:val="0000EE"/>
                  <w:w w:val="92"/>
                </w:rPr>
                <w:t>Certificate of Amendment to Certificate of Incorporation of Portman Ridge Finance</w:t>
              </w:r>
            </w:hyperlink>
          </w:p>
        </w:tc>
        <w:tc>
          <w:tcPr>
            <w:tcW w:w="560" w:type="dxa"/>
            <w:vAlign w:val="bottom"/>
            <w:gridSpan w:val="11"/>
          </w:tcPr>
          <w:p>
            <w:pPr>
              <w:spacing w:after="0"/>
              <w:rPr>
                <w:sz w:val="24"/>
                <w:szCs w:val="24"/>
                <w:color w:val="auto"/>
              </w:rPr>
            </w:pPr>
          </w:p>
        </w:tc>
      </w:tr>
      <w:tr>
        <w:trPr>
          <w:trHeight w:val="196"/>
        </w:trPr>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20" w:type="dxa"/>
            <w:vAlign w:val="bottom"/>
            <w:gridSpan w:val="24"/>
          </w:tcPr>
          <w:p>
            <w:pPr>
              <w:spacing w:after="0" w:line="196" w:lineRule="exact"/>
              <w:rPr>
                <w:rFonts w:ascii="Arial" w:cs="Arial" w:eastAsia="Arial" w:hAnsi="Arial"/>
                <w:sz w:val="18"/>
                <w:szCs w:val="18"/>
                <w:color w:val="0000EE"/>
                <w:w w:val="93"/>
              </w:rPr>
            </w:pPr>
            <w:hyperlink r:id="rId180">
              <w:r>
                <w:rPr>
                  <w:rFonts w:ascii="Arial" w:cs="Arial" w:eastAsia="Arial" w:hAnsi="Arial"/>
                  <w:sz w:val="18"/>
                  <w:szCs w:val="18"/>
                  <w:color w:val="0000EE"/>
                  <w:w w:val="93"/>
                </w:rPr>
                <w:t>Corporation (incorporated by reference to Exhibit 3.1 of the Current Report on Form 8-K,</w:t>
              </w:r>
            </w:hyperlink>
          </w:p>
        </w:tc>
      </w:tr>
      <w:tr>
        <w:trPr>
          <w:trHeight w:val="196"/>
        </w:trPr>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2"/>
              </w:rPr>
            </w:pPr>
            <w:hyperlink r:id="rId180">
              <w:r>
                <w:rPr>
                  <w:rFonts w:ascii="Arial" w:cs="Arial" w:eastAsia="Arial" w:hAnsi="Arial"/>
                  <w:sz w:val="18"/>
                  <w:szCs w:val="18"/>
                  <w:color w:val="0000EE"/>
                  <w:w w:val="92"/>
                </w:rPr>
                <w:t>as filed on April 2, 2019).</w:t>
              </w:r>
            </w:hyperlink>
          </w:p>
        </w:tc>
        <w:tc>
          <w:tcPr>
            <w:tcW w:w="4600" w:type="dxa"/>
            <w:vAlign w:val="bottom"/>
            <w:tcBorders>
              <w:top w:val="single" w:sz="8" w:color="0000EE"/>
            </w:tcBorders>
            <w:gridSpan w:val="14"/>
          </w:tcPr>
          <w:p>
            <w:pPr>
              <w:spacing w:after="0"/>
              <w:rPr>
                <w:sz w:val="17"/>
                <w:szCs w:val="17"/>
                <w:color w:val="auto"/>
              </w:rPr>
            </w:pPr>
          </w:p>
        </w:tc>
        <w:tc>
          <w:tcPr>
            <w:tcW w:w="160" w:type="dxa"/>
            <w:vAlign w:val="bottom"/>
            <w:gridSpan w:val="5"/>
          </w:tcPr>
          <w:p>
            <w:pPr>
              <w:spacing w:after="0"/>
              <w:rPr>
                <w:sz w:val="17"/>
                <w:szCs w:val="17"/>
                <w:color w:val="auto"/>
              </w:rPr>
            </w:pPr>
          </w:p>
        </w:tc>
      </w:tr>
      <w:tr>
        <w:trPr>
          <w:trHeight w:val="318"/>
        </w:trPr>
        <w:tc>
          <w:tcPr>
            <w:tcW w:w="240" w:type="dxa"/>
            <w:vAlign w:val="bottom"/>
          </w:tcPr>
          <w:p>
            <w:pPr>
              <w:spacing w:after="0"/>
              <w:rPr>
                <w:rFonts w:ascii="Arial" w:cs="Arial" w:eastAsia="Arial" w:hAnsi="Arial"/>
                <w:sz w:val="18"/>
                <w:szCs w:val="18"/>
                <w:color w:val="0000EE"/>
                <w:w w:val="87"/>
              </w:rPr>
            </w:pPr>
            <w:hyperlink r:id="rId181">
              <w:r>
                <w:rPr>
                  <w:rFonts w:ascii="Arial" w:cs="Arial" w:eastAsia="Arial" w:hAnsi="Arial"/>
                  <w:sz w:val="18"/>
                  <w:szCs w:val="18"/>
                  <w:color w:val="0000EE"/>
                  <w:w w:val="87"/>
                </w:rPr>
                <w:t>3.</w:t>
              </w:r>
              <w:r>
                <w:rPr>
                  <w:rFonts w:ascii="Arial" w:cs="Arial" w:eastAsia="Arial" w:hAnsi="Arial"/>
                  <w:sz w:val="18"/>
                  <w:szCs w:val="18"/>
                  <w:u w:val="single" w:color="auto"/>
                  <w:color w:val="0000EE"/>
                  <w:w w:val="87"/>
                </w:rPr>
                <w:t>2</w:t>
              </w:r>
            </w:hyperlink>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20" w:type="dxa"/>
            <w:vAlign w:val="bottom"/>
            <w:gridSpan w:val="24"/>
          </w:tcPr>
          <w:p>
            <w:pPr>
              <w:spacing w:after="0"/>
              <w:rPr>
                <w:rFonts w:ascii="Arial" w:cs="Arial" w:eastAsia="Arial" w:hAnsi="Arial"/>
                <w:sz w:val="18"/>
                <w:szCs w:val="18"/>
                <w:color w:val="0000EE"/>
                <w:w w:val="91"/>
              </w:rPr>
            </w:pPr>
            <w:hyperlink r:id="rId181">
              <w:r>
                <w:rPr>
                  <w:rFonts w:ascii="Arial" w:cs="Arial" w:eastAsia="Arial" w:hAnsi="Arial"/>
                  <w:sz w:val="18"/>
                  <w:szCs w:val="18"/>
                  <w:color w:val="0000EE"/>
                  <w:w w:val="91"/>
                </w:rPr>
                <w:t>Second Amended and Restated Bylaws of KCAP Financial, Inc., dated as of December 12,</w:t>
              </w:r>
            </w:hyperlink>
          </w:p>
        </w:tc>
      </w:tr>
      <w:tr>
        <w:trPr>
          <w:trHeight w:val="196"/>
        </w:trPr>
        <w:tc>
          <w:tcPr>
            <w:tcW w:w="24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540" w:type="dxa"/>
            <w:vAlign w:val="bottom"/>
            <w:tcBorders>
              <w:top w:val="single" w:sz="8" w:color="0000EE"/>
            </w:tcBorders>
            <w:gridSpan w:val="23"/>
          </w:tcPr>
          <w:p>
            <w:pPr>
              <w:spacing w:after="0" w:line="196" w:lineRule="exact"/>
              <w:rPr>
                <w:rFonts w:ascii="Arial" w:cs="Arial" w:eastAsia="Arial" w:hAnsi="Arial"/>
                <w:sz w:val="18"/>
                <w:szCs w:val="18"/>
                <w:color w:val="0000EE"/>
                <w:w w:val="91"/>
              </w:rPr>
            </w:pPr>
            <w:hyperlink r:id="rId181">
              <w:r>
                <w:rPr>
                  <w:rFonts w:ascii="Arial" w:cs="Arial" w:eastAsia="Arial" w:hAnsi="Arial"/>
                  <w:sz w:val="18"/>
                  <w:szCs w:val="18"/>
                  <w:color w:val="0000EE"/>
                  <w:w w:val="91"/>
                </w:rPr>
                <w:t>2018 (incorporated by reference to Exhibit 3.1 of the Current Report on Form 8-K, as filed</w:t>
              </w:r>
            </w:hyperlink>
          </w:p>
        </w:tc>
        <w:tc>
          <w:tcPr>
            <w:tcW w:w="80" w:type="dxa"/>
            <w:vAlign w:val="bottom"/>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8"/>
              </w:rPr>
            </w:pPr>
            <w:hyperlink r:id="rId181">
              <w:r>
                <w:rPr>
                  <w:rFonts w:ascii="Arial" w:cs="Arial" w:eastAsia="Arial" w:hAnsi="Arial"/>
                  <w:sz w:val="18"/>
                  <w:szCs w:val="18"/>
                  <w:color w:val="0000EE"/>
                  <w:w w:val="88"/>
                </w:rPr>
                <w:t>on December 14, 2018).</w:t>
              </w:r>
            </w:hyperlink>
          </w:p>
        </w:tc>
        <w:tc>
          <w:tcPr>
            <w:tcW w:w="4780" w:type="dxa"/>
            <w:vAlign w:val="bottom"/>
            <w:tcBorders>
              <w:top w:val="single" w:sz="8" w:color="0000EE"/>
            </w:tcBorders>
            <w:gridSpan w:val="18"/>
          </w:tcPr>
          <w:p>
            <w:pPr>
              <w:spacing w:after="0"/>
              <w:rPr>
                <w:sz w:val="17"/>
                <w:szCs w:val="17"/>
                <w:color w:val="auto"/>
              </w:rPr>
            </w:pPr>
          </w:p>
        </w:tc>
        <w:tc>
          <w:tcPr>
            <w:tcW w:w="100" w:type="dxa"/>
            <w:vAlign w:val="bottom"/>
            <w:gridSpan w:val="2"/>
          </w:tcPr>
          <w:p>
            <w:pPr>
              <w:spacing w:after="0"/>
              <w:rPr>
                <w:sz w:val="17"/>
                <w:szCs w:val="17"/>
                <w:color w:val="auto"/>
              </w:rPr>
            </w:pPr>
          </w:p>
        </w:tc>
      </w:tr>
      <w:tr>
        <w:trPr>
          <w:trHeight w:val="318"/>
        </w:trPr>
        <w:tc>
          <w:tcPr>
            <w:tcW w:w="360" w:type="dxa"/>
            <w:vAlign w:val="bottom"/>
            <w:tcBorders>
              <w:bottom w:val="single" w:sz="8" w:color="0000EE"/>
            </w:tcBorders>
            <w:gridSpan w:val="2"/>
          </w:tcPr>
          <w:p>
            <w:pPr>
              <w:spacing w:after="0"/>
              <w:rPr>
                <w:rFonts w:ascii="Arial" w:cs="Arial" w:eastAsia="Arial" w:hAnsi="Arial"/>
                <w:sz w:val="18"/>
                <w:szCs w:val="18"/>
                <w:color w:val="0000EE"/>
                <w:w w:val="84"/>
              </w:rPr>
            </w:pPr>
            <w:hyperlink r:id="rId182">
              <w:r>
                <w:rPr>
                  <w:rFonts w:ascii="Arial" w:cs="Arial" w:eastAsia="Arial" w:hAnsi="Arial"/>
                  <w:sz w:val="18"/>
                  <w:szCs w:val="18"/>
                  <w:color w:val="0000EE"/>
                  <w:w w:val="84"/>
                </w:rPr>
                <w:t>3.</w:t>
              </w:r>
              <w:r>
                <w:rPr>
                  <w:rFonts w:ascii="Arial" w:cs="Arial" w:eastAsia="Arial" w:hAnsi="Arial"/>
                  <w:sz w:val="18"/>
                  <w:szCs w:val="18"/>
                  <w:u w:val="single" w:color="auto"/>
                  <w:color w:val="0000EE"/>
                  <w:w w:val="84"/>
                </w:rPr>
                <w:t>2.1</w:t>
              </w:r>
            </w:hyperlink>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40" w:type="dxa"/>
            <w:vAlign w:val="bottom"/>
            <w:tcBorders>
              <w:bottom w:val="single" w:sz="8" w:color="0000EE"/>
            </w:tcBorders>
            <w:gridSpan w:val="12"/>
          </w:tcPr>
          <w:p>
            <w:pPr>
              <w:spacing w:after="0"/>
              <w:rPr>
                <w:rFonts w:ascii="Arial" w:cs="Arial" w:eastAsia="Arial" w:hAnsi="Arial"/>
                <w:sz w:val="18"/>
                <w:szCs w:val="18"/>
                <w:color w:val="0000EE"/>
                <w:w w:val="90"/>
              </w:rPr>
            </w:pPr>
            <w:hyperlink r:id="rId182">
              <w:r>
                <w:rPr>
                  <w:rFonts w:ascii="Arial" w:cs="Arial" w:eastAsia="Arial" w:hAnsi="Arial"/>
                  <w:sz w:val="18"/>
                  <w:szCs w:val="18"/>
                  <w:color w:val="0000EE"/>
                  <w:w w:val="90"/>
                </w:rPr>
                <w:t>Amendment No. 1 to the Second Amended and Restated Bylaws of Portman Ridge</w:t>
              </w:r>
            </w:hyperlink>
          </w:p>
        </w:tc>
        <w:tc>
          <w:tcPr>
            <w:tcW w:w="580" w:type="dxa"/>
            <w:vAlign w:val="bottom"/>
            <w:gridSpan w:val="12"/>
          </w:tcPr>
          <w:p>
            <w:pPr>
              <w:spacing w:after="0"/>
              <w:rPr>
                <w:sz w:val="24"/>
                <w:szCs w:val="24"/>
                <w:color w:val="auto"/>
              </w:rPr>
            </w:pPr>
          </w:p>
        </w:tc>
      </w:tr>
      <w:tr>
        <w:trPr>
          <w:trHeight w:val="196"/>
        </w:trPr>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8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182">
              <w:r>
                <w:rPr>
                  <w:rFonts w:ascii="Arial" w:cs="Arial" w:eastAsia="Arial" w:hAnsi="Arial"/>
                  <w:sz w:val="18"/>
                  <w:szCs w:val="18"/>
                  <w:color w:val="0000EE"/>
                  <w:w w:val="91"/>
                </w:rPr>
                <w:t>Finance Corporation (incorporated by reference to Exhibit 3.2 of the Current Report on</w:t>
              </w:r>
            </w:hyperlink>
          </w:p>
        </w:tc>
        <w:tc>
          <w:tcPr>
            <w:tcW w:w="340" w:type="dxa"/>
            <w:vAlign w:val="bottom"/>
            <w:gridSpan w:val="8"/>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20" w:type="dxa"/>
            <w:vAlign w:val="bottom"/>
            <w:gridSpan w:val="24"/>
          </w:tcPr>
          <w:p>
            <w:pPr>
              <w:spacing w:after="0" w:line="196" w:lineRule="exact"/>
              <w:rPr>
                <w:rFonts w:ascii="Arial" w:cs="Arial" w:eastAsia="Arial" w:hAnsi="Arial"/>
                <w:sz w:val="18"/>
                <w:szCs w:val="18"/>
                <w:color w:val="0000EE"/>
              </w:rPr>
            </w:pPr>
            <w:hyperlink r:id="rId182">
              <w:r>
                <w:rPr>
                  <w:rFonts w:ascii="Arial" w:cs="Arial" w:eastAsia="Arial" w:hAnsi="Arial"/>
                  <w:sz w:val="18"/>
                  <w:szCs w:val="18"/>
                  <w:color w:val="0000EE"/>
                </w:rPr>
                <w:t>Form 8-K, as filed on April 2, 2019).</w:t>
              </w:r>
            </w:hyperlink>
          </w:p>
        </w:tc>
      </w:tr>
      <w:tr>
        <w:trPr>
          <w:trHeight w:val="20"/>
        </w:trPr>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412"/>
        </w:trPr>
        <w:tc>
          <w:tcPr>
            <w:tcW w:w="240" w:type="dxa"/>
            <w:vAlign w:val="bottom"/>
            <w:tcBorders>
              <w:bottom w:val="single" w:sz="8" w:color="0000EE"/>
            </w:tcBorders>
          </w:tcPr>
          <w:p>
            <w:pPr>
              <w:spacing w:after="0"/>
              <w:rPr>
                <w:rFonts w:ascii="Arial" w:cs="Arial" w:eastAsia="Arial" w:hAnsi="Arial"/>
                <w:sz w:val="18"/>
                <w:szCs w:val="18"/>
                <w:color w:val="0000EE"/>
                <w:w w:val="87"/>
              </w:rPr>
            </w:pPr>
            <w:hyperlink r:id="rId183">
              <w:r>
                <w:rPr>
                  <w:rFonts w:ascii="Arial" w:cs="Arial" w:eastAsia="Arial" w:hAnsi="Arial"/>
                  <w:sz w:val="18"/>
                  <w:szCs w:val="18"/>
                  <w:color w:val="0000EE"/>
                  <w:w w:val="87"/>
                </w:rPr>
                <w:t>4.</w:t>
              </w:r>
              <w:r>
                <w:rPr>
                  <w:rFonts w:ascii="Arial" w:cs="Arial" w:eastAsia="Arial" w:hAnsi="Arial"/>
                  <w:sz w:val="18"/>
                  <w:szCs w:val="18"/>
                  <w:u w:val="single" w:color="auto"/>
                  <w:color w:val="0000EE"/>
                  <w:w w:val="87"/>
                </w:rPr>
                <w:t>1</w:t>
              </w:r>
            </w:hyperlink>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20" w:type="dxa"/>
            <w:vAlign w:val="bottom"/>
            <w:tcBorders>
              <w:bottom w:val="single" w:sz="8" w:color="0000EE"/>
            </w:tcBorders>
            <w:gridSpan w:val="11"/>
          </w:tcPr>
          <w:p>
            <w:pPr>
              <w:spacing w:after="0"/>
              <w:rPr>
                <w:rFonts w:ascii="Arial" w:cs="Arial" w:eastAsia="Arial" w:hAnsi="Arial"/>
                <w:sz w:val="18"/>
                <w:szCs w:val="18"/>
                <w:color w:val="0000EE"/>
                <w:w w:val="90"/>
              </w:rPr>
            </w:pPr>
            <w:hyperlink r:id="rId183">
              <w:r>
                <w:rPr>
                  <w:rFonts w:ascii="Arial" w:cs="Arial" w:eastAsia="Arial" w:hAnsi="Arial"/>
                  <w:sz w:val="18"/>
                  <w:szCs w:val="18"/>
                  <w:color w:val="0000EE"/>
                  <w:w w:val="90"/>
                </w:rPr>
                <w:t>Form of Base Indenture between the Company and U.S. Bank National Association</w:t>
              </w:r>
            </w:hyperlink>
          </w:p>
        </w:tc>
        <w:tc>
          <w:tcPr>
            <w:tcW w:w="600" w:type="dxa"/>
            <w:vAlign w:val="bottom"/>
            <w:gridSpan w:val="13"/>
          </w:tcPr>
          <w:p>
            <w:pPr>
              <w:spacing w:after="0"/>
              <w:rPr>
                <w:sz w:val="24"/>
                <w:szCs w:val="24"/>
                <w:color w:val="auto"/>
              </w:rPr>
            </w:pPr>
          </w:p>
        </w:tc>
      </w:tr>
      <w:tr>
        <w:trPr>
          <w:trHeight w:val="196"/>
        </w:trPr>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4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183">
              <w:r>
                <w:rPr>
                  <w:rFonts w:ascii="Arial" w:cs="Arial" w:eastAsia="Arial" w:hAnsi="Arial"/>
                  <w:sz w:val="18"/>
                  <w:szCs w:val="18"/>
                  <w:color w:val="0000EE"/>
                  <w:w w:val="91"/>
                </w:rPr>
                <w:t>(incorporated by reference to Exhibit D.2 of the Registration Statement in Form N-2 filed</w:t>
              </w:r>
            </w:hyperlink>
          </w:p>
        </w:tc>
        <w:tc>
          <w:tcPr>
            <w:tcW w:w="180" w:type="dxa"/>
            <w:vAlign w:val="bottom"/>
            <w:gridSpan w:val="6"/>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20" w:type="dxa"/>
            <w:vAlign w:val="bottom"/>
            <w:gridSpan w:val="24"/>
          </w:tcPr>
          <w:p>
            <w:pPr>
              <w:spacing w:after="0" w:line="196" w:lineRule="exact"/>
              <w:rPr>
                <w:rFonts w:ascii="Arial" w:cs="Arial" w:eastAsia="Arial" w:hAnsi="Arial"/>
                <w:sz w:val="18"/>
                <w:szCs w:val="18"/>
                <w:color w:val="0000EE"/>
              </w:rPr>
            </w:pPr>
            <w:hyperlink r:id="rId183">
              <w:r>
                <w:rPr>
                  <w:rFonts w:ascii="Arial" w:cs="Arial" w:eastAsia="Arial" w:hAnsi="Arial"/>
                  <w:sz w:val="18"/>
                  <w:szCs w:val="18"/>
                  <w:color w:val="0000EE"/>
                </w:rPr>
                <w:t>on October 3, 2012).</w:t>
              </w:r>
            </w:hyperlink>
          </w:p>
        </w:tc>
      </w:tr>
      <w:tr>
        <w:trPr>
          <w:trHeight w:val="20"/>
        </w:trPr>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412"/>
        </w:trPr>
        <w:tc>
          <w:tcPr>
            <w:tcW w:w="240" w:type="dxa"/>
            <w:vAlign w:val="bottom"/>
          </w:tcPr>
          <w:p>
            <w:pPr>
              <w:spacing w:after="0"/>
              <w:rPr>
                <w:rFonts w:ascii="Arial" w:cs="Arial" w:eastAsia="Arial" w:hAnsi="Arial"/>
                <w:sz w:val="18"/>
                <w:szCs w:val="18"/>
                <w:color w:val="0000EE"/>
                <w:w w:val="87"/>
              </w:rPr>
            </w:pPr>
            <w:hyperlink r:id="rId184">
              <w:r>
                <w:rPr>
                  <w:rFonts w:ascii="Arial" w:cs="Arial" w:eastAsia="Arial" w:hAnsi="Arial"/>
                  <w:sz w:val="18"/>
                  <w:szCs w:val="18"/>
                  <w:color w:val="0000EE"/>
                  <w:w w:val="87"/>
                </w:rPr>
                <w:t>4.</w:t>
              </w:r>
              <w:r>
                <w:rPr>
                  <w:rFonts w:ascii="Arial" w:cs="Arial" w:eastAsia="Arial" w:hAnsi="Arial"/>
                  <w:sz w:val="18"/>
                  <w:szCs w:val="18"/>
                  <w:u w:val="single" w:color="auto"/>
                  <w:color w:val="0000EE"/>
                  <w:w w:val="87"/>
                </w:rPr>
                <w:t>2</w:t>
              </w:r>
            </w:hyperlink>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20" w:type="dxa"/>
            <w:vAlign w:val="bottom"/>
            <w:gridSpan w:val="24"/>
          </w:tcPr>
          <w:p>
            <w:pPr>
              <w:spacing w:after="0"/>
              <w:rPr>
                <w:rFonts w:ascii="Arial" w:cs="Arial" w:eastAsia="Arial" w:hAnsi="Arial"/>
                <w:sz w:val="18"/>
                <w:szCs w:val="18"/>
                <w:color w:val="0000EE"/>
                <w:w w:val="92"/>
              </w:rPr>
            </w:pPr>
            <w:hyperlink r:id="rId184">
              <w:r>
                <w:rPr>
                  <w:rFonts w:ascii="Arial" w:cs="Arial" w:eastAsia="Arial" w:hAnsi="Arial"/>
                  <w:sz w:val="18"/>
                  <w:szCs w:val="18"/>
                  <w:color w:val="0000EE"/>
                  <w:w w:val="92"/>
                </w:rPr>
                <w:t>Third Supplemental Indenture between the Company and U.S. Bank National Association</w:t>
              </w:r>
            </w:hyperlink>
          </w:p>
        </w:tc>
      </w:tr>
      <w:tr>
        <w:trPr>
          <w:trHeight w:val="196"/>
        </w:trPr>
        <w:tc>
          <w:tcPr>
            <w:tcW w:w="24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60" w:type="dxa"/>
            <w:vAlign w:val="bottom"/>
            <w:tcBorders>
              <w:top w:val="single" w:sz="8" w:color="0000EE"/>
            </w:tcBorders>
            <w:gridSpan w:val="19"/>
          </w:tcPr>
          <w:p>
            <w:pPr>
              <w:spacing w:after="0" w:line="196" w:lineRule="exact"/>
              <w:rPr>
                <w:rFonts w:ascii="Arial" w:cs="Arial" w:eastAsia="Arial" w:hAnsi="Arial"/>
                <w:sz w:val="18"/>
                <w:szCs w:val="18"/>
                <w:color w:val="0000EE"/>
                <w:w w:val="94"/>
              </w:rPr>
            </w:pPr>
            <w:hyperlink r:id="rId184">
              <w:r>
                <w:rPr>
                  <w:rFonts w:ascii="Arial" w:cs="Arial" w:eastAsia="Arial" w:hAnsi="Arial"/>
                  <w:sz w:val="18"/>
                  <w:szCs w:val="18"/>
                  <w:color w:val="0000EE"/>
                  <w:w w:val="94"/>
                </w:rPr>
                <w:t>relating to the 4.875% Notes due 2026 (incorporated by reference to Exhibit 4.1 of the</w:t>
              </w:r>
            </w:hyperlink>
          </w:p>
        </w:tc>
        <w:tc>
          <w:tcPr>
            <w:tcW w:w="160" w:type="dxa"/>
            <w:vAlign w:val="bottom"/>
            <w:gridSpan w:val="5"/>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184">
              <w:r>
                <w:rPr>
                  <w:rFonts w:ascii="Arial" w:cs="Arial" w:eastAsia="Arial" w:hAnsi="Arial"/>
                  <w:sz w:val="18"/>
                  <w:szCs w:val="18"/>
                  <w:color w:val="0000EE"/>
                </w:rPr>
                <w:t>Current Report on Form 8-K filed on May 3, 2021).</w:t>
              </w:r>
            </w:hyperlink>
          </w:p>
        </w:tc>
        <w:tc>
          <w:tcPr>
            <w:tcW w:w="420" w:type="dxa"/>
            <w:vAlign w:val="bottom"/>
            <w:gridSpan w:val="10"/>
          </w:tcPr>
          <w:p>
            <w:pPr>
              <w:spacing w:after="0"/>
              <w:rPr>
                <w:sz w:val="17"/>
                <w:szCs w:val="17"/>
                <w:color w:val="auto"/>
              </w:rPr>
            </w:pPr>
          </w:p>
        </w:tc>
      </w:tr>
      <w:tr>
        <w:trPr>
          <w:trHeight w:val="20"/>
        </w:trPr>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60" w:type="dxa"/>
            <w:vAlign w:val="bottom"/>
            <w:gridSpan w:val="5"/>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412"/>
        </w:trPr>
        <w:tc>
          <w:tcPr>
            <w:tcW w:w="240" w:type="dxa"/>
            <w:vAlign w:val="bottom"/>
            <w:tcBorders>
              <w:bottom w:val="single" w:sz="8" w:color="0000EE"/>
            </w:tcBorders>
          </w:tcPr>
          <w:p>
            <w:pPr>
              <w:spacing w:after="0"/>
              <w:rPr>
                <w:rFonts w:ascii="Arial" w:cs="Arial" w:eastAsia="Arial" w:hAnsi="Arial"/>
                <w:sz w:val="18"/>
                <w:szCs w:val="18"/>
                <w:color w:val="0000EE"/>
                <w:w w:val="87"/>
              </w:rPr>
            </w:pPr>
            <w:hyperlink r:id="rId184">
              <w:r>
                <w:rPr>
                  <w:rFonts w:ascii="Arial" w:cs="Arial" w:eastAsia="Arial" w:hAnsi="Arial"/>
                  <w:sz w:val="18"/>
                  <w:szCs w:val="18"/>
                  <w:color w:val="0000EE"/>
                  <w:w w:val="87"/>
                </w:rPr>
                <w:t>4.</w:t>
              </w:r>
              <w:r>
                <w:rPr>
                  <w:rFonts w:ascii="Arial" w:cs="Arial" w:eastAsia="Arial" w:hAnsi="Arial"/>
                  <w:sz w:val="18"/>
                  <w:szCs w:val="18"/>
                  <w:u w:val="single" w:color="auto"/>
                  <w:color w:val="0000EE"/>
                  <w:w w:val="87"/>
                </w:rPr>
                <w:t>3</w:t>
              </w:r>
            </w:hyperlink>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40" w:type="dxa"/>
            <w:vAlign w:val="bottom"/>
            <w:tcBorders>
              <w:bottom w:val="single" w:sz="8" w:color="0000EE"/>
            </w:tcBorders>
            <w:gridSpan w:val="10"/>
          </w:tcPr>
          <w:p>
            <w:pPr>
              <w:spacing w:after="0"/>
              <w:rPr>
                <w:rFonts w:ascii="Arial" w:cs="Arial" w:eastAsia="Arial" w:hAnsi="Arial"/>
                <w:sz w:val="18"/>
                <w:szCs w:val="18"/>
                <w:color w:val="0000EE"/>
                <w:w w:val="90"/>
              </w:rPr>
            </w:pPr>
            <w:hyperlink r:id="rId184">
              <w:r>
                <w:rPr>
                  <w:rFonts w:ascii="Arial" w:cs="Arial" w:eastAsia="Arial" w:hAnsi="Arial"/>
                  <w:sz w:val="18"/>
                  <w:szCs w:val="18"/>
                  <w:color w:val="0000EE"/>
                  <w:w w:val="90"/>
                </w:rPr>
                <w:t>Form of 4.875% Notes due 2026 (incorporated by reference to Exhibit 4.2).</w:t>
              </w:r>
            </w:hyperlink>
          </w:p>
        </w:tc>
        <w:tc>
          <w:tcPr>
            <w:tcW w:w="1180" w:type="dxa"/>
            <w:vAlign w:val="bottom"/>
            <w:gridSpan w:val="14"/>
          </w:tcPr>
          <w:p>
            <w:pPr>
              <w:spacing w:after="0"/>
              <w:rPr>
                <w:sz w:val="24"/>
                <w:szCs w:val="24"/>
                <w:color w:val="auto"/>
              </w:rPr>
            </w:pPr>
          </w:p>
        </w:tc>
      </w:tr>
      <w:tr>
        <w:trPr>
          <w:trHeight w:val="412"/>
        </w:trPr>
        <w:tc>
          <w:tcPr>
            <w:tcW w:w="240" w:type="dxa"/>
            <w:vAlign w:val="bottom"/>
            <w:tcBorders>
              <w:bottom w:val="single" w:sz="8" w:color="0000EE"/>
            </w:tcBorders>
          </w:tcPr>
          <w:p>
            <w:pPr>
              <w:spacing w:after="0"/>
              <w:rPr>
                <w:rFonts w:ascii="Arial" w:cs="Arial" w:eastAsia="Arial" w:hAnsi="Arial"/>
                <w:sz w:val="18"/>
                <w:szCs w:val="18"/>
                <w:color w:val="0000EE"/>
                <w:w w:val="87"/>
              </w:rPr>
            </w:pPr>
            <w:hyperlink r:id="rId185">
              <w:r>
                <w:rPr>
                  <w:rFonts w:ascii="Arial" w:cs="Arial" w:eastAsia="Arial" w:hAnsi="Arial"/>
                  <w:sz w:val="18"/>
                  <w:szCs w:val="18"/>
                  <w:color w:val="0000EE"/>
                  <w:w w:val="87"/>
                </w:rPr>
                <w:t>4.</w:t>
              </w:r>
              <w:r>
                <w:rPr>
                  <w:rFonts w:ascii="Arial" w:cs="Arial" w:eastAsia="Arial" w:hAnsi="Arial"/>
                  <w:sz w:val="18"/>
                  <w:szCs w:val="18"/>
                  <w:u w:val="single" w:color="auto"/>
                  <w:color w:val="0000EE"/>
                  <w:w w:val="87"/>
                </w:rPr>
                <w:t>4</w:t>
              </w:r>
            </w:hyperlink>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360" w:type="dxa"/>
            <w:vAlign w:val="bottom"/>
            <w:tcBorders>
              <w:bottom w:val="single" w:sz="8" w:color="0000EE"/>
            </w:tcBorders>
            <w:gridSpan w:val="17"/>
          </w:tcPr>
          <w:p>
            <w:pPr>
              <w:spacing w:after="0"/>
              <w:rPr>
                <w:rFonts w:ascii="Arial" w:cs="Arial" w:eastAsia="Arial" w:hAnsi="Arial"/>
                <w:sz w:val="18"/>
                <w:szCs w:val="18"/>
                <w:color w:val="0000EE"/>
                <w:w w:val="90"/>
              </w:rPr>
            </w:pPr>
            <w:hyperlink r:id="rId185">
              <w:r>
                <w:rPr>
                  <w:rFonts w:ascii="Arial" w:cs="Arial" w:eastAsia="Arial" w:hAnsi="Arial"/>
                  <w:sz w:val="18"/>
                  <w:szCs w:val="18"/>
                  <w:color w:val="0000EE"/>
                  <w:w w:val="90"/>
                </w:rPr>
                <w:t>Registration Rights Agreement, dated as of April 30, 2021, by and among the Company</w:t>
              </w:r>
            </w:hyperlink>
          </w:p>
        </w:tc>
        <w:tc>
          <w:tcPr>
            <w:tcW w:w="260" w:type="dxa"/>
            <w:vAlign w:val="bottom"/>
            <w:gridSpan w:val="7"/>
          </w:tcPr>
          <w:p>
            <w:pPr>
              <w:spacing w:after="0"/>
              <w:rPr>
                <w:sz w:val="24"/>
                <w:szCs w:val="24"/>
                <w:color w:val="auto"/>
              </w:rPr>
            </w:pPr>
          </w:p>
        </w:tc>
      </w:tr>
      <w:tr>
        <w:trPr>
          <w:trHeight w:val="196"/>
        </w:trPr>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20" w:type="dxa"/>
            <w:vAlign w:val="bottom"/>
            <w:gridSpan w:val="24"/>
          </w:tcPr>
          <w:p>
            <w:pPr>
              <w:spacing w:after="0" w:line="196" w:lineRule="exact"/>
              <w:rPr>
                <w:rFonts w:ascii="Arial" w:cs="Arial" w:eastAsia="Arial" w:hAnsi="Arial"/>
                <w:sz w:val="18"/>
                <w:szCs w:val="18"/>
                <w:color w:val="0000EE"/>
                <w:w w:val="95"/>
              </w:rPr>
            </w:pPr>
            <w:hyperlink r:id="rId185">
              <w:r>
                <w:rPr>
                  <w:rFonts w:ascii="Arial" w:cs="Arial" w:eastAsia="Arial" w:hAnsi="Arial"/>
                  <w:sz w:val="18"/>
                  <w:szCs w:val="18"/>
                  <w:color w:val="0000EE"/>
                  <w:w w:val="95"/>
                </w:rPr>
                <w:t>and the Purchasers (as defined therein) (incorporated by reference to Exhibit 4.3 of the</w:t>
              </w:r>
            </w:hyperlink>
          </w:p>
        </w:tc>
      </w:tr>
      <w:tr>
        <w:trPr>
          <w:trHeight w:val="196"/>
        </w:trPr>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2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185">
              <w:r>
                <w:rPr>
                  <w:rFonts w:ascii="Arial" w:cs="Arial" w:eastAsia="Arial" w:hAnsi="Arial"/>
                  <w:sz w:val="18"/>
                  <w:szCs w:val="18"/>
                  <w:color w:val="0000EE"/>
                </w:rPr>
                <w:t>Current Report on Form 8-K filed on May 3, 2021).</w:t>
              </w:r>
            </w:hyperlink>
          </w:p>
        </w:tc>
        <w:tc>
          <w:tcPr>
            <w:tcW w:w="400" w:type="dxa"/>
            <w:vAlign w:val="bottom"/>
            <w:gridSpan w:val="9"/>
          </w:tcPr>
          <w:p>
            <w:pPr>
              <w:spacing w:after="0"/>
              <w:rPr>
                <w:sz w:val="17"/>
                <w:szCs w:val="17"/>
                <w:color w:val="auto"/>
              </w:rPr>
            </w:pPr>
          </w:p>
        </w:tc>
      </w:tr>
      <w:tr>
        <w:trPr>
          <w:trHeight w:val="20"/>
        </w:trPr>
        <w:tc>
          <w:tcPr>
            <w:tcW w:w="5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40" w:type="dxa"/>
            <w:vAlign w:val="bottom"/>
            <w:gridSpan w:val="2"/>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60" w:type="dxa"/>
            <w:vAlign w:val="bottom"/>
            <w:gridSpan w:val="5"/>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8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412"/>
        </w:trPr>
        <w:tc>
          <w:tcPr>
            <w:tcW w:w="760" w:type="dxa"/>
            <w:vAlign w:val="bottom"/>
            <w:gridSpan w:val="4"/>
          </w:tcPr>
          <w:p>
            <w:pPr>
              <w:spacing w:after="0"/>
              <w:rPr>
                <w:rFonts w:ascii="Arial" w:cs="Arial" w:eastAsia="Arial" w:hAnsi="Arial"/>
                <w:sz w:val="18"/>
                <w:szCs w:val="18"/>
                <w:color w:val="0000EE"/>
              </w:rPr>
            </w:pPr>
            <w:hyperlink w:anchor="page111">
              <w:r>
                <w:rPr>
                  <w:rFonts w:ascii="Arial" w:cs="Arial" w:eastAsia="Arial" w:hAnsi="Arial"/>
                  <w:sz w:val="18"/>
                  <w:szCs w:val="18"/>
                  <w:color w:val="0000EE"/>
                </w:rPr>
                <w:t>31.</w:t>
              </w:r>
              <w:r>
                <w:rPr>
                  <w:rFonts w:ascii="Arial" w:cs="Arial" w:eastAsia="Arial" w:hAnsi="Arial"/>
                  <w:sz w:val="18"/>
                  <w:szCs w:val="18"/>
                  <w:u w:val="single" w:color="auto"/>
                  <w:color w:val="0000EE"/>
                </w:rPr>
                <w:t>1**</w:t>
              </w:r>
            </w:hyperlink>
          </w:p>
        </w:tc>
        <w:tc>
          <w:tcPr>
            <w:tcW w:w="10480" w:type="dxa"/>
            <w:vAlign w:val="bottom"/>
            <w:gridSpan w:val="27"/>
          </w:tcPr>
          <w:p>
            <w:pPr>
              <w:ind w:left="120"/>
              <w:spacing w:after="0"/>
              <w:rPr>
                <w:rFonts w:ascii="Arial" w:cs="Arial" w:eastAsia="Arial" w:hAnsi="Arial"/>
                <w:sz w:val="18"/>
                <w:szCs w:val="18"/>
                <w:color w:val="0000EE"/>
              </w:rPr>
            </w:pPr>
            <w:hyperlink w:anchor="page111">
              <w:r>
                <w:rPr>
                  <w:rFonts w:ascii="Arial" w:cs="Arial" w:eastAsia="Arial" w:hAnsi="Arial"/>
                  <w:sz w:val="18"/>
                  <w:szCs w:val="18"/>
                  <w:color w:val="0000EE"/>
                </w:rPr>
                <w:t>Certification of Chief Executive Officer Pursuant to Rule 13a-14(a) under the Securities Exchange Act of 1934, as</w:t>
              </w:r>
            </w:hyperlink>
          </w:p>
        </w:tc>
      </w:tr>
      <w:tr>
        <w:trPr>
          <w:trHeight w:val="196"/>
        </w:trPr>
        <w:tc>
          <w:tcPr>
            <w:tcW w:w="2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4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111">
              <w:r>
                <w:rPr>
                  <w:rFonts w:ascii="Arial" w:cs="Arial" w:eastAsia="Arial" w:hAnsi="Arial"/>
                  <w:sz w:val="18"/>
                  <w:szCs w:val="18"/>
                  <w:color w:val="0000EE"/>
                </w:rPr>
                <w:t>adopted pursuant to Section 302 of the Sarbanes-Oxley Act of 2002.</w:t>
              </w:r>
            </w:hyperlink>
          </w:p>
        </w:tc>
        <w:tc>
          <w:tcPr>
            <w:tcW w:w="2120" w:type="dxa"/>
            <w:vAlign w:val="bottom"/>
            <w:gridSpan w:val="15"/>
          </w:tcPr>
          <w:p>
            <w:pPr>
              <w:spacing w:after="0"/>
              <w:rPr>
                <w:sz w:val="17"/>
                <w:szCs w:val="17"/>
                <w:color w:val="auto"/>
              </w:rPr>
            </w:pPr>
          </w:p>
        </w:tc>
      </w:tr>
      <w:tr>
        <w:trPr>
          <w:trHeight w:val="20"/>
        </w:trPr>
        <w:tc>
          <w:tcPr>
            <w:tcW w:w="7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60" w:type="dxa"/>
            <w:vAlign w:val="bottom"/>
            <w:gridSpan w:val="5"/>
          </w:tcPr>
          <w:p>
            <w:pPr>
              <w:spacing w:after="0" w:line="20" w:lineRule="exact"/>
              <w:rPr>
                <w:sz w:val="1"/>
                <w:szCs w:val="1"/>
                <w:color w:val="auto"/>
              </w:rPr>
            </w:pPr>
          </w:p>
        </w:tc>
        <w:tc>
          <w:tcPr>
            <w:tcW w:w="2640" w:type="dxa"/>
            <w:vAlign w:val="bottom"/>
            <w:gridSpan w:val="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318"/>
        </w:trPr>
        <w:tc>
          <w:tcPr>
            <w:tcW w:w="760" w:type="dxa"/>
            <w:vAlign w:val="bottom"/>
            <w:gridSpan w:val="4"/>
          </w:tcPr>
          <w:p>
            <w:pPr>
              <w:spacing w:after="0"/>
              <w:rPr>
                <w:rFonts w:ascii="Arial" w:cs="Arial" w:eastAsia="Arial" w:hAnsi="Arial"/>
                <w:sz w:val="18"/>
                <w:szCs w:val="18"/>
                <w:color w:val="0000EE"/>
              </w:rPr>
            </w:pPr>
            <w:hyperlink w:anchor="page112">
              <w:r>
                <w:rPr>
                  <w:rFonts w:ascii="Arial" w:cs="Arial" w:eastAsia="Arial" w:hAnsi="Arial"/>
                  <w:sz w:val="18"/>
                  <w:szCs w:val="18"/>
                  <w:color w:val="0000EE"/>
                </w:rPr>
                <w:t>31.</w:t>
              </w:r>
              <w:r>
                <w:rPr>
                  <w:rFonts w:ascii="Arial" w:cs="Arial" w:eastAsia="Arial" w:hAnsi="Arial"/>
                  <w:sz w:val="18"/>
                  <w:szCs w:val="18"/>
                  <w:u w:val="single" w:color="auto"/>
                  <w:color w:val="0000EE"/>
                </w:rPr>
                <w:t>2**</w:t>
              </w:r>
            </w:hyperlink>
          </w:p>
        </w:tc>
        <w:tc>
          <w:tcPr>
            <w:tcW w:w="1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20" w:type="dxa"/>
            <w:vAlign w:val="bottom"/>
            <w:gridSpan w:val="24"/>
          </w:tcPr>
          <w:p>
            <w:pPr>
              <w:spacing w:after="0"/>
              <w:rPr>
                <w:rFonts w:ascii="Arial" w:cs="Arial" w:eastAsia="Arial" w:hAnsi="Arial"/>
                <w:sz w:val="18"/>
                <w:szCs w:val="18"/>
                <w:color w:val="0000EE"/>
                <w:w w:val="96"/>
              </w:rPr>
            </w:pPr>
            <w:hyperlink w:anchor="page112">
              <w:r>
                <w:rPr>
                  <w:rFonts w:ascii="Arial" w:cs="Arial" w:eastAsia="Arial" w:hAnsi="Arial"/>
                  <w:sz w:val="18"/>
                  <w:szCs w:val="18"/>
                  <w:color w:val="0000EE"/>
                  <w:w w:val="96"/>
                </w:rPr>
                <w:t>Certification of Chief Financial Officer Pursuant to Rule 13a-14(a) under the Securities</w:t>
              </w:r>
            </w:hyperlink>
          </w:p>
        </w:tc>
      </w:tr>
      <w:tr>
        <w:trPr>
          <w:trHeight w:val="20"/>
        </w:trPr>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40" w:type="dxa"/>
            <w:vAlign w:val="bottom"/>
            <w:gridSpan w:val="6"/>
            <w:shd w:val="clear" w:color="auto" w:fill="0000EE"/>
          </w:tcPr>
          <w:p>
            <w:pPr>
              <w:spacing w:after="0" w:line="20" w:lineRule="exact"/>
              <w:rPr>
                <w:sz w:val="1"/>
                <w:szCs w:val="1"/>
                <w:color w:val="auto"/>
              </w:rPr>
            </w:pPr>
          </w:p>
        </w:tc>
        <w:tc>
          <w:tcPr>
            <w:tcW w:w="2640" w:type="dxa"/>
            <w:vAlign w:val="bottom"/>
            <w:gridSpan w:val="9"/>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20" w:type="dxa"/>
            <w:vAlign w:val="bottom"/>
            <w:gridSpan w:val="24"/>
          </w:tcPr>
          <w:p>
            <w:pPr>
              <w:spacing w:after="0" w:line="196" w:lineRule="exact"/>
              <w:rPr>
                <w:rFonts w:ascii="Arial" w:cs="Arial" w:eastAsia="Arial" w:hAnsi="Arial"/>
                <w:sz w:val="18"/>
                <w:szCs w:val="18"/>
                <w:color w:val="0000EE"/>
                <w:w w:val="93"/>
              </w:rPr>
            </w:pPr>
            <w:hyperlink w:anchor="page112">
              <w:r>
                <w:rPr>
                  <w:rFonts w:ascii="Arial" w:cs="Arial" w:eastAsia="Arial" w:hAnsi="Arial"/>
                  <w:sz w:val="18"/>
                  <w:szCs w:val="18"/>
                  <w:color w:val="0000EE"/>
                  <w:w w:val="93"/>
                </w:rPr>
                <w:t>Exchange Act of 1934, as adopted pursuant to Section 302 of the Sarbanes-Oxley Act of</w:t>
              </w:r>
            </w:hyperlink>
          </w:p>
        </w:tc>
      </w:tr>
      <w:tr>
        <w:trPr>
          <w:trHeight w:val="20"/>
        </w:trPr>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60" w:type="dxa"/>
            <w:vAlign w:val="bottom"/>
            <w:gridSpan w:val="3"/>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60" w:type="dxa"/>
            <w:vAlign w:val="bottom"/>
            <w:gridSpan w:val="4"/>
          </w:tcPr>
          <w:p>
            <w:pPr>
              <w:ind w:left="3860"/>
              <w:spacing w:after="0" w:line="196" w:lineRule="exact"/>
              <w:rPr>
                <w:rFonts w:ascii="Arial" w:cs="Arial" w:eastAsia="Arial" w:hAnsi="Arial"/>
                <w:sz w:val="18"/>
                <w:szCs w:val="18"/>
                <w:color w:val="0000EE"/>
                <w:w w:val="84"/>
              </w:rPr>
            </w:pPr>
            <w:hyperlink w:anchor="page112">
              <w:r>
                <w:rPr>
                  <w:rFonts w:ascii="Arial" w:cs="Arial" w:eastAsia="Arial" w:hAnsi="Arial"/>
                  <w:sz w:val="18"/>
                  <w:szCs w:val="18"/>
                  <w:color w:val="0000EE"/>
                  <w:w w:val="84"/>
                </w:rPr>
                <w:t>2002.</w:t>
              </w:r>
            </w:hyperlink>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7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40" w:type="dxa"/>
            <w:vAlign w:val="bottom"/>
            <w:gridSpan w:val="6"/>
          </w:tcPr>
          <w:p>
            <w:pPr>
              <w:spacing w:after="0" w:line="20" w:lineRule="exact"/>
              <w:rPr>
                <w:sz w:val="1"/>
                <w:szCs w:val="1"/>
                <w:color w:val="auto"/>
              </w:rPr>
            </w:pPr>
          </w:p>
        </w:tc>
        <w:tc>
          <w:tcPr>
            <w:tcW w:w="2800" w:type="dxa"/>
            <w:vAlign w:val="bottom"/>
            <w:gridSpan w:val="11"/>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318"/>
        </w:trPr>
        <w:tc>
          <w:tcPr>
            <w:tcW w:w="760" w:type="dxa"/>
            <w:vAlign w:val="bottom"/>
            <w:gridSpan w:val="4"/>
          </w:tcPr>
          <w:p>
            <w:pPr>
              <w:spacing w:after="0"/>
              <w:rPr>
                <w:rFonts w:ascii="Arial" w:cs="Arial" w:eastAsia="Arial" w:hAnsi="Arial"/>
                <w:sz w:val="18"/>
                <w:szCs w:val="18"/>
                <w:color w:val="0000EE"/>
              </w:rPr>
            </w:pPr>
            <w:hyperlink w:anchor="page113">
              <w:r>
                <w:rPr>
                  <w:rFonts w:ascii="Arial" w:cs="Arial" w:eastAsia="Arial" w:hAnsi="Arial"/>
                  <w:sz w:val="18"/>
                  <w:szCs w:val="18"/>
                  <w:color w:val="0000EE"/>
                </w:rPr>
                <w:t>32.</w:t>
              </w:r>
              <w:r>
                <w:rPr>
                  <w:rFonts w:ascii="Arial" w:cs="Arial" w:eastAsia="Arial" w:hAnsi="Arial"/>
                  <w:sz w:val="18"/>
                  <w:szCs w:val="18"/>
                  <w:u w:val="single" w:color="auto"/>
                  <w:color w:val="0000EE"/>
                </w:rPr>
                <w:t>1**</w:t>
              </w:r>
            </w:hyperlink>
          </w:p>
        </w:tc>
        <w:tc>
          <w:tcPr>
            <w:tcW w:w="1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20" w:type="dxa"/>
            <w:vAlign w:val="bottom"/>
            <w:gridSpan w:val="24"/>
          </w:tcPr>
          <w:p>
            <w:pPr>
              <w:spacing w:after="0"/>
              <w:rPr>
                <w:rFonts w:ascii="Arial" w:cs="Arial" w:eastAsia="Arial" w:hAnsi="Arial"/>
                <w:sz w:val="18"/>
                <w:szCs w:val="18"/>
                <w:color w:val="0000EE"/>
                <w:w w:val="92"/>
              </w:rPr>
            </w:pPr>
            <w:hyperlink w:anchor="page113">
              <w:r>
                <w:rPr>
                  <w:rFonts w:ascii="Arial" w:cs="Arial" w:eastAsia="Arial" w:hAnsi="Arial"/>
                  <w:sz w:val="18"/>
                  <w:szCs w:val="18"/>
                  <w:color w:val="0000EE"/>
                  <w:w w:val="92"/>
                </w:rPr>
                <w:t>Certification of Chief Executive Officer Pursuant to 18 U. S. C. 1350, as adopted pursuant</w:t>
              </w:r>
            </w:hyperlink>
          </w:p>
        </w:tc>
      </w:tr>
      <w:tr>
        <w:trPr>
          <w:trHeight w:val="196"/>
        </w:trPr>
        <w:tc>
          <w:tcPr>
            <w:tcW w:w="2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w:anchor="page113">
              <w:r>
                <w:rPr>
                  <w:rFonts w:ascii="Arial" w:cs="Arial" w:eastAsia="Arial" w:hAnsi="Arial"/>
                  <w:sz w:val="18"/>
                  <w:szCs w:val="18"/>
                  <w:color w:val="0000EE"/>
                  <w:w w:val="90"/>
                </w:rPr>
                <w:t>to Section 906 of the Sarbanes-Oxley Act of 2002.</w:t>
              </w:r>
            </w:hyperlink>
          </w:p>
        </w:tc>
        <w:tc>
          <w:tcPr>
            <w:tcW w:w="2860" w:type="dxa"/>
            <w:vAlign w:val="bottom"/>
            <w:tcBorders>
              <w:top w:val="single" w:sz="8" w:color="0000EE"/>
            </w:tcBorders>
            <w:gridSpan w:val="14"/>
          </w:tcPr>
          <w:p>
            <w:pPr>
              <w:spacing w:after="0"/>
              <w:rPr>
                <w:sz w:val="17"/>
                <w:szCs w:val="17"/>
                <w:color w:val="auto"/>
              </w:rPr>
            </w:pPr>
          </w:p>
        </w:tc>
        <w:tc>
          <w:tcPr>
            <w:tcW w:w="120" w:type="dxa"/>
            <w:vAlign w:val="bottom"/>
            <w:gridSpan w:val="3"/>
          </w:tcPr>
          <w:p>
            <w:pPr>
              <w:spacing w:after="0"/>
              <w:rPr>
                <w:sz w:val="17"/>
                <w:szCs w:val="17"/>
                <w:color w:val="auto"/>
              </w:rPr>
            </w:pPr>
          </w:p>
        </w:tc>
      </w:tr>
      <w:tr>
        <w:trPr>
          <w:trHeight w:val="317"/>
        </w:trPr>
        <w:tc>
          <w:tcPr>
            <w:tcW w:w="760" w:type="dxa"/>
            <w:vAlign w:val="bottom"/>
            <w:gridSpan w:val="4"/>
          </w:tcPr>
          <w:p>
            <w:pPr>
              <w:spacing w:after="0"/>
              <w:rPr>
                <w:rFonts w:ascii="Arial" w:cs="Arial" w:eastAsia="Arial" w:hAnsi="Arial"/>
                <w:sz w:val="18"/>
                <w:szCs w:val="18"/>
                <w:color w:val="0000EE"/>
              </w:rPr>
            </w:pPr>
            <w:hyperlink w:anchor="page114">
              <w:r>
                <w:rPr>
                  <w:rFonts w:ascii="Arial" w:cs="Arial" w:eastAsia="Arial" w:hAnsi="Arial"/>
                  <w:sz w:val="18"/>
                  <w:szCs w:val="18"/>
                  <w:color w:val="0000EE"/>
                </w:rPr>
                <w:t>32.</w:t>
              </w:r>
              <w:r>
                <w:rPr>
                  <w:rFonts w:ascii="Arial" w:cs="Arial" w:eastAsia="Arial" w:hAnsi="Arial"/>
                  <w:sz w:val="18"/>
                  <w:szCs w:val="18"/>
                  <w:u w:val="single" w:color="auto"/>
                  <w:color w:val="0000EE"/>
                </w:rPr>
                <w:t>2**</w:t>
              </w:r>
            </w:hyperlink>
          </w:p>
        </w:tc>
        <w:tc>
          <w:tcPr>
            <w:tcW w:w="1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20" w:type="dxa"/>
            <w:vAlign w:val="bottom"/>
            <w:gridSpan w:val="24"/>
          </w:tcPr>
          <w:p>
            <w:pPr>
              <w:spacing w:after="0"/>
              <w:rPr>
                <w:rFonts w:ascii="Arial" w:cs="Arial" w:eastAsia="Arial" w:hAnsi="Arial"/>
                <w:sz w:val="18"/>
                <w:szCs w:val="18"/>
                <w:color w:val="0000EE"/>
                <w:w w:val="93"/>
              </w:rPr>
            </w:pPr>
            <w:hyperlink w:anchor="page114">
              <w:r>
                <w:rPr>
                  <w:rFonts w:ascii="Arial" w:cs="Arial" w:eastAsia="Arial" w:hAnsi="Arial"/>
                  <w:sz w:val="18"/>
                  <w:szCs w:val="18"/>
                  <w:color w:val="0000EE"/>
                  <w:w w:val="93"/>
                </w:rPr>
                <w:t>Certification of Chief Financial Officer Pursuant to 18 U. S. C. 1350, as adopted pursuant</w:t>
              </w:r>
            </w:hyperlink>
          </w:p>
        </w:tc>
      </w:tr>
      <w:tr>
        <w:trPr>
          <w:trHeight w:val="196"/>
        </w:trPr>
        <w:tc>
          <w:tcPr>
            <w:tcW w:w="2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w:anchor="page114">
              <w:r>
                <w:rPr>
                  <w:rFonts w:ascii="Arial" w:cs="Arial" w:eastAsia="Arial" w:hAnsi="Arial"/>
                  <w:sz w:val="18"/>
                  <w:szCs w:val="18"/>
                  <w:color w:val="0000EE"/>
                  <w:w w:val="90"/>
                </w:rPr>
                <w:t>to Section 906 of the Sarbanes-Oxley Act of 2002.</w:t>
              </w:r>
            </w:hyperlink>
          </w:p>
        </w:tc>
        <w:tc>
          <w:tcPr>
            <w:tcW w:w="2800" w:type="dxa"/>
            <w:vAlign w:val="bottom"/>
            <w:tcBorders>
              <w:top w:val="single" w:sz="8" w:color="0000EE"/>
            </w:tcBorders>
            <w:gridSpan w:val="11"/>
          </w:tcPr>
          <w:p>
            <w:pPr>
              <w:spacing w:after="0"/>
              <w:rPr>
                <w:sz w:val="17"/>
                <w:szCs w:val="17"/>
                <w:color w:val="auto"/>
              </w:rPr>
            </w:pPr>
          </w:p>
        </w:tc>
        <w:tc>
          <w:tcPr>
            <w:tcW w:w="180" w:type="dxa"/>
            <w:vAlign w:val="bottom"/>
            <w:gridSpan w:val="6"/>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80" w:hanging="372"/>
        <w:spacing w:after="0"/>
        <w:tabs>
          <w:tab w:leader="none" w:pos="3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Submitted herewith.</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right="520" w:firstLine="37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p>
        </w:tc>
        <w:tc>
          <w:tcPr>
            <w:tcW w:w="7740" w:type="dxa"/>
            <w:vAlign w:val="bottom"/>
            <w:gridSpan w:val="2"/>
          </w:tcPr>
          <w:p>
            <w:pPr>
              <w:ind w:left="2140"/>
              <w:spacing w:after="0"/>
              <w:rPr>
                <w:sz w:val="20"/>
                <w:szCs w:val="20"/>
                <w:color w:val="auto"/>
              </w:rPr>
            </w:pPr>
            <w:r>
              <w:rPr>
                <w:rFonts w:ascii="Arial" w:cs="Arial" w:eastAsia="Arial" w:hAnsi="Arial"/>
                <w:sz w:val="18"/>
                <w:szCs w:val="18"/>
                <w:color w:val="auto"/>
              </w:rPr>
              <w:t>PORTMAN RIDGE FINANCE CORPORATION</w:t>
            </w: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Date: May 6, 2021</w:t>
            </w:r>
          </w:p>
        </w:tc>
        <w:tc>
          <w:tcPr>
            <w:tcW w:w="2700" w:type="dxa"/>
            <w:vAlign w:val="bottom"/>
          </w:tcPr>
          <w:p>
            <w:pPr>
              <w:ind w:left="21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Edward Goldthorpe</w:t>
            </w:r>
          </w:p>
        </w:tc>
      </w:tr>
      <w:tr>
        <w:trPr>
          <w:trHeight w:val="195"/>
        </w:trPr>
        <w:tc>
          <w:tcPr>
            <w:tcW w:w="350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5040" w:type="dxa"/>
            <w:vAlign w:val="bottom"/>
          </w:tcPr>
          <w:p>
            <w:pPr>
              <w:jc w:val="center"/>
              <w:spacing w:after="0" w:line="195" w:lineRule="exact"/>
              <w:rPr>
                <w:sz w:val="20"/>
                <w:szCs w:val="20"/>
                <w:color w:val="auto"/>
              </w:rPr>
            </w:pPr>
            <w:r>
              <w:rPr>
                <w:rFonts w:ascii="Arial" w:cs="Arial" w:eastAsia="Arial" w:hAnsi="Arial"/>
                <w:sz w:val="18"/>
                <w:szCs w:val="18"/>
                <w:color w:val="auto"/>
                <w:w w:val="91"/>
              </w:rPr>
              <w:t>Edward Goldthorpe</w:t>
            </w:r>
          </w:p>
        </w:tc>
      </w:tr>
      <w:tr>
        <w:trPr>
          <w:trHeight w:val="216"/>
        </w:trPr>
        <w:tc>
          <w:tcPr>
            <w:tcW w:w="35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040" w:type="dxa"/>
            <w:vAlign w:val="bottom"/>
          </w:tcPr>
          <w:p>
            <w:pPr>
              <w:jc w:val="center"/>
              <w:spacing w:after="0"/>
              <w:rPr>
                <w:sz w:val="20"/>
                <w:szCs w:val="20"/>
                <w:color w:val="auto"/>
              </w:rPr>
            </w:pPr>
            <w:r>
              <w:rPr>
                <w:rFonts w:ascii="Arial" w:cs="Arial" w:eastAsia="Arial" w:hAnsi="Arial"/>
                <w:sz w:val="18"/>
                <w:szCs w:val="18"/>
                <w:i w:val="1"/>
                <w:iCs w:val="1"/>
                <w:color w:val="auto"/>
                <w:w w:val="91"/>
              </w:rPr>
              <w:t>President and Chief Executive Officer</w:t>
            </w:r>
          </w:p>
        </w:tc>
      </w:tr>
      <w:tr>
        <w:trPr>
          <w:trHeight w:val="230"/>
        </w:trPr>
        <w:tc>
          <w:tcPr>
            <w:tcW w:w="35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Date: May 6, 2021</w:t>
            </w:r>
          </w:p>
        </w:tc>
        <w:tc>
          <w:tcPr>
            <w:tcW w:w="2700" w:type="dxa"/>
            <w:vAlign w:val="bottom"/>
          </w:tcPr>
          <w:p>
            <w:pPr>
              <w:ind w:left="21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Jason Roos</w:t>
            </w:r>
          </w:p>
        </w:tc>
      </w:tr>
      <w:tr>
        <w:trPr>
          <w:trHeight w:val="195"/>
        </w:trPr>
        <w:tc>
          <w:tcPr>
            <w:tcW w:w="350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5040" w:type="dxa"/>
            <w:vAlign w:val="bottom"/>
          </w:tcPr>
          <w:p>
            <w:pPr>
              <w:jc w:val="center"/>
              <w:spacing w:after="0" w:line="195" w:lineRule="exact"/>
              <w:rPr>
                <w:sz w:val="20"/>
                <w:szCs w:val="20"/>
                <w:color w:val="auto"/>
              </w:rPr>
            </w:pPr>
            <w:r>
              <w:rPr>
                <w:rFonts w:ascii="Arial" w:cs="Arial" w:eastAsia="Arial" w:hAnsi="Arial"/>
                <w:sz w:val="18"/>
                <w:szCs w:val="18"/>
                <w:color w:val="auto"/>
                <w:w w:val="86"/>
              </w:rPr>
              <w:t>Jason Roos</w:t>
            </w:r>
          </w:p>
        </w:tc>
      </w:tr>
      <w:tr>
        <w:trPr>
          <w:trHeight w:val="230"/>
        </w:trPr>
        <w:tc>
          <w:tcPr>
            <w:tcW w:w="35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Arial" w:cs="Arial" w:eastAsia="Arial" w:hAnsi="Arial"/>
                <w:sz w:val="18"/>
                <w:szCs w:val="18"/>
                <w:i w:val="1"/>
                <w:iCs w:val="1"/>
                <w:color w:val="auto"/>
                <w:w w:val="94"/>
              </w:rPr>
              <w:t>Chief Financial Officer</w:t>
            </w:r>
          </w:p>
        </w:tc>
      </w:tr>
    </w:tbl>
    <w:p>
      <w:pPr>
        <w:ind w:left="708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 * * * *</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40"/>
          </w:cols>
          <w:pgMar w:left="320" w:top="337" w:right="3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Edward Goldthorpe, certify that:</w:t>
      </w:r>
    </w:p>
    <w:p>
      <w:pPr>
        <w:spacing w:after="0" w:line="117" w:lineRule="exact"/>
        <w:rPr>
          <w:sz w:val="20"/>
          <w:szCs w:val="20"/>
          <w:color w:val="auto"/>
        </w:rPr>
      </w:pPr>
    </w:p>
    <w:p>
      <w:pPr>
        <w:ind w:right="900" w:firstLine="456"/>
        <w:spacing w:after="0" w:line="277" w:lineRule="auto"/>
        <w:tabs>
          <w:tab w:leader="none" w:pos="628" w:val="left"/>
        </w:tabs>
        <w:numPr>
          <w:ilvl w:val="0"/>
          <w:numId w:val="9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March 31, 2021 of Portman Ridge Finance Corporation (the “registrant”);</w:t>
      </w:r>
    </w:p>
    <w:p>
      <w:pPr>
        <w:spacing w:after="0" w:line="62" w:lineRule="exact"/>
        <w:rPr>
          <w:rFonts w:ascii="Arial" w:cs="Arial" w:eastAsia="Arial" w:hAnsi="Arial"/>
          <w:sz w:val="18"/>
          <w:szCs w:val="18"/>
          <w:color w:val="auto"/>
        </w:rPr>
      </w:pPr>
    </w:p>
    <w:p>
      <w:pPr>
        <w:ind w:right="80" w:firstLine="456"/>
        <w:spacing w:after="0" w:line="342" w:lineRule="auto"/>
        <w:tabs>
          <w:tab w:leader="none" w:pos="628" w:val="left"/>
        </w:tabs>
        <w:numPr>
          <w:ilvl w:val="0"/>
          <w:numId w:val="9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40" w:firstLine="456"/>
        <w:spacing w:after="0" w:line="308" w:lineRule="auto"/>
        <w:tabs>
          <w:tab w:leader="none" w:pos="628" w:val="left"/>
        </w:tabs>
        <w:numPr>
          <w:ilvl w:val="0"/>
          <w:numId w:val="99"/>
        </w:numPr>
        <w:rPr>
          <w:rFonts w:ascii="Arial" w:cs="Arial" w:eastAsia="Arial" w:hAnsi="Arial"/>
          <w:sz w:val="17"/>
          <w:szCs w:val="17"/>
          <w:color w:val="auto"/>
        </w:rPr>
      </w:pPr>
      <w:r>
        <w:rPr>
          <w:rFonts w:ascii="Arial" w:cs="Arial" w:eastAsia="Arial" w:hAnsi="Arial"/>
          <w:sz w:val="17"/>
          <w:szCs w:val="17"/>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right="80" w:firstLine="456"/>
        <w:spacing w:after="0" w:line="263" w:lineRule="auto"/>
        <w:tabs>
          <w:tab w:leader="none" w:pos="628"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6" w:lineRule="exact"/>
        <w:rPr>
          <w:sz w:val="20"/>
          <w:szCs w:val="20"/>
          <w:color w:val="auto"/>
        </w:rPr>
      </w:pPr>
    </w:p>
    <w:p>
      <w:pPr>
        <w:ind w:right="60" w:firstLine="456"/>
        <w:spacing w:after="0" w:line="263" w:lineRule="auto"/>
        <w:tabs>
          <w:tab w:leader="none" w:pos="693" w:val="left"/>
        </w:tabs>
        <w:numPr>
          <w:ilvl w:val="0"/>
          <w:numId w:val="10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right="380" w:firstLine="456"/>
        <w:spacing w:after="0" w:line="263" w:lineRule="auto"/>
        <w:tabs>
          <w:tab w:leader="none" w:pos="703" w:val="left"/>
        </w:tabs>
        <w:numPr>
          <w:ilvl w:val="0"/>
          <w:numId w:val="10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right="840" w:firstLine="456"/>
        <w:spacing w:after="0" w:line="342" w:lineRule="auto"/>
        <w:tabs>
          <w:tab w:leader="none" w:pos="693" w:val="left"/>
        </w:tabs>
        <w:numPr>
          <w:ilvl w:val="0"/>
          <w:numId w:val="10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right="240" w:firstLine="456"/>
        <w:spacing w:after="0" w:line="263" w:lineRule="auto"/>
        <w:tabs>
          <w:tab w:leader="none" w:pos="703" w:val="left"/>
        </w:tabs>
        <w:numPr>
          <w:ilvl w:val="0"/>
          <w:numId w:val="10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6" w:lineRule="exact"/>
        <w:rPr>
          <w:sz w:val="20"/>
          <w:szCs w:val="20"/>
          <w:color w:val="auto"/>
        </w:rPr>
      </w:pPr>
    </w:p>
    <w:p>
      <w:pPr>
        <w:ind w:right="100" w:firstLine="456"/>
        <w:spacing w:after="0" w:line="308" w:lineRule="auto"/>
        <w:tabs>
          <w:tab w:leader="none" w:pos="628"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240" w:firstLine="456"/>
        <w:spacing w:after="0" w:line="277" w:lineRule="auto"/>
        <w:tabs>
          <w:tab w:leader="none" w:pos="693"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180" w:firstLine="456"/>
        <w:spacing w:after="0" w:line="277" w:lineRule="auto"/>
        <w:tabs>
          <w:tab w:leader="none" w:pos="703"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620" w:val="left"/>
          <w:tab w:leader="none" w:pos="7520" w:val="left"/>
        </w:tabs>
        <w:rPr>
          <w:sz w:val="20"/>
          <w:szCs w:val="20"/>
          <w:color w:val="auto"/>
        </w:rPr>
      </w:pPr>
      <w:r>
        <w:rPr>
          <w:rFonts w:ascii="Arial" w:cs="Arial" w:eastAsia="Arial" w:hAnsi="Arial"/>
          <w:sz w:val="18"/>
          <w:szCs w:val="18"/>
          <w:color w:val="auto"/>
        </w:rPr>
        <w:t>Date: May 6,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 S / EDWARD GOLDTHORPE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Edward Goldthorpe</w:t>
      </w:r>
    </w:p>
    <w:p>
      <w:pPr>
        <w:spacing w:after="0" w:line="23"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121" w:right="3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Jason Roos, certify that:</w:t>
      </w:r>
    </w:p>
    <w:p>
      <w:pPr>
        <w:spacing w:after="0" w:line="117" w:lineRule="exact"/>
        <w:rPr>
          <w:sz w:val="20"/>
          <w:szCs w:val="20"/>
          <w:color w:val="auto"/>
        </w:rPr>
      </w:pPr>
    </w:p>
    <w:p>
      <w:pPr>
        <w:ind w:right="900" w:firstLine="456"/>
        <w:spacing w:after="0" w:line="277" w:lineRule="auto"/>
        <w:tabs>
          <w:tab w:leader="none" w:pos="628"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March 31, 2021 of Portman Ridge Finance Corporation (the “registrant”);</w:t>
      </w:r>
    </w:p>
    <w:p>
      <w:pPr>
        <w:spacing w:after="0" w:line="62" w:lineRule="exact"/>
        <w:rPr>
          <w:rFonts w:ascii="Arial" w:cs="Arial" w:eastAsia="Arial" w:hAnsi="Arial"/>
          <w:sz w:val="18"/>
          <w:szCs w:val="18"/>
          <w:color w:val="auto"/>
        </w:rPr>
      </w:pPr>
    </w:p>
    <w:p>
      <w:pPr>
        <w:ind w:right="80" w:firstLine="456"/>
        <w:spacing w:after="0" w:line="342" w:lineRule="auto"/>
        <w:tabs>
          <w:tab w:leader="none" w:pos="628" w:val="left"/>
        </w:tabs>
        <w:numPr>
          <w:ilvl w:val="0"/>
          <w:numId w:val="10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100" w:firstLine="456"/>
        <w:spacing w:after="0" w:line="277" w:lineRule="auto"/>
        <w:tabs>
          <w:tab w:leader="none" w:pos="628" w:val="left"/>
        </w:tabs>
        <w:numPr>
          <w:ilvl w:val="0"/>
          <w:numId w:val="10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right="80" w:firstLine="456"/>
        <w:spacing w:after="0" w:line="263" w:lineRule="auto"/>
        <w:tabs>
          <w:tab w:leader="none" w:pos="628"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6" w:lineRule="exact"/>
        <w:rPr>
          <w:sz w:val="20"/>
          <w:szCs w:val="20"/>
          <w:color w:val="auto"/>
        </w:rPr>
      </w:pPr>
    </w:p>
    <w:p>
      <w:pPr>
        <w:ind w:right="60" w:firstLine="456"/>
        <w:spacing w:after="0" w:line="263" w:lineRule="auto"/>
        <w:tabs>
          <w:tab w:leader="none" w:pos="693" w:val="left"/>
        </w:tabs>
        <w:numPr>
          <w:ilvl w:val="0"/>
          <w:numId w:val="10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720" w:hanging="264"/>
        <w:spacing w:after="0"/>
        <w:tabs>
          <w:tab w:leader="none" w:pos="72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w:t>
      </w:r>
    </w:p>
    <w:p>
      <w:pPr>
        <w:spacing w:after="0" w:line="34" w:lineRule="exact"/>
        <w:rPr>
          <w:rFonts w:ascii="Arial" w:cs="Arial" w:eastAsia="Arial" w:hAnsi="Arial"/>
          <w:sz w:val="17"/>
          <w:szCs w:val="17"/>
          <w:color w:val="auto"/>
        </w:rPr>
      </w:pPr>
    </w:p>
    <w:p>
      <w:pPr>
        <w:ind w:right="40"/>
        <w:spacing w:after="0" w:line="260" w:lineRule="auto"/>
        <w:rPr>
          <w:rFonts w:ascii="Arial" w:cs="Arial" w:eastAsia="Arial" w:hAnsi="Arial"/>
          <w:sz w:val="17"/>
          <w:szCs w:val="17"/>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77" w:lineRule="exact"/>
        <w:rPr>
          <w:rFonts w:ascii="Arial" w:cs="Arial" w:eastAsia="Arial" w:hAnsi="Arial"/>
          <w:sz w:val="17"/>
          <w:szCs w:val="17"/>
          <w:color w:val="auto"/>
        </w:rPr>
      </w:pPr>
    </w:p>
    <w:p>
      <w:pPr>
        <w:ind w:right="840" w:firstLine="456"/>
        <w:spacing w:after="0" w:line="342" w:lineRule="auto"/>
        <w:tabs>
          <w:tab w:leader="none" w:pos="693" w:val="left"/>
        </w:tabs>
        <w:numPr>
          <w:ilvl w:val="0"/>
          <w:numId w:val="10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right="240" w:firstLine="456"/>
        <w:spacing w:after="0" w:line="263" w:lineRule="auto"/>
        <w:tabs>
          <w:tab w:leader="none" w:pos="703" w:val="left"/>
        </w:tabs>
        <w:numPr>
          <w:ilvl w:val="0"/>
          <w:numId w:val="10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6" w:lineRule="exact"/>
        <w:rPr>
          <w:sz w:val="20"/>
          <w:szCs w:val="20"/>
          <w:color w:val="auto"/>
        </w:rPr>
      </w:pPr>
    </w:p>
    <w:p>
      <w:pPr>
        <w:ind w:right="100" w:firstLine="456"/>
        <w:spacing w:after="0" w:line="308" w:lineRule="auto"/>
        <w:tabs>
          <w:tab w:leader="none" w:pos="628"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240" w:firstLine="456"/>
        <w:spacing w:after="0" w:line="277" w:lineRule="auto"/>
        <w:tabs>
          <w:tab w:leader="none" w:pos="693"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180" w:firstLine="456"/>
        <w:spacing w:after="0" w:line="277" w:lineRule="auto"/>
        <w:tabs>
          <w:tab w:leader="none" w:pos="703"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620" w:val="left"/>
          <w:tab w:leader="none" w:pos="8040" w:val="left"/>
        </w:tabs>
        <w:rPr>
          <w:sz w:val="20"/>
          <w:szCs w:val="20"/>
          <w:color w:val="auto"/>
        </w:rPr>
      </w:pPr>
      <w:r>
        <w:rPr>
          <w:rFonts w:ascii="Arial" w:cs="Arial" w:eastAsia="Arial" w:hAnsi="Arial"/>
          <w:sz w:val="18"/>
          <w:szCs w:val="18"/>
          <w:color w:val="auto"/>
        </w:rPr>
        <w:t>Date: May 6,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JASON ROOS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Jason Roos</w:t>
      </w:r>
    </w:p>
    <w:p>
      <w:pPr>
        <w:spacing w:after="0" w:line="23"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240"/>
          </w:cols>
          <w:pgMar w:left="320" w:top="121" w:right="3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32.1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CHAPTER 63 OF TITLE 18, UNITED STATES CODE,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4" w:lineRule="exact"/>
        <w:rPr>
          <w:sz w:val="20"/>
          <w:szCs w:val="20"/>
          <w:color w:val="auto"/>
        </w:rPr>
      </w:pPr>
    </w:p>
    <w:p>
      <w:pPr>
        <w:ind w:right="60" w:firstLine="432"/>
        <w:spacing w:after="0" w:line="263" w:lineRule="auto"/>
        <w:rPr>
          <w:sz w:val="20"/>
          <w:szCs w:val="20"/>
          <w:color w:val="auto"/>
        </w:rPr>
      </w:pPr>
      <w:r>
        <w:rPr>
          <w:rFonts w:ascii="Arial" w:cs="Arial" w:eastAsia="Arial" w:hAnsi="Arial"/>
          <w:sz w:val="18"/>
          <w:szCs w:val="18"/>
          <w:color w:val="auto"/>
        </w:rPr>
        <w:t>In connection with the accompanying Quarterly Report of Portman Ridge Finance Corporation (the “Company”) on Form 10-Q for the quarter ended March 31, 2021 (the “Report”), I, Edward Goldthorpe, President and Chief Executive Officer of the Company, certify, pursuant to 18 U.S.C. §1350, as adopted pursuant to §906 of the Sarbanes-Oxley Act of 2002, that:</w:t>
      </w:r>
    </w:p>
    <w:p>
      <w:pPr>
        <w:spacing w:after="0" w:line="143" w:lineRule="exact"/>
        <w:rPr>
          <w:sz w:val="20"/>
          <w:szCs w:val="20"/>
          <w:color w:val="auto"/>
        </w:rPr>
      </w:pPr>
    </w:p>
    <w:p>
      <w:pPr>
        <w:ind w:left="700" w:hanging="260"/>
        <w:spacing w:after="0"/>
        <w:tabs>
          <w:tab w:leader="none" w:pos="70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Section 15(d) of the Securities Exchange Act of 1934, as amended; and</w:t>
      </w:r>
    </w:p>
    <w:p>
      <w:pPr>
        <w:spacing w:after="0" w:line="196" w:lineRule="exact"/>
        <w:rPr>
          <w:rFonts w:ascii="Arial" w:cs="Arial" w:eastAsia="Arial" w:hAnsi="Arial"/>
          <w:sz w:val="17"/>
          <w:szCs w:val="17"/>
          <w:color w:val="auto"/>
        </w:rPr>
      </w:pPr>
    </w:p>
    <w:p>
      <w:pPr>
        <w:ind w:left="700" w:hanging="260"/>
        <w:spacing w:after="0"/>
        <w:tabs>
          <w:tab w:leader="none" w:pos="70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tabs>
          <w:tab w:leader="none" w:pos="5620" w:val="left"/>
          <w:tab w:leader="none" w:pos="7520" w:val="left"/>
        </w:tabs>
        <w:rPr>
          <w:sz w:val="20"/>
          <w:szCs w:val="20"/>
          <w:color w:val="auto"/>
        </w:rPr>
      </w:pPr>
      <w:r>
        <w:rPr>
          <w:rFonts w:ascii="Arial" w:cs="Arial" w:eastAsia="Arial" w:hAnsi="Arial"/>
          <w:sz w:val="18"/>
          <w:szCs w:val="18"/>
          <w:color w:val="auto"/>
        </w:rPr>
        <w:t>Date: May 6,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 S / EDWARD GOLDTHORPE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Edward Goldthorpe</w:t>
      </w:r>
    </w:p>
    <w:p>
      <w:pPr>
        <w:spacing w:after="0" w:line="23"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121" w:right="3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32.2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CHAPTER 63 OF TITLE 18, UNITED STATES CODE,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4" w:lineRule="exact"/>
        <w:rPr>
          <w:sz w:val="20"/>
          <w:szCs w:val="20"/>
          <w:color w:val="auto"/>
        </w:rPr>
      </w:pPr>
    </w:p>
    <w:p>
      <w:pPr>
        <w:ind w:firstLine="432"/>
        <w:spacing w:after="0" w:line="263" w:lineRule="auto"/>
        <w:rPr>
          <w:sz w:val="20"/>
          <w:szCs w:val="20"/>
          <w:color w:val="auto"/>
        </w:rPr>
      </w:pPr>
      <w:r>
        <w:rPr>
          <w:rFonts w:ascii="Arial" w:cs="Arial" w:eastAsia="Arial" w:hAnsi="Arial"/>
          <w:sz w:val="18"/>
          <w:szCs w:val="18"/>
          <w:color w:val="auto"/>
        </w:rPr>
        <w:t>In connection with the accompanying Quarterly Report of Portman Ridge Finance Corporation the “Company”) on Form 10-Q for the quarter ended March 31, 2021 (the “Report”), I, Jason Roos, Chief Financial Officer of the Company, certify, pursuant to 18 U.S.C. §1350, as adopted pursuant to §906 of the Sarbanes-Oxley Act of 2002, that:</w:t>
      </w:r>
    </w:p>
    <w:p>
      <w:pPr>
        <w:spacing w:after="0" w:line="143" w:lineRule="exact"/>
        <w:rPr>
          <w:sz w:val="20"/>
          <w:szCs w:val="20"/>
          <w:color w:val="auto"/>
        </w:rPr>
      </w:pPr>
    </w:p>
    <w:p>
      <w:pPr>
        <w:ind w:left="700" w:hanging="260"/>
        <w:spacing w:after="0"/>
        <w:tabs>
          <w:tab w:leader="none" w:pos="70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Section 15(d) of the Securities Exchange Act of 1934, as amended; and</w:t>
      </w:r>
    </w:p>
    <w:p>
      <w:pPr>
        <w:spacing w:after="0" w:line="196" w:lineRule="exact"/>
        <w:rPr>
          <w:rFonts w:ascii="Arial" w:cs="Arial" w:eastAsia="Arial" w:hAnsi="Arial"/>
          <w:sz w:val="17"/>
          <w:szCs w:val="17"/>
          <w:color w:val="auto"/>
        </w:rPr>
      </w:pPr>
    </w:p>
    <w:p>
      <w:pPr>
        <w:ind w:left="700" w:hanging="260"/>
        <w:spacing w:after="0"/>
        <w:tabs>
          <w:tab w:leader="none" w:pos="70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tabs>
          <w:tab w:leader="none" w:pos="5620" w:val="left"/>
          <w:tab w:leader="none" w:pos="8040" w:val="left"/>
        </w:tabs>
        <w:rPr>
          <w:sz w:val="20"/>
          <w:szCs w:val="20"/>
          <w:color w:val="auto"/>
        </w:rPr>
      </w:pPr>
      <w:r>
        <w:rPr>
          <w:rFonts w:ascii="Arial" w:cs="Arial" w:eastAsia="Arial" w:hAnsi="Arial"/>
          <w:sz w:val="18"/>
          <w:szCs w:val="18"/>
          <w:color w:val="auto"/>
        </w:rPr>
        <w:t>Date: May 6,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JASON ROOS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0">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Jason Roos</w:t>
      </w:r>
    </w:p>
    <w:p>
      <w:pPr>
        <w:spacing w:after="0" w:line="23"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Chief Financial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F4EF005"/>
    <w:multiLevelType w:val="hybridMultilevel"/>
    <w:lvl w:ilvl="0">
      <w:lvlJc w:val="left"/>
      <w:lvlText w:val="☒"/>
      <w:numFmt w:val="bullet"/>
      <w:start w:val="1"/>
    </w:lvl>
  </w:abstractNum>
  <w:abstractNum w:abstractNumId="1">
    <w:nsid w:val="23F9C13C"/>
    <w:multiLevelType w:val="hybridMultilevel"/>
    <w:lvl w:ilvl="0">
      <w:lvlJc w:val="left"/>
      <w:lvlText w:val="☐"/>
      <w:numFmt w:val="bullet"/>
      <w:start w:val="1"/>
    </w:lvl>
  </w:abstractNum>
  <w:abstractNum w:abstractNumId="2">
    <w:nsid w:val="649BB77C"/>
    <w:multiLevelType w:val="hybridMultilevel"/>
    <w:lvl w:ilvl="0">
      <w:lvlJc w:val="left"/>
      <w:lvlText w:val="•"/>
      <w:numFmt w:val="bullet"/>
      <w:start w:val="1"/>
    </w:lvl>
  </w:abstractNum>
  <w:abstractNum w:abstractNumId="3">
    <w:nsid w:val="275AC794"/>
    <w:multiLevelType w:val="hybridMultilevel"/>
    <w:lvl w:ilvl="0">
      <w:lvlJc w:val="left"/>
      <w:lvlText w:val="•"/>
      <w:numFmt w:val="bullet"/>
      <w:start w:val="1"/>
    </w:lvl>
  </w:abstractNum>
  <w:abstractNum w:abstractNumId="4">
    <w:nsid w:val="39386575"/>
    <w:multiLevelType w:val="hybridMultilevel"/>
    <w:lvl w:ilvl="0">
      <w:lvlJc w:val="left"/>
      <w:lvlText w:val="(%1)"/>
      <w:numFmt w:val="decimal"/>
      <w:start w:val="1"/>
    </w:lvl>
  </w:abstractNum>
  <w:abstractNum w:abstractNumId="5">
    <w:nsid w:val="1CF10FD8"/>
    <w:multiLevelType w:val="hybridMultilevel"/>
    <w:lvl w:ilvl="0">
      <w:lvlJc w:val="left"/>
      <w:lvlText w:val="1"/>
      <w:numFmt w:val="bullet"/>
      <w:start w:val="1"/>
    </w:lvl>
  </w:abstractNum>
  <w:abstractNum w:abstractNumId="6">
    <w:nsid w:val="180115BE"/>
    <w:multiLevelType w:val="hybridMultilevel"/>
    <w:lvl w:ilvl="0">
      <w:lvlJc w:val="left"/>
      <w:lvlText w:val="2"/>
      <w:numFmt w:val="bullet"/>
      <w:start w:val="1"/>
    </w:lvl>
  </w:abstractNum>
  <w:abstractNum w:abstractNumId="7">
    <w:nsid w:val="235BA861"/>
    <w:multiLevelType w:val="hybridMultilevel"/>
    <w:lvl w:ilvl="0">
      <w:lvlJc w:val="left"/>
      <w:lvlText w:val="%1"/>
      <w:numFmt w:val="decimal"/>
      <w:start w:val="18"/>
    </w:lvl>
  </w:abstractNum>
  <w:abstractNum w:abstractNumId="8">
    <w:nsid w:val="47398C89"/>
    <w:multiLevelType w:val="hybridMultilevel"/>
    <w:lvl w:ilvl="0">
      <w:lvlJc w:val="left"/>
      <w:lvlText w:val="%1"/>
      <w:numFmt w:val="decimal"/>
      <w:start w:val="20"/>
    </w:lvl>
  </w:abstractNum>
  <w:abstractNum w:abstractNumId="9">
    <w:nsid w:val="354FE9F9"/>
    <w:multiLevelType w:val="hybridMultilevel"/>
    <w:lvl w:ilvl="0">
      <w:lvlJc w:val="left"/>
      <w:lvlText w:val="1"/>
      <w:numFmt w:val="bullet"/>
      <w:start w:val="1"/>
    </w:lvl>
  </w:abstractNum>
  <w:abstractNum w:abstractNumId="10">
    <w:nsid w:val="15B5AF5C"/>
    <w:multiLevelType w:val="hybridMultilevel"/>
    <w:lvl w:ilvl="0">
      <w:lvlJc w:val="left"/>
      <w:lvlText w:val="2"/>
      <w:numFmt w:val="bullet"/>
      <w:start w:val="1"/>
    </w:lvl>
  </w:abstractNum>
  <w:abstractNum w:abstractNumId="11">
    <w:nsid w:val="741226BB"/>
    <w:multiLevelType w:val="hybridMultilevel"/>
    <w:lvl w:ilvl="0">
      <w:lvlJc w:val="left"/>
      <w:lvlText w:val="7"/>
      <w:numFmt w:val="bullet"/>
      <w:start w:val="1"/>
    </w:lvl>
  </w:abstractNum>
  <w:abstractNum w:abstractNumId="12">
    <w:nsid w:val="D34B6A8"/>
    <w:multiLevelType w:val="hybridMultilevel"/>
    <w:lvl w:ilvl="0">
      <w:lvlJc w:val="left"/>
      <w:lvlText w:val="8"/>
      <w:numFmt w:val="bullet"/>
      <w:start w:val="1"/>
    </w:lvl>
  </w:abstractNum>
  <w:abstractNum w:abstractNumId="13">
    <w:nsid w:val="10233C99"/>
    <w:multiLevelType w:val="hybridMultilevel"/>
    <w:lvl w:ilvl="0">
      <w:lvlJc w:val="left"/>
      <w:lvlText w:val="9"/>
      <w:numFmt w:val="bullet"/>
      <w:start w:val="1"/>
    </w:lvl>
  </w:abstractNum>
  <w:abstractNum w:abstractNumId="14">
    <w:nsid w:val="3F6AB60F"/>
    <w:multiLevelType w:val="hybridMultilevel"/>
    <w:lvl w:ilvl="0">
      <w:lvlJc w:val="left"/>
      <w:lvlText w:val="%1"/>
      <w:numFmt w:val="decimal"/>
      <w:start w:val="10"/>
    </w:lvl>
  </w:abstractNum>
  <w:abstractNum w:abstractNumId="15">
    <w:nsid w:val="61574095"/>
    <w:multiLevelType w:val="hybridMultilevel"/>
    <w:lvl w:ilvl="0">
      <w:lvlJc w:val="left"/>
      <w:lvlText w:val="%1"/>
      <w:numFmt w:val="decimal"/>
      <w:start w:val="20"/>
    </w:lvl>
  </w:abstractNum>
  <w:abstractNum w:abstractNumId="16">
    <w:nsid w:val="7E0C57B1"/>
    <w:multiLevelType w:val="hybridMultilevel"/>
    <w:lvl w:ilvl="0">
      <w:lvlJc w:val="left"/>
      <w:lvlText w:val="1"/>
      <w:numFmt w:val="bullet"/>
      <w:start w:val="1"/>
    </w:lvl>
  </w:abstractNum>
  <w:abstractNum w:abstractNumId="17">
    <w:nsid w:val="77AE35EB"/>
    <w:multiLevelType w:val="hybridMultilevel"/>
    <w:lvl w:ilvl="0">
      <w:lvlJc w:val="left"/>
      <w:lvlText w:val="2"/>
      <w:numFmt w:val="bullet"/>
      <w:start w:val="1"/>
    </w:lvl>
  </w:abstractNum>
  <w:abstractNum w:abstractNumId="18">
    <w:nsid w:val="579BE4F1"/>
    <w:multiLevelType w:val="hybridMultilevel"/>
    <w:lvl w:ilvl="0">
      <w:lvlJc w:val="left"/>
      <w:lvlText w:val="3"/>
      <w:numFmt w:val="bullet"/>
      <w:start w:val="1"/>
    </w:lvl>
  </w:abstractNum>
  <w:abstractNum w:abstractNumId="19">
    <w:nsid w:val="310C50B3"/>
    <w:multiLevelType w:val="hybridMultilevel"/>
    <w:lvl w:ilvl="0">
      <w:lvlJc w:val="left"/>
      <w:lvlText w:val="4"/>
      <w:numFmt w:val="bullet"/>
      <w:start w:val="1"/>
    </w:lvl>
  </w:abstractNum>
  <w:abstractNum w:abstractNumId="20">
    <w:nsid w:val="5FF87E05"/>
    <w:multiLevelType w:val="hybridMultilevel"/>
    <w:lvl w:ilvl="0">
      <w:lvlJc w:val="left"/>
      <w:lvlText w:val="5"/>
      <w:numFmt w:val="bullet"/>
      <w:start w:val="1"/>
    </w:lvl>
  </w:abstractNum>
  <w:abstractNum w:abstractNumId="21">
    <w:nsid w:val="2F305DEF"/>
    <w:multiLevelType w:val="hybridMultilevel"/>
    <w:lvl w:ilvl="0">
      <w:lvlJc w:val="left"/>
      <w:lvlText w:val="6"/>
      <w:numFmt w:val="bullet"/>
      <w:start w:val="1"/>
    </w:lvl>
  </w:abstractNum>
  <w:abstractNum w:abstractNumId="22">
    <w:nsid w:val="25A70BF7"/>
    <w:multiLevelType w:val="hybridMultilevel"/>
    <w:lvl w:ilvl="0">
      <w:lvlJc w:val="left"/>
      <w:lvlText w:val="%1."/>
      <w:numFmt w:val="decimal"/>
      <w:start w:val="1"/>
    </w:lvl>
  </w:abstractNum>
  <w:abstractNum w:abstractNumId="23">
    <w:nsid w:val="1DBABF00"/>
    <w:multiLevelType w:val="hybridMultilevel"/>
    <w:lvl w:ilvl="0">
      <w:lvlJc w:val="left"/>
      <w:lvlText w:val="%1."/>
      <w:numFmt w:val="decimal"/>
      <w:start w:val="2"/>
    </w:lvl>
  </w:abstractNum>
  <w:abstractNum w:abstractNumId="24">
    <w:nsid w:val="4AD084E9"/>
    <w:multiLevelType w:val="hybridMultilevel"/>
    <w:lvl w:ilvl="0">
      <w:lvlJc w:val="left"/>
      <w:lvlText w:val="%1:"/>
      <w:numFmt w:val="decimal"/>
      <w:start w:val="820"/>
    </w:lvl>
  </w:abstractNum>
  <w:abstractNum w:abstractNumId="25">
    <w:nsid w:val="1F48EAA1"/>
    <w:multiLevelType w:val="hybridMultilevel"/>
    <w:lvl w:ilvl="0">
      <w:lvlJc w:val="left"/>
      <w:lvlText w:val="%1."/>
      <w:numFmt w:val="decimal"/>
      <w:start w:val="3"/>
    </w:lvl>
  </w:abstractNum>
  <w:abstractNum w:abstractNumId="26">
    <w:nsid w:val="1381823A"/>
    <w:multiLevelType w:val="hybridMultilevel"/>
    <w:lvl w:ilvl="0">
      <w:lvlJc w:val="left"/>
      <w:lvlText w:val="%1."/>
      <w:numFmt w:val="decimal"/>
      <w:start w:val="4"/>
    </w:lvl>
  </w:abstractNum>
  <w:abstractNum w:abstractNumId="27">
    <w:nsid w:val="5DB70AE5"/>
    <w:multiLevelType w:val="hybridMultilevel"/>
    <w:lvl w:ilvl="0">
      <w:lvlJc w:val="left"/>
      <w:lvlText w:val="1"/>
      <w:numFmt w:val="bullet"/>
      <w:start w:val="1"/>
    </w:lvl>
  </w:abstractNum>
  <w:abstractNum w:abstractNumId="28">
    <w:nsid w:val="100F8FCA"/>
    <w:multiLevelType w:val="hybridMultilevel"/>
    <w:lvl w:ilvl="0">
      <w:lvlJc w:val="left"/>
      <w:lvlText w:val="2"/>
      <w:numFmt w:val="bullet"/>
      <w:start w:val="1"/>
    </w:lvl>
  </w:abstractNum>
  <w:abstractNum w:abstractNumId="29">
    <w:nsid w:val="6590700B"/>
    <w:multiLevelType w:val="hybridMultilevel"/>
    <w:lvl w:ilvl="0">
      <w:lvlJc w:val="left"/>
      <w:lvlText w:val="1"/>
      <w:numFmt w:val="bullet"/>
      <w:start w:val="1"/>
    </w:lvl>
  </w:abstractNum>
  <w:abstractNum w:abstractNumId="30">
    <w:nsid w:val="15014ACB"/>
    <w:multiLevelType w:val="hybridMultilevel"/>
    <w:lvl w:ilvl="0">
      <w:lvlJc w:val="left"/>
      <w:lvlText w:val="2"/>
      <w:numFmt w:val="bullet"/>
      <w:start w:val="1"/>
    </w:lvl>
  </w:abstractNum>
  <w:abstractNum w:abstractNumId="31">
    <w:nsid w:val="5F5E7FD0"/>
    <w:multiLevelType w:val="hybridMultilevel"/>
    <w:lvl w:ilvl="0">
      <w:lvlJc w:val="left"/>
      <w:lvlText w:val="1"/>
      <w:numFmt w:val="bullet"/>
      <w:start w:val="1"/>
    </w:lvl>
  </w:abstractNum>
  <w:abstractNum w:abstractNumId="32">
    <w:nsid w:val="98A3148"/>
    <w:multiLevelType w:val="hybridMultilevel"/>
    <w:lvl w:ilvl="0">
      <w:lvlJc w:val="left"/>
      <w:lvlText w:val="2"/>
      <w:numFmt w:val="bullet"/>
      <w:start w:val="1"/>
    </w:lvl>
  </w:abstractNum>
  <w:abstractNum w:abstractNumId="33">
    <w:nsid w:val="799D0247"/>
    <w:multiLevelType w:val="hybridMultilevel"/>
    <w:lvl w:ilvl="0">
      <w:lvlJc w:val="left"/>
      <w:lvlText w:val="4"/>
      <w:numFmt w:val="bullet"/>
      <w:start w:val="1"/>
    </w:lvl>
  </w:abstractNum>
  <w:abstractNum w:abstractNumId="34">
    <w:nsid w:val="6B94764"/>
    <w:multiLevelType w:val="hybridMultilevel"/>
    <w:lvl w:ilvl="0">
      <w:lvlJc w:val="left"/>
      <w:lvlText w:val="5"/>
      <w:numFmt w:val="bullet"/>
      <w:start w:val="1"/>
    </w:lvl>
  </w:abstractNum>
  <w:abstractNum w:abstractNumId="35">
    <w:nsid w:val="42C296BD"/>
    <w:multiLevelType w:val="hybridMultilevel"/>
    <w:lvl w:ilvl="0">
      <w:lvlJc w:val="left"/>
      <w:lvlText w:val="6"/>
      <w:numFmt w:val="bullet"/>
      <w:start w:val="1"/>
    </w:lvl>
  </w:abstractNum>
  <w:abstractNum w:abstractNumId="36">
    <w:nsid w:val="168E121F"/>
    <w:multiLevelType w:val="hybridMultilevel"/>
    <w:lvl w:ilvl="0">
      <w:lvlJc w:val="left"/>
      <w:lvlText w:val="7"/>
      <w:numFmt w:val="bullet"/>
      <w:start w:val="1"/>
    </w:lvl>
  </w:abstractNum>
  <w:abstractNum w:abstractNumId="37">
    <w:nsid w:val="1EBA5D23"/>
    <w:multiLevelType w:val="hybridMultilevel"/>
    <w:lvl w:ilvl="0">
      <w:lvlJc w:val="left"/>
      <w:lvlText w:val="8"/>
      <w:numFmt w:val="bullet"/>
      <w:start w:val="1"/>
    </w:lvl>
  </w:abstractNum>
  <w:abstractNum w:abstractNumId="38">
    <w:nsid w:val="661E3F1E"/>
    <w:multiLevelType w:val="hybridMultilevel"/>
    <w:lvl w:ilvl="0">
      <w:lvlJc w:val="left"/>
      <w:lvlText w:val="9"/>
      <w:numFmt w:val="bullet"/>
      <w:start w:val="1"/>
    </w:lvl>
  </w:abstractNum>
  <w:abstractNum w:abstractNumId="39">
    <w:nsid w:val="5DC79EA8"/>
    <w:multiLevelType w:val="hybridMultilevel"/>
    <w:lvl w:ilvl="0">
      <w:lvlJc w:val="left"/>
      <w:lvlText w:val="1"/>
      <w:numFmt w:val="bullet"/>
      <w:start w:val="1"/>
    </w:lvl>
  </w:abstractNum>
  <w:abstractNum w:abstractNumId="40">
    <w:nsid w:val="540A471C"/>
    <w:multiLevelType w:val="hybridMultilevel"/>
    <w:lvl w:ilvl="0">
      <w:lvlJc w:val="left"/>
      <w:lvlText w:val="2"/>
      <w:numFmt w:val="bullet"/>
      <w:start w:val="1"/>
    </w:lvl>
  </w:abstractNum>
  <w:abstractNum w:abstractNumId="41">
    <w:nsid w:val="7BD3EE7B"/>
    <w:multiLevelType w:val="hybridMultilevel"/>
    <w:lvl w:ilvl="0">
      <w:lvlJc w:val="left"/>
      <w:lvlText w:val="3"/>
      <w:numFmt w:val="bullet"/>
      <w:start w:val="1"/>
    </w:lvl>
  </w:abstractNum>
  <w:abstractNum w:abstractNumId="42">
    <w:nsid w:val="51D9C564"/>
    <w:multiLevelType w:val="hybridMultilevel"/>
    <w:lvl w:ilvl="0">
      <w:lvlJc w:val="left"/>
      <w:lvlText w:val="4"/>
      <w:numFmt w:val="bullet"/>
      <w:start w:val="1"/>
    </w:lvl>
  </w:abstractNum>
  <w:abstractNum w:abstractNumId="43">
    <w:nsid w:val="613EFDC5"/>
    <w:multiLevelType w:val="hybridMultilevel"/>
    <w:lvl w:ilvl="0">
      <w:lvlJc w:val="left"/>
      <w:lvlText w:val="5"/>
      <w:numFmt w:val="bullet"/>
      <w:start w:val="1"/>
    </w:lvl>
  </w:abstractNum>
  <w:abstractNum w:abstractNumId="44">
    <w:nsid w:val="BF72B14"/>
    <w:multiLevelType w:val="hybridMultilevel"/>
    <w:lvl w:ilvl="0">
      <w:lvlJc w:val="left"/>
      <w:lvlText w:val="6"/>
      <w:numFmt w:val="bullet"/>
      <w:start w:val="1"/>
    </w:lvl>
  </w:abstractNum>
  <w:abstractNum w:abstractNumId="45">
    <w:nsid w:val="11447B73"/>
    <w:multiLevelType w:val="hybridMultilevel"/>
    <w:lvl w:ilvl="0">
      <w:lvlJc w:val="left"/>
      <w:lvlText w:val="7"/>
      <w:numFmt w:val="bullet"/>
      <w:start w:val="1"/>
    </w:lvl>
  </w:abstractNum>
  <w:abstractNum w:abstractNumId="46">
    <w:nsid w:val="42963E5A"/>
    <w:multiLevelType w:val="hybridMultilevel"/>
    <w:lvl w:ilvl="0">
      <w:lvlJc w:val="left"/>
      <w:lvlText w:val="8"/>
      <w:numFmt w:val="bullet"/>
      <w:start w:val="1"/>
    </w:lvl>
  </w:abstractNum>
  <w:abstractNum w:abstractNumId="47">
    <w:nsid w:val="A0382C5"/>
    <w:multiLevelType w:val="hybridMultilevel"/>
    <w:lvl w:ilvl="0">
      <w:lvlJc w:val="left"/>
      <w:lvlText w:val="9"/>
      <w:numFmt w:val="bullet"/>
      <w:start w:val="1"/>
    </w:lvl>
  </w:abstractNum>
  <w:abstractNum w:abstractNumId="48">
    <w:nsid w:val="8F2B15E"/>
    <w:multiLevelType w:val="hybridMultilevel"/>
    <w:lvl w:ilvl="0">
      <w:lvlJc w:val="left"/>
      <w:lvlText w:val="%1"/>
      <w:numFmt w:val="decimal"/>
      <w:start w:val="10"/>
    </w:lvl>
  </w:abstractNum>
  <w:abstractNum w:abstractNumId="49">
    <w:nsid w:val="1A32234B"/>
    <w:multiLevelType w:val="hybridMultilevel"/>
    <w:lvl w:ilvl="0">
      <w:lvlJc w:val="left"/>
      <w:lvlText w:val="\emdash "/>
      <w:numFmt w:val="bullet"/>
      <w:start w:val="1"/>
    </w:lvl>
  </w:abstractNum>
  <w:abstractNum w:abstractNumId="50">
    <w:nsid w:val="3B0FD379"/>
    <w:multiLevelType w:val="hybridMultilevel"/>
    <w:lvl w:ilvl="0">
      <w:lvlJc w:val="left"/>
      <w:lvlText w:val="(%1)"/>
      <w:numFmt w:val="decimal"/>
      <w:start w:val="1"/>
    </w:lvl>
  </w:abstractNum>
  <w:abstractNum w:abstractNumId="51">
    <w:nsid w:val="68EB2F63"/>
    <w:multiLevelType w:val="hybridMultilevel"/>
    <w:lvl w:ilvl="0">
      <w:lvlJc w:val="left"/>
      <w:lvlText w:val="(%1)"/>
      <w:numFmt w:val="decimal"/>
      <w:start w:val="1"/>
    </w:lvl>
  </w:abstractNum>
  <w:abstractNum w:abstractNumId="52">
    <w:nsid w:val="4962813B"/>
    <w:multiLevelType w:val="hybridMultilevel"/>
    <w:lvl w:ilvl="0">
      <w:lvlJc w:val="left"/>
      <w:lvlText w:val="%1:"/>
      <w:numFmt w:val="decimal"/>
      <w:start w:val="820"/>
    </w:lvl>
  </w:abstractNum>
  <w:abstractNum w:abstractNumId="53">
    <w:nsid w:val="60B6DF70"/>
    <w:multiLevelType w:val="hybridMultilevel"/>
    <w:lvl w:ilvl="0">
      <w:lvlJc w:val="left"/>
      <w:lvlText w:val="1"/>
      <w:numFmt w:val="bullet"/>
      <w:start w:val="1"/>
    </w:lvl>
  </w:abstractNum>
  <w:abstractNum w:abstractNumId="54">
    <w:nsid w:val="6A5EE64"/>
    <w:multiLevelType w:val="hybridMultilevel"/>
    <w:lvl w:ilvl="0">
      <w:lvlJc w:val="left"/>
      <w:lvlText w:val="2"/>
      <w:numFmt w:val="bullet"/>
      <w:start w:val="1"/>
    </w:lvl>
  </w:abstractNum>
  <w:abstractNum w:abstractNumId="55">
    <w:nsid w:val="14330624"/>
    <w:multiLevelType w:val="hybridMultilevel"/>
    <w:lvl w:ilvl="0">
      <w:lvlJc w:val="left"/>
      <w:lvlText w:val="1"/>
      <w:numFmt w:val="bullet"/>
      <w:start w:val="1"/>
    </w:lvl>
  </w:abstractNum>
  <w:abstractNum w:abstractNumId="56">
    <w:nsid w:val="7FFFCA11"/>
    <w:multiLevelType w:val="hybridMultilevel"/>
    <w:lvl w:ilvl="0">
      <w:lvlJc w:val="left"/>
      <w:lvlText w:val="2"/>
      <w:numFmt w:val="bullet"/>
      <w:start w:val="1"/>
    </w:lvl>
  </w:abstractNum>
  <w:abstractNum w:abstractNumId="57">
    <w:nsid w:val="1A27709E"/>
    <w:multiLevelType w:val="hybridMultilevel"/>
    <w:lvl w:ilvl="0">
      <w:lvlJc w:val="left"/>
      <w:lvlText w:val="1"/>
      <w:numFmt w:val="bullet"/>
      <w:start w:val="1"/>
    </w:lvl>
  </w:abstractNum>
  <w:abstractNum w:abstractNumId="58">
    <w:nsid w:val="71EA1109"/>
    <w:multiLevelType w:val="hybridMultilevel"/>
    <w:lvl w:ilvl="0">
      <w:lvlJc w:val="left"/>
      <w:lvlText w:val="2"/>
      <w:numFmt w:val="bullet"/>
      <w:start w:val="1"/>
    </w:lvl>
  </w:abstractNum>
  <w:abstractNum w:abstractNumId="59">
    <w:nsid w:val="100F59DC"/>
    <w:multiLevelType w:val="hybridMultilevel"/>
    <w:lvl w:ilvl="0">
      <w:lvlJc w:val="left"/>
      <w:lvlText w:val="1"/>
      <w:numFmt w:val="bullet"/>
      <w:start w:val="1"/>
    </w:lvl>
  </w:abstractNum>
  <w:abstractNum w:abstractNumId="60">
    <w:nsid w:val="7FB7E0AA"/>
    <w:multiLevelType w:val="hybridMultilevel"/>
    <w:lvl w:ilvl="0">
      <w:lvlJc w:val="left"/>
      <w:lvlText w:val="2"/>
      <w:numFmt w:val="bullet"/>
      <w:start w:val="1"/>
    </w:lvl>
  </w:abstractNum>
  <w:abstractNum w:abstractNumId="61">
    <w:nsid w:val="6EB5BD4"/>
    <w:multiLevelType w:val="hybridMultilevel"/>
    <w:lvl w:ilvl="0">
      <w:lvlJc w:val="left"/>
      <w:lvlText w:val="%1."/>
      <w:numFmt w:val="decimal"/>
      <w:start w:val="5"/>
    </w:lvl>
  </w:abstractNum>
  <w:abstractNum w:abstractNumId="62">
    <w:nsid w:val="6F6DD9AC"/>
    <w:multiLevelType w:val="hybridMultilevel"/>
    <w:lvl w:ilvl="0">
      <w:lvlJc w:val="left"/>
      <w:lvlText w:val="•"/>
      <w:numFmt w:val="bullet"/>
      <w:start w:val="1"/>
    </w:lvl>
  </w:abstractNum>
  <w:abstractNum w:abstractNumId="63">
    <w:nsid w:val="94211F2"/>
    <w:multiLevelType w:val="hybridMultilevel"/>
    <w:lvl w:ilvl="0">
      <w:lvlJc w:val="left"/>
      <w:lvlText w:val="•"/>
      <w:numFmt w:val="bullet"/>
      <w:start w:val="1"/>
    </w:lvl>
  </w:abstractNum>
  <w:abstractNum w:abstractNumId="64">
    <w:nsid w:val="885E1B"/>
    <w:multiLevelType w:val="hybridMultilevel"/>
    <w:lvl w:ilvl="0">
      <w:lvlJc w:val="left"/>
      <w:lvlText w:val="(%1)"/>
      <w:numFmt w:val="lowerLetter"/>
      <w:start w:val="5"/>
    </w:lvl>
  </w:abstractNum>
  <w:abstractNum w:abstractNumId="65">
    <w:nsid w:val="76272110"/>
    <w:multiLevelType w:val="hybridMultilevel"/>
    <w:lvl w:ilvl="0">
      <w:lvlJc w:val="left"/>
      <w:lvlText w:val="•"/>
      <w:numFmt w:val="bullet"/>
      <w:start w:val="1"/>
    </w:lvl>
  </w:abstractNum>
  <w:abstractNum w:abstractNumId="66">
    <w:nsid w:val="4C04A8AF"/>
    <w:multiLevelType w:val="hybridMultilevel"/>
    <w:lvl w:ilvl="0">
      <w:lvlJc w:val="left"/>
      <w:lvlText w:val="•"/>
      <w:numFmt w:val="bullet"/>
      <w:start w:val="1"/>
    </w:lvl>
  </w:abstractNum>
  <w:abstractNum w:abstractNumId="67">
    <w:nsid w:val="1716703B"/>
    <w:multiLevelType w:val="hybridMultilevel"/>
    <w:lvl w:ilvl="0">
      <w:lvlJc w:val="left"/>
      <w:lvlText w:val="(%1)"/>
      <w:numFmt w:val="lowerRoman"/>
      <w:start w:val="1"/>
    </w:lvl>
  </w:abstractNum>
  <w:abstractNum w:abstractNumId="68">
    <w:nsid w:val="14E17E33"/>
    <w:multiLevelType w:val="hybridMultilevel"/>
    <w:lvl w:ilvl="0">
      <w:lvlJc w:val="left"/>
      <w:lvlText w:val="(%1)"/>
      <w:numFmt w:val="decimal"/>
      <w:start w:val="1"/>
    </w:lvl>
  </w:abstractNum>
  <w:abstractNum w:abstractNumId="69">
    <w:nsid w:val="3222E7CD"/>
    <w:multiLevelType w:val="hybridMultilevel"/>
    <w:lvl w:ilvl="0">
      <w:lvlJc w:val="left"/>
      <w:lvlText w:val="(%1)"/>
      <w:numFmt w:val="decimal"/>
      <w:start w:val="1"/>
    </w:lvl>
  </w:abstractNum>
  <w:abstractNum w:abstractNumId="70">
    <w:nsid w:val="74DE0EE3"/>
    <w:multiLevelType w:val="hybridMultilevel"/>
    <w:lvl w:ilvl="0">
      <w:lvlJc w:val="left"/>
      <w:lvlText w:val="%1."/>
      <w:numFmt w:val="decimal"/>
      <w:start w:val="7"/>
    </w:lvl>
  </w:abstractNum>
  <w:abstractNum w:abstractNumId="71">
    <w:nsid w:val="68EBC550"/>
    <w:multiLevelType w:val="hybridMultilevel"/>
    <w:lvl w:ilvl="0">
      <w:lvlJc w:val="left"/>
      <w:lvlText w:val="%1."/>
      <w:numFmt w:val="decimal"/>
      <w:start w:val="8"/>
    </w:lvl>
  </w:abstractNum>
  <w:abstractNum w:abstractNumId="72">
    <w:nsid w:val="2DF6D648"/>
    <w:multiLevelType w:val="hybridMultilevel"/>
    <w:lvl w:ilvl="0">
      <w:lvlJc w:val="left"/>
      <w:lvlText w:val="%1."/>
      <w:numFmt w:val="decimal"/>
      <w:start w:val="9"/>
    </w:lvl>
  </w:abstractNum>
  <w:abstractNum w:abstractNumId="73">
    <w:nsid w:val="46B7D447"/>
    <w:multiLevelType w:val="hybridMultilevel"/>
    <w:lvl w:ilvl="0">
      <w:lvlJc w:val="left"/>
      <w:lvlText w:val="1"/>
      <w:numFmt w:val="bullet"/>
      <w:start w:val="1"/>
    </w:lvl>
  </w:abstractNum>
  <w:abstractNum w:abstractNumId="74">
    <w:nsid w:val="4A2AC315"/>
    <w:multiLevelType w:val="hybridMultilevel"/>
    <w:lvl w:ilvl="0">
      <w:lvlJc w:val="left"/>
      <w:lvlText w:val="(%1)"/>
      <w:numFmt w:val="lowerRoman"/>
      <w:start w:val="1"/>
    </w:lvl>
  </w:abstractNum>
  <w:abstractNum w:abstractNumId="75">
    <w:nsid w:val="39EE015C"/>
    <w:multiLevelType w:val="hybridMultilevel"/>
    <w:lvl w:ilvl="0">
      <w:lvlJc w:val="left"/>
      <w:lvlText w:val="%1."/>
      <w:numFmt w:val="decimal"/>
      <w:start w:val="12"/>
    </w:lvl>
  </w:abstractNum>
  <w:abstractNum w:abstractNumId="76">
    <w:nsid w:val="57FC4FBB"/>
    <w:multiLevelType w:val="hybridMultilevel"/>
    <w:lvl w:ilvl="0">
      <w:lvlJc w:val="left"/>
      <w:lvlText w:val="(%1)"/>
      <w:numFmt w:val="decimal"/>
      <w:start w:val="1"/>
    </w:lvl>
  </w:abstractNum>
  <w:abstractNum w:abstractNumId="77">
    <w:nsid w:val="CC1016F"/>
    <w:multiLevelType w:val="hybridMultilevel"/>
    <w:lvl w:ilvl="0">
      <w:lvlJc w:val="left"/>
      <w:lvlText w:val="(%1)"/>
      <w:numFmt w:val="decimal"/>
      <w:start w:val="1"/>
    </w:lvl>
  </w:abstractNum>
  <w:abstractNum w:abstractNumId="78">
    <w:nsid w:val="43F18422"/>
    <w:multiLevelType w:val="hybridMultilevel"/>
    <w:lvl w:ilvl="0">
      <w:lvlJc w:val="left"/>
      <w:lvlText w:val="%1."/>
      <w:numFmt w:val="decimal"/>
      <w:start w:val="13"/>
    </w:lvl>
  </w:abstractNum>
  <w:abstractNum w:abstractNumId="79">
    <w:nsid w:val="60EF0119"/>
    <w:multiLevelType w:val="hybridMultilevel"/>
    <w:lvl w:ilvl="0">
      <w:lvlJc w:val="left"/>
      <w:lvlText w:val="(%1)"/>
      <w:numFmt w:val="lowerRoman"/>
      <w:start w:val="2"/>
    </w:lvl>
  </w:abstractNum>
  <w:abstractNum w:abstractNumId="80">
    <w:nsid w:val="26F324BA"/>
    <w:multiLevelType w:val="hybridMultilevel"/>
    <w:lvl w:ilvl="0">
      <w:lvlJc w:val="left"/>
      <w:lvlText w:val="¹"/>
      <w:numFmt w:val="bullet"/>
      <w:start w:val="1"/>
    </w:lvl>
  </w:abstractNum>
  <w:abstractNum w:abstractNumId="81">
    <w:nsid w:val="7F01579B"/>
    <w:multiLevelType w:val="hybridMultilevel"/>
    <w:lvl w:ilvl="0">
      <w:lvlJc w:val="left"/>
      <w:lvlText w:val="²"/>
      <w:numFmt w:val="bullet"/>
      <w:start w:val="1"/>
    </w:lvl>
  </w:abstractNum>
  <w:abstractNum w:abstractNumId="82">
    <w:nsid w:val="49DA307D"/>
    <w:multiLevelType w:val="hybridMultilevel"/>
    <w:lvl w:ilvl="0">
      <w:lvlJc w:val="left"/>
      <w:lvlText w:val="1"/>
      <w:numFmt w:val="bullet"/>
      <w:start w:val="1"/>
    </w:lvl>
  </w:abstractNum>
  <w:abstractNum w:abstractNumId="83">
    <w:nsid w:val="7055A5F5"/>
    <w:multiLevelType w:val="hybridMultilevel"/>
    <w:lvl w:ilvl="0">
      <w:lvlJc w:val="left"/>
      <w:lvlText w:val="2"/>
      <w:numFmt w:val="bullet"/>
      <w:start w:val="1"/>
    </w:lvl>
  </w:abstractNum>
  <w:abstractNum w:abstractNumId="84">
    <w:nsid w:val="5FB8370B"/>
    <w:multiLevelType w:val="hybridMultilevel"/>
    <w:lvl w:ilvl="0">
      <w:lvlJc w:val="left"/>
      <w:lvlText w:val="1"/>
      <w:numFmt w:val="bullet"/>
      <w:start w:val="1"/>
    </w:lvl>
  </w:abstractNum>
  <w:abstractNum w:abstractNumId="85">
    <w:nsid w:val="50801EE1"/>
    <w:multiLevelType w:val="hybridMultilevel"/>
    <w:lvl w:ilvl="0">
      <w:lvlJc w:val="left"/>
      <w:lvlText w:val="2"/>
      <w:numFmt w:val="bullet"/>
      <w:start w:val="1"/>
    </w:lvl>
  </w:abstractNum>
  <w:abstractNum w:abstractNumId="86">
    <w:nsid w:val="488AC1A"/>
    <w:multiLevelType w:val="hybridMultilevel"/>
    <w:lvl w:ilvl="0">
      <w:lvlJc w:val="left"/>
      <w:lvlText w:val="(%1)"/>
      <w:numFmt w:val="decimal"/>
      <w:start w:val="1"/>
    </w:lvl>
  </w:abstractNum>
  <w:abstractNum w:abstractNumId="87">
    <w:nsid w:val="5FB8011C"/>
    <w:multiLevelType w:val="hybridMultilevel"/>
    <w:lvl w:ilvl="0">
      <w:lvlJc w:val="left"/>
      <w:lvlText w:val="(%1)"/>
      <w:numFmt w:val="decimal"/>
      <w:start w:val="1"/>
    </w:lvl>
  </w:abstractNum>
  <w:abstractNum w:abstractNumId="88">
    <w:nsid w:val="6AA78F7F"/>
    <w:multiLevelType w:val="hybridMultilevel"/>
    <w:lvl w:ilvl="0">
      <w:lvlJc w:val="left"/>
      <w:lvlText w:val="•"/>
      <w:numFmt w:val="bullet"/>
      <w:start w:val="1"/>
    </w:lvl>
  </w:abstractNum>
  <w:abstractNum w:abstractNumId="89">
    <w:nsid w:val="7672BD23"/>
    <w:multiLevelType w:val="hybridMultilevel"/>
    <w:lvl w:ilvl="0">
      <w:lvlJc w:val="left"/>
      <w:lvlText w:val="(%1)"/>
      <w:numFmt w:val="decimal"/>
      <w:start w:val="1"/>
    </w:lvl>
  </w:abstractNum>
  <w:abstractNum w:abstractNumId="90">
    <w:nsid w:val="6FC75AF8"/>
    <w:multiLevelType w:val="hybridMultilevel"/>
    <w:lvl w:ilvl="0">
      <w:lvlJc w:val="left"/>
      <w:lvlText w:val="•"/>
      <w:numFmt w:val="bullet"/>
      <w:start w:val="1"/>
    </w:lvl>
  </w:abstractNum>
  <w:abstractNum w:abstractNumId="91">
    <w:nsid w:val="6A5F7029"/>
    <w:multiLevelType w:val="hybridMultilevel"/>
    <w:lvl w:ilvl="0">
      <w:lvlJc w:val="left"/>
      <w:lvlText w:val="1"/>
      <w:numFmt w:val="bullet"/>
      <w:start w:val="1"/>
    </w:lvl>
  </w:abstractNum>
  <w:abstractNum w:abstractNumId="92">
    <w:nsid w:val="7D5E18F8"/>
    <w:multiLevelType w:val="hybridMultilevel"/>
    <w:lvl w:ilvl="0">
      <w:lvlJc w:val="left"/>
      <w:lvlText w:val="•"/>
      <w:numFmt w:val="bullet"/>
      <w:start w:val="1"/>
    </w:lvl>
  </w:abstractNum>
  <w:abstractNum w:abstractNumId="93">
    <w:nsid w:val="5F3534A4"/>
    <w:multiLevelType w:val="hybridMultilevel"/>
    <w:lvl w:ilvl="0">
      <w:lvlJc w:val="left"/>
      <w:lvlText w:val="1"/>
      <w:numFmt w:val="bullet"/>
      <w:start w:val="1"/>
    </w:lvl>
  </w:abstractNum>
  <w:abstractNum w:abstractNumId="94">
    <w:nsid w:val="73A1821B"/>
    <w:multiLevelType w:val="hybridMultilevel"/>
    <w:lvl w:ilvl="0">
      <w:lvlJc w:val="left"/>
      <w:lvlText w:val="•"/>
      <w:numFmt w:val="bullet"/>
      <w:start w:val="1"/>
    </w:lvl>
  </w:abstractNum>
  <w:abstractNum w:abstractNumId="95">
    <w:nsid w:val="7DE67713"/>
    <w:multiLevelType w:val="hybridMultilevel"/>
    <w:lvl w:ilvl="0">
      <w:lvlJc w:val="left"/>
      <w:lvlText w:val="•"/>
      <w:numFmt w:val="bullet"/>
      <w:start w:val="1"/>
    </w:lvl>
  </w:abstractNum>
  <w:abstractNum w:abstractNumId="96">
    <w:nsid w:val="555C55B5"/>
    <w:multiLevelType w:val="hybridMultilevel"/>
    <w:lvl w:ilvl="0">
      <w:lvlJc w:val="left"/>
      <w:lvlText w:val="(%1)"/>
      <w:numFmt w:val="lowerLetter"/>
      <w:start w:val="1"/>
    </w:lvl>
  </w:abstractNum>
  <w:abstractNum w:abstractNumId="97">
    <w:nsid w:val="3FA62ACA"/>
    <w:multiLevelType w:val="hybridMultilevel"/>
    <w:lvl w:ilvl="0">
      <w:lvlJc w:val="left"/>
      <w:lvlText w:val="**"/>
      <w:numFmt w:val="bullet"/>
      <w:start w:val="1"/>
    </w:lvl>
  </w:abstractNum>
  <w:abstractNum w:abstractNumId="98">
    <w:nsid w:val="14FCE74E"/>
    <w:multiLevelType w:val="hybridMultilevel"/>
    <w:lvl w:ilvl="0">
      <w:lvlJc w:val="left"/>
      <w:lvlText w:val="%1."/>
      <w:numFmt w:val="decimal"/>
      <w:start w:val="1"/>
    </w:lvl>
  </w:abstractNum>
  <w:abstractNum w:abstractNumId="99">
    <w:nsid w:val="6A3DD3E8"/>
    <w:multiLevelType w:val="hybridMultilevel"/>
    <w:lvl w:ilvl="0">
      <w:lvlJc w:val="left"/>
      <w:lvlText w:val="(%1)"/>
      <w:numFmt w:val="lowerLetter"/>
      <w:start w:val="1"/>
    </w:lvl>
  </w:abstractNum>
  <w:abstractNum w:abstractNumId="100">
    <w:nsid w:val="71C91298"/>
    <w:multiLevelType w:val="hybridMultilevel"/>
    <w:lvl w:ilvl="0">
      <w:lvlJc w:val="left"/>
      <w:lvlText w:val="%1."/>
      <w:numFmt w:val="decimal"/>
      <w:start w:val="5"/>
    </w:lvl>
  </w:abstractNum>
  <w:abstractNum w:abstractNumId="101">
    <w:nsid w:val="9DAF632"/>
    <w:multiLevelType w:val="hybridMultilevel"/>
    <w:lvl w:ilvl="0">
      <w:lvlJc w:val="left"/>
      <w:lvlText w:val="(%1)"/>
      <w:numFmt w:val="lowerLetter"/>
      <w:start w:val="1"/>
    </w:lvl>
  </w:abstractNum>
  <w:abstractNum w:abstractNumId="102">
    <w:nsid w:val="53299938"/>
    <w:multiLevelType w:val="hybridMultilevel"/>
    <w:lvl w:ilvl="0">
      <w:lvlJc w:val="left"/>
      <w:lvlText w:val="%1."/>
      <w:numFmt w:val="decimal"/>
      <w:start w:val="1"/>
    </w:lvl>
  </w:abstractNum>
  <w:abstractNum w:abstractNumId="103">
    <w:nsid w:val="1FBFE8E0"/>
    <w:multiLevelType w:val="hybridMultilevel"/>
    <w:lvl w:ilvl="0">
      <w:lvlJc w:val="left"/>
      <w:lvlText w:val="(%1)"/>
      <w:numFmt w:val="lowerLetter"/>
      <w:start w:val="1"/>
    </w:lvl>
  </w:abstractNum>
  <w:abstractNum w:abstractNumId="104">
    <w:nsid w:val="5092CA79"/>
    <w:multiLevelType w:val="hybridMultilevel"/>
    <w:lvl w:ilvl="0">
      <w:lvlJc w:val="left"/>
      <w:lvlText w:val="%1."/>
      <w:numFmt w:val="decimal"/>
      <w:start w:val="5"/>
    </w:lvl>
  </w:abstractNum>
  <w:abstractNum w:abstractNumId="105">
    <w:nsid w:val="1D545C4D"/>
    <w:multiLevelType w:val="hybridMultilevel"/>
    <w:lvl w:ilvl="0">
      <w:lvlJc w:val="left"/>
      <w:lvlText w:val="(%1)"/>
      <w:numFmt w:val="lowerLetter"/>
      <w:start w:val="1"/>
    </w:lvl>
  </w:abstractNum>
  <w:abstractNum w:abstractNumId="106">
    <w:nsid w:val="59ADEA3D"/>
    <w:multiLevelType w:val="hybridMultilevel"/>
    <w:lvl w:ilvl="0">
      <w:lvlJc w:val="left"/>
      <w:lvlText w:val="(%1)"/>
      <w:numFmt w:val="decimal"/>
      <w:start w:val="1"/>
    </w:lvl>
  </w:abstractNum>
  <w:abstractNum w:abstractNumId="107">
    <w:nsid w:val="288F1A3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86" Type="http://schemas.openxmlformats.org/officeDocument/2006/relationships/image" Target="media/image172.png"/><Relationship Id="rId187" Type="http://schemas.openxmlformats.org/officeDocument/2006/relationships/image" Target="media/image173.png"/><Relationship Id="rId188" Type="http://schemas.openxmlformats.org/officeDocument/2006/relationships/image" Target="media/image174.png"/><Relationship Id="rId189" Type="http://schemas.openxmlformats.org/officeDocument/2006/relationships/image" Target="media/image175.png"/><Relationship Id="rId190" Type="http://schemas.openxmlformats.org/officeDocument/2006/relationships/image" Target="media/image176.png"/><Relationship Id="rId179" Type="http://schemas.openxmlformats.org/officeDocument/2006/relationships/hyperlink" Target="http://www.sec.gov/Archives/edgar/data/1372807/000119312506204545/dex99a.htm" TargetMode="External"/><Relationship Id="rId180" Type="http://schemas.openxmlformats.org/officeDocument/2006/relationships/hyperlink" Target="http://www.sec.gov/Archives/edgar/data/1372807/000114420419017514/tv517653_ex3-1.htm" TargetMode="External"/><Relationship Id="rId181" Type="http://schemas.openxmlformats.org/officeDocument/2006/relationships/hyperlink" Target="http://www.sec.gov/Archives/edgar/data/1372807/000114420418064543/tv509148_ex3-1.htm" TargetMode="External"/><Relationship Id="rId182" Type="http://schemas.openxmlformats.org/officeDocument/2006/relationships/hyperlink" Target="http://www.sec.gov/Archives/edgar/data/1372807/000114420419017514/tv517653_ex3-2.htm" TargetMode="External"/><Relationship Id="rId183" Type="http://schemas.openxmlformats.org/officeDocument/2006/relationships/hyperlink" Target="http://www.sec.gov/Archives/edgar/data/1372807/000114420412054349/v323537_ex99d3.htm" TargetMode="External"/><Relationship Id="rId184" Type="http://schemas.openxmlformats.org/officeDocument/2006/relationships/hyperlink" Target="http://www.sec.gov/Archives/edgar/data/1372807/000119312521147534/d308157dex41.htm" TargetMode="External"/><Relationship Id="rId185" Type="http://schemas.openxmlformats.org/officeDocument/2006/relationships/hyperlink" Target="http://www.sec.gov/Archives/edgar/data/1372807/000119312521147534/d308157dex4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2021-05-06T16:20:48Z</dcterms:created>
  <dcterms:modified xsi:type="dcterms:W3CDTF">2021-05-06T16:20:48Z</dcterms:modified>
</cp:coreProperties>
</file>