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Portman Ridge Finance Corporation</w:t>
      </w:r>
    </w:p>
    <w:p>
      <w:pPr>
        <w:spacing w:after="0" w:line="196" w:lineRule="auto"/>
        <w:rPr>
          <w:sz w:val="20"/>
          <w:szCs w:val="20"/>
          <w:color w:val="auto"/>
        </w:rPr>
      </w:pPr>
      <w:r>
        <w:rPr>
          <w:rFonts w:ascii="Times New Roman" w:cs="Times New Roman" w:eastAsia="Times New Roman" w:hAnsi="Times New Roman"/>
          <w:sz w:val="18"/>
          <w:szCs w:val="18"/>
          <w:color w:val="auto"/>
        </w:rPr>
        <w:t>650 Madison Avenue, 23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16,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35" w:lineRule="exact"/>
        <w:rPr>
          <w:sz w:val="24"/>
          <w:szCs w:val="24"/>
          <w:color w:val="auto"/>
        </w:rPr>
      </w:pPr>
    </w:p>
    <w:p>
      <w:pPr>
        <w:ind w:left="460"/>
        <w:spacing w:after="0"/>
        <w:tabs>
          <w:tab w:leader="none" w:pos="9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Portman Ridge Finance Corporation</w:t>
      </w:r>
    </w:p>
    <w:p>
      <w:pPr>
        <w:spacing w:after="0" w:line="27"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File Number 814-00735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Rule 17g-1 under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enclosed for filing on behalf of Portman Ridge Finance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please find:</w:t>
      </w:r>
    </w:p>
    <w:p>
      <w:pPr>
        <w:spacing w:after="0" w:line="54" w:lineRule="exact"/>
        <w:rPr>
          <w:sz w:val="24"/>
          <w:szCs w:val="24"/>
          <w:color w:val="auto"/>
        </w:rPr>
      </w:pPr>
    </w:p>
    <w:p>
      <w:pPr>
        <w:ind w:right="200" w:firstLine="457"/>
        <w:spacing w:after="0" w:line="282" w:lineRule="auto"/>
        <w:tabs>
          <w:tab w:leader="none" w:pos="79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Exhibit A, a copy of the Company’s fidelity bond issued by AXIS Insurance Company in the amount of $4,000,000 (the “</w:t>
      </w:r>
      <w:r>
        <w:rPr>
          <w:rFonts w:ascii="Times New Roman" w:cs="Times New Roman" w:eastAsia="Times New Roman" w:hAnsi="Times New Roman"/>
          <w:sz w:val="18"/>
          <w:szCs w:val="18"/>
          <w:u w:val="single" w:color="auto"/>
          <w:color w:val="auto"/>
        </w:rPr>
        <w:t>Fidelity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Bond</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firstLine="457"/>
        <w:spacing w:after="0" w:line="266" w:lineRule="auto"/>
        <w:tabs>
          <w:tab w:leader="none" w:pos="8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Exhibit B, an officer’s certificate certifying the resolutions approved by the board of directors of the Company, including a majority of the directors who are not “interested persons” of the Company as defined in the 1940 Act, regarding the amount, type, form and coverage of the Fidelity Bond.</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be advised that the Fidelity Bond premium has been paid for the period from April 1, 2022 to April 1, 2023.</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Jason T. Roos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Jason T. Roos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ectPr>
          <w:pgSz w:w="11900" w:h="16838" w:orient="portrait"/>
          <w:cols w:equalWidth="0" w:num="1">
            <w:col w:w="11180"/>
          </w:cols>
          <w:pgMar w:left="320" w:top="229" w:right="39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FRAUD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Any person who knowingly and with intent to defraud any insurance company or other person files an application for insurance or statement of claim containing any materially false information, or conceals for the purpose of misleading, information concerning any fact material thereto, commits a fraudulent insurance act, which is a crime, and shall also be subject to a civil penalty not to exceed five thousand dollars and the stated value of the claim for each such violation.</w:t>
      </w:r>
    </w:p>
    <w:p>
      <w:pPr>
        <w:spacing w:after="0" w:line="200" w:lineRule="exact"/>
        <w:rPr>
          <w:sz w:val="20"/>
          <w:szCs w:val="20"/>
          <w:color w:val="auto"/>
        </w:rPr>
      </w:pPr>
    </w:p>
    <w:p>
      <w:pPr>
        <w:spacing w:after="0" w:line="277"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AXIS 104 0415</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POLICYHOLDER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ECONOMIC AND TRADE SANCTIONS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Notice provides information concerning possible impact on your insurance coverage due to directives issued by the Office of Foreign Assets Control (OFAC).</w:t>
      </w:r>
    </w:p>
    <w:p>
      <w:pPr>
        <w:spacing w:after="0" w:line="15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THE OFFICE OF FOREIGN ASSETS CONTROL (“OFAC”) OF THE US DEPARTMENT OF THE TREASURY ADMINISTERS AND ENFORCES ECONOMIC AND TRADE SANCTIONS BASED ON US FOREIGN POLICY AND NATIONAL SECURITY GOALS AGAINST TARGETED FOREIGN COUNTRIES AND REGIMES, TERRORISTS, INTERNATIONAL NARCOTICS TRAFFICKERS, THOSE ENGAGED IN ACTIVITIES RELATED TO THE PROLIFERATION OF WEAPONS OF MASS DESTRUCTION, AND OTHER THREATS TO THE NATIONAL SECURITY, FOREIGN POLICY OR ECONOMY OF THE UNITED STATES.</w:t>
      </w:r>
    </w:p>
    <w:p>
      <w:pPr>
        <w:spacing w:after="0" w:line="179" w:lineRule="exact"/>
        <w:rPr>
          <w:sz w:val="20"/>
          <w:szCs w:val="20"/>
          <w:color w:val="auto"/>
        </w:rPr>
      </w:pPr>
    </w:p>
    <w:p>
      <w:pPr>
        <w:ind w:right="1040"/>
        <w:spacing w:after="0" w:line="286" w:lineRule="auto"/>
        <w:rPr>
          <w:sz w:val="20"/>
          <w:szCs w:val="20"/>
          <w:color w:val="auto"/>
        </w:rPr>
      </w:pPr>
      <w:r>
        <w:rPr>
          <w:rFonts w:ascii="Times New Roman" w:cs="Times New Roman" w:eastAsia="Times New Roman" w:hAnsi="Times New Roman"/>
          <w:sz w:val="18"/>
          <w:szCs w:val="18"/>
          <w:b w:val="1"/>
          <w:bCs w:val="1"/>
          <w:color w:val="auto"/>
        </w:rPr>
        <w:t>WHENEVER COVERAGE PROVIDED BY THIS POLICY WOULD BE IN VIOLATION OF ANY U.S. ECONOMIC OR TRADE SANCTIONS, SUCH COVERAGE SHALL BE NULL AND VOID.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REFER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HTTPS://WWW.TREASURY.GOV/RESOURCE-CENTER/SANCTIONS/PAGES/DEFAULT.ASPX</w:t>
      </w:r>
    </w:p>
    <w:p>
      <w:pPr>
        <w:spacing w:after="0" w:line="162"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AXIS 906 0316</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3" w:name="page4"/>
    <w:bookmarkEnd w:id="3"/>
    <w:p>
      <w:pPr>
        <w:ind w:left="240" w:right="2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180975</wp:posOffset>
            </wp:positionV>
            <wp:extent cx="7136130" cy="492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492760"/>
                    </a:xfrm>
                    <a:prstGeom prst="rect">
                      <a:avLst/>
                    </a:prstGeom>
                    <a:noFill/>
                  </pic:spPr>
                </pic:pic>
              </a:graphicData>
            </a:graphic>
          </wp:anchor>
        </w:drawing>
        <w:t>NOTICE: THESE POLICY FORMS AND THE APPLICABLE RATES ARE EXEMPT FROM THE FILING REQUIREMENTS OF THE NEW YORK STATE INSURANCE DEPARTMENT. HOWEVER, SUCH FORMS AND RATES MUST MEET THE MINIMUM STANDARDS OF THE NEW YORK INSURANCE LAW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49465" cy="2219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219960"/>
                    </a:xfrm>
                    <a:prstGeom prst="rect">
                      <a:avLst/>
                    </a:prstGeom>
                    <a:noFill/>
                  </pic:spPr>
                </pic:pic>
              </a:graphicData>
            </a:graphic>
          </wp:anchor>
        </w:drawing>
      </w: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INSTITUTION BOND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Standard Form No. 14, Revised to October, 1987</w:t>
      </w:r>
    </w:p>
    <w:p>
      <w:pPr>
        <w:spacing w:after="0" w:line="20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 xml:space="preserve">Bond No. </w:t>
      </w:r>
      <w:r>
        <w:rPr>
          <w:rFonts w:ascii="Times New Roman" w:cs="Times New Roman" w:eastAsia="Times New Roman" w:hAnsi="Times New Roman"/>
          <w:sz w:val="18"/>
          <w:szCs w:val="18"/>
          <w:color w:val="auto"/>
        </w:rPr>
        <w:t>P-001-000219755-03</w:t>
      </w:r>
    </w:p>
    <w:p>
      <w:pPr>
        <w:spacing w:after="0" w:line="1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AXIS Insurance Company (admitted)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 South Wacker Drive, Suite 3500, Chicago, IL 60606</w:t>
      </w:r>
    </w:p>
    <w:p>
      <w:pPr>
        <w:spacing w:after="0" w:line="9" w:lineRule="exact"/>
        <w:rPr>
          <w:sz w:val="20"/>
          <w:szCs w:val="20"/>
          <w:color w:val="auto"/>
        </w:rPr>
      </w:pPr>
    </w:p>
    <w:p>
      <w:pPr>
        <w:ind w:left="5560" w:hanging="444"/>
        <w:spacing w:after="0"/>
        <w:tabs>
          <w:tab w:leader="none" w:pos="5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259-5435</w:t>
      </w:r>
    </w:p>
    <w:p>
      <w:pPr>
        <w:spacing w:after="0" w:line="9" w:lineRule="exact"/>
        <w:rPr>
          <w:rFonts w:ascii="Times New Roman" w:cs="Times New Roman" w:eastAsia="Times New Roman" w:hAnsi="Times New Roman"/>
          <w:sz w:val="18"/>
          <w:szCs w:val="18"/>
          <w:color w:val="auto"/>
        </w:rPr>
      </w:pPr>
    </w:p>
    <w:p>
      <w:pPr>
        <w:ind w:left="5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 Stock Insurer</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(Herein called Underwriter)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DECLARATIONS</w:t>
            </w:r>
          </w:p>
        </w:tc>
        <w:tc>
          <w:tcPr>
            <w:tcW w:w="2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2"/>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Name of Insured (herein called Insured):</w:t>
            </w:r>
          </w:p>
        </w:tc>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Portman Ridge Finance Corporation</w:t>
            </w: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780" w:type="dxa"/>
            <w:vAlign w:val="bottom"/>
          </w:tcPr>
          <w:p>
            <w:pPr>
              <w:spacing w:after="0"/>
              <w:rPr>
                <w:sz w:val="24"/>
                <w:szCs w:val="24"/>
                <w:color w:val="auto"/>
              </w:rPr>
            </w:pPr>
          </w:p>
        </w:tc>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Address:</w:t>
            </w:r>
          </w:p>
        </w:tc>
        <w:tc>
          <w:tcPr>
            <w:tcW w:w="2100" w:type="dxa"/>
            <w:vAlign w:val="bottom"/>
          </w:tcPr>
          <w:p>
            <w:pPr>
              <w:spacing w:after="0"/>
              <w:rPr>
                <w:sz w:val="24"/>
                <w:szCs w:val="24"/>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650 Madison Avenue, 23rd Floor</w:t>
            </w: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7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New York, NY 10022</w:t>
            </w:r>
          </w:p>
        </w:tc>
        <w:tc>
          <w:tcPr>
            <w:tcW w:w="2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441"/>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2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Bond Period: from 12:01 a.m. on</w:t>
            </w:r>
          </w:p>
        </w:tc>
        <w:tc>
          <w:tcPr>
            <w:tcW w:w="2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04/01/2022</w:t>
            </w:r>
          </w:p>
        </w:tc>
        <w:tc>
          <w:tcPr>
            <w:tcW w:w="2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 12:01 a.m. on</w:t>
            </w:r>
          </w:p>
        </w:tc>
        <w:tc>
          <w:tcPr>
            <w:tcW w:w="28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04/01/2023</w:t>
            </w:r>
          </w:p>
        </w:tc>
        <w:tc>
          <w:tcPr>
            <w:tcW w:w="20" w:type="dxa"/>
            <w:vAlign w:val="bottom"/>
          </w:tcPr>
          <w:p>
            <w:pPr>
              <w:spacing w:after="0"/>
              <w:rPr>
                <w:sz w:val="24"/>
                <w:szCs w:val="24"/>
                <w:color w:val="auto"/>
              </w:rPr>
            </w:pPr>
          </w:p>
        </w:tc>
      </w:tr>
      <w:tr>
        <w:trPr>
          <w:trHeight w:val="234"/>
        </w:trPr>
        <w:tc>
          <w:tcPr>
            <w:tcW w:w="7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8"/>
              </w:rPr>
              <w:t>(MONTH, DAY, YEAR)</w:t>
            </w:r>
          </w:p>
        </w:tc>
        <w:tc>
          <w:tcPr>
            <w:tcW w:w="28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(MONTH, DAY, YEAR)</w:t>
            </w:r>
          </w:p>
        </w:tc>
        <w:tc>
          <w:tcPr>
            <w:tcW w:w="20" w:type="dxa"/>
            <w:vAlign w:val="bottom"/>
          </w:tcPr>
          <w:p>
            <w:pPr>
              <w:spacing w:after="0"/>
              <w:rPr>
                <w:sz w:val="20"/>
                <w:szCs w:val="20"/>
                <w:color w:val="auto"/>
              </w:rPr>
            </w:pPr>
          </w:p>
        </w:tc>
      </w:tr>
    </w:tbl>
    <w:p>
      <w:pPr>
        <w:spacing w:after="0" w:line="86" w:lineRule="exact"/>
        <w:rPr>
          <w:sz w:val="20"/>
          <w:szCs w:val="20"/>
          <w:color w:val="auto"/>
        </w:rPr>
      </w:pPr>
    </w:p>
    <w:p>
      <w:pPr>
        <w:ind w:right="3420"/>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color w:val="auto"/>
        </w:rPr>
        <w:t>The Aggregate Limit of Liability of the Underwriter during the Bond Period shall be $8,000,000</w:t>
      </w:r>
      <w:r>
        <w:rPr>
          <w:rFonts w:ascii="Times New Roman" w:cs="Times New Roman" w:eastAsia="Times New Roman" w:hAnsi="Times New Roman"/>
          <w:sz w:val="18"/>
          <w:szCs w:val="18"/>
          <w:b w:val="1"/>
          <w:bCs w:val="1"/>
          <w:color w:val="auto"/>
        </w:rPr>
        <w:t xml:space="preserve"> Item 4. </w:t>
      </w:r>
      <w:r>
        <w:rPr>
          <w:rFonts w:ascii="Times New Roman" w:cs="Times New Roman" w:eastAsia="Times New Roman" w:hAnsi="Times New Roman"/>
          <w:sz w:val="18"/>
          <w:szCs w:val="18"/>
          <w:color w:val="auto"/>
        </w:rPr>
        <w:t>Subject to Sections 4 and 11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color w:val="auto"/>
        </w:rPr>
        <w:t>the Single Loss Limit of Liability is $4,000,000</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and the Single Loss Deductible is $100,000</w:t>
      </w:r>
    </w:p>
    <w:p>
      <w:pPr>
        <w:spacing w:after="0" w:line="112" w:lineRule="exact"/>
        <w:rPr>
          <w:sz w:val="20"/>
          <w:szCs w:val="20"/>
          <w:color w:val="auto"/>
        </w:rPr>
      </w:pPr>
    </w:p>
    <w:p>
      <w:pPr>
        <w:ind w:left="900" w:right="80"/>
        <w:spacing w:after="0" w:line="266" w:lineRule="auto"/>
        <w:rPr>
          <w:sz w:val="20"/>
          <w:szCs w:val="20"/>
          <w:color w:val="auto"/>
        </w:rPr>
      </w:pPr>
      <w:r>
        <w:rPr>
          <w:rFonts w:ascii="Times New Roman" w:cs="Times New Roman" w:eastAsia="Times New Roman" w:hAnsi="Times New Roman"/>
          <w:sz w:val="18"/>
          <w:szCs w:val="18"/>
          <w:color w:val="auto"/>
        </w:rPr>
        <w:t>Provided, however, that if any amounts are inserted below opposite specified Insuring Agreements or Coverages, those amounts shall be controlling. Any amount set forth below shall be part of and not in addition to amounts set forth above. (If an Insuring Agreement or Coverage is to be deleted, insert “Not Covered.”)</w:t>
      </w:r>
    </w:p>
    <w:p>
      <w:pPr>
        <w:spacing w:after="0" w:line="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Amount applicable to:</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Single Loss</w:t>
            </w:r>
          </w:p>
        </w:tc>
        <w:tc>
          <w:tcPr>
            <w:tcW w:w="2340" w:type="dxa"/>
            <w:vAlign w:val="bottom"/>
            <w:gridSpan w:val="4"/>
          </w:tcPr>
          <w:p>
            <w:pPr>
              <w:ind w:left="480"/>
              <w:spacing w:after="0"/>
              <w:rPr>
                <w:sz w:val="20"/>
                <w:szCs w:val="20"/>
                <w:color w:val="auto"/>
              </w:rPr>
            </w:pPr>
            <w:r>
              <w:rPr>
                <w:rFonts w:ascii="Times New Roman" w:cs="Times New Roman" w:eastAsia="Times New Roman" w:hAnsi="Times New Roman"/>
                <w:sz w:val="14"/>
                <w:szCs w:val="14"/>
                <w:color w:val="auto"/>
              </w:rPr>
              <w:t>Single Loss</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Limit of Liability</w:t>
            </w:r>
          </w:p>
        </w:tc>
        <w:tc>
          <w:tcPr>
            <w:tcW w:w="480" w:type="dxa"/>
            <w:vAlign w:val="bottom"/>
          </w:tcPr>
          <w:p>
            <w:pPr>
              <w:spacing w:after="0"/>
              <w:rPr>
                <w:sz w:val="14"/>
                <w:szCs w:val="14"/>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Deductible</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Insuring Agreement (A) – FIDELITY</w:t>
            </w:r>
          </w:p>
        </w:tc>
        <w:tc>
          <w:tcPr>
            <w:tcW w:w="3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Insuring Agreement (B) – ON PREMISES</w:t>
            </w:r>
          </w:p>
        </w:tc>
        <w:tc>
          <w:tcPr>
            <w:tcW w:w="13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Insuring Agreement (C) – IN TRANSIT</w:t>
            </w:r>
          </w:p>
        </w:tc>
        <w:tc>
          <w:tcPr>
            <w:tcW w:w="3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Insuring Agreement (D) – FORGERY OR ALTERATION</w:t>
            </w:r>
          </w:p>
        </w:tc>
        <w:tc>
          <w:tcPr>
            <w:tcW w:w="13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Insuring Agreement (E) –SECURITIES</w:t>
            </w:r>
          </w:p>
        </w:tc>
        <w:tc>
          <w:tcPr>
            <w:tcW w:w="3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Insuring Agreement (F) – COUNTERFEIT CURRENCY</w:t>
            </w:r>
          </w:p>
        </w:tc>
        <w:tc>
          <w:tcPr>
            <w:tcW w:w="13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Coverage on Partners</w:t>
            </w:r>
          </w:p>
        </w:tc>
        <w:tc>
          <w:tcPr>
            <w:tcW w:w="3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600" w:type="dxa"/>
            <w:vAlign w:val="bottom"/>
            <w:gridSpan w:val="5"/>
          </w:tcPr>
          <w:p>
            <w:pPr>
              <w:ind w:left="1140"/>
              <w:spacing w:after="0"/>
              <w:rPr>
                <w:sz w:val="20"/>
                <w:szCs w:val="20"/>
                <w:color w:val="auto"/>
              </w:rPr>
            </w:pPr>
            <w:r>
              <w:rPr>
                <w:rFonts w:ascii="Times New Roman" w:cs="Times New Roman" w:eastAsia="Times New Roman" w:hAnsi="Times New Roman"/>
                <w:sz w:val="18"/>
                <w:szCs w:val="18"/>
                <w:color w:val="auto"/>
              </w:rPr>
              <w:t>Optional Insuring Agreements and Coverages: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9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Expense</w:t>
            </w:r>
          </w:p>
        </w:tc>
        <w:tc>
          <w:tcPr>
            <w:tcW w:w="3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Claim Expense</w:t>
            </w:r>
          </w:p>
        </w:tc>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Systems Fraud</w:t>
            </w:r>
          </w:p>
        </w:tc>
        <w:tc>
          <w:tcPr>
            <w:tcW w:w="3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Customer Funds Transfer Fraud</w:t>
            </w:r>
          </w:p>
        </w:tc>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Facsimile Signature</w:t>
            </w:r>
          </w:p>
        </w:tc>
        <w:tc>
          <w:tcPr>
            <w:tcW w:w="3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Stop Payment Order Liability</w:t>
            </w:r>
          </w:p>
        </w:tc>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100,000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Class Code: 2-14057</w:t>
            </w: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TSB 5062b 1087</w:t>
            </w:r>
          </w:p>
        </w:tc>
        <w:tc>
          <w:tcPr>
            <w:tcW w:w="4800" w:type="dxa"/>
            <w:vAlign w:val="bottom"/>
            <w:gridSpan w:val="5"/>
          </w:tcPr>
          <w:p>
            <w:pPr>
              <w:jc w:val="right"/>
              <w:ind w:right="811"/>
              <w:spacing w:after="0"/>
              <w:rPr>
                <w:sz w:val="20"/>
                <w:szCs w:val="20"/>
                <w:color w:val="auto"/>
              </w:rPr>
            </w:pPr>
            <w:r>
              <w:rPr>
                <w:rFonts w:ascii="Times New Roman" w:cs="Times New Roman" w:eastAsia="Times New Roman" w:hAnsi="Times New Roman"/>
                <w:sz w:val="18"/>
                <w:szCs w:val="18"/>
                <w:color w:val="auto"/>
              </w:rPr>
              <w:t>Copyright, The Surety Association of America, 1987</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Page 1 of 8</w:t>
            </w:r>
          </w:p>
        </w:tc>
        <w:tc>
          <w:tcPr>
            <w:tcW w:w="0" w:type="dxa"/>
            <w:vAlign w:val="bottom"/>
          </w:tcPr>
          <w:p>
            <w:pPr>
              <w:spacing w:after="0"/>
              <w:rPr>
                <w:sz w:val="1"/>
                <w:szCs w:val="1"/>
                <w:color w:val="auto"/>
              </w:rPr>
            </w:pPr>
          </w:p>
        </w:tc>
      </w:tr>
    </w:tbl>
    <w:p>
      <w:pPr>
        <w:sectPr>
          <w:pgSz w:w="11900" w:h="16838" w:orient="portrait"/>
          <w:cols w:equalWidth="0" w:num="1">
            <w:col w:w="11260"/>
          </w:cols>
          <w:pgMar w:left="320" w:top="320" w:right="31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36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Unauthorized Signatures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Uncollectible Items of Deposit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4,000,000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100,000</w:t>
            </w:r>
          </w:p>
        </w:tc>
      </w:tr>
      <w:tr>
        <w:trPr>
          <w:trHeight w:val="216"/>
        </w:trPr>
        <w:tc>
          <w:tcPr>
            <w:tcW w:w="4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414"/>
        </w:trPr>
        <w:tc>
          <w:tcPr>
            <w:tcW w:w="4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without Official</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4100" w:type="dxa"/>
            <w:vAlign w:val="bottom"/>
          </w:tcPr>
          <w:p>
            <w:pPr>
              <w:spacing w:after="0"/>
              <w:rPr>
                <w:sz w:val="18"/>
                <w:szCs w:val="18"/>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Aggregate</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Authorization</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Social Engineering Fraud</w:t>
            </w:r>
          </w:p>
        </w:tc>
        <w:tc>
          <w:tcPr>
            <w:tcW w:w="19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8"/>
              </w:rPr>
              <w:t>Limit of Liability</w:t>
            </w: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100,000</w:t>
            </w:r>
          </w:p>
        </w:tc>
      </w:tr>
      <w:tr>
        <w:trPr>
          <w:trHeight w:val="21"/>
        </w:trPr>
        <w:tc>
          <w:tcPr>
            <w:tcW w:w="410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with Official</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4"/>
        </w:trPr>
        <w:tc>
          <w:tcPr>
            <w:tcW w:w="4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Authorization</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179" w:lineRule="exact"/>
        <w:rPr>
          <w:sz w:val="20"/>
          <w:szCs w:val="20"/>
          <w:color w:val="auto"/>
        </w:rPr>
      </w:pPr>
    </w:p>
    <w:p>
      <w:pPr>
        <w:ind w:left="1020" w:right="200"/>
        <w:spacing w:after="0" w:line="282" w:lineRule="auto"/>
        <w:rPr>
          <w:sz w:val="20"/>
          <w:szCs w:val="20"/>
          <w:color w:val="auto"/>
        </w:rPr>
      </w:pPr>
      <w:r>
        <w:rPr>
          <w:rFonts w:ascii="Times New Roman" w:cs="Times New Roman" w:eastAsia="Times New Roman" w:hAnsi="Times New Roman"/>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0"/>
          <w:szCs w:val="20"/>
          <w:color w:val="auto"/>
        </w:rPr>
      </w:pPr>
    </w:p>
    <w:p>
      <w:pPr>
        <w:ind w:left="1000" w:right="320" w:hanging="998"/>
        <w:spacing w:after="0" w:line="282"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color w:val="auto"/>
        </w:rPr>
        <w:t>The liability of the Underwriter is subject to the terms of the following riders attached hereto. All of the terms and conditions of this bond apply to such riders except to the extent the rider explicitly provides otherwise.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Fraud Statement</w:t>
            </w:r>
          </w:p>
        </w:tc>
        <w:tc>
          <w:tcPr>
            <w:tcW w:w="5360" w:type="dxa"/>
            <w:vAlign w:val="bottom"/>
          </w:tcPr>
          <w:p>
            <w:pPr>
              <w:spacing w:after="0"/>
              <w:rPr>
                <w:sz w:val="20"/>
                <w:szCs w:val="20"/>
                <w:color w:val="auto"/>
              </w:rPr>
            </w:pPr>
          </w:p>
        </w:tc>
        <w:tc>
          <w:tcPr>
            <w:tcW w:w="1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AXIS 104 0415</w:t>
            </w:r>
          </w:p>
        </w:tc>
      </w:tr>
      <w:tr>
        <w:trPr>
          <w:trHeight w:val="32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Policyholder Notice—Economic And Trade Sanctions</w:t>
            </w:r>
          </w:p>
        </w:tc>
        <w:tc>
          <w:tcPr>
            <w:tcW w:w="5360" w:type="dxa"/>
            <w:vAlign w:val="bottom"/>
          </w:tcPr>
          <w:p>
            <w:pPr>
              <w:spacing w:after="0"/>
              <w:rPr>
                <w:sz w:val="24"/>
                <w:szCs w:val="24"/>
                <w:color w:val="auto"/>
              </w:rPr>
            </w:pPr>
          </w:p>
        </w:tc>
        <w:tc>
          <w:tcPr>
            <w:tcW w:w="1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AXIS 906 0316</w:t>
            </w:r>
          </w:p>
        </w:tc>
      </w:tr>
      <w:tr>
        <w:trPr>
          <w:trHeight w:val="32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Institution Bond (Standard Form No. 14)</w:t>
            </w:r>
          </w:p>
        </w:tc>
        <w:tc>
          <w:tcPr>
            <w:tcW w:w="5360" w:type="dxa"/>
            <w:vAlign w:val="bottom"/>
          </w:tcPr>
          <w:p>
            <w:pPr>
              <w:spacing w:after="0"/>
              <w:rPr>
                <w:sz w:val="24"/>
                <w:szCs w:val="24"/>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TSB 5062b 1087</w:t>
            </w:r>
          </w:p>
        </w:tc>
      </w:tr>
      <w:tr>
        <w:trPr>
          <w:trHeight w:val="32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Page</w:t>
            </w:r>
          </w:p>
        </w:tc>
        <w:tc>
          <w:tcPr>
            <w:tcW w:w="5360" w:type="dxa"/>
            <w:vAlign w:val="bottom"/>
          </w:tcPr>
          <w:p>
            <w:pPr>
              <w:spacing w:after="0"/>
              <w:rPr>
                <w:sz w:val="24"/>
                <w:szCs w:val="24"/>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AXIS 102AIC 0615</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 Named Insured Rider</w:t>
            </w:r>
          </w:p>
        </w:tc>
        <w:tc>
          <w:tcPr>
            <w:tcW w:w="5360" w:type="dxa"/>
            <w:vAlign w:val="bottom"/>
          </w:tcPr>
          <w:p>
            <w:pPr>
              <w:spacing w:after="0"/>
              <w:rPr>
                <w:sz w:val="24"/>
                <w:szCs w:val="24"/>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1012152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Audit Expense Insuring Agreement Rider</w:t>
            </w:r>
          </w:p>
        </w:tc>
        <w:tc>
          <w:tcPr>
            <w:tcW w:w="5360" w:type="dxa"/>
            <w:vAlign w:val="bottom"/>
          </w:tcPr>
          <w:p>
            <w:pPr>
              <w:spacing w:after="0"/>
              <w:rPr>
                <w:sz w:val="24"/>
                <w:szCs w:val="24"/>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1012153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Claim Expense Insuring Agreement Rider</w:t>
            </w:r>
          </w:p>
        </w:tc>
        <w:tc>
          <w:tcPr>
            <w:tcW w:w="5360" w:type="dxa"/>
            <w:vAlign w:val="bottom"/>
          </w:tcPr>
          <w:p>
            <w:pPr>
              <w:spacing w:after="0"/>
              <w:rPr>
                <w:sz w:val="24"/>
                <w:szCs w:val="24"/>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1012155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 Racketeering Exclusion Rider</w:t>
            </w:r>
          </w:p>
        </w:tc>
        <w:tc>
          <w:tcPr>
            <w:tcW w:w="5360" w:type="dxa"/>
            <w:vAlign w:val="bottom"/>
          </w:tcPr>
          <w:p>
            <w:pPr>
              <w:spacing w:after="0"/>
              <w:rPr>
                <w:sz w:val="24"/>
                <w:szCs w:val="24"/>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1012161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Amend Fidelity Insuring to Include Larceny and Embezzlement Agreement Rider</w:t>
            </w: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1012168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 Representation of Insured Rider</w:t>
            </w:r>
          </w:p>
        </w:tc>
        <w:tc>
          <w:tcPr>
            <w:tcW w:w="5360" w:type="dxa"/>
            <w:vAlign w:val="bottom"/>
          </w:tcPr>
          <w:p>
            <w:pPr>
              <w:spacing w:after="0"/>
              <w:rPr>
                <w:sz w:val="24"/>
                <w:szCs w:val="24"/>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1012169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 Valuation Rider</w:t>
            </w:r>
          </w:p>
        </w:tc>
        <w:tc>
          <w:tcPr>
            <w:tcW w:w="5360" w:type="dxa"/>
            <w:vAlign w:val="bottom"/>
          </w:tcPr>
          <w:p>
            <w:pPr>
              <w:spacing w:after="0"/>
              <w:rPr>
                <w:sz w:val="24"/>
                <w:szCs w:val="24"/>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1012170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Amend Counterfeit Currency or Money Insuring Agreement Rider</w:t>
            </w: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1012171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Governmental or Regulatory Authority Notification Rider</w:t>
            </w: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1012175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Unauthorized Signatures Insuring Agreement Rider</w:t>
            </w: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1012176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Amend Notice of Legal Proceedings Against Insured Rider</w:t>
            </w: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1012177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 Knowledge of Insured Rider</w:t>
            </w:r>
          </w:p>
        </w:tc>
        <w:tc>
          <w:tcPr>
            <w:tcW w:w="5360" w:type="dxa"/>
            <w:vAlign w:val="bottom"/>
          </w:tcPr>
          <w:p>
            <w:pPr>
              <w:spacing w:after="0"/>
              <w:rPr>
                <w:sz w:val="24"/>
                <w:szCs w:val="24"/>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1012178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Protected Information Exclusion Rider</w:t>
            </w:r>
          </w:p>
        </w:tc>
        <w:tc>
          <w:tcPr>
            <w:tcW w:w="5360" w:type="dxa"/>
            <w:vAlign w:val="bottom"/>
          </w:tcPr>
          <w:p>
            <w:pPr>
              <w:spacing w:after="0"/>
              <w:rPr>
                <w:sz w:val="24"/>
                <w:szCs w:val="24"/>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1012180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Notice of Loss by E-Mail Rider</w:t>
            </w:r>
          </w:p>
        </w:tc>
        <w:tc>
          <w:tcPr>
            <w:tcW w:w="5360" w:type="dxa"/>
            <w:vAlign w:val="bottom"/>
          </w:tcPr>
          <w:p>
            <w:pPr>
              <w:spacing w:after="0"/>
              <w:rPr>
                <w:sz w:val="24"/>
                <w:szCs w:val="24"/>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1012189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of Ownership or Control Notice Rider</w:t>
            </w: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1012191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Amend Termination or Cancelation Notice Period Rider</w:t>
            </w: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1012193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Funds Transfer Fraud Insuring Agreement with Call Back for Transfers in Excess of the Deductible Rider</w:t>
            </w: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1012198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Stop Payment Order Liability Insuring Agreement Rider</w:t>
            </w: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1012200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Uncollectible Items of Deposit Insuring Agreement Rider</w:t>
            </w: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1012202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Amend Definition of Employee to Include Affiliated Persons Rider</w:t>
            </w: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1012203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Company No Deductible Rider</w:t>
            </w:r>
          </w:p>
        </w:tc>
        <w:tc>
          <w:tcPr>
            <w:tcW w:w="5360" w:type="dxa"/>
            <w:vAlign w:val="bottom"/>
          </w:tcPr>
          <w:p>
            <w:pPr>
              <w:spacing w:after="0"/>
              <w:rPr>
                <w:sz w:val="24"/>
                <w:szCs w:val="24"/>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1012214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Social Engineering Fraud Insuring Agreement with or without Official Authorization Rider</w:t>
            </w:r>
          </w:p>
        </w:tc>
        <w:tc>
          <w:tcPr>
            <w:tcW w:w="1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AXIS 1012231 0221</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York Statutory Rider</w:t>
            </w:r>
          </w:p>
        </w:tc>
        <w:tc>
          <w:tcPr>
            <w:tcW w:w="5360" w:type="dxa"/>
            <w:vAlign w:val="bottom"/>
          </w:tcPr>
          <w:p>
            <w:pPr>
              <w:spacing w:after="0"/>
              <w:rPr>
                <w:sz w:val="24"/>
                <w:szCs w:val="24"/>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AXIS 1012253 0119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Computer Systems Fraud Insuring Agreement Rider</w:t>
            </w:r>
          </w:p>
        </w:tc>
        <w:tc>
          <w:tcPr>
            <w:tcW w:w="1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AXIS 1012861 0221</w:t>
            </w:r>
          </w:p>
        </w:tc>
      </w:tr>
      <w:tr>
        <w:trPr>
          <w:trHeight w:val="34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Code: 2-14057</w:t>
            </w:r>
          </w:p>
        </w:tc>
        <w:tc>
          <w:tcPr>
            <w:tcW w:w="53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48"/>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TSB 5062b 1087</w:t>
            </w: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Copyright, The Surety Association of America, 1987</w:t>
            </w:r>
          </w:p>
        </w:tc>
        <w:tc>
          <w:tcPr>
            <w:tcW w:w="17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Page 2 of 8</w:t>
            </w:r>
          </w:p>
        </w:tc>
      </w:tr>
    </w:tbl>
    <w:p>
      <w:pPr>
        <w:sectPr>
          <w:pgSz w:w="11900" w:h="16838" w:orient="portrait"/>
          <w:cols w:equalWidth="0" w:num="1">
            <w:col w:w="11240"/>
          </w:cols>
          <w:pgMar w:left="320" w:top="288" w:right="3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 Exclusion (M) Rider</w:t>
            </w:r>
          </w:p>
        </w:tc>
        <w:tc>
          <w:tcPr>
            <w:tcW w:w="4740" w:type="dxa"/>
            <w:vAlign w:val="bottom"/>
          </w:tcPr>
          <w:p>
            <w:pPr>
              <w:spacing w:after="0"/>
              <w:rPr>
                <w:sz w:val="20"/>
                <w:szCs w:val="20"/>
                <w:color w:val="auto"/>
              </w:rPr>
            </w:pPr>
          </w:p>
        </w:tc>
        <w:tc>
          <w:tcPr>
            <w:tcW w:w="24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AXIS 1012869 0421</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Amend Definition of Property Rider (Does Not Include Non- Fungible Tokens)</w:t>
            </w:r>
          </w:p>
        </w:tc>
        <w:tc>
          <w:tcPr>
            <w:tcW w:w="24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AXIS 1012870 0521</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Insuring Agreement (G) Rider</w:t>
            </w:r>
          </w:p>
        </w:tc>
        <w:tc>
          <w:tcPr>
            <w:tcW w:w="4740" w:type="dxa"/>
            <w:vAlign w:val="bottom"/>
          </w:tcPr>
          <w:p>
            <w:pPr>
              <w:spacing w:after="0"/>
              <w:rPr>
                <w:sz w:val="24"/>
                <w:szCs w:val="24"/>
                <w:color w:val="auto"/>
              </w:rPr>
            </w:pPr>
          </w:p>
        </w:tc>
        <w:tc>
          <w:tcPr>
            <w:tcW w:w="24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SR 5907a 1188</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Central Handling of Securities Rider</w:t>
            </w:r>
          </w:p>
        </w:tc>
        <w:tc>
          <w:tcPr>
            <w:tcW w:w="4740" w:type="dxa"/>
            <w:vAlign w:val="bottom"/>
          </w:tcPr>
          <w:p>
            <w:pPr>
              <w:spacing w:after="0"/>
              <w:rPr>
                <w:sz w:val="24"/>
                <w:szCs w:val="24"/>
                <w:color w:val="auto"/>
              </w:rPr>
            </w:pPr>
          </w:p>
        </w:tc>
        <w:tc>
          <w:tcPr>
            <w:tcW w:w="24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SR 5967e 1087</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York Statutory Rider</w:t>
            </w:r>
          </w:p>
        </w:tc>
        <w:tc>
          <w:tcPr>
            <w:tcW w:w="4740" w:type="dxa"/>
            <w:vAlign w:val="bottom"/>
          </w:tcPr>
          <w:p>
            <w:pPr>
              <w:spacing w:after="0"/>
              <w:rPr>
                <w:sz w:val="24"/>
                <w:szCs w:val="24"/>
                <w:color w:val="auto"/>
              </w:rPr>
            </w:pPr>
          </w:p>
        </w:tc>
        <w:tc>
          <w:tcPr>
            <w:tcW w:w="24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SR 6180d 0709</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Cryptocurrency Exclusion Rider</w:t>
            </w:r>
          </w:p>
        </w:tc>
        <w:tc>
          <w:tcPr>
            <w:tcW w:w="4740" w:type="dxa"/>
            <w:vAlign w:val="bottom"/>
          </w:tcPr>
          <w:p>
            <w:pPr>
              <w:spacing w:after="0"/>
              <w:rPr>
                <w:sz w:val="24"/>
                <w:szCs w:val="24"/>
                <w:color w:val="auto"/>
              </w:rPr>
            </w:pPr>
          </w:p>
        </w:tc>
        <w:tc>
          <w:tcPr>
            <w:tcW w:w="24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SR 6343 0321</w:t>
            </w:r>
          </w:p>
        </w:tc>
      </w:tr>
      <w:tr>
        <w:trPr>
          <w:trHeight w:val="324"/>
        </w:trPr>
        <w:tc>
          <w:tcPr>
            <w:tcW w:w="560" w:type="dxa"/>
            <w:vAlign w:val="bottom"/>
          </w:tcPr>
          <w:p>
            <w:pPr>
              <w:spacing w:after="0"/>
              <w:rPr>
                <w:sz w:val="24"/>
                <w:szCs w:val="24"/>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Portman Ridge Finance Corporation</w:t>
            </w:r>
          </w:p>
        </w:tc>
        <w:tc>
          <w:tcPr>
            <w:tcW w:w="4740" w:type="dxa"/>
            <w:vAlign w:val="bottom"/>
          </w:tcPr>
          <w:p>
            <w:pPr>
              <w:spacing w:after="0"/>
              <w:rPr>
                <w:sz w:val="24"/>
                <w:szCs w:val="24"/>
                <w:color w:val="auto"/>
              </w:rPr>
            </w:pPr>
          </w:p>
        </w:tc>
        <w:tc>
          <w:tcPr>
            <w:tcW w:w="24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MANU-5562B 0118</w:t>
            </w:r>
          </w:p>
        </w:tc>
      </w:tr>
      <w:tr>
        <w:trPr>
          <w:trHeight w:val="324"/>
        </w:trPr>
        <w:tc>
          <w:tcPr>
            <w:tcW w:w="560" w:type="dxa"/>
            <w:vAlign w:val="bottom"/>
          </w:tcPr>
          <w:p>
            <w:pPr>
              <w:spacing w:after="0"/>
              <w:rPr>
                <w:sz w:val="24"/>
                <w:szCs w:val="24"/>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Portman Ridge Finance Corporation Rider</w:t>
            </w:r>
          </w:p>
        </w:tc>
        <w:tc>
          <w:tcPr>
            <w:tcW w:w="4740" w:type="dxa"/>
            <w:vAlign w:val="bottom"/>
          </w:tcPr>
          <w:p>
            <w:pPr>
              <w:spacing w:after="0"/>
              <w:rPr>
                <w:sz w:val="24"/>
                <w:szCs w:val="24"/>
                <w:color w:val="auto"/>
              </w:rPr>
            </w:pPr>
          </w:p>
        </w:tc>
        <w:tc>
          <w:tcPr>
            <w:tcW w:w="24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MANU-5562D 0118</w:t>
            </w:r>
          </w:p>
        </w:tc>
      </w:tr>
      <w:tr>
        <w:trPr>
          <w:trHeight w:val="324"/>
        </w:trPr>
        <w:tc>
          <w:tcPr>
            <w:tcW w:w="560" w:type="dxa"/>
            <w:vAlign w:val="bottom"/>
          </w:tcPr>
          <w:p>
            <w:pPr>
              <w:spacing w:after="0"/>
              <w:rPr>
                <w:sz w:val="24"/>
                <w:szCs w:val="24"/>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Portman Ridge Financial Corp</w:t>
            </w:r>
          </w:p>
        </w:tc>
        <w:tc>
          <w:tcPr>
            <w:tcW w:w="4740" w:type="dxa"/>
            <w:vAlign w:val="bottom"/>
          </w:tcPr>
          <w:p>
            <w:pPr>
              <w:spacing w:after="0"/>
              <w:rPr>
                <w:sz w:val="24"/>
                <w:szCs w:val="24"/>
                <w:color w:val="auto"/>
              </w:rPr>
            </w:pPr>
          </w:p>
        </w:tc>
        <w:tc>
          <w:tcPr>
            <w:tcW w:w="24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MANU-5562F 0118</w:t>
            </w:r>
          </w:p>
        </w:tc>
      </w:tr>
      <w:tr>
        <w:trPr>
          <w:trHeight w:val="324"/>
        </w:trPr>
        <w:tc>
          <w:tcPr>
            <w:tcW w:w="560" w:type="dxa"/>
            <w:vAlign w:val="bottom"/>
          </w:tcPr>
          <w:p>
            <w:pPr>
              <w:spacing w:after="0"/>
              <w:rPr>
                <w:sz w:val="24"/>
                <w:szCs w:val="24"/>
                <w:color w:val="auto"/>
              </w:rPr>
            </w:pPr>
          </w:p>
        </w:tc>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AUTOMATIC INCREASE IN LIMITS FOR INVESTMENT FUNDS RIDER</w:t>
            </w:r>
          </w:p>
        </w:tc>
        <w:tc>
          <w:tcPr>
            <w:tcW w:w="24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AXIS 1012210 0721</w:t>
            </w:r>
          </w:p>
        </w:tc>
      </w:tr>
      <w:tr>
        <w:trPr>
          <w:trHeight w:val="324"/>
        </w:trPr>
        <w:tc>
          <w:tcPr>
            <w:tcW w:w="560" w:type="dxa"/>
            <w:vAlign w:val="bottom"/>
          </w:tcPr>
          <w:p>
            <w:pPr>
              <w:spacing w:after="0"/>
              <w:rPr>
                <w:sz w:val="24"/>
                <w:szCs w:val="24"/>
                <w:color w:val="auto"/>
              </w:rPr>
            </w:pPr>
          </w:p>
        </w:tc>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AUTOMATIC COVERAGE FOR NEW INVESTMENT FUNDS RIDER</w:t>
            </w:r>
          </w:p>
        </w:tc>
        <w:tc>
          <w:tcPr>
            <w:tcW w:w="24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AXIS 1012211 0721</w:t>
            </w:r>
          </w:p>
        </w:tc>
      </w:tr>
      <w:tr>
        <w:trPr>
          <w:trHeight w:val="135"/>
        </w:trPr>
        <w:tc>
          <w:tcPr>
            <w:tcW w:w="4080" w:type="dxa"/>
            <w:vAlign w:val="bottom"/>
            <w:tcBorders>
              <w:bottom w:val="single" w:sz="8" w:color="auto"/>
            </w:tcBorders>
            <w:gridSpan w:val="2"/>
          </w:tcPr>
          <w:p>
            <w:pPr>
              <w:spacing w:after="0"/>
              <w:rPr>
                <w:sz w:val="11"/>
                <w:szCs w:val="11"/>
                <w:color w:val="auto"/>
              </w:rPr>
            </w:pPr>
          </w:p>
        </w:tc>
        <w:tc>
          <w:tcPr>
            <w:tcW w:w="474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r>
      <w:tr>
        <w:trPr>
          <w:trHeight w:val="48"/>
        </w:trPr>
        <w:tc>
          <w:tcPr>
            <w:tcW w:w="4080" w:type="dxa"/>
            <w:vAlign w:val="bottom"/>
            <w:tcBorders>
              <w:bottom w:val="single" w:sz="8" w:color="auto"/>
            </w:tcBorders>
            <w:gridSpan w:val="2"/>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r>
      <w:tr>
        <w:trPr>
          <w:trHeight w:val="380"/>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Code: 2-14057</w:t>
            </w:r>
          </w:p>
        </w:tc>
        <w:tc>
          <w:tcPr>
            <w:tcW w:w="47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4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TSB 5062b 1087</w:t>
            </w: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Copyright, The Surety Association of America, 1987</w:t>
            </w:r>
          </w:p>
        </w:tc>
        <w:tc>
          <w:tcPr>
            <w:tcW w:w="24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8"/>
              </w:rPr>
              <w:t>Page 3 of 8</w:t>
            </w:r>
          </w:p>
        </w:tc>
      </w:tr>
    </w:tbl>
    <w:p>
      <w:pPr>
        <w:sectPr>
          <w:pgSz w:w="11900" w:h="16838" w:orient="portrait"/>
          <w:cols w:equalWidth="0" w:num="1">
            <w:col w:w="11240"/>
          </w:cols>
          <w:pgMar w:left="320" w:top="378" w:right="339" w:bottom="1440" w:gutter="0" w:footer="0" w:header="0"/>
        </w:sectPr>
      </w:pPr>
    </w:p>
    <w:bookmarkStart w:id="6" w:name="page7"/>
    <w:bookmarkEnd w:id="6"/>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120"/>
        <w:spacing w:after="0" w:line="266" w:lineRule="auto"/>
        <w:rPr>
          <w:sz w:val="20"/>
          <w:szCs w:val="20"/>
          <w:color w:val="auto"/>
        </w:rPr>
      </w:pPr>
      <w:r>
        <w:rPr>
          <w:rFonts w:ascii="Times New Roman" w:cs="Times New Roman" w:eastAsia="Times New Roman" w:hAnsi="Times New Roman"/>
          <w:sz w:val="18"/>
          <w:szCs w:val="18"/>
          <w:color w:val="auto"/>
        </w:rPr>
        <w:t>The Underwriter, in consideration of an agreed premium, and in reliance upon all statements made and information furnished to the Underwriter by the Insured in applying for this bond, and subject to the Declarations, Insuring Agreements, General Agreements, Conditions and Limitations and other terms hereof, agrees to indemnify the Insured for:</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INSURING AGREEMENTS</w:t>
      </w:r>
    </w:p>
    <w:p>
      <w:pPr>
        <w:sectPr>
          <w:pgSz w:w="11900" w:h="16914" w:orient="portrait"/>
          <w:cols w:equalWidth="0" w:num="1">
            <w:col w:w="11200"/>
          </w:cols>
          <w:pgMar w:left="320" w:top="270" w:right="379" w:bottom="0" w:gutter="0" w:footer="0" w:header="0"/>
        </w:sectPr>
      </w:pPr>
    </w:p>
    <w:p>
      <w:pPr>
        <w:spacing w:after="0" w:line="31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FIDELITY</w:t>
      </w:r>
    </w:p>
    <w:p>
      <w:pPr>
        <w:spacing w:after="0" w:line="225" w:lineRule="exact"/>
        <w:rPr>
          <w:sz w:val="20"/>
          <w:szCs w:val="20"/>
          <w:color w:val="auto"/>
        </w:rPr>
      </w:pPr>
    </w:p>
    <w:p>
      <w:pPr>
        <w:jc w:val="both"/>
        <w:ind w:right="120" w:firstLine="368"/>
        <w:spacing w:after="0" w:line="282" w:lineRule="auto"/>
        <w:tabs>
          <w:tab w:leader="none" w:pos="79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dishonest or fraudulent acts committed by an Employee acting alone or in collusion with others.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Such dishonest or fraudulent acts must be committed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with the manifest intent: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080" w:right="620" w:hanging="355"/>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Negotiable Instruments not payable to bearer, or not endorsed, or with restrictive endorsements.</w:t>
      </w:r>
    </w:p>
    <w:p>
      <w:pPr>
        <w:spacing w:after="0" w:line="162" w:lineRule="exact"/>
        <w:rPr>
          <w:sz w:val="20"/>
          <w:szCs w:val="20"/>
          <w:color w:val="auto"/>
        </w:rPr>
      </w:pPr>
    </w:p>
    <w:p>
      <w:pPr>
        <w:ind w:right="20" w:firstLine="360"/>
        <w:spacing w:after="0" w:line="289" w:lineRule="auto"/>
        <w:rPr>
          <w:sz w:val="20"/>
          <w:szCs w:val="20"/>
          <w:color w:val="auto"/>
        </w:rPr>
      </w:pPr>
      <w:r>
        <w:rPr>
          <w:rFonts w:ascii="Times New Roman" w:cs="Times New Roman" w:eastAsia="Times New Roman" w:hAnsi="Times New Roman"/>
          <w:sz w:val="17"/>
          <w:szCs w:val="17"/>
          <w:color w:val="auto"/>
        </w:rPr>
        <w:t>Coverage under this Insuring Agreement begins immediately upon the receipt of such Property by the natural person or Transportation Company and ends immediately upon delivery to the designated recipient or its agent.</w:t>
      </w:r>
    </w:p>
    <w:p>
      <w:pPr>
        <w:spacing w:after="0" w:line="279" w:lineRule="exact"/>
        <w:rPr>
          <w:sz w:val="20"/>
          <w:szCs w:val="20"/>
          <w:color w:val="auto"/>
        </w:rPr>
      </w:pPr>
    </w:p>
    <w:p>
      <w:pPr>
        <w:sectPr>
          <w:pgSz w:w="11900" w:h="16914" w:orient="portrait"/>
          <w:cols w:equalWidth="0" w:num="2">
            <w:col w:w="5020" w:space="720"/>
            <w:col w:w="5460"/>
          </w:cols>
          <w:pgMar w:left="320" w:top="270" w:right="379" w:bottom="0" w:gutter="0" w:footer="0" w:header="0"/>
          <w:type w:val="continuous"/>
        </w:sectPr>
      </w:pPr>
    </w:p>
    <w:p>
      <w:pPr>
        <w:ind w:left="740" w:hanging="36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cause the Insured to sustain such loss; and</w:t>
      </w:r>
    </w:p>
    <w:p>
      <w:pPr>
        <w:spacing w:after="0" w:line="130" w:lineRule="exact"/>
        <w:rPr>
          <w:rFonts w:ascii="Times New Roman" w:cs="Times New Roman" w:eastAsia="Times New Roman" w:hAnsi="Times New Roman"/>
          <w:sz w:val="18"/>
          <w:szCs w:val="18"/>
          <w:color w:val="auto"/>
        </w:rPr>
      </w:pPr>
    </w:p>
    <w:p>
      <w:pPr>
        <w:ind w:left="740" w:right="120" w:hanging="368"/>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financial benefit for the Employee and which, in fact, result in obtaining such benefit.</w:t>
      </w:r>
    </w:p>
    <w:p>
      <w:pPr>
        <w:spacing w:after="0" w:line="162"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As used in this Insuring Agreement, financial benefit does not include any employee benefits earned in the normal course of employment, including salaries, commissions, fees, bonuses, promotions, awards, profit sharing or pensions.</w:t>
      </w:r>
    </w:p>
    <w:p>
      <w:pPr>
        <w:spacing w:after="0" w:line="3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ON PREMISES</w:t>
      </w:r>
    </w:p>
    <w:p>
      <w:pPr>
        <w:spacing w:after="0" w:line="225" w:lineRule="exact"/>
        <w:rPr>
          <w:sz w:val="20"/>
          <w:szCs w:val="20"/>
          <w:color w:val="auto"/>
        </w:rPr>
      </w:pPr>
    </w:p>
    <w:p>
      <w:pPr>
        <w:ind w:left="780" w:hanging="412"/>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Loss of Property resulting directly from</w:t>
      </w:r>
    </w:p>
    <w:p>
      <w:pPr>
        <w:spacing w:after="0" w:line="130" w:lineRule="exact"/>
        <w:rPr>
          <w:rFonts w:ascii="Times New Roman" w:cs="Times New Roman" w:eastAsia="Times New Roman" w:hAnsi="Times New Roman"/>
          <w:sz w:val="18"/>
          <w:szCs w:val="18"/>
          <w:color w:val="auto"/>
        </w:rPr>
      </w:pPr>
    </w:p>
    <w:p>
      <w:pPr>
        <w:ind w:left="1460" w:right="200" w:hanging="359"/>
        <w:spacing w:after="0" w:line="266" w:lineRule="auto"/>
        <w:tabs>
          <w:tab w:leader="none" w:pos="1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misplacement, mysterious unexplainable disappearance and damage thereto or destruction thereof, or</w:t>
      </w:r>
    </w:p>
    <w:p>
      <w:pPr>
        <w:spacing w:after="0" w:line="81" w:lineRule="exact"/>
        <w:rPr>
          <w:rFonts w:ascii="Times New Roman" w:cs="Times New Roman" w:eastAsia="Times New Roman" w:hAnsi="Times New Roman"/>
          <w:sz w:val="18"/>
          <w:szCs w:val="18"/>
          <w:color w:val="auto"/>
        </w:rPr>
      </w:pPr>
    </w:p>
    <w:p>
      <w:pPr>
        <w:ind w:left="1460" w:right="40" w:hanging="359"/>
        <w:spacing w:after="0" w:line="266" w:lineRule="auto"/>
        <w:tabs>
          <w:tab w:leader="none" w:pos="1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false pretenses, common-law or statutory larceny, committed by a person present in an office or on the premises of the Insured,</w:t>
      </w:r>
    </w:p>
    <w:p>
      <w:pPr>
        <w:spacing w:after="0" w:line="68" w:lineRule="exact"/>
        <w:rPr>
          <w:sz w:val="20"/>
          <w:szCs w:val="20"/>
          <w:color w:val="auto"/>
        </w:rPr>
      </w:pPr>
    </w:p>
    <w:p>
      <w:pPr>
        <w:ind w:left="1080" w:right="100"/>
        <w:spacing w:after="0" w:line="282" w:lineRule="auto"/>
        <w:rPr>
          <w:sz w:val="20"/>
          <w:szCs w:val="20"/>
          <w:color w:val="auto"/>
        </w:rPr>
      </w:pPr>
      <w:r>
        <w:rPr>
          <w:rFonts w:ascii="Times New Roman" w:cs="Times New Roman" w:eastAsia="Times New Roman" w:hAnsi="Times New Roman"/>
          <w:sz w:val="18"/>
          <w:szCs w:val="18"/>
          <w:color w:val="auto"/>
        </w:rPr>
        <w:t>while the Property is lodged or deposited within offices or premises located anywhere.</w:t>
      </w:r>
    </w:p>
    <w:p>
      <w:pPr>
        <w:spacing w:after="0" w:line="67" w:lineRule="exact"/>
        <w:rPr>
          <w:sz w:val="20"/>
          <w:szCs w:val="20"/>
          <w:color w:val="auto"/>
        </w:rPr>
      </w:pPr>
    </w:p>
    <w:p>
      <w:pPr>
        <w:ind w:left="1100" w:hanging="363"/>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damage to</w:t>
      </w:r>
    </w:p>
    <w:p>
      <w:pPr>
        <w:spacing w:after="0" w:line="130" w:lineRule="exact"/>
        <w:rPr>
          <w:rFonts w:ascii="Times New Roman" w:cs="Times New Roman" w:eastAsia="Times New Roman" w:hAnsi="Times New Roman"/>
          <w:sz w:val="18"/>
          <w:szCs w:val="18"/>
          <w:color w:val="auto"/>
        </w:rPr>
      </w:pPr>
    </w:p>
    <w:p>
      <w:pPr>
        <w:ind w:left="1460" w:hanging="359"/>
        <w:spacing w:after="0" w:line="258" w:lineRule="auto"/>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furnishings, fixtures, supplies or equipment within an office of the Insured covered under this bond resulting directly from larceny or theft in, or by burglary or robbery of, such office, or attempt thereat, or by vandalism or malicious mischief, or</w:t>
      </w:r>
    </w:p>
    <w:p>
      <w:pPr>
        <w:spacing w:after="0" w:line="88" w:lineRule="exact"/>
        <w:rPr>
          <w:rFonts w:ascii="Times New Roman" w:cs="Times New Roman" w:eastAsia="Times New Roman" w:hAnsi="Times New Roman"/>
          <w:sz w:val="18"/>
          <w:szCs w:val="18"/>
          <w:color w:val="auto"/>
        </w:rPr>
      </w:pPr>
    </w:p>
    <w:p>
      <w:pPr>
        <w:ind w:left="1460" w:right="120" w:hanging="359"/>
        <w:spacing w:after="0" w:line="261" w:lineRule="auto"/>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office resulting from larceny or theft in, or by burglary or robbery of such office or attempt thereat, or to the interior of such office by vandalism or malicious mischief.</w:t>
      </w:r>
    </w:p>
    <w:p>
      <w:pPr>
        <w:spacing w:after="0" w:line="7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provided that</w:t>
      </w:r>
    </w:p>
    <w:p>
      <w:pPr>
        <w:spacing w:after="0" w:line="131" w:lineRule="exact"/>
        <w:rPr>
          <w:sz w:val="20"/>
          <w:szCs w:val="20"/>
          <w:color w:val="auto"/>
        </w:rPr>
      </w:pPr>
    </w:p>
    <w:p>
      <w:pPr>
        <w:jc w:val="both"/>
        <w:ind w:left="1840" w:right="340" w:hanging="374"/>
        <w:spacing w:after="0" w:line="289" w:lineRule="auto"/>
        <w:tabs>
          <w:tab w:leader="none" w:pos="18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Insured is the owner of such furnishings, fixtures, supplies, equipment, or office or is liable for such loss or damage, and</w:t>
      </w:r>
    </w:p>
    <w:p>
      <w:pPr>
        <w:spacing w:after="0" w:line="63" w:lineRule="exact"/>
        <w:rPr>
          <w:rFonts w:ascii="Times New Roman" w:cs="Times New Roman" w:eastAsia="Times New Roman" w:hAnsi="Times New Roman"/>
          <w:sz w:val="17"/>
          <w:szCs w:val="17"/>
          <w:color w:val="auto"/>
        </w:rPr>
      </w:pPr>
    </w:p>
    <w:p>
      <w:pPr>
        <w:ind w:left="1840" w:hanging="374"/>
        <w:spacing w:after="0"/>
        <w:tabs>
          <w:tab w:leader="none" w:pos="1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is not caused by fire.</w:t>
      </w:r>
    </w:p>
    <w:p>
      <w:pPr>
        <w:spacing w:after="0" w:line="200" w:lineRule="exact"/>
        <w:rPr>
          <w:sz w:val="20"/>
          <w:szCs w:val="20"/>
          <w:color w:val="auto"/>
        </w:rPr>
      </w:pPr>
    </w:p>
    <w:p>
      <w:pPr>
        <w:spacing w:after="0" w:line="2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IN TRANSIT</w:t>
      </w:r>
    </w:p>
    <w:p>
      <w:pPr>
        <w:spacing w:after="0" w:line="225" w:lineRule="exact"/>
        <w:rPr>
          <w:sz w:val="20"/>
          <w:szCs w:val="20"/>
          <w:color w:val="auto"/>
        </w:rPr>
      </w:pPr>
    </w:p>
    <w:p>
      <w:pPr>
        <w:ind w:right="40" w:firstLine="368"/>
        <w:spacing w:after="0" w:line="258" w:lineRule="auto"/>
        <w:tabs>
          <w:tab w:leader="none" w:pos="6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Property resulting directly from robbery, common-law or statutory larceny, theft, misplacement, mysterious unexplainable disappearance, being lost or made away with, and damage thereto or destruction thereof, while the Property is in transit anywhere in the custody of</w:t>
      </w:r>
    </w:p>
    <w:p>
      <w:pPr>
        <w:spacing w:after="0" w:line="89" w:lineRule="exact"/>
        <w:rPr>
          <w:sz w:val="20"/>
          <w:szCs w:val="20"/>
          <w:color w:val="auto"/>
        </w:rPr>
      </w:pPr>
    </w:p>
    <w:p>
      <w:pPr>
        <w:ind w:left="740" w:hanging="368"/>
        <w:spacing w:after="0" w:line="261"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natural person acting as a messenger of the Insured (or another natural person acting as messenger or custodian during an emergency arising from the incapacity of the original messenger), or</w:t>
      </w:r>
    </w:p>
    <w:p>
      <w:pPr>
        <w:spacing w:after="0" w:line="85" w:lineRule="exact"/>
        <w:rPr>
          <w:rFonts w:ascii="Times New Roman" w:cs="Times New Roman" w:eastAsia="Times New Roman" w:hAnsi="Times New Roman"/>
          <w:sz w:val="18"/>
          <w:szCs w:val="18"/>
          <w:color w:val="auto"/>
        </w:rPr>
      </w:pPr>
    </w:p>
    <w:p>
      <w:pPr>
        <w:ind w:left="740" w:right="80" w:hanging="368"/>
        <w:spacing w:after="0" w:line="28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Transportation Company and being transported in an armored motor vehicle, or</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FORGERY OR ALTERATION</w:t>
      </w:r>
    </w:p>
    <w:p>
      <w:pPr>
        <w:spacing w:after="0" w:line="225" w:lineRule="exact"/>
        <w:rPr>
          <w:sz w:val="20"/>
          <w:szCs w:val="20"/>
          <w:color w:val="auto"/>
        </w:rPr>
      </w:pPr>
    </w:p>
    <w:p>
      <w:pPr>
        <w:ind w:left="780" w:hanging="424"/>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w:t>
      </w:r>
    </w:p>
    <w:p>
      <w:pPr>
        <w:spacing w:after="0" w:line="117" w:lineRule="exact"/>
        <w:rPr>
          <w:rFonts w:ascii="Times New Roman" w:cs="Times New Roman" w:eastAsia="Times New Roman" w:hAnsi="Times New Roman"/>
          <w:sz w:val="18"/>
          <w:szCs w:val="18"/>
          <w:color w:val="auto"/>
        </w:rPr>
      </w:pPr>
    </w:p>
    <w:p>
      <w:pPr>
        <w:ind w:right="60" w:firstLine="716"/>
        <w:spacing w:after="0" w:line="289" w:lineRule="auto"/>
        <w:tabs>
          <w:tab w:leader="none" w:pos="11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Forgery or alteration of, on or in any Negotiable Instrument (except an Evidence of Debt), Acceptance, Withdrawal Order, receipt for the withdrawal of Property, Certificate of Deposit or Letter of Credit.</w:t>
      </w:r>
    </w:p>
    <w:p>
      <w:pPr>
        <w:spacing w:after="0" w:line="49" w:lineRule="exact"/>
        <w:rPr>
          <w:rFonts w:ascii="Times New Roman" w:cs="Times New Roman" w:eastAsia="Times New Roman" w:hAnsi="Times New Roman"/>
          <w:sz w:val="17"/>
          <w:szCs w:val="17"/>
          <w:color w:val="auto"/>
        </w:rPr>
      </w:pPr>
    </w:p>
    <w:p>
      <w:pPr>
        <w:ind w:right="80" w:firstLine="716"/>
        <w:spacing w:after="0" w:line="254" w:lineRule="auto"/>
        <w:tabs>
          <w:tab w:leader="none" w:pos="11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paying or delivering any funds or Property or establishing any credit or giving any value on the faith of any written instructions or advices directed to the Insured and authorizing or acknowledging the transfer, payment, delivery or receipt of funds or Property, which instructions or advices purport to have been signed or endorsed by any customer of the Insured or by any financial institution but which instructions or advices either bear a signature which is a Forgery or have been altered without the knowledge and consent of such customer or financial institution.</w:t>
      </w:r>
    </w:p>
    <w:p>
      <w:pPr>
        <w:spacing w:after="0" w:line="188"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A mechanically reproduced facsimile signature is treated the same as a handwritten signature.</w:t>
      </w:r>
    </w:p>
    <w:p>
      <w:pPr>
        <w:spacing w:after="0" w:line="37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SECURITIES</w:t>
      </w:r>
    </w:p>
    <w:p>
      <w:pPr>
        <w:spacing w:after="0" w:line="225" w:lineRule="exact"/>
        <w:rPr>
          <w:sz w:val="20"/>
          <w:szCs w:val="20"/>
          <w:color w:val="auto"/>
        </w:rPr>
      </w:pPr>
    </w:p>
    <w:p>
      <w:pPr>
        <w:ind w:firstLine="356"/>
        <w:spacing w:after="0" w:line="282" w:lineRule="auto"/>
        <w:tabs>
          <w:tab w:leader="none" w:pos="7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the insured having, in good faith, for its own account or for the account of others</w:t>
      </w:r>
    </w:p>
    <w:p>
      <w:pPr>
        <w:spacing w:after="0" w:line="161" w:lineRule="exact"/>
        <w:rPr>
          <w:rFonts w:ascii="Times New Roman" w:cs="Times New Roman" w:eastAsia="Times New Roman" w:hAnsi="Times New Roman"/>
          <w:sz w:val="18"/>
          <w:szCs w:val="18"/>
          <w:color w:val="auto"/>
        </w:rPr>
      </w:pPr>
    </w:p>
    <w:p>
      <w:pPr>
        <w:ind w:right="120" w:firstLine="716"/>
        <w:spacing w:after="0" w:line="282" w:lineRule="auto"/>
        <w:tabs>
          <w:tab w:leader="none" w:pos="11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sold or delivered, or given value, extended credit or assumed liability, on the faith of, any original</w:t>
      </w:r>
    </w:p>
    <w:p>
      <w:pPr>
        <w:spacing w:after="0" w:line="67" w:lineRule="exact"/>
        <w:rPr>
          <w:rFonts w:ascii="Times New Roman" w:cs="Times New Roman" w:eastAsia="Times New Roman" w:hAnsi="Times New Roman"/>
          <w:sz w:val="18"/>
          <w:szCs w:val="18"/>
          <w:color w:val="auto"/>
        </w:rPr>
      </w:pPr>
    </w:p>
    <w:p>
      <w:pPr>
        <w:ind w:left="1460" w:hanging="370"/>
        <w:spacing w:after="0"/>
        <w:tabs>
          <w:tab w:leader="none" w:pos="14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Security,</w:t>
      </w:r>
    </w:p>
    <w:p>
      <w:pPr>
        <w:spacing w:after="0" w:line="130" w:lineRule="exact"/>
        <w:rPr>
          <w:rFonts w:ascii="Times New Roman" w:cs="Times New Roman" w:eastAsia="Times New Roman" w:hAnsi="Times New Roman"/>
          <w:sz w:val="18"/>
          <w:szCs w:val="18"/>
          <w:color w:val="auto"/>
        </w:rPr>
      </w:pPr>
    </w:p>
    <w:p>
      <w:pPr>
        <w:ind w:left="1460" w:right="120" w:hanging="370"/>
        <w:spacing w:after="0" w:line="312" w:lineRule="auto"/>
        <w:tabs>
          <w:tab w:leader="none" w:pos="146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deed, mortgage or other instrument conveying title to, or creating or discharging a lien upon, real property,</w:t>
      </w:r>
    </w:p>
    <w:p>
      <w:pPr>
        <w:spacing w:after="0" w:line="45" w:lineRule="exact"/>
        <w:rPr>
          <w:rFonts w:ascii="Times New Roman" w:cs="Times New Roman" w:eastAsia="Times New Roman" w:hAnsi="Times New Roman"/>
          <w:sz w:val="17"/>
          <w:szCs w:val="17"/>
          <w:color w:val="auto"/>
        </w:rPr>
      </w:pPr>
    </w:p>
    <w:p>
      <w:pPr>
        <w:ind w:left="1460" w:hanging="370"/>
        <w:spacing w:after="0"/>
        <w:tabs>
          <w:tab w:leader="none" w:pos="14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Debt,</w:t>
      </w:r>
    </w:p>
    <w:p>
      <w:pPr>
        <w:spacing w:after="0" w:line="130" w:lineRule="exact"/>
        <w:rPr>
          <w:rFonts w:ascii="Times New Roman" w:cs="Times New Roman" w:eastAsia="Times New Roman" w:hAnsi="Times New Roman"/>
          <w:sz w:val="18"/>
          <w:szCs w:val="18"/>
          <w:color w:val="auto"/>
        </w:rPr>
      </w:pPr>
    </w:p>
    <w:p>
      <w:pPr>
        <w:ind w:left="1460" w:right="280" w:hanging="370"/>
        <w:spacing w:after="0" w:line="282" w:lineRule="auto"/>
        <w:tabs>
          <w:tab w:leader="none" w:pos="14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 to a Federal Reserve Bank of the United States, or</w:t>
      </w:r>
    </w:p>
    <w:p>
      <w:pPr>
        <w:spacing w:after="0" w:line="67" w:lineRule="exact"/>
        <w:rPr>
          <w:rFonts w:ascii="Times New Roman" w:cs="Times New Roman" w:eastAsia="Times New Roman" w:hAnsi="Times New Roman"/>
          <w:sz w:val="18"/>
          <w:szCs w:val="18"/>
          <w:color w:val="auto"/>
        </w:rPr>
      </w:pPr>
    </w:p>
    <w:p>
      <w:pPr>
        <w:ind w:left="1460" w:right="280" w:hanging="370"/>
        <w:spacing w:after="0" w:line="282" w:lineRule="auto"/>
        <w:tabs>
          <w:tab w:leader="none" w:pos="14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of Uncertificated Security of any Federal Reserve Bank of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w:t>
      </w:r>
    </w:p>
    <w:p>
      <w:pPr>
        <w:spacing w:after="0" w:line="131" w:lineRule="exact"/>
        <w:rPr>
          <w:sz w:val="20"/>
          <w:szCs w:val="20"/>
          <w:color w:val="auto"/>
        </w:rPr>
      </w:pPr>
    </w:p>
    <w:p>
      <w:pPr>
        <w:ind w:left="1840" w:right="20" w:hanging="386"/>
        <w:spacing w:after="0" w:line="258" w:lineRule="auto"/>
        <w:tabs>
          <w:tab w:leader="none" w:pos="1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bears a signature of any maker, drawer, issuer, endorser, assignor, lessee, transfer agent, registrar, acceptor, surety, guarantor, or of any person signing in any other capacity which is a Forgery, or</w:t>
      </w:r>
    </w:p>
    <w:p>
      <w:pPr>
        <w:spacing w:after="0" w:line="88" w:lineRule="exact"/>
        <w:rPr>
          <w:rFonts w:ascii="Times New Roman" w:cs="Times New Roman" w:eastAsia="Times New Roman" w:hAnsi="Times New Roman"/>
          <w:sz w:val="18"/>
          <w:szCs w:val="18"/>
          <w:color w:val="auto"/>
        </w:rPr>
      </w:pPr>
    </w:p>
    <w:p>
      <w:pPr>
        <w:ind w:left="1840" w:hanging="386"/>
        <w:spacing w:after="0"/>
        <w:tabs>
          <w:tab w:leader="none" w:pos="1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altered, or</w:t>
      </w:r>
    </w:p>
    <w:p>
      <w:pPr>
        <w:spacing w:after="0" w:line="130" w:lineRule="exact"/>
        <w:rPr>
          <w:rFonts w:ascii="Times New Roman" w:cs="Times New Roman" w:eastAsia="Times New Roman" w:hAnsi="Times New Roman"/>
          <w:sz w:val="18"/>
          <w:szCs w:val="18"/>
          <w:color w:val="auto"/>
        </w:rPr>
      </w:pPr>
    </w:p>
    <w:p>
      <w:pPr>
        <w:ind w:left="1840" w:hanging="386"/>
        <w:spacing w:after="0"/>
        <w:tabs>
          <w:tab w:leader="none" w:pos="1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lost or stolen;</w:t>
      </w:r>
    </w:p>
    <w:p>
      <w:pPr>
        <w:spacing w:after="0" w:line="225" w:lineRule="exact"/>
        <w:rPr>
          <w:rFonts w:ascii="Times New Roman" w:cs="Times New Roman" w:eastAsia="Times New Roman" w:hAnsi="Times New Roman"/>
          <w:sz w:val="18"/>
          <w:szCs w:val="18"/>
          <w:color w:val="auto"/>
        </w:rPr>
      </w:pPr>
    </w:p>
    <w:p>
      <w:pPr>
        <w:ind w:firstLine="716"/>
        <w:spacing w:after="0" w:line="266" w:lineRule="auto"/>
        <w:tabs>
          <w:tab w:leader="none" w:pos="11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in writing or witnessed any signature upon any transfer, assignment, bill of sale, power of attorney, Guarantee, or any items listed in (a) through (c) above.</w:t>
      </w:r>
    </w:p>
    <w:p>
      <w:pPr>
        <w:spacing w:after="0" w:line="175" w:lineRule="exact"/>
        <w:rPr>
          <w:rFonts w:ascii="Times New Roman" w:cs="Times New Roman" w:eastAsia="Times New Roman" w:hAnsi="Times New Roman"/>
          <w:sz w:val="18"/>
          <w:szCs w:val="18"/>
          <w:color w:val="auto"/>
        </w:rPr>
      </w:pPr>
    </w:p>
    <w:p>
      <w:pPr>
        <w:ind w:right="120" w:firstLine="716"/>
        <w:spacing w:after="0" w:line="266" w:lineRule="auto"/>
        <w:tabs>
          <w:tab w:leader="none" w:pos="11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sold or delivered, or given value, extended credit or assumed liability, on the faith of any item listed in (a) and (b) above which is a Counterfeit.</w:t>
      </w:r>
    </w:p>
    <w:p>
      <w:pPr>
        <w:spacing w:after="0" w:line="176"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A mechanically reproduced facsimile signature is treated the same as a handwritten signature.</w:t>
      </w:r>
    </w:p>
    <w:p>
      <w:pPr>
        <w:sectPr>
          <w:pgSz w:w="11900" w:h="16914" w:orient="portrait"/>
          <w:cols w:equalWidth="0" w:num="2">
            <w:col w:w="5380" w:space="360"/>
            <w:col w:w="5460"/>
          </w:cols>
          <w:pgMar w:left="320" w:top="270" w:right="379" w:bottom="0" w:gutter="0" w:footer="0" w:header="0"/>
          <w:type w:val="continuous"/>
        </w:sectPr>
      </w:pPr>
    </w:p>
    <w:bookmarkStart w:id="7" w:name="page8"/>
    <w:bookmarkEnd w:id="7"/>
    <w:p>
      <w:pPr>
        <w:ind w:left="740" w:right="116" w:hanging="368"/>
        <w:spacing w:after="0" w:line="261"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Transportation Company and being transported in a conveyance other than an armored motor vehicle provided that covered Property transported in such manner is limited to the following:</w:t>
      </w:r>
    </w:p>
    <w:p>
      <w:pPr>
        <w:spacing w:after="0" w:line="85" w:lineRule="exact"/>
        <w:rPr>
          <w:rFonts w:ascii="Times New Roman" w:cs="Times New Roman" w:eastAsia="Times New Roman" w:hAnsi="Times New Roman"/>
          <w:sz w:val="18"/>
          <w:szCs w:val="18"/>
          <w:color w:val="auto"/>
        </w:rPr>
      </w:pPr>
    </w:p>
    <w:p>
      <w:pPr>
        <w:ind w:left="1100" w:hanging="363"/>
        <w:spacing w:after="0"/>
        <w:tabs>
          <w:tab w:leader="none" w:pos="11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records, whether recorded in writing or electronically, and</w:t>
      </w:r>
    </w:p>
    <w:p>
      <w:pPr>
        <w:spacing w:after="0" w:line="142" w:lineRule="exact"/>
        <w:rPr>
          <w:rFonts w:ascii="Times New Roman" w:cs="Times New Roman" w:eastAsia="Times New Roman" w:hAnsi="Times New Roman"/>
          <w:sz w:val="17"/>
          <w:szCs w:val="17"/>
          <w:color w:val="auto"/>
        </w:rPr>
      </w:pPr>
    </w:p>
    <w:p>
      <w:pPr>
        <w:ind w:left="1100" w:right="476" w:hanging="363"/>
        <w:spacing w:after="0" w:line="282" w:lineRule="auto"/>
        <w:tabs>
          <w:tab w:leader="none" w:pos="11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Securities issued in registered form and not endorsed, or with restrictive endorsements, and</w:t>
      </w:r>
    </w:p>
    <w:p>
      <w:pPr>
        <w:spacing w:after="0" w:line="20" w:lineRule="exact"/>
        <w:rPr>
          <w:sz w:val="20"/>
          <w:szCs w:val="20"/>
          <w:color w:val="auto"/>
        </w:rPr>
      </w:pPr>
      <w:r>
        <w:rPr>
          <w:sz w:val="20"/>
          <w:szCs w:val="20"/>
          <w:color w:val="auto"/>
        </w:rPr>
        <w:br w:type="column"/>
      </w:r>
    </w:p>
    <w:p>
      <w:pPr>
        <w:ind w:left="1264"/>
        <w:spacing w:after="0"/>
        <w:rPr>
          <w:sz w:val="20"/>
          <w:szCs w:val="20"/>
          <w:color w:val="auto"/>
        </w:rPr>
      </w:pPr>
      <w:r>
        <w:rPr>
          <w:rFonts w:ascii="Times New Roman" w:cs="Times New Roman" w:eastAsia="Times New Roman" w:hAnsi="Times New Roman"/>
          <w:sz w:val="18"/>
          <w:szCs w:val="18"/>
          <w:color w:val="auto"/>
        </w:rPr>
        <w:t>COUNTERFEIT CURRENCY</w:t>
      </w:r>
    </w:p>
    <w:p>
      <w:pPr>
        <w:spacing w:after="0" w:line="225" w:lineRule="exact"/>
        <w:rPr>
          <w:sz w:val="20"/>
          <w:szCs w:val="20"/>
          <w:color w:val="auto"/>
        </w:rPr>
      </w:pPr>
    </w:p>
    <w:p>
      <w:pPr>
        <w:ind w:left="-356" w:right="60" w:firstLine="356"/>
        <w:spacing w:after="0" w:line="266" w:lineRule="auto"/>
        <w:tabs>
          <w:tab w:leader="none" w:pos="4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the receipt by the Insured, in good faith, of any Counterfeit Money of the United States of America, Canada or of any other country in which the Insured maintains a branch office.</w:t>
      </w:r>
    </w:p>
    <w:p>
      <w:pPr>
        <w:spacing w:after="0" w:line="889" w:lineRule="exact"/>
        <w:rPr>
          <w:sz w:val="20"/>
          <w:szCs w:val="20"/>
          <w:color w:val="auto"/>
        </w:rPr>
      </w:pPr>
    </w:p>
    <w:p>
      <w:pPr>
        <w:sectPr>
          <w:pgSz w:w="11900" w:h="16838" w:orient="portrait"/>
          <w:cols w:equalWidth="0" w:num="2">
            <w:col w:w="5376" w:space="720"/>
            <w:col w:w="5144"/>
          </w:cols>
          <w:pgMar w:left="320" w:top="121" w:right="339"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AGREEMENTS</w:t>
      </w:r>
    </w:p>
    <w:p>
      <w:pPr>
        <w:sectPr>
          <w:pgSz w:w="11900" w:h="16838" w:orient="portrait"/>
          <w:cols w:equalWidth="0" w:num="1">
            <w:col w:w="11240"/>
          </w:cols>
          <w:pgMar w:left="320" w:top="121" w:right="339" w:bottom="1440" w:gutter="0" w:footer="0" w:header="0"/>
          <w:type w:val="continuous"/>
        </w:sectPr>
      </w:pPr>
    </w:p>
    <w:p>
      <w:pPr>
        <w:spacing w:after="0" w:line="31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NOMINEES</w:t>
      </w:r>
    </w:p>
    <w:p>
      <w:pPr>
        <w:spacing w:after="0" w:line="225" w:lineRule="exact"/>
        <w:rPr>
          <w:sz w:val="20"/>
          <w:szCs w:val="20"/>
          <w:color w:val="auto"/>
        </w:rPr>
      </w:pPr>
    </w:p>
    <w:p>
      <w:pPr>
        <w:ind w:firstLine="368"/>
        <w:spacing w:after="0" w:line="258" w:lineRule="auto"/>
        <w:tabs>
          <w:tab w:leader="none" w:pos="7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sustained by any nominee organized by the Insured for the purpose of handling certain of its business transactions and composed exclusively of its Employees shall, for all the purposes of this bond and whether or not any partner of such nominee is implicated in such loss, be deemed to be loss sustained by the Insured.</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If the Insured shall, while this bond is in force, consolidate or merge with, or purchase or acquire assets or liabilities of, another institution, the Insured shall not have such coverage as is afforded under this bond for loss which</w:t>
      </w:r>
    </w:p>
    <w:p>
      <w:pPr>
        <w:spacing w:after="0" w:line="72" w:lineRule="exact"/>
        <w:rPr>
          <w:sz w:val="20"/>
          <w:szCs w:val="20"/>
          <w:color w:val="auto"/>
        </w:rPr>
      </w:pPr>
    </w:p>
    <w:p>
      <w:pPr>
        <w:ind w:left="740" w:hanging="384"/>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occurred or will occur in offices or premises, or</w:t>
      </w:r>
    </w:p>
    <w:p>
      <w:pPr>
        <w:spacing w:after="0" w:line="117" w:lineRule="exact"/>
        <w:rPr>
          <w:rFonts w:ascii="Times New Roman" w:cs="Times New Roman" w:eastAsia="Times New Roman" w:hAnsi="Times New Roman"/>
          <w:sz w:val="18"/>
          <w:szCs w:val="18"/>
          <w:color w:val="auto"/>
        </w:rPr>
      </w:pPr>
    </w:p>
    <w:p>
      <w:pPr>
        <w:ind w:left="360" w:right="140" w:hanging="4"/>
        <w:spacing w:after="0" w:line="282" w:lineRule="auto"/>
        <w:tabs>
          <w:tab w:leader="none" w:pos="7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caused or will be caused by an employee or employees of such institution, or</w:t>
      </w:r>
    </w:p>
    <w:p>
      <w:pPr>
        <w:spacing w:after="0" w:line="54" w:lineRule="exact"/>
        <w:rPr>
          <w:sz w:val="20"/>
          <w:szCs w:val="20"/>
          <w:color w:val="auto"/>
        </w:rPr>
      </w:pPr>
    </w:p>
    <w:p>
      <w:pPr>
        <w:sectPr>
          <w:pgSz w:w="11900" w:h="16838" w:orient="portrait"/>
          <w:cols w:equalWidth="0" w:num="2">
            <w:col w:w="5320" w:space="420"/>
            <w:col w:w="5500"/>
          </w:cols>
          <w:pgMar w:left="320" w:top="121" w:right="339" w:bottom="1440" w:gutter="0" w:footer="0" w:header="0"/>
          <w:type w:val="continuous"/>
        </w:sectPr>
      </w:pPr>
    </w:p>
    <w:p>
      <w:pPr>
        <w:spacing w:after="0" w:line="108" w:lineRule="exact"/>
        <w:rPr>
          <w:sz w:val="20"/>
          <w:szCs w:val="20"/>
          <w:color w:val="auto"/>
        </w:rPr>
      </w:pPr>
    </w:p>
    <w:p>
      <w:pPr>
        <w:jc w:val="center"/>
        <w:ind w:left="220" w:right="196"/>
        <w:spacing w:after="0" w:line="312" w:lineRule="auto"/>
        <w:rPr>
          <w:sz w:val="20"/>
          <w:szCs w:val="20"/>
          <w:color w:val="auto"/>
        </w:rPr>
      </w:pPr>
      <w:r>
        <w:rPr>
          <w:rFonts w:ascii="Times New Roman" w:cs="Times New Roman" w:eastAsia="Times New Roman" w:hAnsi="Times New Roman"/>
          <w:sz w:val="17"/>
          <w:szCs w:val="17"/>
          <w:color w:val="auto"/>
        </w:rPr>
        <w:t>ADDITIONAL OFFICES OR EMPLOYEES—CONSOLIDATION, MERGER OR PURCHASE OF ASSETS—NOTICE</w:t>
      </w:r>
    </w:p>
    <w:p>
      <w:pPr>
        <w:spacing w:after="0" w:line="140" w:lineRule="exact"/>
        <w:rPr>
          <w:sz w:val="20"/>
          <w:szCs w:val="20"/>
          <w:color w:val="auto"/>
        </w:rPr>
      </w:pPr>
    </w:p>
    <w:p>
      <w:pPr>
        <w:ind w:right="36" w:firstLine="368"/>
        <w:spacing w:after="0" w:line="256" w:lineRule="auto"/>
        <w:tabs>
          <w:tab w:leader="none" w:pos="7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Insured shall, while this bond is in force, establish any additional offices, other than by consolidation or merger with, or purchase or acquisition of assets or liabilities of, another institution such offices shall be automatically covered hereunder from the date of such establishment without the requirement of notice to the Underwriter or the payment of additional premium for the remainder of the premium period.</w:t>
      </w:r>
    </w:p>
    <w:p>
      <w:pPr>
        <w:spacing w:after="0" w:line="20" w:lineRule="exact"/>
        <w:rPr>
          <w:sz w:val="20"/>
          <w:szCs w:val="20"/>
          <w:color w:val="auto"/>
        </w:rPr>
      </w:pPr>
      <w:r>
        <w:rPr>
          <w:sz w:val="20"/>
          <w:szCs w:val="20"/>
          <w:color w:val="auto"/>
        </w:rPr>
        <w:br w:type="column"/>
      </w:r>
    </w:p>
    <w:p>
      <w:pPr>
        <w:ind w:left="4" w:right="140" w:hanging="4"/>
        <w:spacing w:after="0" w:line="266" w:lineRule="auto"/>
        <w:tabs>
          <w:tab w:leader="none" w:pos="3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arisen or will arise out of the assets or liabilities acquired by the Insured as a result of such consolidation, merger or purchase or acquisition of assets or liabilities unless the Insured shall</w:t>
      </w:r>
    </w:p>
    <w:p>
      <w:pPr>
        <w:spacing w:after="0" w:line="81" w:lineRule="exact"/>
        <w:rPr>
          <w:rFonts w:ascii="Times New Roman" w:cs="Times New Roman" w:eastAsia="Times New Roman" w:hAnsi="Times New Roman"/>
          <w:sz w:val="18"/>
          <w:szCs w:val="18"/>
          <w:color w:val="auto"/>
        </w:rPr>
      </w:pPr>
    </w:p>
    <w:p>
      <w:pPr>
        <w:ind w:left="724" w:right="80" w:hanging="355"/>
        <w:spacing w:after="0" w:line="261" w:lineRule="auto"/>
        <w:tabs>
          <w:tab w:leader="none" w:pos="7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Underwriter written notice of the proposed consolidation, merger or purchase or acquisition of assets or liabilities prior to the proposed effective date of such action and</w:t>
      </w:r>
    </w:p>
    <w:p>
      <w:pPr>
        <w:spacing w:after="0" w:line="85" w:lineRule="exact"/>
        <w:rPr>
          <w:rFonts w:ascii="Times New Roman" w:cs="Times New Roman" w:eastAsia="Times New Roman" w:hAnsi="Times New Roman"/>
          <w:sz w:val="18"/>
          <w:szCs w:val="18"/>
          <w:color w:val="auto"/>
        </w:rPr>
      </w:pPr>
    </w:p>
    <w:p>
      <w:pPr>
        <w:ind w:left="724" w:right="100" w:hanging="355"/>
        <w:spacing w:after="0" w:line="266" w:lineRule="auto"/>
        <w:tabs>
          <w:tab w:leader="none" w:pos="7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written consent of the Underwriter to extend the coverage provided by this bond to such additional offices or premises, Employees and other exposures, and</w:t>
      </w:r>
    </w:p>
    <w:p>
      <w:pPr>
        <w:spacing w:after="0" w:line="200" w:lineRule="exact"/>
        <w:rPr>
          <w:sz w:val="20"/>
          <w:szCs w:val="20"/>
          <w:color w:val="auto"/>
        </w:rPr>
      </w:pPr>
    </w:p>
    <w:p>
      <w:pPr>
        <w:sectPr>
          <w:pgSz w:w="11900" w:h="16838" w:orient="portrait"/>
          <w:cols w:equalWidth="0" w:num="2">
            <w:col w:w="5376" w:space="720"/>
            <w:col w:w="5144"/>
          </w:cols>
          <w:pgMar w:left="320" w:top="121"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Code: 2-14057</w:t>
      </w:r>
    </w:p>
    <w:p>
      <w:pPr>
        <w:spacing w:after="0" w:line="27" w:lineRule="exact"/>
        <w:rPr>
          <w:sz w:val="20"/>
          <w:szCs w:val="20"/>
          <w:color w:val="auto"/>
        </w:rPr>
      </w:pPr>
    </w:p>
    <w:p>
      <w:pPr>
        <w:spacing w:after="0"/>
        <w:tabs>
          <w:tab w:leader="none" w:pos="4160" w:val="left"/>
          <w:tab w:leader="none" w:pos="10400" w:val="left"/>
        </w:tabs>
        <w:rPr>
          <w:sz w:val="20"/>
          <w:szCs w:val="20"/>
          <w:color w:val="auto"/>
        </w:rPr>
      </w:pPr>
      <w:r>
        <w:rPr>
          <w:rFonts w:ascii="Times New Roman" w:cs="Times New Roman" w:eastAsia="Times New Roman" w:hAnsi="Times New Roman"/>
          <w:sz w:val="18"/>
          <w:szCs w:val="18"/>
          <w:color w:val="auto"/>
        </w:rPr>
        <w:t>TSB 5062b 1087</w:t>
      </w:r>
      <w:r>
        <w:rPr>
          <w:sz w:val="20"/>
          <w:szCs w:val="20"/>
          <w:color w:val="auto"/>
        </w:rPr>
        <w:tab/>
      </w:r>
      <w:r>
        <w:rPr>
          <w:rFonts w:ascii="Times New Roman" w:cs="Times New Roman" w:eastAsia="Times New Roman" w:hAnsi="Times New Roman"/>
          <w:sz w:val="18"/>
          <w:szCs w:val="18"/>
          <w:color w:val="auto"/>
        </w:rPr>
        <w:t>Copyright, The Surety Association of America, 1987</w:t>
      </w:r>
      <w:r>
        <w:rPr>
          <w:sz w:val="20"/>
          <w:szCs w:val="20"/>
          <w:color w:val="auto"/>
        </w:rPr>
        <w:tab/>
      </w:r>
      <w:r>
        <w:rPr>
          <w:rFonts w:ascii="Times New Roman" w:cs="Times New Roman" w:eastAsia="Times New Roman" w:hAnsi="Times New Roman"/>
          <w:sz w:val="18"/>
          <w:szCs w:val="18"/>
          <w:color w:val="auto"/>
        </w:rPr>
        <w:t>Page 4 of 8</w:t>
      </w:r>
    </w:p>
    <w:p>
      <w:pPr>
        <w:sectPr>
          <w:pgSz w:w="11900" w:h="16838" w:orient="portrait"/>
          <w:cols w:equalWidth="0" w:num="1">
            <w:col w:w="11240"/>
          </w:cols>
          <w:pgMar w:left="320" w:top="121" w:right="339" w:bottom="1440" w:gutter="0" w:footer="0" w:header="0"/>
          <w:type w:val="continuous"/>
        </w:sectPr>
      </w:pPr>
    </w:p>
    <w:bookmarkStart w:id="8" w:name="page9"/>
    <w:bookmarkEnd w:id="8"/>
    <w:p>
      <w:pPr>
        <w:ind w:left="1100" w:right="280" w:hanging="363"/>
        <w:spacing w:after="0" w:line="282"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obtaining such consent, pay to the Underwriter an additional premium.</w:t>
      </w:r>
    </w:p>
    <w:p>
      <w:pPr>
        <w:spacing w:after="0" w:line="3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CHANGE OF CONTROL—NOTICE</w:t>
      </w:r>
    </w:p>
    <w:p>
      <w:pPr>
        <w:spacing w:after="0" w:line="225" w:lineRule="exact"/>
        <w:rPr>
          <w:sz w:val="20"/>
          <w:szCs w:val="20"/>
          <w:color w:val="auto"/>
        </w:rPr>
      </w:pPr>
    </w:p>
    <w:p>
      <w:pPr>
        <w:ind w:right="380" w:firstLine="368"/>
        <w:spacing w:after="0" w:line="282" w:lineRule="auto"/>
        <w:tabs>
          <w:tab w:leader="none" w:pos="7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Insured learns of a change in control, it shall give written notice to the Underwriter.</w:t>
      </w:r>
    </w:p>
    <w:p>
      <w:pPr>
        <w:spacing w:after="0" w:line="162"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As used in this General Agreement, control means the power to determine the management or policy of a controlling holding company or the Insured by virtue of voting stock ownership. A change in ownership of voting stock which results in direct or indirect ownership by a stockholder or an affiliated group of stockholders of ten percent (10%) or more of such stock shall be presumed to result in a change of control for the purpose of the required notice.</w:t>
      </w:r>
    </w:p>
    <w:p>
      <w:pPr>
        <w:spacing w:after="0" w:line="189"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18"/>
          <w:szCs w:val="18"/>
          <w:color w:val="auto"/>
        </w:rPr>
        <w:t>Failure to give the required notice shall result in termination of coverage for any loss involving a transferee, to be effective upon the date of the stock transfer.</w:t>
      </w:r>
    </w:p>
    <w:p>
      <w:pPr>
        <w:spacing w:after="0" w:line="39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REPRESENTATION OF INSURED</w:t>
      </w:r>
    </w:p>
    <w:p>
      <w:pPr>
        <w:spacing w:after="0" w:line="225" w:lineRule="exact"/>
        <w:rPr>
          <w:sz w:val="20"/>
          <w:szCs w:val="20"/>
          <w:color w:val="auto"/>
        </w:rPr>
      </w:pPr>
    </w:p>
    <w:p>
      <w:pPr>
        <w:ind w:right="220" w:firstLine="368"/>
        <w:spacing w:after="0" w:line="266" w:lineRule="auto"/>
        <w:tabs>
          <w:tab w:leader="none" w:pos="7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represents that the information furnished in the application for this bond is complete, true and correct. Such application constitutes part of this bond.</w:t>
      </w:r>
    </w:p>
    <w:p>
      <w:pPr>
        <w:spacing w:after="0" w:line="176"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Any misrepresentation, omission, concealment or incorrect statement of a material fact, in the application or otherwise, shall be grounds for the rescission of this bond.</w:t>
      </w:r>
    </w:p>
    <w:p>
      <w:pPr>
        <w:spacing w:after="0" w:line="392"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JOINT INSURED</w:t>
      </w:r>
    </w:p>
    <w:p>
      <w:pPr>
        <w:spacing w:after="0" w:line="225"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18"/>
          <w:szCs w:val="18"/>
          <w:color w:val="auto"/>
        </w:rPr>
        <w:t>E. If two or more Insureds are covered under this bond, the first named Insured shall act for all Insureds. Payment by the Underwriter to the first named Insured of loss sustained by any Insured shall fully release the Underwriter on account of such loss. If the first named Insured ceases to be covered under this bond, the Insured next named shall thereafter be considered as the first named Insured. Knowledge possessed or discovery made by any Insured shall constitute knowledge or discovery by all Insureds for all purposes of this bond. The liability of the Underwriter for loss or losses sustained by all Insureds shall not exceed the amount for which the Underwriter would have been liable had all such loss or losses been sustained by one Insured.</w:t>
      </w:r>
    </w:p>
    <w:p>
      <w:pPr>
        <w:spacing w:after="0" w:line="20" w:lineRule="exact"/>
        <w:rPr>
          <w:sz w:val="20"/>
          <w:szCs w:val="20"/>
          <w:color w:val="auto"/>
        </w:rPr>
      </w:pPr>
      <w:r>
        <w:rPr>
          <w:sz w:val="20"/>
          <w:szCs w:val="20"/>
          <w:color w:val="auto"/>
        </w:rPr>
        <w:br w:type="column"/>
      </w:r>
    </w:p>
    <w:p>
      <w:pPr>
        <w:jc w:val="center"/>
        <w:ind w:left="-19" w:right="380"/>
        <w:spacing w:after="0" w:line="282" w:lineRule="auto"/>
        <w:rPr>
          <w:sz w:val="20"/>
          <w:szCs w:val="20"/>
          <w:color w:val="auto"/>
        </w:rPr>
      </w:pPr>
      <w:r>
        <w:rPr>
          <w:rFonts w:ascii="Times New Roman" w:cs="Times New Roman" w:eastAsia="Times New Roman" w:hAnsi="Times New Roman"/>
          <w:sz w:val="18"/>
          <w:szCs w:val="18"/>
          <w:color w:val="auto"/>
        </w:rPr>
        <w:t>NOTICE OF LEGAL PROCEEDINGS AGAINST INSURED— ELECTION TO DEFEND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-425450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2" w:lineRule="exact"/>
        <w:rPr>
          <w:sz w:val="20"/>
          <w:szCs w:val="20"/>
          <w:color w:val="auto"/>
        </w:rPr>
      </w:pPr>
    </w:p>
    <w:p>
      <w:pPr>
        <w:ind w:right="40" w:firstLine="356"/>
        <w:spacing w:after="0" w:line="256" w:lineRule="auto"/>
        <w:tabs>
          <w:tab w:leader="none" w:pos="6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shall notify the Underwriter at the earliest practicable moment, not to exceed 30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187"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The Underwriter, at its sole option, may elect to conduct the defense of such legal proceeding, in whole or in part. The defense by the Underwriter shall be in the Insured’s name through attorneys selected by the Underwriter. The Insured shall provide all reasonable information and assistance required by the Underwriter for such defense.</w:t>
      </w:r>
    </w:p>
    <w:p>
      <w:pPr>
        <w:spacing w:after="0" w:line="183"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If the Underwriter elects to defend the Insured, in whole or in part, any judgment against the Insured on those counts or causes of action which the Underwriter defended on behalf of the Insured or any settlement in which the Underwriter participates and all attorneys’ fees, costs and expenses incurred by the Underwriter in the defense of the litigation shall be a loss covered by this bond.</w:t>
      </w:r>
    </w:p>
    <w:p>
      <w:pPr>
        <w:spacing w:after="0" w:line="187"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If the Insured does not give the notices required in subsection (a) of Section 5 of this bond and in the first paragraph of this General Agreement, or if the Underwriter elects not to defend any causes of action, neither a judgment against the Insured, nor a settlement of any legal proceeding by the Insured, shall determine the existence, extent or amount of coverage under this bond for loss sustained by the Insured, and the Underwriter shall not be liable for any attorneys’ fees, costs and expenses incurred by the Insured.</w:t>
      </w:r>
    </w:p>
    <w:p>
      <w:pPr>
        <w:spacing w:after="0" w:line="192"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With respect to this General Agreement, subsections (b) and (d) of Section 5 of this bond apply upon the entry of such judgment or the occurrence of such settlement instead of upon discovery of loss. In addition, the Insured must notify the Underwriter within 30 days after such judgment is entered against it or after the Insured settles such legal proceeding, and, subject to subsection (e) of Section 5, the Insured may not bring legal proceedings for the recovery of such loss after the expiration of 24 months from the date of such final judgment or settlement.</w:t>
      </w:r>
    </w:p>
    <w:p>
      <w:pPr>
        <w:spacing w:after="0" w:line="1495" w:lineRule="exact"/>
        <w:rPr>
          <w:sz w:val="20"/>
          <w:szCs w:val="20"/>
          <w:color w:val="auto"/>
        </w:rPr>
      </w:pPr>
    </w:p>
    <w:p>
      <w:pPr>
        <w:sectPr>
          <w:pgSz w:w="11900" w:h="16838" w:orient="portrait"/>
          <w:cols w:equalWidth="0" w:num="2">
            <w:col w:w="5380" w:space="360"/>
            <w:col w:w="5480"/>
          </w:cols>
          <w:pgMar w:left="320" w:top="324" w:right="359" w:bottom="155" w:gutter="0" w:footer="0" w:header="0"/>
        </w:sect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CONDITIONS AND LIMITATIONS</w:t>
      </w:r>
    </w:p>
    <w:p>
      <w:pPr>
        <w:sectPr>
          <w:pgSz w:w="11900" w:h="16838" w:orient="portrait"/>
          <w:cols w:equalWidth="0" w:num="1">
            <w:col w:w="11220"/>
          </w:cols>
          <w:pgMar w:left="320" w:top="324" w:right="359" w:bottom="155" w:gutter="0" w:footer="0" w:header="0"/>
          <w:type w:val="continuous"/>
        </w:sectPr>
      </w:pPr>
    </w:p>
    <w:p>
      <w:pPr>
        <w:spacing w:after="0" w:line="32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As used in this bond:</w:t>
      </w:r>
    </w:p>
    <w:p>
      <w:pPr>
        <w:spacing w:after="0" w:line="117" w:lineRule="exact"/>
        <w:rPr>
          <w:sz w:val="20"/>
          <w:szCs w:val="20"/>
          <w:color w:val="auto"/>
        </w:rPr>
      </w:pPr>
    </w:p>
    <w:p>
      <w:pPr>
        <w:ind w:right="220" w:firstLine="368"/>
        <w:spacing w:after="0" w:line="282" w:lineRule="auto"/>
        <w:tabs>
          <w:tab w:leader="none" w:pos="7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means a draft which the drawee has, by signature written thereon, engaged to honor as presented.</w:t>
      </w:r>
    </w:p>
    <w:p>
      <w:pPr>
        <w:spacing w:after="0" w:line="161" w:lineRule="exact"/>
        <w:rPr>
          <w:rFonts w:ascii="Times New Roman" w:cs="Times New Roman" w:eastAsia="Times New Roman" w:hAnsi="Times New Roman"/>
          <w:sz w:val="18"/>
          <w:szCs w:val="18"/>
          <w:color w:val="auto"/>
        </w:rPr>
      </w:pPr>
    </w:p>
    <w:p>
      <w:pPr>
        <w:ind w:right="100" w:firstLine="368"/>
        <w:spacing w:after="0" w:line="282" w:lineRule="auto"/>
        <w:tabs>
          <w:tab w:leader="none" w:pos="6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Deposit means an acknowledgment in writing by a financial institution of receipt of Money with an engagement to repay it.</w:t>
      </w:r>
    </w:p>
    <w:p>
      <w:pPr>
        <w:spacing w:after="0" w:line="161" w:lineRule="exact"/>
        <w:rPr>
          <w:rFonts w:ascii="Times New Roman" w:cs="Times New Roman" w:eastAsia="Times New Roman" w:hAnsi="Times New Roman"/>
          <w:sz w:val="18"/>
          <w:szCs w:val="18"/>
          <w:color w:val="auto"/>
        </w:rPr>
      </w:pPr>
    </w:p>
    <w:p>
      <w:pPr>
        <w:ind w:right="80" w:firstLine="368"/>
        <w:spacing w:after="0" w:line="266" w:lineRule="auto"/>
        <w:tabs>
          <w:tab w:leader="none" w:pos="73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Security means a share, participation or other interest in property of or an enterprise of the issuer or an obligation of the issuer, which is:</w:t>
      </w:r>
    </w:p>
    <w:p>
      <w:pPr>
        <w:spacing w:after="0" w:line="81" w:lineRule="exact"/>
        <w:rPr>
          <w:rFonts w:ascii="Times New Roman" w:cs="Times New Roman" w:eastAsia="Times New Roman" w:hAnsi="Times New Roman"/>
          <w:sz w:val="18"/>
          <w:szCs w:val="18"/>
          <w:color w:val="auto"/>
        </w:rPr>
      </w:pPr>
    </w:p>
    <w:p>
      <w:pPr>
        <w:ind w:left="1100" w:right="80" w:hanging="363"/>
        <w:spacing w:after="0" w:line="282" w:lineRule="auto"/>
        <w:tabs>
          <w:tab w:leader="none" w:pos="11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an instrument issued in bearer or registered form;</w:t>
      </w:r>
    </w:p>
    <w:p>
      <w:pPr>
        <w:spacing w:after="0" w:line="67" w:lineRule="exact"/>
        <w:rPr>
          <w:rFonts w:ascii="Times New Roman" w:cs="Times New Roman" w:eastAsia="Times New Roman" w:hAnsi="Times New Roman"/>
          <w:sz w:val="18"/>
          <w:szCs w:val="18"/>
          <w:color w:val="auto"/>
        </w:rPr>
      </w:pPr>
    </w:p>
    <w:p>
      <w:pPr>
        <w:ind w:left="1100" w:right="60" w:hanging="363"/>
        <w:spacing w:after="0" w:line="266" w:lineRule="auto"/>
        <w:tabs>
          <w:tab w:leader="none" w:pos="11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81" w:lineRule="exact"/>
        <w:rPr>
          <w:rFonts w:ascii="Times New Roman" w:cs="Times New Roman" w:eastAsia="Times New Roman" w:hAnsi="Times New Roman"/>
          <w:sz w:val="18"/>
          <w:szCs w:val="18"/>
          <w:color w:val="auto"/>
        </w:rPr>
      </w:pPr>
    </w:p>
    <w:p>
      <w:pPr>
        <w:ind w:left="1100" w:hanging="363"/>
        <w:spacing w:after="0" w:line="266" w:lineRule="auto"/>
        <w:tabs>
          <w:tab w:leader="none" w:pos="11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724"/>
        <w:spacing w:after="0" w:line="266" w:lineRule="auto"/>
        <w:rPr>
          <w:sz w:val="20"/>
          <w:szCs w:val="20"/>
          <w:color w:val="auto"/>
        </w:rPr>
      </w:pPr>
      <w:r>
        <w:rPr>
          <w:rFonts w:ascii="Times New Roman" w:cs="Times New Roman" w:eastAsia="Times New Roman" w:hAnsi="Times New Roman"/>
          <w:sz w:val="18"/>
          <w:szCs w:val="18"/>
          <w:color w:val="auto"/>
        </w:rPr>
        <w:t>purposes of this bond, excepting, however, the second paragraph of Section 12. A Federal Reserve Bank or clearing house shall not be construed to be a processor.); and</w:t>
      </w:r>
    </w:p>
    <w:p>
      <w:pPr>
        <w:spacing w:after="0" w:line="81" w:lineRule="exact"/>
        <w:rPr>
          <w:sz w:val="20"/>
          <w:szCs w:val="20"/>
          <w:color w:val="auto"/>
        </w:rPr>
      </w:pPr>
    </w:p>
    <w:p>
      <w:pPr>
        <w:ind w:left="724" w:right="60" w:hanging="355"/>
        <w:spacing w:after="0" w:line="282" w:lineRule="auto"/>
        <w:tabs>
          <w:tab w:leader="none" w:pos="7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of the Insured, unless not covered as stated in Item 4 of the Declarations.</w:t>
      </w:r>
    </w:p>
    <w:p>
      <w:pPr>
        <w:spacing w:after="0" w:line="161" w:lineRule="exact"/>
        <w:rPr>
          <w:rFonts w:ascii="Times New Roman" w:cs="Times New Roman" w:eastAsia="Times New Roman" w:hAnsi="Times New Roman"/>
          <w:sz w:val="18"/>
          <w:szCs w:val="18"/>
          <w:color w:val="auto"/>
        </w:rPr>
      </w:pPr>
    </w:p>
    <w:p>
      <w:pPr>
        <w:ind w:left="-356" w:right="140" w:firstLine="356"/>
        <w:spacing w:after="0" w:line="261" w:lineRule="auto"/>
        <w:tabs>
          <w:tab w:leader="none" w:pos="3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Debt means an instrument, including a Negotiable Instrument, executed by a customer of the Insured and held by the Insured which in the regular course of business is treated as evidencing the customer’s debt to the Insured.</w:t>
      </w:r>
    </w:p>
    <w:p>
      <w:pPr>
        <w:spacing w:after="0" w:line="179" w:lineRule="exact"/>
        <w:rPr>
          <w:rFonts w:ascii="Times New Roman" w:cs="Times New Roman" w:eastAsia="Times New Roman" w:hAnsi="Times New Roman"/>
          <w:sz w:val="18"/>
          <w:szCs w:val="18"/>
          <w:color w:val="auto"/>
        </w:rPr>
      </w:pPr>
    </w:p>
    <w:p>
      <w:pPr>
        <w:ind w:left="-356" w:right="300" w:firstLine="356"/>
        <w:spacing w:after="0" w:line="266" w:lineRule="auto"/>
        <w:tabs>
          <w:tab w:leader="none" w:pos="3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Interest in the Insured of the Insured’s general partner(s), or limited partner(s), committing dishonest or fraudulent acts covered by this bond or concerned or implicated therein means:</w:t>
      </w:r>
    </w:p>
    <w:p>
      <w:pPr>
        <w:spacing w:after="0" w:line="81" w:lineRule="exact"/>
        <w:rPr>
          <w:rFonts w:ascii="Times New Roman" w:cs="Times New Roman" w:eastAsia="Times New Roman" w:hAnsi="Times New Roman"/>
          <w:sz w:val="18"/>
          <w:szCs w:val="18"/>
          <w:color w:val="auto"/>
        </w:rPr>
      </w:pPr>
    </w:p>
    <w:p>
      <w:pPr>
        <w:ind w:left="724" w:hanging="355"/>
        <w:spacing w:after="0" w:line="261" w:lineRule="auto"/>
        <w:tabs>
          <w:tab w:leader="none" w:pos="7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respects general partner(s) the value of all right, title and interest of such general partner(s), determined as of the close of business on the date of discovery of loss covered by this bond, in the aggregate of:</w:t>
      </w:r>
    </w:p>
    <w:p>
      <w:pPr>
        <w:sectPr>
          <w:pgSz w:w="11900" w:h="16838" w:orient="portrait"/>
          <w:cols w:equalWidth="0" w:num="2">
            <w:col w:w="5380" w:space="716"/>
            <w:col w:w="5124"/>
          </w:cols>
          <w:pgMar w:left="320" w:top="324" w:right="359" w:bottom="155" w:gutter="0" w:footer="0" w:header="0"/>
          <w:type w:val="continuous"/>
        </w:sectPr>
      </w:pPr>
    </w:p>
    <w:bookmarkStart w:id="9" w:name="page10"/>
    <w:bookmarkEnd w:id="9"/>
    <w:p>
      <w:pPr>
        <w:ind w:right="740" w:firstLine="368"/>
        <w:spacing w:after="0" w:line="282" w:lineRule="auto"/>
        <w:tabs>
          <w:tab w:leader="none" w:pos="7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Counterfeit means an imitation of an actual valid original which is intended to deceive and to be taken as the original.</w:t>
      </w:r>
    </w:p>
    <w:p>
      <w:pPr>
        <w:spacing w:after="0" w:line="161" w:lineRule="exact"/>
        <w:rPr>
          <w:rFonts w:ascii="Times New Roman" w:cs="Times New Roman" w:eastAsia="Times New Roman" w:hAnsi="Times New Roman"/>
          <w:sz w:val="18"/>
          <w:szCs w:val="18"/>
          <w:color w:val="auto"/>
        </w:rPr>
      </w:pPr>
    </w:p>
    <w:p>
      <w:pPr>
        <w:ind w:left="740" w:hanging="372"/>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means</w:t>
      </w:r>
    </w:p>
    <w:p>
      <w:pPr>
        <w:spacing w:after="0" w:line="130" w:lineRule="exact"/>
        <w:rPr>
          <w:rFonts w:ascii="Times New Roman" w:cs="Times New Roman" w:eastAsia="Times New Roman" w:hAnsi="Times New Roman"/>
          <w:sz w:val="18"/>
          <w:szCs w:val="18"/>
          <w:color w:val="auto"/>
        </w:rPr>
      </w:pPr>
    </w:p>
    <w:p>
      <w:pPr>
        <w:ind w:left="1100" w:right="720" w:hanging="363"/>
        <w:spacing w:after="0" w:line="258" w:lineRule="auto"/>
        <w:tabs>
          <w:tab w:leader="none" w:pos="11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natural person in the service of the Insured at any of the Insured’s offices or premises covered hereunder whom the Insured compensates directly by salary or commissions and whom the Insured has the right to direct and control while performing services for the Insured;</w:t>
      </w:r>
    </w:p>
    <w:p>
      <w:pPr>
        <w:spacing w:after="0" w:line="88" w:lineRule="exact"/>
        <w:rPr>
          <w:rFonts w:ascii="Times New Roman" w:cs="Times New Roman" w:eastAsia="Times New Roman" w:hAnsi="Times New Roman"/>
          <w:sz w:val="18"/>
          <w:szCs w:val="18"/>
          <w:color w:val="auto"/>
        </w:rPr>
      </w:pPr>
    </w:p>
    <w:p>
      <w:pPr>
        <w:ind w:left="1100" w:right="840" w:hanging="363"/>
        <w:spacing w:after="0" w:line="266" w:lineRule="auto"/>
        <w:tabs>
          <w:tab w:leader="none" w:pos="11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attorney retained by the Insured and an employee of such attorney while either is performing legal services for the Insured;</w:t>
      </w:r>
    </w:p>
    <w:p>
      <w:pPr>
        <w:spacing w:after="0" w:line="81" w:lineRule="exact"/>
        <w:rPr>
          <w:rFonts w:ascii="Times New Roman" w:cs="Times New Roman" w:eastAsia="Times New Roman" w:hAnsi="Times New Roman"/>
          <w:sz w:val="18"/>
          <w:szCs w:val="18"/>
          <w:color w:val="auto"/>
        </w:rPr>
      </w:pPr>
    </w:p>
    <w:p>
      <w:pPr>
        <w:ind w:left="1100" w:right="740" w:hanging="363"/>
        <w:spacing w:after="0" w:line="258" w:lineRule="auto"/>
        <w:tabs>
          <w:tab w:leader="none" w:pos="11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provided by an employment contractor to perform employee duties for the Insured under the Insured’s supervision at any of the Insured’s offices or premises covered hereunder, and a guest student pursuing studies or duties in any of said offices or premises;</w:t>
      </w:r>
    </w:p>
    <w:p>
      <w:pPr>
        <w:spacing w:after="0" w:line="88" w:lineRule="exact"/>
        <w:rPr>
          <w:rFonts w:ascii="Times New Roman" w:cs="Times New Roman" w:eastAsia="Times New Roman" w:hAnsi="Times New Roman"/>
          <w:sz w:val="18"/>
          <w:szCs w:val="18"/>
          <w:color w:val="auto"/>
        </w:rPr>
      </w:pPr>
    </w:p>
    <w:p>
      <w:pPr>
        <w:ind w:left="1100" w:right="800" w:hanging="363"/>
        <w:spacing w:after="0" w:line="282" w:lineRule="auto"/>
        <w:tabs>
          <w:tab w:leader="none" w:pos="11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an institution merged or consolidated with the Insured prior to the effective date of this bond;</w:t>
      </w:r>
    </w:p>
    <w:p>
      <w:pPr>
        <w:spacing w:after="0" w:line="67" w:lineRule="exact"/>
        <w:rPr>
          <w:rFonts w:ascii="Times New Roman" w:cs="Times New Roman" w:eastAsia="Times New Roman" w:hAnsi="Times New Roman"/>
          <w:sz w:val="18"/>
          <w:szCs w:val="18"/>
          <w:color w:val="auto"/>
        </w:rPr>
      </w:pPr>
    </w:p>
    <w:p>
      <w:pPr>
        <w:ind w:left="1100" w:right="720" w:hanging="363"/>
        <w:spacing w:after="0" w:line="254" w:lineRule="auto"/>
        <w:tabs>
          <w:tab w:leader="none" w:pos="11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natural person, partnership or corporation authorized by the Insured to perform services as data processor of checks or other accounting records of the Insured (not including preparation or modification of computer software or programs), herein called Processor. (Each such Processor, and the partners, officers and employees of such Processor shall, collectively, be deemed to be one Employee for all the</w:t>
      </w:r>
    </w:p>
    <w:p>
      <w:pPr>
        <w:spacing w:after="0" w:line="20" w:lineRule="exact"/>
        <w:rPr>
          <w:sz w:val="20"/>
          <w:szCs w:val="20"/>
          <w:color w:val="auto"/>
        </w:rPr>
      </w:pPr>
      <w:r>
        <w:rPr>
          <w:sz w:val="20"/>
          <w:szCs w:val="20"/>
          <w:color w:val="auto"/>
        </w:rPr>
        <w:br w:type="column"/>
      </w:r>
    </w:p>
    <w:p>
      <w:pPr>
        <w:ind w:left="380" w:right="100" w:hanging="370"/>
        <w:spacing w:after="0" w:line="25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worth” of the Insured, which for the purposes of this bond, shall be deemed to be the excess of its total assets over its total liabilities, without adjustment to give effect to loss covered by this bond, (except that credit balances and equities in proprietary accounts of the Insured, which shall include capital accounts of partners, investment and trading accounts of the Insured, participations of the Insured in joint accounts, and accounts of partners which are covered by agreements providing for the inclusion of equities therein as partnership property, shall not be considered as liabilities) with securities, spot commodities, commodity future contracts in such proprietary accounts and all other assets marked to market or fair value and with adjustment for profits and losses at the market of contractual commitments for such proprietary accounts of the Insured; and</w:t>
      </w:r>
    </w:p>
    <w:p>
      <w:pPr>
        <w:spacing w:after="0" w:line="98" w:lineRule="exact"/>
        <w:rPr>
          <w:rFonts w:ascii="Times New Roman" w:cs="Times New Roman" w:eastAsia="Times New Roman" w:hAnsi="Times New Roman"/>
          <w:sz w:val="18"/>
          <w:szCs w:val="18"/>
          <w:color w:val="auto"/>
        </w:rPr>
      </w:pPr>
    </w:p>
    <w:p>
      <w:pPr>
        <w:ind w:left="380" w:right="80" w:hanging="370"/>
        <w:spacing w:after="0" w:line="258"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other Money, securities and property belonging to such general partner(s), or in which such general partner(s) have a pecuniary interest, held by or in the custody of and legally available to the Insured as set-off against loss covered by this bond;</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provided, however, that if such “net worth” adjusted to give effect to loss covered by this bond and such value of all other Money, securities and property as set forth in (g)(1)(b) preceding, plus the amount of coverage afforded by this bond on account of such loss, is not sufficient to enable the Insured</w:t>
      </w:r>
    </w:p>
    <w:p>
      <w:pPr>
        <w:spacing w:after="0" w:line="344" w:lineRule="exact"/>
        <w:rPr>
          <w:sz w:val="20"/>
          <w:szCs w:val="20"/>
          <w:color w:val="auto"/>
        </w:rPr>
      </w:pPr>
    </w:p>
    <w:p>
      <w:pPr>
        <w:sectPr>
          <w:pgSz w:w="11900" w:h="16838" w:orient="portrait"/>
          <w:cols w:equalWidth="0" w:num="2">
            <w:col w:w="6100" w:space="720"/>
            <w:col w:w="4420"/>
          </w:cols>
          <w:pgMar w:left="320" w:top="121" w:right="339" w:bottom="1440" w:gutter="0" w:footer="0" w:header="0"/>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Code: 2-14057</w:t>
      </w:r>
    </w:p>
    <w:p>
      <w:pPr>
        <w:spacing w:after="0" w:line="27" w:lineRule="exact"/>
        <w:rPr>
          <w:sz w:val="20"/>
          <w:szCs w:val="20"/>
          <w:color w:val="auto"/>
        </w:rPr>
      </w:pPr>
    </w:p>
    <w:p>
      <w:pPr>
        <w:spacing w:after="0"/>
        <w:tabs>
          <w:tab w:leader="none" w:pos="4160" w:val="left"/>
          <w:tab w:leader="none" w:pos="10400" w:val="left"/>
        </w:tabs>
        <w:rPr>
          <w:sz w:val="20"/>
          <w:szCs w:val="20"/>
          <w:color w:val="auto"/>
        </w:rPr>
      </w:pPr>
      <w:r>
        <w:rPr>
          <w:rFonts w:ascii="Times New Roman" w:cs="Times New Roman" w:eastAsia="Times New Roman" w:hAnsi="Times New Roman"/>
          <w:sz w:val="18"/>
          <w:szCs w:val="18"/>
          <w:color w:val="auto"/>
        </w:rPr>
        <w:t>TSB 5062b 1087</w:t>
      </w:r>
      <w:r>
        <w:rPr>
          <w:sz w:val="20"/>
          <w:szCs w:val="20"/>
          <w:color w:val="auto"/>
        </w:rPr>
        <w:tab/>
      </w:r>
      <w:r>
        <w:rPr>
          <w:rFonts w:ascii="Times New Roman" w:cs="Times New Roman" w:eastAsia="Times New Roman" w:hAnsi="Times New Roman"/>
          <w:sz w:val="18"/>
          <w:szCs w:val="18"/>
          <w:color w:val="auto"/>
        </w:rPr>
        <w:t>Copyright, The Surety Association of America, 1987</w:t>
      </w:r>
      <w:r>
        <w:rPr>
          <w:sz w:val="20"/>
          <w:szCs w:val="20"/>
          <w:color w:val="auto"/>
        </w:rPr>
        <w:tab/>
      </w:r>
      <w:r>
        <w:rPr>
          <w:rFonts w:ascii="Times New Roman" w:cs="Times New Roman" w:eastAsia="Times New Roman" w:hAnsi="Times New Roman"/>
          <w:sz w:val="18"/>
          <w:szCs w:val="18"/>
          <w:color w:val="auto"/>
        </w:rPr>
        <w:t>Page 5 of 8</w:t>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line="70" w:lineRule="exact"/>
        <w:rPr>
          <w:sz w:val="20"/>
          <w:szCs w:val="20"/>
          <w:color w:val="auto"/>
        </w:rPr>
      </w:pPr>
    </w:p>
    <w:p>
      <w:pPr>
        <w:ind w:left="712" w:right="20"/>
        <w:spacing w:after="0" w:line="254" w:lineRule="auto"/>
        <w:rPr>
          <w:sz w:val="20"/>
          <w:szCs w:val="20"/>
          <w:color w:val="auto"/>
        </w:rPr>
      </w:pPr>
      <w:r>
        <w:rPr>
          <w:rFonts w:ascii="Times New Roman" w:cs="Times New Roman" w:eastAsia="Times New Roman" w:hAnsi="Times New Roman"/>
          <w:sz w:val="18"/>
          <w:szCs w:val="18"/>
          <w:color w:val="auto"/>
        </w:rPr>
        <w:t>to meet its obligations, including its obligations to its partners other than to such general partner(s), then the Financial Interest in the Insured, as above defined, of such general partner(s) shall be reduced in an amount necessary, or eliminated if need be, in order to enable the Insured upon payment of loss under this bond to meet such obligations, to the extent that such payment will enable the Insured to meet such obligations, without any benefit accruing to such general partner(s) from such payment; and</w:t>
      </w:r>
    </w:p>
    <w:p>
      <w:pPr>
        <w:spacing w:after="0" w:line="94" w:lineRule="exact"/>
        <w:rPr>
          <w:sz w:val="20"/>
          <w:szCs w:val="20"/>
          <w:color w:val="auto"/>
        </w:rPr>
      </w:pPr>
    </w:p>
    <w:p>
      <w:pPr>
        <w:ind w:left="732" w:right="520" w:hanging="363"/>
        <w:spacing w:after="0" w:line="282" w:lineRule="auto"/>
        <w:tabs>
          <w:tab w:leader="none" w:pos="73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respects limited partners the value of such limited partner’s(’) investment in the Insured.</w:t>
      </w:r>
    </w:p>
    <w:p>
      <w:pPr>
        <w:spacing w:after="0" w:line="161" w:lineRule="exact"/>
        <w:rPr>
          <w:rFonts w:ascii="Times New Roman" w:cs="Times New Roman" w:eastAsia="Times New Roman" w:hAnsi="Times New Roman"/>
          <w:sz w:val="18"/>
          <w:szCs w:val="18"/>
          <w:color w:val="auto"/>
        </w:rPr>
      </w:pPr>
    </w:p>
    <w:p>
      <w:pPr>
        <w:jc w:val="both"/>
        <w:ind w:left="-368" w:right="300" w:firstLine="368"/>
        <w:spacing w:after="0" w:line="261" w:lineRule="auto"/>
        <w:tabs>
          <w:tab w:leader="none" w:pos="3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Forgery means the signing of the name of another person or organization with intent to deceive; it does not mean a signature which consists in whole or in part of one’s own name signed with or without authority, in any capacity, for any purpose.</w:t>
      </w:r>
    </w:p>
    <w:p>
      <w:pPr>
        <w:spacing w:after="0" w:line="179" w:lineRule="exact"/>
        <w:rPr>
          <w:rFonts w:ascii="Times New Roman" w:cs="Times New Roman" w:eastAsia="Times New Roman" w:hAnsi="Times New Roman"/>
          <w:sz w:val="18"/>
          <w:szCs w:val="18"/>
          <w:color w:val="auto"/>
        </w:rPr>
      </w:pPr>
    </w:p>
    <w:p>
      <w:pPr>
        <w:ind w:left="-368" w:right="80" w:firstLine="368"/>
        <w:spacing w:after="0" w:line="261" w:lineRule="auto"/>
        <w:tabs>
          <w:tab w:leader="none" w:pos="34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means a written undertaking obligating the signer to pay the debt of another to the Insured or its assignee or to a financial institution from which the Insured has purchased participation in the debt, if the debt is not paid in accordance with its terms.</w:t>
      </w:r>
    </w:p>
    <w:p>
      <w:pPr>
        <w:spacing w:after="0" w:line="179" w:lineRule="exact"/>
        <w:rPr>
          <w:rFonts w:ascii="Times New Roman" w:cs="Times New Roman" w:eastAsia="Times New Roman" w:hAnsi="Times New Roman"/>
          <w:sz w:val="18"/>
          <w:szCs w:val="18"/>
          <w:color w:val="auto"/>
        </w:rPr>
      </w:pPr>
    </w:p>
    <w:p>
      <w:pPr>
        <w:ind w:left="-368" w:firstLine="368"/>
        <w:spacing w:after="0" w:line="266" w:lineRule="auto"/>
        <w:tabs>
          <w:tab w:leader="none" w:pos="34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 means a written order to the issuer of an Uncertificated Security requesting that the transfer, pledge, or release from pledge of the Uncertificated Security specified be registered.</w:t>
      </w:r>
    </w:p>
    <w:p>
      <w:pPr>
        <w:spacing w:after="0" w:line="175" w:lineRule="exact"/>
        <w:rPr>
          <w:rFonts w:ascii="Times New Roman" w:cs="Times New Roman" w:eastAsia="Times New Roman" w:hAnsi="Times New Roman"/>
          <w:sz w:val="18"/>
          <w:szCs w:val="18"/>
          <w:color w:val="auto"/>
        </w:rPr>
      </w:pPr>
    </w:p>
    <w:p>
      <w:pPr>
        <w:ind w:left="-368" w:right="180" w:firstLine="368"/>
        <w:spacing w:after="0" w:line="261" w:lineRule="auto"/>
        <w:tabs>
          <w:tab w:leader="none" w:pos="3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means an engagement in writing by a bank or other person made at the request of a customer that the bank or other person will honor drafts or other demands for payment upon compliance with the conditions specified in the Letter of Credit.</w:t>
      </w:r>
    </w:p>
    <w:p>
      <w:pPr>
        <w:spacing w:after="0" w:line="179" w:lineRule="exact"/>
        <w:rPr>
          <w:rFonts w:ascii="Times New Roman" w:cs="Times New Roman" w:eastAsia="Times New Roman" w:hAnsi="Times New Roman"/>
          <w:sz w:val="18"/>
          <w:szCs w:val="18"/>
          <w:color w:val="auto"/>
        </w:rPr>
      </w:pPr>
    </w:p>
    <w:p>
      <w:pPr>
        <w:jc w:val="both"/>
        <w:ind w:left="-368" w:right="160" w:firstLine="368"/>
        <w:spacing w:after="0" w:line="312" w:lineRule="auto"/>
        <w:tabs>
          <w:tab w:leader="none" w:pos="34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Money means a medium of exchange in current use authorized or adopted by a domestic or foreign government as a part of its currency.</w:t>
      </w:r>
    </w:p>
    <w:p>
      <w:pPr>
        <w:spacing w:after="0" w:line="139" w:lineRule="exact"/>
        <w:rPr>
          <w:rFonts w:ascii="Times New Roman" w:cs="Times New Roman" w:eastAsia="Times New Roman" w:hAnsi="Times New Roman"/>
          <w:sz w:val="17"/>
          <w:szCs w:val="17"/>
          <w:color w:val="auto"/>
        </w:rPr>
      </w:pPr>
    </w:p>
    <w:p>
      <w:pPr>
        <w:ind w:left="432" w:hanging="432"/>
        <w:spacing w:after="0"/>
        <w:tabs>
          <w:tab w:leader="none" w:pos="4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Negotiable Instrument means any writing</w:t>
      </w:r>
    </w:p>
    <w:p>
      <w:pPr>
        <w:spacing w:after="0" w:line="130" w:lineRule="exact"/>
        <w:rPr>
          <w:rFonts w:ascii="Times New Roman" w:cs="Times New Roman" w:eastAsia="Times New Roman" w:hAnsi="Times New Roman"/>
          <w:sz w:val="18"/>
          <w:szCs w:val="18"/>
          <w:color w:val="auto"/>
        </w:rPr>
      </w:pPr>
    </w:p>
    <w:p>
      <w:pPr>
        <w:ind w:left="732" w:hanging="363"/>
        <w:spacing w:after="0"/>
        <w:tabs>
          <w:tab w:leader="none" w:pos="73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the maker or drawer; and</w:t>
      </w:r>
    </w:p>
    <w:p>
      <w:pPr>
        <w:spacing w:after="0" w:line="130" w:lineRule="exact"/>
        <w:rPr>
          <w:rFonts w:ascii="Times New Roman" w:cs="Times New Roman" w:eastAsia="Times New Roman" w:hAnsi="Times New Roman"/>
          <w:sz w:val="18"/>
          <w:szCs w:val="18"/>
          <w:color w:val="auto"/>
        </w:rPr>
      </w:pPr>
    </w:p>
    <w:p>
      <w:pPr>
        <w:ind w:left="732" w:right="340" w:hanging="363"/>
        <w:spacing w:after="0" w:line="266" w:lineRule="auto"/>
        <w:tabs>
          <w:tab w:leader="none" w:pos="73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containing any unconditional promise or order to pay a sum certain in Money and no other promise, order, obligation or power given by the maker or drawer; and</w:t>
      </w:r>
    </w:p>
    <w:p>
      <w:pPr>
        <w:spacing w:after="0" w:line="81" w:lineRule="exact"/>
        <w:rPr>
          <w:rFonts w:ascii="Times New Roman" w:cs="Times New Roman" w:eastAsia="Times New Roman" w:hAnsi="Times New Roman"/>
          <w:sz w:val="18"/>
          <w:szCs w:val="18"/>
          <w:color w:val="auto"/>
        </w:rPr>
      </w:pPr>
    </w:p>
    <w:p>
      <w:pPr>
        <w:ind w:left="732" w:hanging="363"/>
        <w:spacing w:after="0"/>
        <w:tabs>
          <w:tab w:leader="none" w:pos="73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on demand or at a definite time; and</w:t>
      </w:r>
    </w:p>
    <w:p>
      <w:pPr>
        <w:spacing w:after="0" w:line="130" w:lineRule="exact"/>
        <w:rPr>
          <w:rFonts w:ascii="Times New Roman" w:cs="Times New Roman" w:eastAsia="Times New Roman" w:hAnsi="Times New Roman"/>
          <w:sz w:val="18"/>
          <w:szCs w:val="18"/>
          <w:color w:val="auto"/>
        </w:rPr>
      </w:pPr>
    </w:p>
    <w:p>
      <w:pPr>
        <w:ind w:left="732" w:hanging="363"/>
        <w:spacing w:after="0"/>
        <w:tabs>
          <w:tab w:leader="none" w:pos="73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to order or bearer.</w:t>
      </w:r>
    </w:p>
    <w:p>
      <w:pPr>
        <w:spacing w:after="0" w:line="22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means a natural person who</w:t>
      </w:r>
    </w:p>
    <w:p>
      <w:pPr>
        <w:spacing w:after="0" w:line="130" w:lineRule="exact"/>
        <w:rPr>
          <w:rFonts w:ascii="Times New Roman" w:cs="Times New Roman" w:eastAsia="Times New Roman" w:hAnsi="Times New Roman"/>
          <w:sz w:val="18"/>
          <w:szCs w:val="18"/>
          <w:color w:val="auto"/>
        </w:rPr>
      </w:pPr>
    </w:p>
    <w:p>
      <w:pPr>
        <w:ind w:left="732" w:hanging="363"/>
        <w:spacing w:after="0"/>
        <w:tabs>
          <w:tab w:leader="none" w:pos="73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general partner of the Insured, or</w:t>
      </w:r>
    </w:p>
    <w:p>
      <w:pPr>
        <w:spacing w:after="0" w:line="130" w:lineRule="exact"/>
        <w:rPr>
          <w:rFonts w:ascii="Times New Roman" w:cs="Times New Roman" w:eastAsia="Times New Roman" w:hAnsi="Times New Roman"/>
          <w:sz w:val="18"/>
          <w:szCs w:val="18"/>
          <w:color w:val="auto"/>
        </w:rPr>
      </w:pPr>
    </w:p>
    <w:p>
      <w:pPr>
        <w:ind w:left="732" w:right="620" w:hanging="363"/>
        <w:spacing w:after="0" w:line="282" w:lineRule="auto"/>
        <w:tabs>
          <w:tab w:leader="none" w:pos="73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limited partner and an Employee (as defined in Section 1(e)(1) of the bond) of the Insured.</w:t>
      </w:r>
    </w:p>
    <w:p>
      <w:pPr>
        <w:spacing w:after="0" w:line="161" w:lineRule="exact"/>
        <w:rPr>
          <w:rFonts w:ascii="Times New Roman" w:cs="Times New Roman" w:eastAsia="Times New Roman" w:hAnsi="Times New Roman"/>
          <w:sz w:val="18"/>
          <w:szCs w:val="18"/>
          <w:color w:val="auto"/>
        </w:rPr>
      </w:pPr>
    </w:p>
    <w:p>
      <w:pPr>
        <w:ind w:left="-368" w:right="80" w:firstLine="368"/>
        <w:spacing w:after="0" w:line="253" w:lineRule="auto"/>
        <w:tabs>
          <w:tab w:leader="none" w:pos="3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means Money, Certificated Securities, Uncertificated Securities of any Federal Reserve Bank of the United States, Negotiable Instruments, Certificates of Deposit, documents of title, Acceptances, Evidences of Debt, security agreements, Withdrawal Orders, certificates of origin or title, Letters of Credit, insurance policies, abstracts of title, deeds and mortgages on real estate, revenue and other stamps, tokens, unsold state lottery tickets, books of account and other records whether recorded in writing or electronically, gems, jewelry, precious metals of all kinds and in any form, and tangible items of personal property which are not herein before enumerated.</w:t>
      </w:r>
    </w:p>
    <w:p>
      <w:pPr>
        <w:spacing w:after="0" w:line="194" w:lineRule="exact"/>
        <w:rPr>
          <w:rFonts w:ascii="Times New Roman" w:cs="Times New Roman" w:eastAsia="Times New Roman" w:hAnsi="Times New Roman"/>
          <w:sz w:val="18"/>
          <w:szCs w:val="18"/>
          <w:color w:val="auto"/>
        </w:rPr>
      </w:pPr>
    </w:p>
    <w:p>
      <w:pPr>
        <w:ind w:left="-368" w:right="40" w:firstLine="368"/>
        <w:spacing w:after="0" w:line="282" w:lineRule="auto"/>
        <w:tabs>
          <w:tab w:leader="none" w:pos="2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of Uncertificated Security means a written statement of the issuer of an Uncertificated Security containing:</w:t>
      </w:r>
    </w:p>
    <w:p>
      <w:pPr>
        <w:spacing w:after="0" w:line="67" w:lineRule="exact"/>
        <w:rPr>
          <w:rFonts w:ascii="Times New Roman" w:cs="Times New Roman" w:eastAsia="Times New Roman" w:hAnsi="Times New Roman"/>
          <w:sz w:val="18"/>
          <w:szCs w:val="18"/>
          <w:color w:val="auto"/>
        </w:rPr>
      </w:pPr>
    </w:p>
    <w:p>
      <w:pPr>
        <w:ind w:left="732" w:right="480" w:hanging="363"/>
        <w:spacing w:after="0" w:line="282" w:lineRule="auto"/>
        <w:tabs>
          <w:tab w:leader="none" w:pos="73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Issue of which the Uncertificated Security is a part;</w:t>
      </w:r>
    </w:p>
    <w:p>
      <w:pPr>
        <w:spacing w:after="0" w:line="67" w:lineRule="exact"/>
        <w:rPr>
          <w:rFonts w:ascii="Times New Roman" w:cs="Times New Roman" w:eastAsia="Times New Roman" w:hAnsi="Times New Roman"/>
          <w:sz w:val="18"/>
          <w:szCs w:val="18"/>
          <w:color w:val="auto"/>
        </w:rPr>
      </w:pPr>
    </w:p>
    <w:p>
      <w:pPr>
        <w:ind w:left="732" w:hanging="363"/>
        <w:spacing w:after="0"/>
        <w:tabs>
          <w:tab w:leader="none" w:pos="73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w:t>
      </w:r>
    </w:p>
    <w:p>
      <w:pPr>
        <w:spacing w:after="0" w:line="130" w:lineRule="exact"/>
        <w:rPr>
          <w:rFonts w:ascii="Times New Roman" w:cs="Times New Roman" w:eastAsia="Times New Roman" w:hAnsi="Times New Roman"/>
          <w:sz w:val="18"/>
          <w:szCs w:val="18"/>
          <w:color w:val="auto"/>
        </w:rPr>
      </w:pPr>
    </w:p>
    <w:p>
      <w:pPr>
        <w:ind w:left="1092" w:hanging="359"/>
        <w:spacing w:after="0"/>
        <w:tabs>
          <w:tab w:leader="none" w:pos="109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to the registered owner;</w:t>
      </w:r>
    </w:p>
    <w:p>
      <w:pPr>
        <w:spacing w:after="0" w:line="130" w:lineRule="exact"/>
        <w:rPr>
          <w:rFonts w:ascii="Times New Roman" w:cs="Times New Roman" w:eastAsia="Times New Roman" w:hAnsi="Times New Roman"/>
          <w:sz w:val="18"/>
          <w:szCs w:val="18"/>
          <w:color w:val="auto"/>
        </w:rPr>
      </w:pPr>
    </w:p>
    <w:p>
      <w:pPr>
        <w:ind w:left="1092" w:right="420" w:hanging="359"/>
        <w:spacing w:after="0" w:line="282" w:lineRule="auto"/>
        <w:tabs>
          <w:tab w:leader="none" w:pos="109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by the registered owner to the registered pledgee;</w:t>
      </w:r>
    </w:p>
    <w:p>
      <w:pPr>
        <w:spacing w:after="0" w:line="67" w:lineRule="exact"/>
        <w:rPr>
          <w:rFonts w:ascii="Times New Roman" w:cs="Times New Roman" w:eastAsia="Times New Roman" w:hAnsi="Times New Roman"/>
          <w:sz w:val="18"/>
          <w:szCs w:val="18"/>
          <w:color w:val="auto"/>
        </w:rPr>
      </w:pPr>
    </w:p>
    <w:p>
      <w:pPr>
        <w:ind w:left="1092" w:hanging="359"/>
        <w:spacing w:after="0"/>
        <w:tabs>
          <w:tab w:leader="none" w:pos="109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from pledge by the registered pledgee;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1080" w:right="140" w:hanging="355"/>
        <w:spacing w:after="0" w:line="266" w:lineRule="auto"/>
        <w:tabs>
          <w:tab w:leader="none" w:pos="1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75" w:lineRule="exact"/>
        <w:rPr>
          <w:rFonts w:ascii="Times New Roman" w:cs="Times New Roman" w:eastAsia="Times New Roman" w:hAnsi="Times New Roman"/>
          <w:sz w:val="18"/>
          <w:szCs w:val="18"/>
          <w:color w:val="auto"/>
        </w:rPr>
      </w:pPr>
    </w:p>
    <w:p>
      <w:pPr>
        <w:jc w:val="both"/>
        <w:ind w:right="80" w:firstLine="356"/>
        <w:spacing w:after="0" w:line="289" w:lineRule="auto"/>
        <w:tabs>
          <w:tab w:leader="none" w:pos="72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Order means a non-negotiable instrument, other than an Instruction, signed by a customer of the Insured authorizing the Insured to debit the customer’s account in the amount of funds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-1113155</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5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EXCLUSIONS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 This bond does not cover:</w:t>
      </w:r>
    </w:p>
    <w:p>
      <w:pPr>
        <w:spacing w:after="0" w:line="117" w:lineRule="exact"/>
        <w:rPr>
          <w:sz w:val="20"/>
          <w:szCs w:val="20"/>
          <w:color w:val="auto"/>
        </w:rPr>
      </w:pPr>
    </w:p>
    <w:p>
      <w:pPr>
        <w:ind w:right="360" w:firstLine="356"/>
        <w:spacing w:after="0" w:line="312" w:lineRule="auto"/>
        <w:tabs>
          <w:tab w:leader="none" w:pos="7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resulting directly or indirectly from forgery or alteration, except when covered under Insuring Agreements (A), (D), or (E);</w:t>
      </w:r>
    </w:p>
    <w:p>
      <w:pPr>
        <w:spacing w:after="0" w:line="139" w:lineRule="exact"/>
        <w:rPr>
          <w:rFonts w:ascii="Times New Roman" w:cs="Times New Roman" w:eastAsia="Times New Roman" w:hAnsi="Times New Roman"/>
          <w:sz w:val="17"/>
          <w:szCs w:val="17"/>
          <w:color w:val="auto"/>
        </w:rPr>
      </w:pPr>
    </w:p>
    <w:p>
      <w:pPr>
        <w:ind w:firstLine="356"/>
        <w:spacing w:after="0" w:line="255" w:lineRule="auto"/>
        <w:tabs>
          <w:tab w:leader="none" w:pos="7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riot or civil commotion outside the United States of America and Canada; or loss due to military, naval or usurped power, war or insurrection unless such loss occurs in transit in the circumstances recited in Insuring Agreement (C), and unless, when such transit was initiated, there was no knowledge of such riot, civil commotion, military, naval or usurped power, war or insurrection on the part of any person acting for the Insured in initiating such transit;</w:t>
      </w:r>
    </w:p>
    <w:p>
      <w:pPr>
        <w:spacing w:after="0" w:line="188" w:lineRule="exact"/>
        <w:rPr>
          <w:rFonts w:ascii="Times New Roman" w:cs="Times New Roman" w:eastAsia="Times New Roman" w:hAnsi="Times New Roman"/>
          <w:sz w:val="18"/>
          <w:szCs w:val="18"/>
          <w:color w:val="auto"/>
        </w:rPr>
      </w:pPr>
    </w:p>
    <w:p>
      <w:pPr>
        <w:jc w:val="both"/>
        <w:ind w:right="320" w:firstLine="356"/>
        <w:spacing w:after="0" w:line="289" w:lineRule="auto"/>
        <w:tabs>
          <w:tab w:leader="none" w:pos="7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resulting directly or indirectly from the effects of nuclear fission or fusion or radioactivity; provided, however, that this paragraph shall not apply to loss resulting from industrial uses of nuclear energy;</w:t>
      </w:r>
    </w:p>
    <w:p>
      <w:pPr>
        <w:spacing w:after="0" w:line="157" w:lineRule="exact"/>
        <w:rPr>
          <w:rFonts w:ascii="Times New Roman" w:cs="Times New Roman" w:eastAsia="Times New Roman" w:hAnsi="Times New Roman"/>
          <w:sz w:val="17"/>
          <w:szCs w:val="17"/>
          <w:color w:val="auto"/>
        </w:rPr>
      </w:pPr>
    </w:p>
    <w:p>
      <w:pPr>
        <w:ind w:firstLine="356"/>
        <w:spacing w:after="0" w:line="256" w:lineRule="auto"/>
        <w:tabs>
          <w:tab w:leader="none" w:pos="7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from any act or acts of any person who is a member of the Board of Directors of the Insured or a member of any equivalent body by whatsoever name known unless such person is also an Employee or an elected official of the Insured in some other capacity, nor, in any event, loss resulting from the act or acts of any person while acting in the capacity of a member of such Board or equivalent body;</w:t>
      </w:r>
    </w:p>
    <w:p>
      <w:pPr>
        <w:spacing w:after="0" w:line="187" w:lineRule="exact"/>
        <w:rPr>
          <w:rFonts w:ascii="Times New Roman" w:cs="Times New Roman" w:eastAsia="Times New Roman" w:hAnsi="Times New Roman"/>
          <w:sz w:val="18"/>
          <w:szCs w:val="18"/>
          <w:color w:val="auto"/>
        </w:rPr>
      </w:pPr>
    </w:p>
    <w:p>
      <w:pPr>
        <w:ind w:right="220" w:firstLine="356"/>
        <w:spacing w:after="0" w:line="254"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the complete or partial nonpayment of, or default upon, any loan or transaction involving the Insured as a lender or borrower, or extension of credit, including the purchase, discounting or other acquisition of false or genuine accounts, invoices, notes, agreements or Evidences of Debt, whether such loan, transaction or extension was procured in good faith or through trick, artifice, fraud or false pretenses, except when covered under Insuring Agreements (A), (D) or (E);</w:t>
      </w:r>
    </w:p>
    <w:p>
      <w:pPr>
        <w:spacing w:after="0" w:line="191" w:lineRule="exact"/>
        <w:rPr>
          <w:rFonts w:ascii="Times New Roman" w:cs="Times New Roman" w:eastAsia="Times New Roman" w:hAnsi="Times New Roman"/>
          <w:sz w:val="18"/>
          <w:szCs w:val="18"/>
          <w:color w:val="auto"/>
        </w:rPr>
      </w:pPr>
    </w:p>
    <w:p>
      <w:pPr>
        <w:ind w:right="640" w:firstLine="356"/>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from any violation by the Insured or by any Employee</w:t>
      </w:r>
    </w:p>
    <w:p>
      <w:pPr>
        <w:spacing w:after="0" w:line="161" w:lineRule="exact"/>
        <w:rPr>
          <w:rFonts w:ascii="Times New Roman" w:cs="Times New Roman" w:eastAsia="Times New Roman" w:hAnsi="Times New Roman"/>
          <w:sz w:val="18"/>
          <w:szCs w:val="18"/>
          <w:color w:val="auto"/>
        </w:rPr>
      </w:pPr>
    </w:p>
    <w:p>
      <w:pPr>
        <w:ind w:right="160" w:firstLine="716"/>
        <w:spacing w:after="0" w:line="289" w:lineRule="auto"/>
        <w:tabs>
          <w:tab w:leader="none" w:pos="111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law regulating (i) the issuance, purchase or sale of securities, (ii) securities transactions upon security exchanges or over the counter market, (iii) investment companies, or (iv) investment advisers, or</w:t>
      </w:r>
    </w:p>
    <w:p>
      <w:pPr>
        <w:spacing w:after="0" w:line="157" w:lineRule="exact"/>
        <w:rPr>
          <w:rFonts w:ascii="Times New Roman" w:cs="Times New Roman" w:eastAsia="Times New Roman" w:hAnsi="Times New Roman"/>
          <w:sz w:val="17"/>
          <w:szCs w:val="17"/>
          <w:color w:val="auto"/>
        </w:rPr>
      </w:pPr>
    </w:p>
    <w:p>
      <w:pPr>
        <w:ind w:right="40" w:firstLine="716"/>
        <w:spacing w:after="0" w:line="258" w:lineRule="auto"/>
        <w:tabs>
          <w:tab w:leader="none" w:pos="11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 unless it is established by the Insured that the act or acts which caused the said loss involved fraudulent or dishonest conduct which would have caused a loss to the Insured in a similar amount in the absence of such laws, rules or regulations;</w:t>
      </w:r>
    </w:p>
    <w:p>
      <w:pPr>
        <w:spacing w:after="0" w:line="183" w:lineRule="exact"/>
        <w:rPr>
          <w:rFonts w:ascii="Times New Roman" w:cs="Times New Roman" w:eastAsia="Times New Roman" w:hAnsi="Times New Roman"/>
          <w:sz w:val="18"/>
          <w:szCs w:val="18"/>
          <w:color w:val="auto"/>
        </w:rPr>
      </w:pPr>
    </w:p>
    <w:p>
      <w:pPr>
        <w:ind w:right="60" w:firstLine="356"/>
        <w:spacing w:after="0" w:line="281" w:lineRule="auto"/>
        <w:tabs>
          <w:tab w:leader="none" w:pos="75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resulting directly or indirectly from the failure of a financial or depository institution, or its receiver or liquidator, to pay or deliver, on demand of the Insured, funds or Property of the Insured held by it in any capacity, except when covered under Insuring Agreements (A) or (B)(1)(a);</w:t>
      </w:r>
    </w:p>
    <w:p>
      <w:pPr>
        <w:spacing w:after="0" w:line="164" w:lineRule="exact"/>
        <w:rPr>
          <w:rFonts w:ascii="Times New Roman" w:cs="Times New Roman" w:eastAsia="Times New Roman" w:hAnsi="Times New Roman"/>
          <w:sz w:val="17"/>
          <w:szCs w:val="17"/>
          <w:color w:val="auto"/>
        </w:rPr>
      </w:pPr>
    </w:p>
    <w:p>
      <w:pPr>
        <w:ind w:right="20" w:firstLine="356"/>
        <w:spacing w:after="0" w:line="261" w:lineRule="auto"/>
        <w:tabs>
          <w:tab w:leader="none" w:pos="7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caused by an Employee, except when covered under Insuring Agreement (A) or when covered under Insuring Agreement (B) or (C) and resulting directly from misplacement, mysterious unexplainable disappearance or destruction of or damage to Property;</w:t>
      </w:r>
    </w:p>
    <w:p>
      <w:pPr>
        <w:spacing w:after="0" w:line="179" w:lineRule="exact"/>
        <w:rPr>
          <w:rFonts w:ascii="Times New Roman" w:cs="Times New Roman" w:eastAsia="Times New Roman" w:hAnsi="Times New Roman"/>
          <w:sz w:val="18"/>
          <w:szCs w:val="18"/>
          <w:color w:val="auto"/>
        </w:rPr>
      </w:pPr>
    </w:p>
    <w:p>
      <w:pPr>
        <w:ind w:right="140" w:firstLine="356"/>
        <w:spacing w:after="0" w:line="256"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transactions in a customer’s account, whether authorized or unauthorized, except the unlawful withdrawal and conversion of Money, securities or precious metals, directly from a customer’s account by an Employee provided such unlawful withdrawal and conversion is covered under Insuring Agreement (A);</w:t>
      </w:r>
    </w:p>
    <w:p>
      <w:pPr>
        <w:spacing w:after="0" w:line="187" w:lineRule="exact"/>
        <w:rPr>
          <w:rFonts w:ascii="Times New Roman" w:cs="Times New Roman" w:eastAsia="Times New Roman" w:hAnsi="Times New Roman"/>
          <w:sz w:val="18"/>
          <w:szCs w:val="18"/>
          <w:color w:val="auto"/>
        </w:rPr>
      </w:pPr>
    </w:p>
    <w:p>
      <w:pPr>
        <w:ind w:right="120" w:firstLine="356"/>
        <w:spacing w:after="0" w:line="312" w:lineRule="auto"/>
        <w:tabs>
          <w:tab w:leader="none" w:pos="71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damages resulting from any civil, criminal or other legal proceeding in which the Insured is alleged to have engaged in racketeering</w:t>
      </w:r>
    </w:p>
    <w:p>
      <w:pPr>
        <w:sectPr>
          <w:pgSz w:w="11900" w:h="16908" w:orient="portrait"/>
          <w:cols w:equalWidth="0" w:num="2">
            <w:col w:w="5032" w:space="340"/>
            <w:col w:w="5500"/>
          </w:cols>
          <w:pgMar w:left="688" w:top="324" w:right="339" w:bottom="0" w:gutter="0" w:footer="0" w:header="0"/>
        </w:sectPr>
      </w:pPr>
    </w:p>
    <w:bookmarkStart w:id="11" w:name="page12"/>
    <w:bookmarkEnd w:id="11"/>
    <w:p>
      <w:pPr>
        <w:ind w:left="1460" w:right="120" w:hanging="359"/>
        <w:spacing w:after="0" w:line="282" w:lineRule="auto"/>
        <w:tabs>
          <w:tab w:leader="none" w:pos="146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in the name of the registered owner on the date of the statement; or</w:t>
      </w:r>
    </w:p>
    <w:p>
      <w:pPr>
        <w:spacing w:after="0" w:line="67" w:lineRule="exact"/>
        <w:rPr>
          <w:rFonts w:ascii="Times New Roman" w:cs="Times New Roman" w:eastAsia="Times New Roman" w:hAnsi="Times New Roman"/>
          <w:sz w:val="18"/>
          <w:szCs w:val="18"/>
          <w:color w:val="auto"/>
        </w:rPr>
      </w:pPr>
    </w:p>
    <w:p>
      <w:pPr>
        <w:ind w:left="1460" w:hanging="359"/>
        <w:spacing w:after="0"/>
        <w:tabs>
          <w:tab w:leader="none" w:pos="146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pledge on the date of the statement;</w:t>
      </w:r>
    </w:p>
    <w:p>
      <w:pPr>
        <w:spacing w:after="0" w:line="130" w:lineRule="exact"/>
        <w:rPr>
          <w:rFonts w:ascii="Times New Roman" w:cs="Times New Roman" w:eastAsia="Times New Roman" w:hAnsi="Times New Roman"/>
          <w:sz w:val="18"/>
          <w:szCs w:val="18"/>
          <w:color w:val="auto"/>
        </w:rPr>
      </w:pPr>
    </w:p>
    <w:p>
      <w:pPr>
        <w:ind w:left="1100" w:right="720" w:hanging="363"/>
        <w:spacing w:after="0" w:line="282"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registered owner and registered pledgee;</w:t>
      </w:r>
    </w:p>
    <w:p>
      <w:pPr>
        <w:spacing w:after="0" w:line="67" w:lineRule="exact"/>
        <w:rPr>
          <w:rFonts w:ascii="Times New Roman" w:cs="Times New Roman" w:eastAsia="Times New Roman" w:hAnsi="Times New Roman"/>
          <w:sz w:val="18"/>
          <w:szCs w:val="18"/>
          <w:color w:val="auto"/>
        </w:rPr>
      </w:pPr>
    </w:p>
    <w:p>
      <w:pPr>
        <w:ind w:left="1100" w:hanging="363"/>
        <w:spacing w:after="0" w:line="261"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notation of any liens and restrictions of the issuer and any adverse claims to which the Uncertificated Security is or may be subject or a statement that there are none of those liens, restrictions or adverse claims; and</w:t>
      </w:r>
    </w:p>
    <w:p>
      <w:pPr>
        <w:spacing w:after="0" w:line="85" w:lineRule="exact"/>
        <w:rPr>
          <w:rFonts w:ascii="Times New Roman" w:cs="Times New Roman" w:eastAsia="Times New Roman" w:hAnsi="Times New Roman"/>
          <w:sz w:val="18"/>
          <w:szCs w:val="18"/>
          <w:color w:val="auto"/>
        </w:rPr>
      </w:pPr>
    </w:p>
    <w:p>
      <w:pPr>
        <w:ind w:left="1100" w:hanging="363"/>
        <w:spacing w:after="0"/>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w:t>
      </w:r>
    </w:p>
    <w:p>
      <w:pPr>
        <w:spacing w:after="0" w:line="130" w:lineRule="exact"/>
        <w:rPr>
          <w:rFonts w:ascii="Times New Roman" w:cs="Times New Roman" w:eastAsia="Times New Roman" w:hAnsi="Times New Roman"/>
          <w:sz w:val="18"/>
          <w:szCs w:val="18"/>
          <w:color w:val="auto"/>
        </w:rPr>
      </w:pPr>
    </w:p>
    <w:p>
      <w:pPr>
        <w:ind w:left="1460" w:hanging="359"/>
        <w:spacing w:after="0" w:line="282" w:lineRule="auto"/>
        <w:tabs>
          <w:tab w:leader="none" w:pos="14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shares or units to the new registered owner of the shares or units was registered;</w:t>
      </w:r>
    </w:p>
    <w:p>
      <w:pPr>
        <w:spacing w:after="0" w:line="67" w:lineRule="exact"/>
        <w:rPr>
          <w:rFonts w:ascii="Times New Roman" w:cs="Times New Roman" w:eastAsia="Times New Roman" w:hAnsi="Times New Roman"/>
          <w:sz w:val="18"/>
          <w:szCs w:val="18"/>
          <w:color w:val="auto"/>
        </w:rPr>
      </w:pPr>
    </w:p>
    <w:p>
      <w:pPr>
        <w:ind w:left="1460" w:hanging="359"/>
        <w:spacing w:after="0"/>
        <w:tabs>
          <w:tab w:leader="none" w:pos="14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the registered pledgee was registered, or</w:t>
      </w:r>
    </w:p>
    <w:p>
      <w:pPr>
        <w:spacing w:after="0" w:line="130" w:lineRule="exact"/>
        <w:rPr>
          <w:rFonts w:ascii="Times New Roman" w:cs="Times New Roman" w:eastAsia="Times New Roman" w:hAnsi="Times New Roman"/>
          <w:sz w:val="18"/>
          <w:szCs w:val="18"/>
          <w:color w:val="auto"/>
        </w:rPr>
      </w:pPr>
    </w:p>
    <w:p>
      <w:pPr>
        <w:ind w:left="1460" w:hanging="359"/>
        <w:spacing w:after="0"/>
        <w:tabs>
          <w:tab w:leader="none" w:pos="1460" w:val="left"/>
        </w:tabs>
        <w:numPr>
          <w:ilvl w:val="2"/>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statement, if it is a periodic or annual statement.</w:t>
      </w:r>
    </w:p>
    <w:p>
      <w:pPr>
        <w:spacing w:after="0" w:line="236" w:lineRule="exact"/>
        <w:rPr>
          <w:rFonts w:ascii="Times New Roman" w:cs="Times New Roman" w:eastAsia="Times New Roman" w:hAnsi="Times New Roman"/>
          <w:sz w:val="17"/>
          <w:szCs w:val="17"/>
          <w:color w:val="auto"/>
        </w:rPr>
      </w:pPr>
    </w:p>
    <w:p>
      <w:pPr>
        <w:ind w:right="220" w:firstLine="368"/>
        <w:spacing w:after="0" w:line="266" w:lineRule="auto"/>
        <w:tabs>
          <w:tab w:leader="none" w:pos="7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Company means any organization which provides its own or leased vehicles for transportation or which provides freight forwarding or air express services.</w:t>
      </w:r>
    </w:p>
    <w:p>
      <w:pPr>
        <w:spacing w:after="0" w:line="175" w:lineRule="exact"/>
        <w:rPr>
          <w:rFonts w:ascii="Times New Roman" w:cs="Times New Roman" w:eastAsia="Times New Roman" w:hAnsi="Times New Roman"/>
          <w:sz w:val="18"/>
          <w:szCs w:val="18"/>
          <w:color w:val="auto"/>
        </w:rPr>
      </w:pPr>
    </w:p>
    <w:p>
      <w:pPr>
        <w:ind w:right="80" w:firstLine="368"/>
        <w:spacing w:after="0" w:line="26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Security means a share, participation or other interest in property of or an enterprise of the issuer or an obligation of the issuer, which is:</w:t>
      </w:r>
    </w:p>
    <w:p>
      <w:pPr>
        <w:spacing w:after="0" w:line="81" w:lineRule="exact"/>
        <w:rPr>
          <w:rFonts w:ascii="Times New Roman" w:cs="Times New Roman" w:eastAsia="Times New Roman" w:hAnsi="Times New Roman"/>
          <w:sz w:val="18"/>
          <w:szCs w:val="18"/>
          <w:color w:val="auto"/>
        </w:rPr>
      </w:pPr>
    </w:p>
    <w:p>
      <w:pPr>
        <w:jc w:val="both"/>
        <w:ind w:left="1100" w:right="80" w:hanging="363"/>
        <w:spacing w:after="0" w:line="266" w:lineRule="auto"/>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represented by an instrument and the transfer of which is registered upon books maintained for that purpose by or on behalf of the issuer;</w:t>
      </w:r>
    </w:p>
    <w:p>
      <w:pPr>
        <w:spacing w:after="0" w:line="81" w:lineRule="exact"/>
        <w:rPr>
          <w:rFonts w:ascii="Times New Roman" w:cs="Times New Roman" w:eastAsia="Times New Roman" w:hAnsi="Times New Roman"/>
          <w:sz w:val="18"/>
          <w:szCs w:val="18"/>
          <w:color w:val="auto"/>
        </w:rPr>
      </w:pPr>
    </w:p>
    <w:p>
      <w:pPr>
        <w:ind w:left="1100" w:right="320" w:hanging="363"/>
        <w:spacing w:after="0" w:line="282" w:lineRule="auto"/>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and</w:t>
      </w:r>
    </w:p>
    <w:p>
      <w:pPr>
        <w:spacing w:after="0" w:line="20" w:lineRule="exact"/>
        <w:rPr>
          <w:sz w:val="20"/>
          <w:szCs w:val="20"/>
          <w:color w:val="auto"/>
        </w:rPr>
      </w:pPr>
      <w:r>
        <w:rPr>
          <w:sz w:val="20"/>
          <w:szCs w:val="20"/>
          <w:color w:val="auto"/>
        </w:rPr>
        <w:br w:type="column"/>
      </w:r>
    </w:p>
    <w:p>
      <w:pPr>
        <w:ind w:right="20"/>
        <w:spacing w:after="0" w:line="257" w:lineRule="auto"/>
        <w:rPr>
          <w:sz w:val="20"/>
          <w:szCs w:val="20"/>
          <w:color w:val="auto"/>
        </w:rPr>
      </w:pPr>
      <w:r>
        <w:rPr>
          <w:rFonts w:ascii="Times New Roman" w:cs="Times New Roman" w:eastAsia="Times New Roman" w:hAnsi="Times New Roman"/>
          <w:sz w:val="18"/>
          <w:szCs w:val="18"/>
          <w:color w:val="auto"/>
        </w:rPr>
        <w:t>activity except when the Insured establishes that the act or acts giving rise to such damages were committed by an Employee under circumstances which result directly in a loss to the Insured covered by Insuring Agreement</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 For the purposes of this exclusion, “racketeering activity” is defined in 18 United States Code 1961 et seq., as amended;</w:t>
      </w:r>
    </w:p>
    <w:p>
      <w:pPr>
        <w:spacing w:after="0" w:line="181" w:lineRule="exact"/>
        <w:rPr>
          <w:sz w:val="20"/>
          <w:szCs w:val="20"/>
          <w:color w:val="auto"/>
        </w:rPr>
      </w:pPr>
    </w:p>
    <w:p>
      <w:pPr>
        <w:ind w:right="100" w:firstLine="356"/>
        <w:spacing w:after="0" w:line="266" w:lineRule="auto"/>
        <w:tabs>
          <w:tab w:leader="none" w:pos="7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the use or purported use of credit, debit, charge, access, convenience, identification, cash management or other cards</w:t>
      </w:r>
    </w:p>
    <w:p>
      <w:pPr>
        <w:spacing w:after="0" w:line="81" w:lineRule="exact"/>
        <w:rPr>
          <w:rFonts w:ascii="Times New Roman" w:cs="Times New Roman" w:eastAsia="Times New Roman" w:hAnsi="Times New Roman"/>
          <w:sz w:val="18"/>
          <w:szCs w:val="18"/>
          <w:color w:val="auto"/>
        </w:rPr>
      </w:pPr>
    </w:p>
    <w:p>
      <w:pPr>
        <w:ind w:left="1080" w:hanging="355"/>
        <w:spacing w:after="0"/>
        <w:tabs>
          <w:tab w:leader="none" w:pos="1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obtaining credit or funds, or</w:t>
      </w:r>
    </w:p>
    <w:p>
      <w:pPr>
        <w:spacing w:after="0" w:line="130" w:lineRule="exact"/>
        <w:rPr>
          <w:rFonts w:ascii="Times New Roman" w:cs="Times New Roman" w:eastAsia="Times New Roman" w:hAnsi="Times New Roman"/>
          <w:sz w:val="18"/>
          <w:szCs w:val="18"/>
          <w:color w:val="auto"/>
        </w:rPr>
      </w:pPr>
    </w:p>
    <w:p>
      <w:pPr>
        <w:jc w:val="both"/>
        <w:ind w:left="1080" w:right="220" w:hanging="355"/>
        <w:spacing w:after="0" w:line="261" w:lineRule="auto"/>
        <w:tabs>
          <w:tab w:leader="none" w:pos="1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automated mechanical devices which, on behalf of the Insured, disburse Money, accept deposits, cash checks, drafts or similar written instruments or make credit card loans, or</w:t>
      </w:r>
    </w:p>
    <w:p>
      <w:pPr>
        <w:spacing w:after="0" w:line="85" w:lineRule="exact"/>
        <w:rPr>
          <w:rFonts w:ascii="Times New Roman" w:cs="Times New Roman" w:eastAsia="Times New Roman" w:hAnsi="Times New Roman"/>
          <w:sz w:val="18"/>
          <w:szCs w:val="18"/>
          <w:color w:val="auto"/>
        </w:rPr>
      </w:pPr>
    </w:p>
    <w:p>
      <w:pPr>
        <w:ind w:left="1080" w:right="120" w:hanging="355"/>
        <w:spacing w:after="0" w:line="266" w:lineRule="auto"/>
        <w:tabs>
          <w:tab w:leader="none" w:pos="1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point of sale terminals, customer-bank communication terminals, or similar electronic terminals of electronic funds transfer systems,</w:t>
      </w:r>
    </w:p>
    <w:p>
      <w:pPr>
        <w:spacing w:after="0" w:line="176"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whether such cards were issued, or purport to have been issued, by the Insured or by anyone other than the Insured, except when covered under Insuring Agreement (A);</w:t>
      </w:r>
    </w:p>
    <w:p>
      <w:pPr>
        <w:spacing w:after="0" w:line="176" w:lineRule="exact"/>
        <w:rPr>
          <w:sz w:val="20"/>
          <w:szCs w:val="20"/>
          <w:color w:val="auto"/>
        </w:rPr>
      </w:pPr>
    </w:p>
    <w:p>
      <w:pPr>
        <w:ind w:right="100" w:firstLine="356"/>
        <w:spacing w:after="0" w:line="261" w:lineRule="auto"/>
        <w:tabs>
          <w:tab w:leader="none" w:pos="5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involving automated mechanical devices which, on behalf of the Insured, disburse Money, accept deposits, cash checks, drafts or similar written instruments or make credit card loans, except when covered under Insuring Agreement (A);</w:t>
      </w:r>
    </w:p>
    <w:p>
      <w:pPr>
        <w:spacing w:after="0" w:line="1163" w:lineRule="exact"/>
        <w:rPr>
          <w:sz w:val="20"/>
          <w:szCs w:val="20"/>
          <w:color w:val="auto"/>
        </w:rPr>
      </w:pPr>
    </w:p>
    <w:p>
      <w:pPr>
        <w:sectPr>
          <w:pgSz w:w="11900" w:h="16838" w:orient="portrait"/>
          <w:cols w:equalWidth="0" w:num="2">
            <w:col w:w="5380" w:space="360"/>
            <w:col w:w="5500"/>
          </w:cols>
          <w:pgMar w:left="320" w:top="121" w:right="339" w:bottom="1440" w:gutter="0" w:footer="0" w:header="0"/>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Code: 2-14057</w:t>
      </w:r>
    </w:p>
    <w:p>
      <w:pPr>
        <w:spacing w:after="0" w:line="27" w:lineRule="exact"/>
        <w:rPr>
          <w:sz w:val="20"/>
          <w:szCs w:val="20"/>
          <w:color w:val="auto"/>
        </w:rPr>
      </w:pPr>
    </w:p>
    <w:p>
      <w:pPr>
        <w:spacing w:after="0"/>
        <w:tabs>
          <w:tab w:leader="none" w:pos="4160" w:val="left"/>
          <w:tab w:leader="none" w:pos="10400" w:val="left"/>
        </w:tabs>
        <w:rPr>
          <w:sz w:val="20"/>
          <w:szCs w:val="20"/>
          <w:color w:val="auto"/>
        </w:rPr>
      </w:pPr>
      <w:r>
        <w:rPr>
          <w:rFonts w:ascii="Times New Roman" w:cs="Times New Roman" w:eastAsia="Times New Roman" w:hAnsi="Times New Roman"/>
          <w:sz w:val="18"/>
          <w:szCs w:val="18"/>
          <w:color w:val="auto"/>
        </w:rPr>
        <w:t>TSB 5062b 1087</w:t>
      </w:r>
      <w:r>
        <w:rPr>
          <w:sz w:val="20"/>
          <w:szCs w:val="20"/>
          <w:color w:val="auto"/>
        </w:rPr>
        <w:tab/>
      </w:r>
      <w:r>
        <w:rPr>
          <w:rFonts w:ascii="Times New Roman" w:cs="Times New Roman" w:eastAsia="Times New Roman" w:hAnsi="Times New Roman"/>
          <w:sz w:val="18"/>
          <w:szCs w:val="18"/>
          <w:color w:val="auto"/>
        </w:rPr>
        <w:t>Copyright, The Surety Association of America, 1987</w:t>
      </w:r>
      <w:r>
        <w:rPr>
          <w:sz w:val="20"/>
          <w:szCs w:val="20"/>
          <w:color w:val="auto"/>
        </w:rPr>
        <w:tab/>
      </w:r>
      <w:r>
        <w:rPr>
          <w:rFonts w:ascii="Times New Roman" w:cs="Times New Roman" w:eastAsia="Times New Roman" w:hAnsi="Times New Roman"/>
          <w:sz w:val="18"/>
          <w:szCs w:val="18"/>
          <w:color w:val="auto"/>
        </w:rPr>
        <w:t>Page 6 of 8</w:t>
      </w:r>
    </w:p>
    <w:p>
      <w:pPr>
        <w:sectPr>
          <w:pgSz w:w="11900" w:h="16838" w:orient="portrait"/>
          <w:cols w:equalWidth="0" w:num="1">
            <w:col w:w="11240"/>
          </w:cols>
          <w:pgMar w:left="320" w:top="121" w:right="339" w:bottom="1440" w:gutter="0" w:footer="0" w:header="0"/>
          <w:type w:val="continuous"/>
        </w:sectPr>
      </w:pPr>
    </w:p>
    <w:bookmarkStart w:id="12" w:name="page13"/>
    <w:bookmarkEnd w:id="12"/>
    <w:p>
      <w:pPr>
        <w:ind w:right="140" w:firstLine="368"/>
        <w:spacing w:after="0" w:line="282"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through the surrender of Property away from an office of the Insured as a result of a threat</w:t>
      </w:r>
    </w:p>
    <w:p>
      <w:pPr>
        <w:spacing w:after="0" w:line="67" w:lineRule="exact"/>
        <w:rPr>
          <w:rFonts w:ascii="Times New Roman" w:cs="Times New Roman" w:eastAsia="Times New Roman" w:hAnsi="Times New Roman"/>
          <w:sz w:val="18"/>
          <w:szCs w:val="18"/>
          <w:color w:val="auto"/>
        </w:rPr>
      </w:pPr>
    </w:p>
    <w:p>
      <w:pPr>
        <w:ind w:left="1100" w:right="60" w:hanging="363"/>
        <w:spacing w:after="0" w:line="261" w:lineRule="auto"/>
        <w:tabs>
          <w:tab w:leader="none" w:pos="11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85" w:lineRule="exact"/>
        <w:rPr>
          <w:rFonts w:ascii="Times New Roman" w:cs="Times New Roman" w:eastAsia="Times New Roman" w:hAnsi="Times New Roman"/>
          <w:sz w:val="18"/>
          <w:szCs w:val="18"/>
          <w:color w:val="auto"/>
        </w:rPr>
      </w:pPr>
    </w:p>
    <w:p>
      <w:pPr>
        <w:ind w:left="1100" w:right="240" w:hanging="363"/>
        <w:spacing w:after="0" w:line="312" w:lineRule="auto"/>
        <w:tabs>
          <w:tab w:leader="none" w:pos="110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do damage to the premises or property of the Insured, except when covered under Insuring Agreement (A);</w:t>
      </w:r>
    </w:p>
    <w:p>
      <w:pPr>
        <w:spacing w:after="0" w:line="139" w:lineRule="exact"/>
        <w:rPr>
          <w:rFonts w:ascii="Times New Roman" w:cs="Times New Roman" w:eastAsia="Times New Roman" w:hAnsi="Times New Roman"/>
          <w:sz w:val="17"/>
          <w:szCs w:val="17"/>
          <w:color w:val="auto"/>
        </w:rPr>
      </w:pPr>
    </w:p>
    <w:p>
      <w:pPr>
        <w:ind w:right="20" w:firstLine="368"/>
        <w:spacing w:after="0" w:line="255" w:lineRule="auto"/>
        <w:tabs>
          <w:tab w:leader="none" w:pos="7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payments made or withdrawals from a depositor’s or customer’s account involving erroneous credits to such account, unless such payments or withdrawals are physically received by such depositor or customer or representative of such depositor or customer who is within the office of the Insured at the time of such payment or withdrawal, or except when covered under Insuring Agreement (A);</w:t>
      </w:r>
    </w:p>
    <w:p>
      <w:pPr>
        <w:spacing w:after="0" w:line="188" w:lineRule="exact"/>
        <w:rPr>
          <w:rFonts w:ascii="Times New Roman" w:cs="Times New Roman" w:eastAsia="Times New Roman" w:hAnsi="Times New Roman"/>
          <w:sz w:val="18"/>
          <w:szCs w:val="18"/>
          <w:color w:val="auto"/>
        </w:rPr>
      </w:pPr>
    </w:p>
    <w:p>
      <w:pPr>
        <w:ind w:right="20" w:firstLine="368"/>
        <w:spacing w:after="0" w:line="266" w:lineRule="auto"/>
        <w:tabs>
          <w:tab w:leader="none" w:pos="7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involving items of deposit which are not finally paid for any reason, including but not limited to Forgery or any other fraud, except when covered under Insuring Agreement (A);</w:t>
      </w:r>
    </w:p>
    <w:p>
      <w:pPr>
        <w:spacing w:after="0" w:line="175" w:lineRule="exact"/>
        <w:rPr>
          <w:rFonts w:ascii="Times New Roman" w:cs="Times New Roman" w:eastAsia="Times New Roman" w:hAnsi="Times New Roman"/>
          <w:sz w:val="18"/>
          <w:szCs w:val="18"/>
          <w:color w:val="auto"/>
        </w:rPr>
      </w:pPr>
    </w:p>
    <w:p>
      <w:pPr>
        <w:ind w:right="140" w:firstLine="368"/>
        <w:spacing w:after="0" w:line="282" w:lineRule="auto"/>
        <w:tabs>
          <w:tab w:leader="none" w:pos="7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counterfeiting, except when covered under Insuring Agreements (A), (E) or (F);</w:t>
      </w:r>
    </w:p>
    <w:p>
      <w:pPr>
        <w:spacing w:after="0" w:line="161" w:lineRule="exact"/>
        <w:rPr>
          <w:rFonts w:ascii="Times New Roman" w:cs="Times New Roman" w:eastAsia="Times New Roman" w:hAnsi="Times New Roman"/>
          <w:sz w:val="18"/>
          <w:szCs w:val="18"/>
          <w:color w:val="auto"/>
        </w:rPr>
      </w:pPr>
    </w:p>
    <w:p>
      <w:pPr>
        <w:ind w:right="120" w:firstLine="368"/>
        <w:spacing w:after="0" w:line="274" w:lineRule="auto"/>
        <w:tabs>
          <w:tab w:leader="none" w:pos="75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any tangible item of personal property which is not specifically enumerated in the paragraph defining Property if such property is specifically insured by other insurance of any kind and in any amount obtained by the Insured, and in any event, loss of such property occurring more than 60 days after the Insured takes possession of such property, except when covered under Insuring Agreements (A) or (B)(2);</w:t>
      </w:r>
    </w:p>
    <w:p>
      <w:pPr>
        <w:spacing w:after="0" w:line="172" w:lineRule="exact"/>
        <w:rPr>
          <w:rFonts w:ascii="Times New Roman" w:cs="Times New Roman" w:eastAsia="Times New Roman" w:hAnsi="Times New Roman"/>
          <w:sz w:val="17"/>
          <w:szCs w:val="17"/>
          <w:color w:val="auto"/>
        </w:rPr>
      </w:pPr>
    </w:p>
    <w:p>
      <w:pPr>
        <w:ind w:left="720" w:hanging="352"/>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Property while</w:t>
      </w:r>
    </w:p>
    <w:p>
      <w:pPr>
        <w:spacing w:after="0" w:line="130" w:lineRule="exact"/>
        <w:rPr>
          <w:rFonts w:ascii="Times New Roman" w:cs="Times New Roman" w:eastAsia="Times New Roman" w:hAnsi="Times New Roman"/>
          <w:sz w:val="18"/>
          <w:szCs w:val="18"/>
          <w:color w:val="auto"/>
        </w:rPr>
      </w:pPr>
    </w:p>
    <w:p>
      <w:pPr>
        <w:ind w:left="1100" w:hanging="363"/>
        <w:spacing w:after="0"/>
        <w:tabs>
          <w:tab w:leader="none" w:pos="11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 or</w:t>
      </w:r>
    </w:p>
    <w:p>
      <w:pPr>
        <w:spacing w:after="0" w:line="130" w:lineRule="exact"/>
        <w:rPr>
          <w:rFonts w:ascii="Times New Roman" w:cs="Times New Roman" w:eastAsia="Times New Roman" w:hAnsi="Times New Roman"/>
          <w:sz w:val="18"/>
          <w:szCs w:val="18"/>
          <w:color w:val="auto"/>
        </w:rPr>
      </w:pPr>
    </w:p>
    <w:p>
      <w:pPr>
        <w:ind w:left="1100" w:right="400" w:hanging="363"/>
        <w:spacing w:after="0" w:line="282" w:lineRule="auto"/>
        <w:tabs>
          <w:tab w:leader="none" w:pos="11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custody of any Transportation Company, unless covered under Insuring Agreement (C),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when covered under Insuring Agreement (A);</w:t>
      </w:r>
    </w:p>
    <w:p>
      <w:pPr>
        <w:spacing w:after="0" w:line="225" w:lineRule="exact"/>
        <w:rPr>
          <w:sz w:val="20"/>
          <w:szCs w:val="20"/>
          <w:color w:val="auto"/>
        </w:rPr>
      </w:pPr>
    </w:p>
    <w:p>
      <w:pPr>
        <w:ind w:right="140" w:firstLine="368"/>
        <w:spacing w:after="0" w:line="282" w:lineRule="auto"/>
        <w:tabs>
          <w:tab w:leader="none" w:pos="73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income, including but not limited to interest and dividends, not realized by the Insured or by any customer of the Insured;</w:t>
      </w:r>
    </w:p>
    <w:p>
      <w:pPr>
        <w:spacing w:after="0" w:line="161" w:lineRule="exact"/>
        <w:rPr>
          <w:rFonts w:ascii="Times New Roman" w:cs="Times New Roman" w:eastAsia="Times New Roman" w:hAnsi="Times New Roman"/>
          <w:sz w:val="18"/>
          <w:szCs w:val="18"/>
          <w:color w:val="auto"/>
        </w:rPr>
      </w:pPr>
    </w:p>
    <w:p>
      <w:pPr>
        <w:ind w:right="140" w:firstLine="368"/>
        <w:spacing w:after="0" w:line="266" w:lineRule="auto"/>
        <w:tabs>
          <w:tab w:leader="none" w:pos="71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of any type for which the Insured is legally liable, except compensatory damages, but not multiples thereof, arising directly from a loss covered under this bond;</w:t>
      </w:r>
    </w:p>
    <w:p>
      <w:pPr>
        <w:spacing w:after="0" w:line="175" w:lineRule="exact"/>
        <w:rPr>
          <w:rFonts w:ascii="Times New Roman" w:cs="Times New Roman" w:eastAsia="Times New Roman" w:hAnsi="Times New Roman"/>
          <w:sz w:val="18"/>
          <w:szCs w:val="18"/>
          <w:color w:val="auto"/>
        </w:rPr>
      </w:pPr>
    </w:p>
    <w:p>
      <w:pPr>
        <w:ind w:left="760" w:hanging="39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incurred by the Insured</w:t>
      </w:r>
    </w:p>
    <w:p>
      <w:pPr>
        <w:spacing w:after="0" w:line="130" w:lineRule="exact"/>
        <w:rPr>
          <w:rFonts w:ascii="Times New Roman" w:cs="Times New Roman" w:eastAsia="Times New Roman" w:hAnsi="Times New Roman"/>
          <w:sz w:val="18"/>
          <w:szCs w:val="18"/>
          <w:color w:val="auto"/>
        </w:rPr>
      </w:pPr>
    </w:p>
    <w:p>
      <w:pPr>
        <w:ind w:left="1100" w:right="140" w:hanging="363"/>
        <w:spacing w:after="0" w:line="282" w:lineRule="auto"/>
        <w:tabs>
          <w:tab w:leader="none" w:pos="1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establishing the existence of or amount of loss covered under this bond, or</w:t>
      </w:r>
    </w:p>
    <w:p>
      <w:pPr>
        <w:spacing w:after="0" w:line="67" w:lineRule="exact"/>
        <w:rPr>
          <w:rFonts w:ascii="Times New Roman" w:cs="Times New Roman" w:eastAsia="Times New Roman" w:hAnsi="Times New Roman"/>
          <w:sz w:val="18"/>
          <w:szCs w:val="18"/>
          <w:color w:val="auto"/>
        </w:rPr>
      </w:pPr>
    </w:p>
    <w:p>
      <w:pPr>
        <w:ind w:left="1100" w:hanging="363"/>
        <w:spacing w:after="0" w:line="266" w:lineRule="auto"/>
        <w:tabs>
          <w:tab w:leader="none" w:pos="1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party to any legal proceeding whether or not such legal proceeding exposes the Insured to loss covered by this bond;</w:t>
      </w:r>
    </w:p>
    <w:p>
      <w:pPr>
        <w:spacing w:after="0" w:line="175" w:lineRule="exact"/>
        <w:rPr>
          <w:rFonts w:ascii="Times New Roman" w:cs="Times New Roman" w:eastAsia="Times New Roman" w:hAnsi="Times New Roman"/>
          <w:sz w:val="18"/>
          <w:szCs w:val="18"/>
          <w:color w:val="auto"/>
        </w:rPr>
      </w:pPr>
    </w:p>
    <w:p>
      <w:pPr>
        <w:ind w:left="760" w:hanging="39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or consequential loss of any nature;</w:t>
      </w:r>
    </w:p>
    <w:p>
      <w:pPr>
        <w:spacing w:after="0" w:line="225" w:lineRule="exact"/>
        <w:rPr>
          <w:rFonts w:ascii="Times New Roman" w:cs="Times New Roman" w:eastAsia="Times New Roman" w:hAnsi="Times New Roman"/>
          <w:sz w:val="18"/>
          <w:szCs w:val="18"/>
          <w:color w:val="auto"/>
        </w:rPr>
      </w:pPr>
    </w:p>
    <w:p>
      <w:pPr>
        <w:ind w:right="820" w:firstLine="368"/>
        <w:spacing w:after="0" w:line="282" w:lineRule="auto"/>
        <w:tabs>
          <w:tab w:leader="none" w:pos="7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involving any Uncertificated Security except an Uncertificated</w:t>
      </w:r>
    </w:p>
    <w:p>
      <w:pPr>
        <w:spacing w:after="0" w:line="162"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18"/>
          <w:szCs w:val="18"/>
          <w:color w:val="auto"/>
        </w:rPr>
        <w:t>Security of any Federal Reserve Bank of the United States or when covered under Insuring Agreement (A); (x) loss resulting directly or indirectly from any dishonest or fraudulent act or acts committed by any non-Employee who is a securities, commodities, money, mortgage, real estate, loan, insurance, property management, investment banking broker, agent or other representative of the same general character; (y) loss caused directly or indirectly by a Partner of the Insured unless the amount of such loss exceeds the Financial Interest in the Insured of such Partner and the Deductible Amount applicable to this bond, and then for the excess only;</w:t>
      </w:r>
    </w:p>
    <w:p>
      <w:pPr>
        <w:spacing w:after="0" w:line="6" w:lineRule="exact"/>
        <w:rPr>
          <w:sz w:val="20"/>
          <w:szCs w:val="20"/>
          <w:color w:val="auto"/>
        </w:rPr>
      </w:pPr>
    </w:p>
    <w:p>
      <w:pPr>
        <w:ind w:right="20" w:firstLine="8"/>
        <w:spacing w:after="0" w:line="252" w:lineRule="auto"/>
        <w:tabs>
          <w:tab w:leader="none" w:pos="2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any actual or alleged representation, advice, warranty or guarantee as to the performance of any investments; (aa) 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20" w:lineRule="exact"/>
        <w:rPr>
          <w:sz w:val="20"/>
          <w:szCs w:val="20"/>
          <w:color w:val="auto"/>
        </w:rPr>
      </w:pPr>
      <w:r>
        <w:rPr>
          <w:sz w:val="20"/>
          <w:szCs w:val="20"/>
          <w:color w:val="auto"/>
        </w:rPr>
        <w:br w:type="column"/>
      </w:r>
    </w:p>
    <w:p>
      <w:pPr>
        <w:ind w:left="724" w:right="180" w:hanging="359"/>
        <w:spacing w:after="0" w:line="266" w:lineRule="auto"/>
        <w:tabs>
          <w:tab w:leader="none" w:pos="7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no further liability for loss or losses regardless of when discovered and whether or not previously reported to the Underwriter, and</w:t>
      </w:r>
    </w:p>
    <w:p>
      <w:pPr>
        <w:spacing w:after="0" w:line="81" w:lineRule="exact"/>
        <w:rPr>
          <w:rFonts w:ascii="Times New Roman" w:cs="Times New Roman" w:eastAsia="Times New Roman" w:hAnsi="Times New Roman"/>
          <w:sz w:val="18"/>
          <w:szCs w:val="18"/>
          <w:color w:val="auto"/>
        </w:rPr>
      </w:pPr>
    </w:p>
    <w:p>
      <w:pPr>
        <w:ind w:left="724" w:right="60" w:hanging="359"/>
        <w:spacing w:after="0" w:line="258" w:lineRule="auto"/>
        <w:tabs>
          <w:tab w:leader="none" w:pos="7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no obligation under General Agreement F to continue the defense of the Insured, and upon notice by the Underwriter to the Insured that the Aggregate Limit of Liability has been exhausted, the Insured shall assume all responsibility for its defense at its own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-1311275</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63" w:lineRule="exact"/>
        <w:rPr>
          <w:sz w:val="20"/>
          <w:szCs w:val="20"/>
          <w:color w:val="auto"/>
        </w:rPr>
      </w:pPr>
    </w:p>
    <w:p>
      <w:pPr>
        <w:ind w:left="4" w:firstLine="360"/>
        <w:spacing w:after="0" w:line="276" w:lineRule="auto"/>
        <w:rPr>
          <w:sz w:val="20"/>
          <w:szCs w:val="20"/>
          <w:color w:val="auto"/>
        </w:rPr>
      </w:pPr>
      <w:r>
        <w:rPr>
          <w:rFonts w:ascii="Times New Roman" w:cs="Times New Roman" w:eastAsia="Times New Roman" w:hAnsi="Times New Roman"/>
          <w:sz w:val="17"/>
          <w:szCs w:val="17"/>
          <w:color w:val="auto"/>
        </w:rPr>
        <w:t>The Aggregate Limit of Liability shall not be increased or reinstated by any recovery made and applied in accordance with subsections (a), (b) and</w:t>
      </w:r>
    </w:p>
    <w:p>
      <w:pPr>
        <w:spacing w:after="0" w:line="1" w:lineRule="exact"/>
        <w:rPr>
          <w:sz w:val="20"/>
          <w:szCs w:val="20"/>
          <w:color w:val="auto"/>
        </w:rPr>
      </w:pPr>
    </w:p>
    <w:p>
      <w:pPr>
        <w:ind w:left="4" w:right="220" w:hanging="4"/>
        <w:spacing w:after="0" w:line="255" w:lineRule="auto"/>
        <w:tabs>
          <w:tab w:leader="none" w:pos="2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7. In the event that a loss of Property is settled by the Underwriter through the use of a lost instrument bond, such loss shall not reduce the Aggregate Limit of Liability.</w:t>
      </w:r>
    </w:p>
    <w:p>
      <w:pPr>
        <w:spacing w:after="0" w:line="200" w:lineRule="exact"/>
        <w:rPr>
          <w:sz w:val="20"/>
          <w:szCs w:val="20"/>
          <w:color w:val="auto"/>
        </w:rPr>
      </w:pPr>
    </w:p>
    <w:p>
      <w:pPr>
        <w:spacing w:after="0" w:line="202" w:lineRule="exact"/>
        <w:rPr>
          <w:sz w:val="20"/>
          <w:szCs w:val="20"/>
          <w:color w:val="auto"/>
        </w:rPr>
      </w:pPr>
    </w:p>
    <w:p>
      <w:pPr>
        <w:ind w:left="1684"/>
        <w:spacing w:after="0"/>
        <w:rPr>
          <w:sz w:val="20"/>
          <w:szCs w:val="20"/>
          <w:color w:val="auto"/>
        </w:rPr>
      </w:pPr>
      <w:r>
        <w:rPr>
          <w:rFonts w:ascii="Times New Roman" w:cs="Times New Roman" w:eastAsia="Times New Roman" w:hAnsi="Times New Roman"/>
          <w:sz w:val="18"/>
          <w:szCs w:val="18"/>
          <w:color w:val="auto"/>
        </w:rPr>
        <w:t>Single Loss Limit of Liability</w:t>
      </w:r>
    </w:p>
    <w:p>
      <w:pPr>
        <w:spacing w:after="0" w:line="225" w:lineRule="exact"/>
        <w:rPr>
          <w:sz w:val="20"/>
          <w:szCs w:val="20"/>
          <w:color w:val="auto"/>
        </w:rPr>
      </w:pPr>
    </w:p>
    <w:p>
      <w:pPr>
        <w:ind w:left="4" w:right="100" w:firstLine="360"/>
        <w:spacing w:after="0" w:line="256" w:lineRule="auto"/>
        <w:rPr>
          <w:sz w:val="20"/>
          <w:szCs w:val="20"/>
          <w:color w:val="auto"/>
        </w:rPr>
      </w:pPr>
      <w:r>
        <w:rPr>
          <w:rFonts w:ascii="Times New Roman" w:cs="Times New Roman" w:eastAsia="Times New Roman" w:hAnsi="Times New Roman"/>
          <w:sz w:val="18"/>
          <w:szCs w:val="18"/>
          <w:color w:val="auto"/>
        </w:rPr>
        <w:t>Subject to the Aggregate Limit of Liability, the Underwriter’s liability for each Single Loss shall not exceed the applicable Single Loss Limit of Liability shown in Item 4 of the Declarations. If a Single Loss is covered under more than one Insuring Agreement or Coverage, the maximum payable shall not exceed the largest applicable Single Loss Limit of Liability.</w:t>
      </w:r>
    </w:p>
    <w:p>
      <w:pPr>
        <w:spacing w:after="0" w:line="200" w:lineRule="exact"/>
        <w:rPr>
          <w:sz w:val="20"/>
          <w:szCs w:val="20"/>
          <w:color w:val="auto"/>
        </w:rPr>
      </w:pPr>
    </w:p>
    <w:p>
      <w:pPr>
        <w:spacing w:after="0" w:line="203"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Single Loss Defined</w:t>
      </w:r>
    </w:p>
    <w:p>
      <w:pPr>
        <w:spacing w:after="0" w:line="225" w:lineRule="exact"/>
        <w:rPr>
          <w:sz w:val="20"/>
          <w:szCs w:val="20"/>
          <w:color w:val="auto"/>
        </w:rPr>
      </w:pPr>
    </w:p>
    <w:p>
      <w:pPr>
        <w:ind w:left="4" w:right="300" w:firstLine="360"/>
        <w:spacing w:after="0" w:line="266" w:lineRule="auto"/>
        <w:rPr>
          <w:sz w:val="20"/>
          <w:szCs w:val="20"/>
          <w:color w:val="auto"/>
        </w:rPr>
      </w:pPr>
      <w:r>
        <w:rPr>
          <w:rFonts w:ascii="Times New Roman" w:cs="Times New Roman" w:eastAsia="Times New Roman" w:hAnsi="Times New Roman"/>
          <w:sz w:val="18"/>
          <w:szCs w:val="18"/>
          <w:color w:val="auto"/>
        </w:rPr>
        <w:t>Single Loss means all covered loss, including court costs and attorneys’ fees incurred by the Underwriter under General Agreement F, resulting from</w:t>
      </w:r>
    </w:p>
    <w:p>
      <w:pPr>
        <w:spacing w:after="0" w:line="81" w:lineRule="exact"/>
        <w:rPr>
          <w:sz w:val="20"/>
          <w:szCs w:val="20"/>
          <w:color w:val="auto"/>
        </w:rPr>
      </w:pPr>
    </w:p>
    <w:p>
      <w:pPr>
        <w:ind w:left="724" w:right="580" w:hanging="359"/>
        <w:spacing w:after="0" w:line="282" w:lineRule="auto"/>
        <w:tabs>
          <w:tab w:leader="none" w:pos="7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act or series of related acts of burglary, robbery or attempt thereat, in which no Employee is implicated, or</w:t>
      </w:r>
    </w:p>
    <w:p>
      <w:pPr>
        <w:spacing w:after="0" w:line="67" w:lineRule="exact"/>
        <w:rPr>
          <w:rFonts w:ascii="Times New Roman" w:cs="Times New Roman" w:eastAsia="Times New Roman" w:hAnsi="Times New Roman"/>
          <w:sz w:val="18"/>
          <w:szCs w:val="18"/>
          <w:color w:val="auto"/>
        </w:rPr>
      </w:pPr>
    </w:p>
    <w:p>
      <w:pPr>
        <w:ind w:left="724" w:right="20" w:hanging="359"/>
        <w:spacing w:after="0" w:line="261" w:lineRule="auto"/>
        <w:tabs>
          <w:tab w:leader="none" w:pos="7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act or series of related unintentional or negligent acts or omissions on the part of any person (whether an Employee or not) resulting in damage to or destruction or misplacement of Property, or</w:t>
      </w:r>
    </w:p>
    <w:p>
      <w:pPr>
        <w:spacing w:after="0" w:line="85" w:lineRule="exact"/>
        <w:rPr>
          <w:rFonts w:ascii="Times New Roman" w:cs="Times New Roman" w:eastAsia="Times New Roman" w:hAnsi="Times New Roman"/>
          <w:sz w:val="18"/>
          <w:szCs w:val="18"/>
          <w:color w:val="auto"/>
        </w:rPr>
      </w:pPr>
    </w:p>
    <w:p>
      <w:pPr>
        <w:ind w:left="724" w:right="40" w:hanging="359"/>
        <w:spacing w:after="0" w:line="266" w:lineRule="auto"/>
        <w:tabs>
          <w:tab w:leader="none" w:pos="7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or omissions other than those specified in (a) and (b) preceding, caused by any person (whether an Employee or not) or in which such person is implicated, or</w:t>
      </w:r>
    </w:p>
    <w:p>
      <w:pPr>
        <w:spacing w:after="0" w:line="81" w:lineRule="exact"/>
        <w:rPr>
          <w:rFonts w:ascii="Times New Roman" w:cs="Times New Roman" w:eastAsia="Times New Roman" w:hAnsi="Times New Roman"/>
          <w:sz w:val="18"/>
          <w:szCs w:val="18"/>
          <w:color w:val="auto"/>
        </w:rPr>
      </w:pPr>
    </w:p>
    <w:p>
      <w:pPr>
        <w:ind w:left="724" w:hanging="359"/>
        <w:spacing w:after="0"/>
        <w:tabs>
          <w:tab w:leader="none" w:pos="7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casualty or event not specified in (a), (b) or</w:t>
      </w:r>
    </w:p>
    <w:p>
      <w:pPr>
        <w:spacing w:after="0" w:line="27" w:lineRule="exact"/>
        <w:rPr>
          <w:rFonts w:ascii="Times New Roman" w:cs="Times New Roman" w:eastAsia="Times New Roman" w:hAnsi="Times New Roman"/>
          <w:sz w:val="18"/>
          <w:szCs w:val="18"/>
          <w:color w:val="auto"/>
        </w:rPr>
      </w:pPr>
    </w:p>
    <w:p>
      <w:pPr>
        <w:ind w:left="7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preceding.</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NOTICE/PROOF—LEGAL PROCEEDINGS AGAINST</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UNDERWRITER</w:t>
      </w:r>
    </w:p>
    <w:p>
      <w:pPr>
        <w:spacing w:after="0" w:line="20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Section 5.</w:t>
      </w:r>
    </w:p>
    <w:p>
      <w:pPr>
        <w:spacing w:after="0" w:line="117" w:lineRule="exact"/>
        <w:rPr>
          <w:sz w:val="20"/>
          <w:szCs w:val="20"/>
          <w:color w:val="auto"/>
        </w:rPr>
      </w:pPr>
    </w:p>
    <w:p>
      <w:pPr>
        <w:ind w:left="4" w:right="220" w:firstLine="356"/>
        <w:spacing w:after="0" w:line="282" w:lineRule="auto"/>
        <w:tabs>
          <w:tab w:leader="none" w:pos="73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earliest practicable moment, not to exceed 30 days, after discovery of loss, the Insured shall give the Underwriter notice thereof.</w:t>
      </w:r>
    </w:p>
    <w:p>
      <w:pPr>
        <w:spacing w:after="0" w:line="161" w:lineRule="exact"/>
        <w:rPr>
          <w:rFonts w:ascii="Times New Roman" w:cs="Times New Roman" w:eastAsia="Times New Roman" w:hAnsi="Times New Roman"/>
          <w:sz w:val="18"/>
          <w:szCs w:val="18"/>
          <w:color w:val="auto"/>
        </w:rPr>
      </w:pPr>
    </w:p>
    <w:p>
      <w:pPr>
        <w:ind w:left="4" w:right="60" w:firstLine="356"/>
        <w:spacing w:after="0" w:line="282" w:lineRule="auto"/>
        <w:tabs>
          <w:tab w:leader="none" w:pos="75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 months after such discovery, the Insured shall furnish to the Underwriter proof of loss, duly sworn to, with full particulars.</w:t>
      </w:r>
    </w:p>
    <w:p>
      <w:pPr>
        <w:spacing w:after="0" w:line="161" w:lineRule="exact"/>
        <w:rPr>
          <w:rFonts w:ascii="Times New Roman" w:cs="Times New Roman" w:eastAsia="Times New Roman" w:hAnsi="Times New Roman"/>
          <w:sz w:val="18"/>
          <w:szCs w:val="18"/>
          <w:color w:val="auto"/>
        </w:rPr>
      </w:pPr>
    </w:p>
    <w:p>
      <w:pPr>
        <w:ind w:left="4" w:right="420" w:firstLine="356"/>
        <w:spacing w:after="0" w:line="266" w:lineRule="auto"/>
        <w:tabs>
          <w:tab w:leader="none" w:pos="7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Certificated Securities listed in a proof of loss shall be identified by certificate or bond numbers if such securities were issued therewith.</w:t>
      </w:r>
    </w:p>
    <w:p>
      <w:pPr>
        <w:spacing w:after="0" w:line="175" w:lineRule="exact"/>
        <w:rPr>
          <w:rFonts w:ascii="Times New Roman" w:cs="Times New Roman" w:eastAsia="Times New Roman" w:hAnsi="Times New Roman"/>
          <w:sz w:val="18"/>
          <w:szCs w:val="18"/>
          <w:color w:val="auto"/>
        </w:rPr>
      </w:pPr>
    </w:p>
    <w:p>
      <w:pPr>
        <w:ind w:left="4" w:right="140" w:firstLine="356"/>
        <w:spacing w:after="0" w:line="261" w:lineRule="auto"/>
        <w:tabs>
          <w:tab w:leader="none" w:pos="75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hereunder shall not be brought prior to the expiration of 60 days after the original proof of loss is filed with the Underwriter or after the expiration of 24 months from the discovery of such loss.</w:t>
      </w:r>
    </w:p>
    <w:p>
      <w:pPr>
        <w:spacing w:after="0" w:line="179" w:lineRule="exact"/>
        <w:rPr>
          <w:rFonts w:ascii="Times New Roman" w:cs="Times New Roman" w:eastAsia="Times New Roman" w:hAnsi="Times New Roman"/>
          <w:sz w:val="18"/>
          <w:szCs w:val="18"/>
          <w:color w:val="auto"/>
        </w:rPr>
      </w:pPr>
    </w:p>
    <w:p>
      <w:pPr>
        <w:ind w:left="4" w:right="100" w:firstLine="356"/>
        <w:spacing w:after="0" w:line="261" w:lineRule="auto"/>
        <w:tabs>
          <w:tab w:leader="none" w:pos="7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limitation embodied in this bond is prohibited by any law controlling the construction hereof, such limitation shall be deemed to be amended so as to equal the minimum period of limitation provided by such law.</w:t>
      </w:r>
    </w:p>
    <w:p>
      <w:pPr>
        <w:spacing w:after="0" w:line="179" w:lineRule="exact"/>
        <w:rPr>
          <w:rFonts w:ascii="Times New Roman" w:cs="Times New Roman" w:eastAsia="Times New Roman" w:hAnsi="Times New Roman"/>
          <w:sz w:val="18"/>
          <w:szCs w:val="18"/>
          <w:color w:val="auto"/>
        </w:rPr>
      </w:pPr>
    </w:p>
    <w:p>
      <w:pPr>
        <w:ind w:left="4" w:right="140" w:firstLine="356"/>
        <w:spacing w:after="0" w:line="266"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affords coverage only in favor of the Insured. No suit, action or legal proceedings shall be brought hereunder by any one other than the named Insured.</w:t>
      </w:r>
    </w:p>
    <w:p>
      <w:pPr>
        <w:sectPr>
          <w:pgSz w:w="11900" w:h="16838" w:orient="portrait"/>
          <w:cols w:equalWidth="0" w:num="2">
            <w:col w:w="5380" w:space="356"/>
            <w:col w:w="5504"/>
          </w:cols>
          <w:pgMar w:left="320" w:top="324" w:right="339" w:bottom="0" w:gutter="0" w:footer="0" w:header="0"/>
        </w:sectPr>
      </w:pPr>
    </w:p>
    <w:bookmarkStart w:id="13" w:name="page14"/>
    <w:bookmarkEnd w:id="13"/>
    <w:p>
      <w:pPr>
        <w:ind w:left="2200"/>
        <w:spacing w:after="0"/>
        <w:tabs>
          <w:tab w:leader="none" w:pos="7960" w:val="left"/>
        </w:tabs>
        <w:rPr>
          <w:sz w:val="20"/>
          <w:szCs w:val="20"/>
          <w:color w:val="auto"/>
        </w:rPr>
      </w:pPr>
      <w:r>
        <w:rPr>
          <w:rFonts w:ascii="Times New Roman" w:cs="Times New Roman" w:eastAsia="Times New Roman" w:hAnsi="Times New Roman"/>
          <w:sz w:val="17"/>
          <w:szCs w:val="17"/>
          <w:color w:val="auto"/>
        </w:rPr>
        <w:t>DISCOVERY</w:t>
      </w:r>
      <w:r>
        <w:rPr>
          <w:sz w:val="20"/>
          <w:szCs w:val="20"/>
          <w:color w:val="auto"/>
        </w:rPr>
        <w:tab/>
      </w:r>
      <w:r>
        <w:rPr>
          <w:rFonts w:ascii="Times New Roman" w:cs="Times New Roman" w:eastAsia="Times New Roman" w:hAnsi="Times New Roman"/>
          <w:sz w:val="17"/>
          <w:szCs w:val="17"/>
          <w:color w:val="auto"/>
        </w:rPr>
        <w:t>VALUATION</w:t>
      </w:r>
    </w:p>
    <w:p>
      <w:pPr>
        <w:sectPr>
          <w:pgSz w:w="11900" w:h="16838" w:orient="portrait"/>
          <w:cols w:equalWidth="0" w:num="1">
            <w:col w:w="11240"/>
          </w:cols>
          <w:pgMar w:left="320" w:top="121" w:right="339" w:bottom="1440" w:gutter="0" w:footer="0" w:header="0"/>
        </w:sectPr>
      </w:pPr>
    </w:p>
    <w:p>
      <w:pPr>
        <w:spacing w:after="0" w:line="237"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Section 3. This bond applies to loss discovered by the Insured during the Bond Period. Discovery occurs when the Insured first becomes aware of facts which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187"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Discovery also occurs when the Insured receives notice of an actual or potential claim in which it is alleged that the Insured is liable to a third party under circumstances which, if true, would constitute a loss under this bond.</w:t>
      </w:r>
    </w:p>
    <w:p>
      <w:pPr>
        <w:spacing w:after="0" w:line="39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LIMIT OF LIABILITY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Aggregate Limit of Liability</w:t>
      </w:r>
    </w:p>
    <w:p>
      <w:pPr>
        <w:spacing w:after="0" w:line="225" w:lineRule="exact"/>
        <w:rPr>
          <w:sz w:val="20"/>
          <w:szCs w:val="20"/>
          <w:color w:val="auto"/>
        </w:rPr>
      </w:pPr>
    </w:p>
    <w:p>
      <w:pPr>
        <w:ind w:right="180" w:firstLine="360"/>
        <w:spacing w:after="0" w:line="258" w:lineRule="auto"/>
        <w:rPr>
          <w:sz w:val="20"/>
          <w:szCs w:val="20"/>
          <w:color w:val="auto"/>
        </w:rPr>
      </w:pPr>
      <w:r>
        <w:rPr>
          <w:rFonts w:ascii="Times New Roman" w:cs="Times New Roman" w:eastAsia="Times New Roman" w:hAnsi="Times New Roman"/>
          <w:sz w:val="18"/>
          <w:szCs w:val="18"/>
          <w:color w:val="auto"/>
        </w:rPr>
        <w:t>The Underwriter’s total liability for all losses discovered during the Bond Period shown in Item 2 of the Declarations shall not exceed the Aggregate Limit of Liability shown in Item 3 of the Declarations. The Aggregate Limit of Liability shall be reduced by the amount of any payment made under the terms of this bond.</w:t>
      </w:r>
    </w:p>
    <w:p>
      <w:pPr>
        <w:spacing w:after="0" w:line="75" w:lineRule="exact"/>
        <w:rPr>
          <w:sz w:val="20"/>
          <w:szCs w:val="20"/>
          <w:color w:val="auto"/>
        </w:rPr>
      </w:pPr>
    </w:p>
    <w:p>
      <w:pPr>
        <w:ind w:right="640" w:firstLine="360"/>
        <w:spacing w:after="0" w:line="282" w:lineRule="auto"/>
        <w:rPr>
          <w:sz w:val="20"/>
          <w:szCs w:val="20"/>
          <w:color w:val="auto"/>
        </w:rPr>
      </w:pPr>
      <w:r>
        <w:rPr>
          <w:rFonts w:ascii="Times New Roman" w:cs="Times New Roman" w:eastAsia="Times New Roman" w:hAnsi="Times New Roman"/>
          <w:sz w:val="18"/>
          <w:szCs w:val="18"/>
          <w:color w:val="auto"/>
        </w:rPr>
        <w:t>Upon exhaustion of the Aggregate Limit of Liability by such payments: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60" w:firstLine="360"/>
        <w:spacing w:after="0" w:line="281" w:lineRule="auto"/>
        <w:rPr>
          <w:sz w:val="20"/>
          <w:szCs w:val="20"/>
          <w:color w:val="auto"/>
        </w:rPr>
      </w:pPr>
      <w:r>
        <w:rPr>
          <w:rFonts w:ascii="Times New Roman" w:cs="Times New Roman" w:eastAsia="Times New Roman" w:hAnsi="Times New Roman"/>
          <w:sz w:val="17"/>
          <w:szCs w:val="17"/>
          <w:color w:val="auto"/>
        </w:rPr>
        <w:t>Section 6. Any loss of Money, or loss payable in Money, shall be paid, at the option of the Insured, in the Money of the country in which the loss was sustained or in the United States of America dollar equivalent thereof determined at the rate of exchange at the time of payment of such loss.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w:t>
      </w:r>
    </w:p>
    <w:p>
      <w:pPr>
        <w:spacing w:after="0" w:line="225"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18"/>
          <w:szCs w:val="18"/>
          <w:color w:val="auto"/>
        </w:rPr>
        <w:t>The Underwriter shall settle in kind its liability under this bond on account of a loss of any securities or, at the option of the Insured, shall pay to the Insured the cost of replacing such securities, determined by the market value thereof at the time of such settlement. However, if prior to such settlement the Insured shall be compelled by the demands of a third party or by market rules to purchase equivalent securities, and gives written notification of this to the Underwriter, the cost incurred by the Insured shall be taken as the value of those securities. In case of a loss of subscription, conversion or redemption privileges through the misplacement or loss of securities, the amount of such loss shall be the value of such privileges immediately preceding the expiration thereof. If such securities cannot be replaced or have no quoted market value, or if such privileges have no quoted market value, their value shall be determined by agreement or arbitration.</w:t>
      </w:r>
    </w:p>
    <w:p>
      <w:pPr>
        <w:spacing w:after="0" w:line="19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If the applicable coverage of this bond is subject to a Deductible Amount and/or is not sufficient in amount to indemnify the Insured in full for the loss of securities for which claim is made hereunder, the liability of the Underwriter under this bond is limited to the payment for, or the duplication of, so much of such securities as has a value equal to the amount of such applicable coverage.</w:t>
      </w:r>
    </w:p>
    <w:p>
      <w:pPr>
        <w:spacing w:after="0" w:line="200" w:lineRule="exact"/>
        <w:rPr>
          <w:sz w:val="20"/>
          <w:szCs w:val="20"/>
          <w:color w:val="auto"/>
        </w:rPr>
      </w:pPr>
    </w:p>
    <w:p>
      <w:pPr>
        <w:sectPr>
          <w:pgSz w:w="11900" w:h="16838" w:orient="portrait"/>
          <w:cols w:equalWidth="0" w:num="2">
            <w:col w:w="5400" w:space="340"/>
            <w:col w:w="5500"/>
          </w:cols>
          <w:pgMar w:left="320" w:top="121"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Code: 2-14057</w:t>
      </w:r>
    </w:p>
    <w:p>
      <w:pPr>
        <w:spacing w:after="0" w:line="27" w:lineRule="exact"/>
        <w:rPr>
          <w:sz w:val="20"/>
          <w:szCs w:val="20"/>
          <w:color w:val="auto"/>
        </w:rPr>
      </w:pPr>
    </w:p>
    <w:p>
      <w:pPr>
        <w:spacing w:after="0"/>
        <w:tabs>
          <w:tab w:leader="none" w:pos="4160" w:val="left"/>
          <w:tab w:leader="none" w:pos="10400" w:val="left"/>
        </w:tabs>
        <w:rPr>
          <w:sz w:val="20"/>
          <w:szCs w:val="20"/>
          <w:color w:val="auto"/>
        </w:rPr>
      </w:pPr>
      <w:r>
        <w:rPr>
          <w:rFonts w:ascii="Times New Roman" w:cs="Times New Roman" w:eastAsia="Times New Roman" w:hAnsi="Times New Roman"/>
          <w:sz w:val="18"/>
          <w:szCs w:val="18"/>
          <w:color w:val="auto"/>
        </w:rPr>
        <w:t>TSB 5062b 1087</w:t>
      </w:r>
      <w:r>
        <w:rPr>
          <w:sz w:val="20"/>
          <w:szCs w:val="20"/>
          <w:color w:val="auto"/>
        </w:rPr>
        <w:tab/>
      </w:r>
      <w:r>
        <w:rPr>
          <w:rFonts w:ascii="Times New Roman" w:cs="Times New Roman" w:eastAsia="Times New Roman" w:hAnsi="Times New Roman"/>
          <w:sz w:val="18"/>
          <w:szCs w:val="18"/>
          <w:color w:val="auto"/>
        </w:rPr>
        <w:t>Copyright, The Surety Association of America, 1987</w:t>
      </w:r>
      <w:r>
        <w:rPr>
          <w:sz w:val="20"/>
          <w:szCs w:val="20"/>
          <w:color w:val="auto"/>
        </w:rPr>
        <w:tab/>
      </w:r>
      <w:r>
        <w:rPr>
          <w:rFonts w:ascii="Times New Roman" w:cs="Times New Roman" w:eastAsia="Times New Roman" w:hAnsi="Times New Roman"/>
          <w:sz w:val="18"/>
          <w:szCs w:val="18"/>
          <w:color w:val="auto"/>
        </w:rPr>
        <w:t>Page 7 of 8</w:t>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line="7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Books of Account and Other Records</w:t>
      </w:r>
    </w:p>
    <w:p>
      <w:pPr>
        <w:spacing w:after="0" w:line="117"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In case of loss of, or damage to, any books of account or other records used by the Insured in its business, the Underwriter shall be liable under this bond only if such books or records are actually reproduced and then for not more than the cost of the blank books, blank pages or other materials plus the cost of labor for the actual transcription or copying of data which shall have been furnished by the Insured in order to reproduce such books and other records.</w:t>
      </w:r>
    </w:p>
    <w:p>
      <w:pPr>
        <w:spacing w:after="0" w:line="200" w:lineRule="exact"/>
        <w:rPr>
          <w:sz w:val="20"/>
          <w:szCs w:val="20"/>
          <w:color w:val="auto"/>
        </w:rPr>
      </w:pPr>
    </w:p>
    <w:p>
      <w:pPr>
        <w:spacing w:after="0" w:line="20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Property other than Money, Securities or Records</w:t>
      </w:r>
    </w:p>
    <w:p>
      <w:pPr>
        <w:spacing w:after="0" w:line="225"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18"/>
          <w:szCs w:val="18"/>
          <w:color w:val="auto"/>
        </w:rPr>
        <w:t>In case of loss of, or damage to, any Property other than Money, securities, books of account or other records, or damage covered under Insuring Agreement (B)(2), the Underwriter shall not be liable for more than the actual cash value of such Property, or of items covered under Insuring Agreement (B)(2). The Underwriter may, at its election, pay the actual cash value of, replace or repair such property. Disagreement between the Underwriter and the Insured as to the cash value or as to the adequacy of repair or replacement shall be resolved by arbitration.</w:t>
      </w:r>
    </w:p>
    <w:p>
      <w:pPr>
        <w:spacing w:after="0" w:line="200" w:lineRule="exact"/>
        <w:rPr>
          <w:sz w:val="20"/>
          <w:szCs w:val="20"/>
          <w:color w:val="auto"/>
        </w:rPr>
      </w:pPr>
    </w:p>
    <w:p>
      <w:pPr>
        <w:spacing w:after="0" w:line="208"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Set-Off</w:t>
      </w:r>
    </w:p>
    <w:p>
      <w:pPr>
        <w:spacing w:after="0" w:line="225"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Any loss covered under this bond shall be reduced by a set-off consisting of any amount owed to the Employee causing the loss if such loss is covered under Insuring Agreement (A)</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ASSIGNMENT—SUBROGATION— RECOVERY— COOPERATION</w:t>
      </w: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Section 7.</w:t>
      </w:r>
    </w:p>
    <w:p>
      <w:pPr>
        <w:spacing w:after="0" w:line="117" w:lineRule="exact"/>
        <w:rPr>
          <w:sz w:val="20"/>
          <w:szCs w:val="20"/>
          <w:color w:val="auto"/>
        </w:rPr>
      </w:pPr>
    </w:p>
    <w:p>
      <w:pPr>
        <w:ind w:right="20" w:firstLine="368"/>
        <w:spacing w:after="0" w:line="261" w:lineRule="auto"/>
        <w:tabs>
          <w:tab w:leader="none" w:pos="73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payment under this bond, the Insured shall deliver, if so requested by the Underwriter, an assignment of such of the Insured’s rights, title and interest and causes of action as it has against any person or entity to the extent of the loss payment.</w:t>
      </w:r>
    </w:p>
    <w:p>
      <w:pPr>
        <w:spacing w:after="0" w:line="179" w:lineRule="exact"/>
        <w:rPr>
          <w:rFonts w:ascii="Times New Roman" w:cs="Times New Roman" w:eastAsia="Times New Roman" w:hAnsi="Times New Roman"/>
          <w:sz w:val="18"/>
          <w:szCs w:val="18"/>
          <w:color w:val="auto"/>
        </w:rPr>
      </w:pPr>
    </w:p>
    <w:p>
      <w:pPr>
        <w:ind w:firstLine="368"/>
        <w:spacing w:after="0" w:line="266" w:lineRule="auto"/>
        <w:tabs>
          <w:tab w:leader="none" w:pos="75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payment under this bond, the Underwriter shall be subrogated to all of the Insured’s rights of recovery therefor against any person or entity to the extent of such payment.</w:t>
      </w:r>
    </w:p>
    <w:p>
      <w:pPr>
        <w:spacing w:after="0" w:line="175" w:lineRule="exact"/>
        <w:rPr>
          <w:rFonts w:ascii="Times New Roman" w:cs="Times New Roman" w:eastAsia="Times New Roman" w:hAnsi="Times New Roman"/>
          <w:sz w:val="18"/>
          <w:szCs w:val="18"/>
          <w:color w:val="auto"/>
        </w:rPr>
      </w:pPr>
    </w:p>
    <w:p>
      <w:pPr>
        <w:ind w:firstLine="368"/>
        <w:spacing w:after="0" w:line="253" w:lineRule="auto"/>
        <w:tabs>
          <w:tab w:leader="none" w:pos="73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 whether effected by the Underwriter or by the Insured, shall be applied net of the expense of such recovery first to the satisfaction of the Insured’s loss which would otherwise have been paid but for the fact that it is in excess of either the Single or Aggregate Limit of Liability, secondly, to the Underwriter as reimbursement of amounts paid in settlement of the Insured’s claim, and thirdly, to the Insured in satisfaction of any Deductible Amount. Recovery on account of loss of securities as set forth in the second paragraph of Section 6 or recovery from reinsurance and/or indemnity of the Underwriter shall not be deemed a recovery as used herein.</w:t>
      </w:r>
    </w:p>
    <w:p>
      <w:pPr>
        <w:spacing w:after="0" w:line="194" w:lineRule="exact"/>
        <w:rPr>
          <w:rFonts w:ascii="Times New Roman" w:cs="Times New Roman" w:eastAsia="Times New Roman" w:hAnsi="Times New Roman"/>
          <w:sz w:val="18"/>
          <w:szCs w:val="18"/>
          <w:color w:val="auto"/>
        </w:rPr>
      </w:pPr>
    </w:p>
    <w:p>
      <w:pPr>
        <w:ind w:right="300" w:firstLine="368"/>
        <w:spacing w:after="0" w:line="282" w:lineRule="auto"/>
        <w:tabs>
          <w:tab w:leader="none" w:pos="75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Underwriter’s request and at reasonable times and places designated by the Underwriter the Insured shall</w:t>
      </w:r>
    </w:p>
    <w:p>
      <w:pPr>
        <w:spacing w:after="0" w:line="67" w:lineRule="exact"/>
        <w:rPr>
          <w:rFonts w:ascii="Times New Roman" w:cs="Times New Roman" w:eastAsia="Times New Roman" w:hAnsi="Times New Roman"/>
          <w:sz w:val="18"/>
          <w:szCs w:val="18"/>
          <w:color w:val="auto"/>
        </w:rPr>
      </w:pPr>
    </w:p>
    <w:p>
      <w:pPr>
        <w:ind w:left="1100" w:right="40" w:hanging="363"/>
        <w:spacing w:after="0" w:line="282" w:lineRule="auto"/>
        <w:tabs>
          <w:tab w:leader="none" w:pos="11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Underwriter and subscribe to the same under oath; and</w:t>
      </w:r>
    </w:p>
    <w:p>
      <w:pPr>
        <w:spacing w:after="0" w:line="67" w:lineRule="exact"/>
        <w:rPr>
          <w:rFonts w:ascii="Times New Roman" w:cs="Times New Roman" w:eastAsia="Times New Roman" w:hAnsi="Times New Roman"/>
          <w:sz w:val="18"/>
          <w:szCs w:val="18"/>
          <w:color w:val="auto"/>
        </w:rPr>
      </w:pPr>
    </w:p>
    <w:p>
      <w:pPr>
        <w:ind w:left="1100" w:right="280" w:hanging="363"/>
        <w:spacing w:after="0" w:line="282" w:lineRule="auto"/>
        <w:tabs>
          <w:tab w:leader="none" w:pos="11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Underwriter’s examination all pertinent records; and</w:t>
      </w:r>
    </w:p>
    <w:p>
      <w:pPr>
        <w:spacing w:after="0" w:line="67" w:lineRule="exact"/>
        <w:rPr>
          <w:rFonts w:ascii="Times New Roman" w:cs="Times New Roman" w:eastAsia="Times New Roman" w:hAnsi="Times New Roman"/>
          <w:sz w:val="18"/>
          <w:szCs w:val="18"/>
          <w:color w:val="auto"/>
        </w:rPr>
      </w:pPr>
    </w:p>
    <w:p>
      <w:pPr>
        <w:ind w:left="1100" w:right="80" w:hanging="363"/>
        <w:spacing w:after="0" w:line="282" w:lineRule="auto"/>
        <w:tabs>
          <w:tab w:leader="none" w:pos="11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Underwriter in all matters pertaining to the loss.</w:t>
      </w:r>
    </w:p>
    <w:p>
      <w:pPr>
        <w:spacing w:after="0" w:line="161" w:lineRule="exact"/>
        <w:rPr>
          <w:rFonts w:ascii="Times New Roman" w:cs="Times New Roman" w:eastAsia="Times New Roman" w:hAnsi="Times New Roman"/>
          <w:sz w:val="18"/>
          <w:szCs w:val="18"/>
          <w:color w:val="auto"/>
        </w:rPr>
      </w:pPr>
    </w:p>
    <w:p>
      <w:pPr>
        <w:ind w:right="220" w:firstLine="368"/>
        <w:spacing w:after="0" w:line="261" w:lineRule="auto"/>
        <w:tabs>
          <w:tab w:leader="none" w:pos="7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shall execute all papers and render assistance to secure to the Underwriter the rights and causes of action provided for herein. The Insured shall do nothing after discovery of loss to prejudice such rights or causes of action.</w:t>
      </w:r>
    </w:p>
    <w:p>
      <w:pPr>
        <w:spacing w:after="0" w:line="39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LIMIT OF LIABILITY UNDER THIS BOND AND PRIOR</w:t>
      </w:r>
    </w:p>
    <w:p>
      <w:pPr>
        <w:spacing w:after="0" w:line="2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INSURANCE</w:t>
      </w:r>
    </w:p>
    <w:p>
      <w:pPr>
        <w:spacing w:after="0" w:line="207" w:lineRule="exact"/>
        <w:rPr>
          <w:sz w:val="20"/>
          <w:szCs w:val="20"/>
          <w:color w:val="auto"/>
        </w:rPr>
      </w:pPr>
    </w:p>
    <w:p>
      <w:pPr>
        <w:ind w:right="260" w:firstLine="360"/>
        <w:spacing w:after="0" w:line="266" w:lineRule="auto"/>
        <w:rPr>
          <w:sz w:val="20"/>
          <w:szCs w:val="20"/>
          <w:color w:val="auto"/>
        </w:rPr>
      </w:pPr>
      <w:r>
        <w:rPr>
          <w:rFonts w:ascii="Times New Roman" w:cs="Times New Roman" w:eastAsia="Times New Roman" w:hAnsi="Times New Roman"/>
          <w:sz w:val="18"/>
          <w:szCs w:val="18"/>
          <w:color w:val="auto"/>
        </w:rPr>
        <w:t>Section 8. With respect to any loss set forth in sub-section (c) of Section 4 of this bond which is recoverable or recovered in whole or in part under any other bonds or policies issued by the Underwriter to the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available to the Insured under such other bonds or policies, as limited by the terms and conditions thereof, for any such loss if the latter amount be the larger.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-553085</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56" w:lineRule="exact"/>
        <w:rPr>
          <w:sz w:val="20"/>
          <w:szCs w:val="20"/>
          <w:color w:val="auto"/>
        </w:rPr>
      </w:pPr>
    </w:p>
    <w:p>
      <w:pPr>
        <w:ind w:left="4" w:firstLine="360"/>
        <w:spacing w:after="0" w:line="253" w:lineRule="auto"/>
        <w:rPr>
          <w:sz w:val="20"/>
          <w:szCs w:val="20"/>
          <w:color w:val="auto"/>
        </w:rPr>
      </w:pPr>
      <w:r>
        <w:rPr>
          <w:rFonts w:ascii="Times New Roman" w:cs="Times New Roman" w:eastAsia="Times New Roman" w:hAnsi="Times New Roman"/>
          <w:sz w:val="18"/>
          <w:szCs w:val="18"/>
          <w:color w:val="auto"/>
        </w:rPr>
        <w:t>If the coverage of this bond supersedes in whole or in part the coverage of any other bond or policy of insurance issued by an Insurer other than the Underwriter and terminated, canceled or allowed to expire, the Underwriter, with respect to any loss sustained prior to such termination, cancelation or expiration and discovered within the period permitted under such other bond or policy for the discovery of loss thereunder, shall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200" w:lineRule="exact"/>
        <w:rPr>
          <w:sz w:val="20"/>
          <w:szCs w:val="20"/>
          <w:color w:val="auto"/>
        </w:rPr>
      </w:pPr>
    </w:p>
    <w:p>
      <w:pPr>
        <w:spacing w:after="0" w:line="210" w:lineRule="exact"/>
        <w:rPr>
          <w:sz w:val="20"/>
          <w:szCs w:val="20"/>
          <w:color w:val="auto"/>
        </w:rPr>
      </w:pPr>
    </w:p>
    <w:p>
      <w:pPr>
        <w:ind w:left="1244"/>
        <w:spacing w:after="0"/>
        <w:rPr>
          <w:sz w:val="20"/>
          <w:szCs w:val="20"/>
          <w:color w:val="auto"/>
        </w:rPr>
      </w:pPr>
      <w:r>
        <w:rPr>
          <w:rFonts w:ascii="Times New Roman" w:cs="Times New Roman" w:eastAsia="Times New Roman" w:hAnsi="Times New Roman"/>
          <w:sz w:val="18"/>
          <w:szCs w:val="18"/>
          <w:color w:val="auto"/>
        </w:rPr>
        <w:t>OTHER INSURANCE OR INDEMNITY</w:t>
      </w:r>
    </w:p>
    <w:p>
      <w:pPr>
        <w:spacing w:after="0" w:line="225" w:lineRule="exact"/>
        <w:rPr>
          <w:sz w:val="20"/>
          <w:szCs w:val="20"/>
          <w:color w:val="auto"/>
        </w:rPr>
      </w:pPr>
    </w:p>
    <w:p>
      <w:pPr>
        <w:ind w:left="4" w:firstLine="360"/>
        <w:spacing w:after="0" w:line="256" w:lineRule="auto"/>
        <w:rPr>
          <w:sz w:val="20"/>
          <w:szCs w:val="20"/>
          <w:color w:val="auto"/>
        </w:rPr>
      </w:pPr>
      <w:r>
        <w:rPr>
          <w:rFonts w:ascii="Times New Roman" w:cs="Times New Roman" w:eastAsia="Times New Roman" w:hAnsi="Times New Roman"/>
          <w:sz w:val="18"/>
          <w:szCs w:val="18"/>
          <w:color w:val="auto"/>
        </w:rPr>
        <w:t>Section 9. Coverage afforded hereunder shall apply only as excess over any valid and collectible insurance or indemnity obtained by the Insured, or by one other than the Insured on Property subject to exclusion (q) or by a Transportation Company, or by another entity on whose premises the loss occurred or which employed the person causing the loss or the messenger conveying the Property involved.</w:t>
      </w:r>
    </w:p>
    <w:p>
      <w:pPr>
        <w:spacing w:after="0" w:line="200" w:lineRule="exact"/>
        <w:rPr>
          <w:sz w:val="20"/>
          <w:szCs w:val="20"/>
          <w:color w:val="auto"/>
        </w:rPr>
      </w:pPr>
    </w:p>
    <w:p>
      <w:pPr>
        <w:spacing w:after="0" w:line="203" w:lineRule="exact"/>
        <w:rPr>
          <w:sz w:val="20"/>
          <w:szCs w:val="20"/>
          <w:color w:val="auto"/>
        </w:rPr>
      </w:pPr>
    </w:p>
    <w:p>
      <w:pPr>
        <w:ind w:left="2224"/>
        <w:spacing w:after="0"/>
        <w:rPr>
          <w:sz w:val="20"/>
          <w:szCs w:val="20"/>
          <w:color w:val="auto"/>
        </w:rPr>
      </w:pP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4" w:right="20" w:firstLine="360"/>
        <w:spacing w:after="0" w:line="261" w:lineRule="auto"/>
        <w:rPr>
          <w:sz w:val="20"/>
          <w:szCs w:val="20"/>
          <w:color w:val="auto"/>
        </w:rPr>
      </w:pPr>
      <w:r>
        <w:rPr>
          <w:rFonts w:ascii="Times New Roman" w:cs="Times New Roman" w:eastAsia="Times New Roman" w:hAnsi="Times New Roman"/>
          <w:sz w:val="18"/>
          <w:szCs w:val="18"/>
          <w:color w:val="auto"/>
        </w:rPr>
        <w:t>Section 10. This bond shall apply to loss of Property (1) owned by the Insured, (2) held by the Insured in any capacity, or (3) for which the Insured is legally liable. This bond shall be for the sole use and benefit of the Insured named in the Declarations.</w:t>
      </w:r>
    </w:p>
    <w:p>
      <w:pPr>
        <w:spacing w:after="0" w:line="3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DEDUCTIBLE AMOUNT</w:t>
      </w:r>
    </w:p>
    <w:p>
      <w:pPr>
        <w:spacing w:after="0" w:line="225" w:lineRule="exact"/>
        <w:rPr>
          <w:sz w:val="20"/>
          <w:szCs w:val="20"/>
          <w:color w:val="auto"/>
        </w:rPr>
      </w:pPr>
    </w:p>
    <w:p>
      <w:pPr>
        <w:ind w:left="4" w:right="160" w:firstLine="360"/>
        <w:spacing w:after="0" w:line="258" w:lineRule="auto"/>
        <w:rPr>
          <w:sz w:val="20"/>
          <w:szCs w:val="20"/>
          <w:color w:val="auto"/>
        </w:rPr>
      </w:pPr>
      <w:r>
        <w:rPr>
          <w:rFonts w:ascii="Times New Roman" w:cs="Times New Roman" w:eastAsia="Times New Roman" w:hAnsi="Times New Roman"/>
          <w:sz w:val="18"/>
          <w:szCs w:val="18"/>
          <w:color w:val="auto"/>
        </w:rPr>
        <w:t>Section 11. The Underwriter shall be liable hereunder only for the amount by which any single loss, as defined in Section 4, exceeds the Single Loss Deductible amount for the Insuring Agreement or Coverage applicable to such loss, subject to the Aggregate Limit of Liability and the applicable Single Loss Limit of Liability.</w:t>
      </w:r>
    </w:p>
    <w:p>
      <w:pPr>
        <w:spacing w:after="0" w:line="183" w:lineRule="exact"/>
        <w:rPr>
          <w:sz w:val="20"/>
          <w:szCs w:val="20"/>
          <w:color w:val="auto"/>
        </w:rPr>
      </w:pPr>
    </w:p>
    <w:p>
      <w:pPr>
        <w:ind w:left="4" w:firstLine="360"/>
        <w:spacing w:after="0" w:line="258" w:lineRule="auto"/>
        <w:rPr>
          <w:sz w:val="20"/>
          <w:szCs w:val="20"/>
          <w:color w:val="auto"/>
        </w:rPr>
      </w:pPr>
      <w:r>
        <w:rPr>
          <w:rFonts w:ascii="Times New Roman" w:cs="Times New Roman" w:eastAsia="Times New Roman" w:hAnsi="Times New Roman"/>
          <w:sz w:val="18"/>
          <w:szCs w:val="18"/>
          <w:color w:val="auto"/>
        </w:rPr>
        <w:t>The Insured shall, in the time and in the manner prescribed in this bond, give the Underwriter notice of any loss of the kind covered by the terms of this bond, whether or not the Underwriter is liable therefor, and upon the request of the Underwriter shall file with it a brief statement giving the particulars concerning such loss.</w:t>
      </w:r>
    </w:p>
    <w:p>
      <w:pPr>
        <w:spacing w:after="0" w:line="399" w:lineRule="exact"/>
        <w:rPr>
          <w:sz w:val="20"/>
          <w:szCs w:val="20"/>
          <w:color w:val="auto"/>
        </w:rPr>
      </w:pPr>
    </w:p>
    <w:p>
      <w:pPr>
        <w:ind w:left="1344"/>
        <w:spacing w:after="0"/>
        <w:rPr>
          <w:sz w:val="20"/>
          <w:szCs w:val="20"/>
          <w:color w:val="auto"/>
        </w:rPr>
      </w:pPr>
      <w:r>
        <w:rPr>
          <w:rFonts w:ascii="Times New Roman" w:cs="Times New Roman" w:eastAsia="Times New Roman" w:hAnsi="Times New Roman"/>
          <w:sz w:val="18"/>
          <w:szCs w:val="18"/>
          <w:color w:val="auto"/>
        </w:rPr>
        <w:t>TERMINATION OR CANCELATION</w:t>
      </w:r>
    </w:p>
    <w:p>
      <w:pPr>
        <w:spacing w:after="0" w:line="225" w:lineRule="exact"/>
        <w:rPr>
          <w:sz w:val="20"/>
          <w:szCs w:val="20"/>
          <w:color w:val="auto"/>
        </w:rPr>
      </w:pPr>
    </w:p>
    <w:p>
      <w:pPr>
        <w:ind w:left="4" w:right="20" w:firstLine="360"/>
        <w:spacing w:after="0" w:line="257" w:lineRule="auto"/>
        <w:rPr>
          <w:sz w:val="20"/>
          <w:szCs w:val="20"/>
          <w:color w:val="auto"/>
        </w:rPr>
      </w:pPr>
      <w:r>
        <w:rPr>
          <w:rFonts w:ascii="Times New Roman" w:cs="Times New Roman" w:eastAsia="Times New Roman" w:hAnsi="Times New Roman"/>
          <w:sz w:val="18"/>
          <w:szCs w:val="18"/>
          <w:color w:val="auto"/>
        </w:rPr>
        <w:t>Section 12. This bond terminates as an entirety upon occurrence of any of the following:—(a) 60 days after the receipt by the Insured of a written notice from the Underwriter of its desire to cancel this bond, or</w:t>
      </w:r>
    </w:p>
    <w:p>
      <w:pPr>
        <w:spacing w:after="0" w:line="1" w:lineRule="exact"/>
        <w:rPr>
          <w:sz w:val="20"/>
          <w:szCs w:val="20"/>
          <w:color w:val="auto"/>
        </w:rPr>
      </w:pPr>
    </w:p>
    <w:p>
      <w:pPr>
        <w:ind w:left="4" w:right="40" w:hanging="4"/>
        <w:spacing w:after="0" w:line="252"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receipt by the Underwriter of a written notice from the Insured of its desire to cancel this bond, or (c) immediately upon the taking over of the Insured by a receiver or other liquidator or by State or Federal officials, or (d) immediately upon the taking over of the Insured by another institution, or (e) immediately upon exhaustion of the Aggregate Limit of Liability, or (f) immediately upon expiration of the Bond Period as set forth in Item 2 of the Declarations.</w:t>
      </w:r>
    </w:p>
    <w:p>
      <w:pPr>
        <w:spacing w:after="0" w:line="188" w:lineRule="exact"/>
        <w:rPr>
          <w:sz w:val="20"/>
          <w:szCs w:val="20"/>
          <w:color w:val="auto"/>
        </w:rPr>
      </w:pPr>
    </w:p>
    <w:p>
      <w:pPr>
        <w:ind w:left="4" w:right="60" w:firstLine="360"/>
        <w:spacing w:after="0" w:line="253" w:lineRule="auto"/>
        <w:rPr>
          <w:sz w:val="20"/>
          <w:szCs w:val="20"/>
          <w:color w:val="auto"/>
        </w:rPr>
      </w:pPr>
      <w:r>
        <w:rPr>
          <w:rFonts w:ascii="Times New Roman" w:cs="Times New Roman" w:eastAsia="Times New Roman" w:hAnsi="Times New Roman"/>
          <w:sz w:val="18"/>
          <w:szCs w:val="18"/>
          <w:color w:val="auto"/>
        </w:rPr>
        <w:t>This bond terminates as to any Employee or any partner, officer or employee of any Processor—(a) as soon as any Insured, or any director or officer not in collusion with such person, learns of any dishonest or fraudulent act committed by such person at any time, whether in the employment of the Insured or otherwise, whether or not of the type covered under Insuring Agreement (A), against the Insured or any other person or entity, without prejudice to the loss of any Property then in transit in the custody of such person, or (b) 15 days after the receipt by the Insured of a written notice from the Underwriter of its desire to cancel this bond as to such person.</w:t>
      </w:r>
    </w:p>
    <w:p>
      <w:pPr>
        <w:spacing w:after="0" w:line="194" w:lineRule="exact"/>
        <w:rPr>
          <w:sz w:val="20"/>
          <w:szCs w:val="20"/>
          <w:color w:val="auto"/>
        </w:rPr>
      </w:pPr>
    </w:p>
    <w:p>
      <w:pPr>
        <w:ind w:left="4" w:firstLine="360"/>
        <w:spacing w:after="0" w:line="312" w:lineRule="auto"/>
        <w:rPr>
          <w:sz w:val="20"/>
          <w:szCs w:val="20"/>
          <w:color w:val="auto"/>
        </w:rPr>
      </w:pPr>
      <w:r>
        <w:rPr>
          <w:rFonts w:ascii="Times New Roman" w:cs="Times New Roman" w:eastAsia="Times New Roman" w:hAnsi="Times New Roman"/>
          <w:sz w:val="17"/>
          <w:szCs w:val="17"/>
          <w:color w:val="auto"/>
        </w:rPr>
        <w:t>Termination of the bond as to any Insured terminates liability for any loss sustained by such Insured which is discovered after the effective date of</w:t>
      </w:r>
    </w:p>
    <w:p>
      <w:pPr>
        <w:sectPr>
          <w:pgSz w:w="11900" w:h="16913" w:orient="portrait"/>
          <w:cols w:equalWidth="0" w:num="2">
            <w:col w:w="5380" w:space="356"/>
            <w:col w:w="5504"/>
          </w:cols>
          <w:pgMar w:left="320" w:top="324" w:right="339" w:bottom="0" w:gutter="0" w:footer="0" w:header="0"/>
        </w:sectPr>
      </w:pPr>
    </w:p>
    <w:bookmarkStart w:id="15" w:name="page16"/>
    <w:bookmarkEnd w:id="15"/>
    <w:p>
      <w:pPr>
        <w:spacing w:after="0" w:line="256" w:lineRule="auto"/>
        <w:rPr>
          <w:sz w:val="20"/>
          <w:szCs w:val="20"/>
          <w:color w:val="auto"/>
        </w:rPr>
      </w:pPr>
      <w:r>
        <w:rPr>
          <w:rFonts w:ascii="Times New Roman" w:cs="Times New Roman" w:eastAsia="Times New Roman" w:hAnsi="Times New Roman"/>
          <w:sz w:val="18"/>
          <w:szCs w:val="18"/>
          <w:color w:val="auto"/>
        </w:rPr>
        <w:t>Insured or to any predecessor in interest of the Insured and terminated or canceled or allowed to expire and in which the period for discovery has not expired at the time any such loss thereunder is discovered, the total liability of the Underwriter under this bond and under such other bonds or policies shall not exceed, in the aggregate, the amount carried hereunder on such loss or the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such termination.</w:t>
      </w:r>
    </w:p>
    <w:p>
      <w:pPr>
        <w:spacing w:after="0" w:line="1329" w:lineRule="exact"/>
        <w:rPr>
          <w:sz w:val="20"/>
          <w:szCs w:val="20"/>
          <w:color w:val="auto"/>
        </w:rPr>
      </w:pPr>
    </w:p>
    <w:p>
      <w:pPr>
        <w:sectPr>
          <w:pgSz w:w="11900" w:h="16838" w:orient="portrait"/>
          <w:cols w:equalWidth="0" w:num="2">
            <w:col w:w="5340" w:space="400"/>
            <w:col w:w="5500"/>
          </w:cols>
          <w:pgMar w:left="320" w:top="121" w:right="3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Underwriter has caused this bond to be executed on the Declarations page.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Code: 2-14057</w:t>
      </w:r>
    </w:p>
    <w:p>
      <w:pPr>
        <w:sectPr>
          <w:pgSz w:w="11900" w:h="16838" w:orient="portrait"/>
          <w:cols w:equalWidth="0" w:num="1">
            <w:col w:w="11240"/>
          </w:cols>
          <w:pgMar w:left="320" w:top="121"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TSB 5062b 1087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Copyright, The Surety Association of America, 1987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 of 8</w:t>
      </w:r>
    </w:p>
    <w:p>
      <w:pPr>
        <w:sectPr>
          <w:pgSz w:w="11900" w:h="16838" w:orient="portrait"/>
          <w:cols w:equalWidth="0" w:num="3">
            <w:col w:w="3460" w:space="720"/>
            <w:col w:w="5520" w:space="720"/>
            <w:col w:w="820"/>
          </w:cols>
          <w:pgMar w:left="320" w:top="121" w:right="339" w:bottom="1440" w:gutter="0" w:footer="0" w:header="0"/>
          <w:type w:val="continuous"/>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Insurer has caused this policy to be issued by affixing hereto the facsimile signatures of its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171450</wp:posOffset>
            </wp:positionV>
            <wp:extent cx="5280660" cy="565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80660" cy="56578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ectPr>
          <w:pgSz w:w="11900" w:h="16838" w:orient="portrait"/>
          <w:cols w:equalWidth="0" w:num="2">
            <w:col w:w="5040" w:space="720"/>
            <w:col w:w="5480"/>
          </w:cols>
          <w:pgMar w:left="320" w:top="270" w:right="339" w:bottom="1440" w:gutter="0" w:footer="0" w:header="0"/>
          <w:type w:val="continuous"/>
        </w:sectPr>
      </w:pPr>
    </w:p>
    <w:p>
      <w:pPr>
        <w:spacing w:after="0" w:line="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Andrew Weissert, Secretary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Carlton W. Maner, President</w:t>
      </w:r>
    </w:p>
    <w:p>
      <w:pPr>
        <w:spacing w:after="0" w:line="169" w:lineRule="exact"/>
        <w:rPr>
          <w:sz w:val="20"/>
          <w:szCs w:val="20"/>
          <w:color w:val="auto"/>
        </w:rPr>
      </w:pPr>
    </w:p>
    <w:p>
      <w:pPr>
        <w:sectPr>
          <w:pgSz w:w="11900" w:h="16838" w:orient="portrait"/>
          <w:cols w:equalWidth="0" w:num="2">
            <w:col w:w="4140" w:space="720"/>
            <w:col w:w="6380"/>
          </w:cols>
          <w:pgMar w:left="320" w:top="27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AXIS 102AIC 0615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2">
            <w:col w:w="9700" w:space="720"/>
            <w:col w:w="820"/>
          </w:cols>
          <w:pgMar w:left="320" w:top="270" w:right="339" w:bottom="1440" w:gutter="0" w:footer="0" w:header="0"/>
          <w:type w:val="continuous"/>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0" w:type="dxa"/>
            <w:vAlign w:val="bottom"/>
            <w:tcBorders>
              <w:right w:val="single" w:sz="8" w:color="auto"/>
            </w:tcBorders>
          </w:tcPr>
          <w:p>
            <w:pPr>
              <w:spacing w:after="0"/>
              <w:rPr>
                <w:sz w:val="24"/>
                <w:szCs w:val="24"/>
                <w:color w:val="auto"/>
              </w:rPr>
            </w:pPr>
          </w:p>
        </w:tc>
        <w:tc>
          <w:tcPr>
            <w:tcW w:w="288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Rider Number</w:t>
            </w:r>
          </w:p>
        </w:tc>
        <w:tc>
          <w:tcPr>
            <w:tcW w:w="280" w:type="dxa"/>
            <w:vAlign w:val="bottom"/>
            <w:tcBorders>
              <w:top w:val="single" w:sz="8" w:color="auto"/>
            </w:tcBorders>
          </w:tcPr>
          <w:p>
            <w:pPr>
              <w:spacing w:after="0"/>
              <w:rPr>
                <w:sz w:val="24"/>
                <w:szCs w:val="24"/>
                <w:color w:val="auto"/>
              </w:rPr>
            </w:pPr>
          </w:p>
        </w:tc>
        <w:tc>
          <w:tcPr>
            <w:tcW w:w="2520" w:type="dxa"/>
            <w:vAlign w:val="bottom"/>
            <w:tcBorders>
              <w:top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580" w:type="dxa"/>
            <w:vAlign w:val="bottom"/>
            <w:tcBorders>
              <w:top w:val="single" w:sz="8" w:color="auto"/>
            </w:tcBorders>
          </w:tcPr>
          <w:p>
            <w:pPr>
              <w:spacing w:after="0"/>
              <w:rPr>
                <w:sz w:val="24"/>
                <w:szCs w:val="24"/>
                <w:color w:val="auto"/>
              </w:rPr>
            </w:pPr>
          </w:p>
        </w:tc>
        <w:tc>
          <w:tcPr>
            <w:tcW w:w="2080" w:type="dxa"/>
            <w:vAlign w:val="bottom"/>
            <w:tcBorders>
              <w:top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Premium</w:t>
            </w:r>
          </w:p>
        </w:tc>
        <w:tc>
          <w:tcPr>
            <w:tcW w:w="40" w:type="dxa"/>
            <w:vAlign w:val="bottom"/>
          </w:tcPr>
          <w:p>
            <w:pPr>
              <w:spacing w:after="0"/>
              <w:rPr>
                <w:sz w:val="24"/>
                <w:szCs w:val="24"/>
                <w:color w:val="auto"/>
              </w:rPr>
            </w:pPr>
          </w:p>
        </w:tc>
      </w:tr>
      <w:tr>
        <w:trPr>
          <w:trHeight w:val="67"/>
        </w:trPr>
        <w:tc>
          <w:tcPr>
            <w:tcW w:w="100" w:type="dxa"/>
            <w:vAlign w:val="bottom"/>
            <w:tcBorders>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264"/>
        </w:trPr>
        <w:tc>
          <w:tcPr>
            <w:tcW w:w="100" w:type="dxa"/>
            <w:vAlign w:val="bottom"/>
            <w:tcBorders>
              <w:right w:val="single" w:sz="8" w:color="auto"/>
            </w:tcBorders>
          </w:tcPr>
          <w:p>
            <w:pPr>
              <w:spacing w:after="0"/>
              <w:rPr>
                <w:sz w:val="22"/>
                <w:szCs w:val="22"/>
                <w:color w:val="auto"/>
              </w:rPr>
            </w:pPr>
          </w:p>
        </w:tc>
        <w:tc>
          <w:tcPr>
            <w:tcW w:w="288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2"/>
                <w:szCs w:val="22"/>
                <w:color w:val="auto"/>
              </w:rPr>
            </w:pPr>
          </w:p>
        </w:tc>
        <w:tc>
          <w:tcPr>
            <w:tcW w:w="252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580" w:type="dxa"/>
            <w:vAlign w:val="bottom"/>
          </w:tcPr>
          <w:p>
            <w:pPr>
              <w:spacing w:after="0"/>
              <w:rPr>
                <w:sz w:val="22"/>
                <w:szCs w:val="22"/>
                <w:color w:val="auto"/>
              </w:rPr>
            </w:pPr>
          </w:p>
        </w:tc>
        <w:tc>
          <w:tcPr>
            <w:tcW w:w="208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6"/>
              </w:rPr>
              <w:t>N/A</w:t>
            </w:r>
          </w:p>
        </w:tc>
        <w:tc>
          <w:tcPr>
            <w:tcW w:w="40" w:type="dxa"/>
            <w:vAlign w:val="bottom"/>
          </w:tcPr>
          <w:p>
            <w:pPr>
              <w:spacing w:after="0"/>
              <w:rPr>
                <w:sz w:val="22"/>
                <w:szCs w:val="22"/>
                <w:color w:val="auto"/>
              </w:rPr>
            </w:pPr>
          </w:p>
        </w:tc>
      </w:tr>
      <w:tr>
        <w:trPr>
          <w:trHeight w:val="68"/>
        </w:trPr>
        <w:tc>
          <w:tcPr>
            <w:tcW w:w="100" w:type="dxa"/>
            <w:vAlign w:val="bottom"/>
            <w:tcBorders>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358"/>
        </w:trPr>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6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AMEND NAMED INSURED RIDER</w:t>
            </w: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 is agreed that Item 1. Name of Insured (herein called Insured) of the Declarations is amended to include the following:</w:t>
            </w: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Commodore Holdings, LLC</w:t>
            </w:r>
          </w:p>
        </w:tc>
        <w:tc>
          <w:tcPr>
            <w:tcW w:w="2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KCAP Management, LLC</w:t>
            </w:r>
          </w:p>
        </w:tc>
        <w:tc>
          <w:tcPr>
            <w:tcW w:w="2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KCAP Coastal, LLC</w:t>
            </w:r>
          </w:p>
        </w:tc>
        <w:tc>
          <w:tcPr>
            <w:tcW w:w="2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Great Lakes KCAP Funding I, LLC</w:t>
            </w:r>
          </w:p>
        </w:tc>
        <w:tc>
          <w:tcPr>
            <w:tcW w:w="2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00" w:type="dxa"/>
            <w:vAlign w:val="bottom"/>
          </w:tcPr>
          <w:p>
            <w:pPr>
              <w:spacing w:after="0"/>
              <w:rPr>
                <w:sz w:val="24"/>
                <w:szCs w:val="24"/>
                <w:color w:val="auto"/>
              </w:rPr>
            </w:pPr>
          </w:p>
        </w:tc>
        <w:tc>
          <w:tcPr>
            <w:tcW w:w="5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Great Lakes Portman Ridge Funding I, LLC</w:t>
            </w:r>
          </w:p>
        </w:tc>
        <w:tc>
          <w:tcPr>
            <w:tcW w:w="2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PTMN Subs Holdings, LLC</w:t>
            </w:r>
          </w:p>
        </w:tc>
        <w:tc>
          <w:tcPr>
            <w:tcW w:w="2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OHA Asset Holdings II, LP</w:t>
            </w:r>
          </w:p>
        </w:tc>
        <w:tc>
          <w:tcPr>
            <w:tcW w:w="2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tc>
        <w:tc>
          <w:tcPr>
            <w:tcW w:w="2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4"/>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AXIS 1012152 0119</w:t>
            </w: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i w:val="1"/>
                <w:iCs w:val="1"/>
                <w:color w:val="auto"/>
              </w:rPr>
              <w:t>Includes copyright material of The Surety Association of America</w:t>
            </w:r>
          </w:p>
        </w:tc>
        <w:tc>
          <w:tcPr>
            <w:tcW w:w="21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98"/>
              </w:rPr>
              <w:t>Page 1 of 1</w:t>
            </w:r>
          </w:p>
        </w:tc>
      </w:tr>
    </w:tbl>
    <w:p>
      <w:pPr>
        <w:sectPr>
          <w:pgSz w:w="11900" w:h="16838" w:orient="portrait"/>
          <w:cols w:equalWidth="0" w:num="1">
            <w:col w:w="11240"/>
          </w:cols>
          <w:pgMar w:left="320" w:top="27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300" w:type="dxa"/>
            <w:vAlign w:val="bottom"/>
            <w:tcBorders>
              <w:top w:val="single" w:sz="8" w:color="auto"/>
              <w:left w:val="single" w:sz="8" w:color="auto"/>
            </w:tcBorders>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8"/>
              </w:rPr>
              <w:t>Rider Number</w:t>
            </w:r>
          </w:p>
        </w:tc>
        <w:tc>
          <w:tcPr>
            <w:tcW w:w="600" w:type="dxa"/>
            <w:vAlign w:val="bottom"/>
            <w:tcBorders>
              <w:top w:val="single" w:sz="8" w:color="auto"/>
              <w:right w:val="single" w:sz="8" w:color="auto"/>
            </w:tcBorders>
          </w:tcPr>
          <w:p>
            <w:pPr>
              <w:spacing w:after="0"/>
              <w:rPr>
                <w:sz w:val="24"/>
                <w:szCs w:val="24"/>
                <w:color w:val="auto"/>
              </w:rPr>
            </w:pPr>
          </w:p>
        </w:tc>
        <w:tc>
          <w:tcPr>
            <w:tcW w:w="2800" w:type="dxa"/>
            <w:vAlign w:val="bottom"/>
            <w:tcBorders>
              <w:top w:val="single" w:sz="8" w:color="auto"/>
              <w:right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color w:val="auto"/>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90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8"/>
        </w:trPr>
        <w:tc>
          <w:tcPr>
            <w:tcW w:w="174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263"/>
        </w:trPr>
        <w:tc>
          <w:tcPr>
            <w:tcW w:w="1740" w:type="dxa"/>
            <w:vAlign w:val="bottom"/>
            <w:tcBorders>
              <w:lef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900" w:type="dxa"/>
            <w:vAlign w:val="bottom"/>
          </w:tcPr>
          <w:p>
            <w:pPr>
              <w:spacing w:after="0"/>
              <w:rPr>
                <w:sz w:val="22"/>
                <w:szCs w:val="22"/>
                <w:color w:val="auto"/>
              </w:rPr>
            </w:pPr>
          </w:p>
        </w:tc>
        <w:tc>
          <w:tcPr>
            <w:tcW w:w="1760" w:type="dxa"/>
            <w:vAlign w:val="bottom"/>
            <w:tcBorders>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174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358"/>
        </w:trPr>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AUDIT EXPENSE INSURING AGREEMENT RIDER</w:t>
            </w:r>
          </w:p>
        </w:tc>
        <w:tc>
          <w:tcPr>
            <w:tcW w:w="1760" w:type="dxa"/>
            <w:vAlign w:val="bottom"/>
          </w:tcPr>
          <w:p>
            <w:pPr>
              <w:spacing w:after="0"/>
              <w:rPr>
                <w:sz w:val="24"/>
                <w:szCs w:val="24"/>
                <w:color w:val="auto"/>
              </w:rPr>
            </w:pPr>
          </w:p>
        </w:tc>
      </w:tr>
      <w:tr>
        <w:trPr>
          <w:trHeight w:val="405"/>
        </w:trPr>
        <w:tc>
          <w:tcPr>
            <w:tcW w:w="17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rPr>
              <w:t>AUDIT EXPENSE INSURING AGREEMENT COVERAGE SCHEDULE</w:t>
            </w:r>
          </w:p>
        </w:tc>
        <w:tc>
          <w:tcPr>
            <w:tcW w:w="1760" w:type="dxa"/>
            <w:vAlign w:val="bottom"/>
          </w:tcPr>
          <w:p>
            <w:pPr>
              <w:spacing w:after="0"/>
              <w:rPr>
                <w:sz w:val="24"/>
                <w:szCs w:val="24"/>
                <w:color w:val="auto"/>
              </w:rPr>
            </w:pPr>
          </w:p>
        </w:tc>
      </w:tr>
      <w:tr>
        <w:trPr>
          <w:trHeight w:val="117"/>
        </w:trPr>
        <w:tc>
          <w:tcPr>
            <w:tcW w:w="1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0" w:type="dxa"/>
            <w:vAlign w:val="bottom"/>
            <w:gridSpan w:val="4"/>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Audit Expense Insuring Agreement</w:t>
            </w:r>
          </w:p>
        </w:tc>
        <w:tc>
          <w:tcPr>
            <w:tcW w:w="36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Audit Expense Insuring Agreement</w:t>
            </w:r>
          </w:p>
        </w:tc>
        <w:tc>
          <w:tcPr>
            <w:tcW w:w="1760" w:type="dxa"/>
            <w:vAlign w:val="bottom"/>
          </w:tcPr>
          <w:p>
            <w:pPr>
              <w:spacing w:after="0"/>
              <w:rPr>
                <w:sz w:val="10"/>
                <w:szCs w:val="10"/>
                <w:color w:val="auto"/>
              </w:rPr>
            </w:pPr>
          </w:p>
        </w:tc>
      </w:tr>
      <w:tr>
        <w:trPr>
          <w:trHeight w:val="187"/>
        </w:trPr>
        <w:tc>
          <w:tcPr>
            <w:tcW w:w="1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Single Loss Limit of Liability</w:t>
            </w:r>
          </w:p>
        </w:tc>
        <w:tc>
          <w:tcPr>
            <w:tcW w:w="3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Single Loss Deductible</w:t>
            </w:r>
          </w:p>
        </w:tc>
        <w:tc>
          <w:tcPr>
            <w:tcW w:w="1760" w:type="dxa"/>
            <w:vAlign w:val="bottom"/>
          </w:tcPr>
          <w:p>
            <w:pPr>
              <w:spacing w:after="0"/>
              <w:rPr>
                <w:sz w:val="16"/>
                <w:szCs w:val="16"/>
                <w:color w:val="auto"/>
              </w:rPr>
            </w:pPr>
          </w:p>
        </w:tc>
      </w:tr>
      <w:tr>
        <w:trPr>
          <w:trHeight w:val="210"/>
        </w:trPr>
        <w:tc>
          <w:tcPr>
            <w:tcW w:w="1740" w:type="dxa"/>
            <w:vAlign w:val="bottom"/>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60" w:type="dxa"/>
            <w:vAlign w:val="bottom"/>
            <w:tcBorders>
              <w:top w:val="single" w:sz="8" w:color="auto"/>
            </w:tcBorders>
            <w:gridSpan w:val="2"/>
            <w:shd w:val="clear" w:color="auto" w:fill="CCEEFF"/>
          </w:tcPr>
          <w:p>
            <w:pPr>
              <w:jc w:val="center"/>
              <w:ind w:right="495"/>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2760" w:type="dxa"/>
            <w:vAlign w:val="bottom"/>
            <w:tcBorders>
              <w:top w:val="single" w:sz="8" w:color="auto"/>
              <w:right w:val="single" w:sz="8" w:color="CCEEFF"/>
            </w:tcBorders>
            <w:shd w:val="clear" w:color="auto" w:fill="CCEEFF"/>
          </w:tcPr>
          <w:p>
            <w:pPr>
              <w:jc w:val="center"/>
              <w:ind w:left="738"/>
              <w:spacing w:after="0"/>
              <w:rPr>
                <w:sz w:val="20"/>
                <w:szCs w:val="20"/>
                <w:color w:val="auto"/>
              </w:rPr>
            </w:pPr>
            <w:r>
              <w:rPr>
                <w:rFonts w:ascii="Times New Roman" w:cs="Times New Roman" w:eastAsia="Times New Roman" w:hAnsi="Times New Roman"/>
                <w:sz w:val="18"/>
                <w:szCs w:val="18"/>
                <w:color w:val="auto"/>
              </w:rPr>
              <w:t>$5,000</w:t>
            </w:r>
          </w:p>
        </w:tc>
        <w:tc>
          <w:tcPr>
            <w:tcW w:w="900" w:type="dxa"/>
            <w:vAlign w:val="bottom"/>
            <w:tcBorders>
              <w:top w:val="single" w:sz="8" w:color="auto"/>
            </w:tcBorders>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in the above schedule may also appear on the Declarations.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131"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INSURING AGREEMENTS section is amended by the addition of the following new Insuring Agreement:</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EXPENSE</w:t>
      </w:r>
    </w:p>
    <w:p>
      <w:pPr>
        <w:spacing w:after="0" w:line="117" w:lineRule="exact"/>
        <w:rPr>
          <w:sz w:val="20"/>
          <w:szCs w:val="20"/>
          <w:color w:val="auto"/>
        </w:rPr>
      </w:pPr>
    </w:p>
    <w:p>
      <w:pPr>
        <w:ind w:left="1020" w:right="420"/>
        <w:spacing w:after="0" w:line="266" w:lineRule="auto"/>
        <w:rPr>
          <w:sz w:val="20"/>
          <w:szCs w:val="20"/>
          <w:color w:val="auto"/>
        </w:rPr>
      </w:pPr>
      <w:r>
        <w:rPr>
          <w:rFonts w:ascii="Times New Roman" w:cs="Times New Roman" w:eastAsia="Times New Roman" w:hAnsi="Times New Roman"/>
          <w:sz w:val="18"/>
          <w:szCs w:val="18"/>
          <w:color w:val="auto"/>
        </w:rPr>
        <w:t>Reasonable expenses incurred by the Insured for that part of the cost of audits or examinations required by any governmental regulatory authority to be conducted either by such authority or by an independent accountant by reason of the discovery of loss under Insuring Agreement (A) FIDELITY.</w:t>
      </w:r>
    </w:p>
    <w:p>
      <w:pPr>
        <w:spacing w:after="0" w:line="81" w:lineRule="exact"/>
        <w:rPr>
          <w:sz w:val="20"/>
          <w:szCs w:val="20"/>
          <w:color w:val="auto"/>
        </w:rPr>
      </w:pPr>
    </w:p>
    <w:p>
      <w:pPr>
        <w:ind w:left="460" w:right="260" w:hanging="452"/>
        <w:spacing w:after="0" w:line="276" w:lineRule="auto"/>
        <w:tabs>
          <w:tab w:leader="none" w:pos="4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Single Loss Limit of Liability and Single Loss Deductible for the Audit Expense Insuring Agreement are as set forth in the Declarations or in the above schedule. Such limit shall be part of, and not in addition to, the Single Loss Limit of Liability for Insuring Agreement</w:t>
      </w: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FIDELITY set forth in the Declarations.</w:t>
      </w:r>
    </w:p>
    <w:p>
      <w:pPr>
        <w:spacing w:after="0" w:line="112" w:lineRule="exact"/>
        <w:rPr>
          <w:rFonts w:ascii="Times New Roman" w:cs="Times New Roman" w:eastAsia="Times New Roman" w:hAnsi="Times New Roman"/>
          <w:sz w:val="17"/>
          <w:szCs w:val="17"/>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(1) of Exclusion (u) shall not apply to the Audit Expense Insuring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1012153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2280" w:type="dxa"/>
            <w:vAlign w:val="bottom"/>
            <w:tcBorders>
              <w:top w:val="single" w:sz="8" w:color="auto"/>
              <w:left w:val="single" w:sz="8" w:color="auto"/>
            </w:tcBorders>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8"/>
              </w:rPr>
              <w:t>Rider Number</w:t>
            </w:r>
          </w:p>
        </w:tc>
        <w:tc>
          <w:tcPr>
            <w:tcW w:w="620" w:type="dxa"/>
            <w:vAlign w:val="bottom"/>
            <w:tcBorders>
              <w:top w:val="single" w:sz="8" w:color="auto"/>
              <w:right w:val="single" w:sz="8" w:color="auto"/>
            </w:tcBorders>
          </w:tcPr>
          <w:p>
            <w:pPr>
              <w:spacing w:after="0"/>
              <w:rPr>
                <w:sz w:val="24"/>
                <w:szCs w:val="24"/>
                <w:color w:val="auto"/>
              </w:rPr>
            </w:pPr>
          </w:p>
        </w:tc>
        <w:tc>
          <w:tcPr>
            <w:tcW w:w="2800" w:type="dxa"/>
            <w:vAlign w:val="bottom"/>
            <w:tcBorders>
              <w:top w:val="single" w:sz="8" w:color="auto"/>
              <w:right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color w:val="auto"/>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90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1740" w:type="dxa"/>
            <w:vAlign w:val="bottom"/>
            <w:tcBorders>
              <w:left w:val="single" w:sz="8" w:color="auto"/>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264"/>
        </w:trPr>
        <w:tc>
          <w:tcPr>
            <w:tcW w:w="1740" w:type="dxa"/>
            <w:vAlign w:val="bottom"/>
            <w:tcBorders>
              <w:lef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900" w:type="dxa"/>
            <w:vAlign w:val="bottom"/>
          </w:tcPr>
          <w:p>
            <w:pPr>
              <w:spacing w:after="0"/>
              <w:rPr>
                <w:sz w:val="22"/>
                <w:szCs w:val="22"/>
                <w:color w:val="auto"/>
              </w:rPr>
            </w:pPr>
          </w:p>
        </w:tc>
        <w:tc>
          <w:tcPr>
            <w:tcW w:w="1760" w:type="dxa"/>
            <w:vAlign w:val="bottom"/>
            <w:tcBorders>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1740" w:type="dxa"/>
            <w:vAlign w:val="bottom"/>
            <w:tcBorders>
              <w:left w:val="single" w:sz="8" w:color="auto"/>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358"/>
        </w:trPr>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CLAIM EXPENSE INSURING AGREEMENT RIDER</w:t>
            </w:r>
          </w:p>
        </w:tc>
        <w:tc>
          <w:tcPr>
            <w:tcW w:w="1760" w:type="dxa"/>
            <w:vAlign w:val="bottom"/>
          </w:tcPr>
          <w:p>
            <w:pPr>
              <w:spacing w:after="0"/>
              <w:rPr>
                <w:sz w:val="24"/>
                <w:szCs w:val="24"/>
                <w:color w:val="auto"/>
              </w:rPr>
            </w:pPr>
          </w:p>
        </w:tc>
      </w:tr>
      <w:tr>
        <w:trPr>
          <w:trHeight w:val="405"/>
        </w:trPr>
        <w:tc>
          <w:tcPr>
            <w:tcW w:w="17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rPr>
              <w:t>CLAIM EXPENSE INSURING AGREEMENT COVERAGE SCHEDULE</w:t>
            </w:r>
          </w:p>
        </w:tc>
        <w:tc>
          <w:tcPr>
            <w:tcW w:w="1760" w:type="dxa"/>
            <w:vAlign w:val="bottom"/>
          </w:tcPr>
          <w:p>
            <w:pPr>
              <w:spacing w:after="0"/>
              <w:rPr>
                <w:sz w:val="24"/>
                <w:szCs w:val="24"/>
                <w:color w:val="auto"/>
              </w:rPr>
            </w:pPr>
          </w:p>
        </w:tc>
      </w:tr>
      <w:tr>
        <w:trPr>
          <w:trHeight w:val="117"/>
        </w:trPr>
        <w:tc>
          <w:tcPr>
            <w:tcW w:w="1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20" w:type="dxa"/>
            <w:vAlign w:val="bottom"/>
            <w:gridSpan w:val="4"/>
          </w:tcPr>
          <w:p>
            <w:pPr>
              <w:jc w:val="center"/>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Claim Expense Insuring Agreement</w:t>
            </w:r>
          </w:p>
        </w:tc>
        <w:tc>
          <w:tcPr>
            <w:tcW w:w="366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Claim Expense Insuring Agreement</w:t>
            </w:r>
          </w:p>
        </w:tc>
        <w:tc>
          <w:tcPr>
            <w:tcW w:w="1760" w:type="dxa"/>
            <w:vAlign w:val="bottom"/>
          </w:tcPr>
          <w:p>
            <w:pPr>
              <w:spacing w:after="0"/>
              <w:rPr>
                <w:sz w:val="10"/>
                <w:szCs w:val="10"/>
                <w:color w:val="auto"/>
              </w:rPr>
            </w:pPr>
          </w:p>
        </w:tc>
      </w:tr>
      <w:tr>
        <w:trPr>
          <w:trHeight w:val="187"/>
        </w:trPr>
        <w:tc>
          <w:tcPr>
            <w:tcW w:w="1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2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Single Loss Limit of Liability</w:t>
            </w:r>
          </w:p>
        </w:tc>
        <w:tc>
          <w:tcPr>
            <w:tcW w:w="3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Single Loss Deductible</w:t>
            </w:r>
          </w:p>
        </w:tc>
        <w:tc>
          <w:tcPr>
            <w:tcW w:w="1760" w:type="dxa"/>
            <w:vAlign w:val="bottom"/>
          </w:tcPr>
          <w:p>
            <w:pPr>
              <w:spacing w:after="0"/>
              <w:rPr>
                <w:sz w:val="16"/>
                <w:szCs w:val="16"/>
                <w:color w:val="auto"/>
              </w:rPr>
            </w:pPr>
          </w:p>
        </w:tc>
      </w:tr>
      <w:tr>
        <w:trPr>
          <w:trHeight w:val="210"/>
        </w:trPr>
        <w:tc>
          <w:tcPr>
            <w:tcW w:w="1740" w:type="dxa"/>
            <w:vAlign w:val="bottom"/>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80" w:type="dxa"/>
            <w:vAlign w:val="bottom"/>
            <w:tcBorders>
              <w:top w:val="single" w:sz="8" w:color="auto"/>
            </w:tcBorders>
            <w:gridSpan w:val="2"/>
            <w:shd w:val="clear" w:color="auto" w:fill="CCEEFF"/>
          </w:tcPr>
          <w:p>
            <w:pPr>
              <w:jc w:val="center"/>
              <w:ind w:right="475"/>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2760" w:type="dxa"/>
            <w:vAlign w:val="bottom"/>
            <w:tcBorders>
              <w:top w:val="single" w:sz="8" w:color="auto"/>
              <w:right w:val="single" w:sz="8" w:color="CCEEFF"/>
            </w:tcBorders>
            <w:shd w:val="clear" w:color="auto" w:fill="CCEEFF"/>
          </w:tcPr>
          <w:p>
            <w:pPr>
              <w:jc w:val="center"/>
              <w:ind w:left="738"/>
              <w:spacing w:after="0"/>
              <w:rPr>
                <w:sz w:val="20"/>
                <w:szCs w:val="20"/>
                <w:color w:val="auto"/>
              </w:rPr>
            </w:pPr>
            <w:r>
              <w:rPr>
                <w:rFonts w:ascii="Times New Roman" w:cs="Times New Roman" w:eastAsia="Times New Roman" w:hAnsi="Times New Roman"/>
                <w:sz w:val="18"/>
                <w:szCs w:val="18"/>
                <w:color w:val="auto"/>
              </w:rPr>
              <w:t>$5,000</w:t>
            </w:r>
          </w:p>
        </w:tc>
        <w:tc>
          <w:tcPr>
            <w:tcW w:w="900" w:type="dxa"/>
            <w:vAlign w:val="bottom"/>
            <w:tcBorders>
              <w:top w:val="single" w:sz="8" w:color="auto"/>
            </w:tcBorders>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in the above schedule may also appear on the Declarations.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131"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INSURING AGREEMENTS section is amended by the addition of the following new Insuring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CLAIM EXPENSE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Reasonable expenses necessarily incurred and paid by the Insured in preparing any valid claim for loss covered under this bond.</w:t>
      </w:r>
    </w:p>
    <w:p>
      <w:pPr>
        <w:spacing w:after="0" w:line="131" w:lineRule="exact"/>
        <w:rPr>
          <w:sz w:val="20"/>
          <w:szCs w:val="20"/>
          <w:color w:val="auto"/>
        </w:rPr>
      </w:pPr>
    </w:p>
    <w:p>
      <w:pPr>
        <w:jc w:val="both"/>
        <w:ind w:left="460" w:right="820" w:hanging="452"/>
        <w:spacing w:after="0" w:line="266"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Single Loss Limit of Liability and Single Loss Deductible for the Claim Expense Insuring Agreement are as set forth in the Declarations or in the above schedule. Such limit shall be part of, and not in addition to, the Single Loss Limit of Liability for the Insuring Agreement applicable to the loss that is the subject of the valid claim as set forth in the Claim Expense Insuring Agreement.</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(1) of Exclusion (u) shall not apply to the Claim Expense Insuring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1012155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3"/>
        </w:trPr>
        <w:tc>
          <w:tcPr>
            <w:tcW w:w="2900" w:type="dxa"/>
            <w:vAlign w:val="bottom"/>
            <w:tcBorders>
              <w:left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4</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34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AMEND RACKETEERING EXCLUSION RIDER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 Exclusion 2(j) of the EXCLUSIONS section is replaced with the following:</w:t>
      </w:r>
    </w:p>
    <w:p>
      <w:pPr>
        <w:spacing w:after="0" w:line="117" w:lineRule="exact"/>
        <w:rPr>
          <w:sz w:val="20"/>
          <w:szCs w:val="20"/>
          <w:color w:val="auto"/>
        </w:rPr>
      </w:pPr>
    </w:p>
    <w:p>
      <w:pPr>
        <w:ind w:left="460" w:right="60"/>
        <w:spacing w:after="0" w:line="261" w:lineRule="auto"/>
        <w:rPr>
          <w:sz w:val="20"/>
          <w:szCs w:val="20"/>
          <w:color w:val="auto"/>
        </w:rPr>
      </w:pPr>
      <w:r>
        <w:rPr>
          <w:rFonts w:ascii="Times New Roman" w:cs="Times New Roman" w:eastAsia="Times New Roman" w:hAnsi="Times New Roman"/>
          <w:sz w:val="18"/>
          <w:szCs w:val="18"/>
          <w:color w:val="auto"/>
        </w:rPr>
        <w:t>damages resulting from any civil, criminal or other legal proceeding in which the Insured is adjudicated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1012161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4"/>
        </w:trPr>
        <w:tc>
          <w:tcPr>
            <w:tcW w:w="2900" w:type="dxa"/>
            <w:vAlign w:val="bottom"/>
            <w:tcBorders>
              <w:left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5</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 FIDELITY INSURING AGREEMENT TO INCLUDE LARCENY AND EMBEZZLEMENT RIDER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131"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Insuring Agreement (A) FIDELITY is replaced with the following:</w:t>
      </w:r>
    </w:p>
    <w:p>
      <w:pPr>
        <w:spacing w:after="0" w:line="117" w:lineRule="exact"/>
        <w:rPr>
          <w:sz w:val="20"/>
          <w:szCs w:val="20"/>
          <w:color w:val="auto"/>
        </w:rPr>
      </w:pPr>
    </w:p>
    <w:p>
      <w:pPr>
        <w:ind w:left="1020" w:right="100"/>
        <w:spacing w:after="0" w:line="282" w:lineRule="auto"/>
        <w:rPr>
          <w:sz w:val="20"/>
          <w:szCs w:val="20"/>
          <w:color w:val="auto"/>
        </w:rPr>
      </w:pPr>
      <w:r>
        <w:rPr>
          <w:rFonts w:ascii="Times New Roman" w:cs="Times New Roman" w:eastAsia="Times New Roman" w:hAnsi="Times New Roman"/>
          <w:sz w:val="18"/>
          <w:szCs w:val="18"/>
          <w:color w:val="auto"/>
        </w:rPr>
        <w:t>Loss resulting directly from dishonest or fraudulent acts, including Larceny or Embezzlement, committed by an Employee acting alone or in collusion with others. Such dishonest or fraudulent acts must be committed by the Employee with the manifest intent:</w:t>
      </w:r>
    </w:p>
    <w:p>
      <w:pPr>
        <w:spacing w:after="0" w:line="54" w:lineRule="exact"/>
        <w:rPr>
          <w:sz w:val="20"/>
          <w:szCs w:val="20"/>
          <w:color w:val="auto"/>
        </w:rPr>
      </w:pPr>
    </w:p>
    <w:p>
      <w:pPr>
        <w:ind w:left="1280" w:hanging="261"/>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cause the Insured to sustain such loss; and</w:t>
      </w:r>
    </w:p>
    <w:p>
      <w:pPr>
        <w:spacing w:after="0" w:line="117" w:lineRule="exact"/>
        <w:rPr>
          <w:rFonts w:ascii="Times New Roman" w:cs="Times New Roman" w:eastAsia="Times New Roman" w:hAnsi="Times New Roman"/>
          <w:sz w:val="18"/>
          <w:szCs w:val="18"/>
          <w:color w:val="auto"/>
        </w:rPr>
      </w:pPr>
    </w:p>
    <w:p>
      <w:pPr>
        <w:ind w:left="1280" w:hanging="261"/>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an improper financial benefit for the Employee or another person or entity.</w:t>
      </w:r>
    </w:p>
    <w:p>
      <w:pPr>
        <w:spacing w:after="0" w:line="117" w:lineRule="exact"/>
        <w:rPr>
          <w:sz w:val="20"/>
          <w:szCs w:val="20"/>
          <w:color w:val="auto"/>
        </w:rPr>
      </w:pPr>
    </w:p>
    <w:p>
      <w:pPr>
        <w:jc w:val="both"/>
        <w:ind w:left="1020" w:right="200"/>
        <w:spacing w:after="0" w:line="266" w:lineRule="auto"/>
        <w:rPr>
          <w:sz w:val="20"/>
          <w:szCs w:val="20"/>
          <w:color w:val="auto"/>
        </w:rPr>
      </w:pPr>
      <w:r>
        <w:rPr>
          <w:rFonts w:ascii="Times New Roman" w:cs="Times New Roman" w:eastAsia="Times New Roman" w:hAnsi="Times New Roman"/>
          <w:sz w:val="18"/>
          <w:szCs w:val="18"/>
          <w:color w:val="auto"/>
        </w:rPr>
        <w:t>Notwithstanding the foregoing, however, it is agreed that with regard to Loans and/or Trading, this bond covers only loss resulting directly from dishonest or fraudulent acts committed by an Employee with the intent to cause the Insured to sustain such loss and which results in a financial benefit for the Employee.</w:t>
      </w:r>
    </w:p>
    <w:p>
      <w:pPr>
        <w:spacing w:after="0" w:line="68" w:lineRule="exact"/>
        <w:rPr>
          <w:sz w:val="20"/>
          <w:szCs w:val="20"/>
          <w:color w:val="auto"/>
        </w:rPr>
      </w:pPr>
    </w:p>
    <w:p>
      <w:pPr>
        <w:ind w:left="1020" w:right="280"/>
        <w:spacing w:after="0" w:line="282" w:lineRule="auto"/>
        <w:rPr>
          <w:sz w:val="20"/>
          <w:szCs w:val="20"/>
          <w:color w:val="auto"/>
        </w:rPr>
      </w:pPr>
      <w:r>
        <w:rPr>
          <w:rFonts w:ascii="Times New Roman" w:cs="Times New Roman" w:eastAsia="Times New Roman" w:hAnsi="Times New Roman"/>
          <w:sz w:val="18"/>
          <w:szCs w:val="18"/>
          <w:color w:val="auto"/>
        </w:rPr>
        <w:t>As used in this Insuring Agreement, financial benefit does not include any employee benefits earned in the normal course of employment, including salaries, commissions, fees, bonuses, promotions, awards, profit sharing or pensions.</w:t>
      </w:r>
    </w:p>
    <w:p>
      <w:pPr>
        <w:spacing w:after="0" w:line="54" w:lineRule="exact"/>
        <w:rPr>
          <w:sz w:val="20"/>
          <w:szCs w:val="20"/>
          <w:color w:val="auto"/>
        </w:rPr>
      </w:pPr>
    </w:p>
    <w:p>
      <w:pPr>
        <w:ind w:left="1020" w:right="400"/>
        <w:spacing w:after="0" w:line="282" w:lineRule="auto"/>
        <w:rPr>
          <w:sz w:val="20"/>
          <w:szCs w:val="20"/>
          <w:color w:val="auto"/>
        </w:rPr>
      </w:pPr>
      <w:r>
        <w:rPr>
          <w:rFonts w:ascii="Times New Roman" w:cs="Times New Roman" w:eastAsia="Times New Roman" w:hAnsi="Times New Roman"/>
          <w:sz w:val="18"/>
          <w:szCs w:val="18"/>
          <w:color w:val="auto"/>
        </w:rPr>
        <w:t>The term Loans, as used in this Insuring Agreement, means all extensions of credit by the Insured and all transactions creating a creditor relationship in favor of the Insured and all transactions by which the Insured assumes an existing creditor relationship.</w:t>
      </w:r>
    </w:p>
    <w:p>
      <w:pPr>
        <w:spacing w:after="0" w:line="54" w:lineRule="exact"/>
        <w:rPr>
          <w:sz w:val="20"/>
          <w:szCs w:val="20"/>
          <w:color w:val="auto"/>
        </w:rPr>
      </w:pPr>
    </w:p>
    <w:p>
      <w:pPr>
        <w:ind w:left="1020" w:right="360"/>
        <w:spacing w:after="0" w:line="282" w:lineRule="auto"/>
        <w:rPr>
          <w:sz w:val="20"/>
          <w:szCs w:val="20"/>
          <w:color w:val="auto"/>
        </w:rPr>
      </w:pPr>
      <w:r>
        <w:rPr>
          <w:rFonts w:ascii="Times New Roman" w:cs="Times New Roman" w:eastAsia="Times New Roman" w:hAnsi="Times New Roman"/>
          <w:sz w:val="18"/>
          <w:szCs w:val="18"/>
          <w:color w:val="auto"/>
        </w:rPr>
        <w:t>The term Trading, as used in this Insuring Agreement, means trading or other dealing in securities, commodities, futures, options, swaps, foreign or Federal Funds, currencies, foreign exchange and the like.</w:t>
      </w:r>
    </w:p>
    <w:p>
      <w:pPr>
        <w:spacing w:after="0" w:line="67" w:lineRule="exact"/>
        <w:rPr>
          <w:sz w:val="20"/>
          <w:szCs w:val="20"/>
          <w:color w:val="auto"/>
        </w:rPr>
      </w:pPr>
    </w:p>
    <w:p>
      <w:pPr>
        <w:ind w:left="460" w:right="120" w:hanging="452"/>
        <w:spacing w:after="0" w:line="282"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coverage provided by this Rider, the term Larceny and Embezzlement shall have the same meaning set forth in Section 37 of The Investment Company Act of 1940.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1012168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3"/>
        </w:trPr>
        <w:tc>
          <w:tcPr>
            <w:tcW w:w="2900" w:type="dxa"/>
            <w:vAlign w:val="bottom"/>
            <w:tcBorders>
              <w:left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6</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 REPRESENTATION OF INSURED RIDER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agreed that the second paragraph of the REPRESENTATION OF INSURED section of the GENERAL AGREEMENTS is replaced with the following:</w:t>
      </w:r>
    </w:p>
    <w:p>
      <w:pPr>
        <w:spacing w:after="0" w:line="129" w:lineRule="exact"/>
        <w:rPr>
          <w:sz w:val="20"/>
          <w:szCs w:val="20"/>
          <w:color w:val="auto"/>
        </w:rPr>
      </w:pPr>
    </w:p>
    <w:p>
      <w:pPr>
        <w:ind w:left="460" w:right="160"/>
        <w:spacing w:after="0" w:line="282" w:lineRule="auto"/>
        <w:rPr>
          <w:sz w:val="20"/>
          <w:szCs w:val="20"/>
          <w:color w:val="auto"/>
        </w:rPr>
      </w:pPr>
      <w:r>
        <w:rPr>
          <w:rFonts w:ascii="Times New Roman" w:cs="Times New Roman" w:eastAsia="Times New Roman" w:hAnsi="Times New Roman"/>
          <w:sz w:val="18"/>
          <w:szCs w:val="18"/>
          <w:color w:val="auto"/>
        </w:rPr>
        <w:t>Any intentional misrepresentation, omission, concealment, or incorrect statement in the application or otherwise, shall be grounds for the rescission of this bond.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ectPr>
          <w:pgSz w:w="11900" w:h="16838" w:orient="portrait"/>
          <w:cols w:equalWidth="0" w:num="1">
            <w:col w:w="11240"/>
          </w:cols>
          <w:pgMar w:left="320" w:top="27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AXIS 1012169 0119</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Includes copyright material of The Surety Association of America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3">
            <w:col w:w="3000" w:space="720"/>
            <w:col w:w="5980" w:space="720"/>
            <w:col w:w="820"/>
          </w:cols>
          <w:pgMar w:left="320" w:top="270" w:right="339" w:bottom="1440" w:gutter="0" w:footer="0" w:header="0"/>
          <w:type w:val="continuous"/>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4"/>
        </w:trPr>
        <w:tc>
          <w:tcPr>
            <w:tcW w:w="2900" w:type="dxa"/>
            <w:vAlign w:val="bottom"/>
            <w:tcBorders>
              <w:left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7</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 VALUATION RIDER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 the paragraph in the VALUATION condition addressing loss of Money, or loss payable in Money, is replaced with the following:</w:t>
      </w:r>
    </w:p>
    <w:p>
      <w:pPr>
        <w:spacing w:after="0" w:line="117" w:lineRule="exact"/>
        <w:rPr>
          <w:sz w:val="20"/>
          <w:szCs w:val="20"/>
          <w:color w:val="auto"/>
        </w:rPr>
      </w:pPr>
    </w:p>
    <w:p>
      <w:pPr>
        <w:ind w:left="460" w:right="80"/>
        <w:spacing w:after="0" w:line="266" w:lineRule="auto"/>
        <w:rPr>
          <w:sz w:val="20"/>
          <w:szCs w:val="20"/>
          <w:color w:val="auto"/>
        </w:rPr>
      </w:pPr>
      <w:r>
        <w:rPr>
          <w:rFonts w:ascii="Times New Roman" w:cs="Times New Roman" w:eastAsia="Times New Roman" w:hAnsi="Times New Roman"/>
          <w:sz w:val="18"/>
          <w:szCs w:val="18"/>
          <w:color w:val="auto"/>
        </w:rPr>
        <w:t xml:space="preserve">Any loss of Money, or loss payable in Money, shall be paid, at the option of the Insured, in the Money of the country in which the loss was sustained or in the United States of America dollar equivalent thereof determined at the rate of exchange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on the day immediately preceding the date the loss was discovered.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1012170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3"/>
        </w:trPr>
        <w:tc>
          <w:tcPr>
            <w:tcW w:w="2900" w:type="dxa"/>
            <w:vAlign w:val="bottom"/>
            <w:tcBorders>
              <w:left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8</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 COUNTERFEIT CURRENCY OR MONEY INSURING AGREEMENT RIDER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 Insuring Agreement (F) COUNTERFEIT CURRENCY or COUNTERFEIT MONEY, as applicable, is replaced with the following:</w:t>
      </w:r>
    </w:p>
    <w:p>
      <w:pPr>
        <w:spacing w:after="0" w:line="117" w:lineRule="exact"/>
        <w:rPr>
          <w:sz w:val="20"/>
          <w:szCs w:val="20"/>
          <w:color w:val="auto"/>
        </w:rPr>
      </w:pPr>
    </w:p>
    <w:p>
      <w:pPr>
        <w:jc w:val="both"/>
        <w:ind w:left="460" w:right="20"/>
        <w:spacing w:after="0" w:line="282" w:lineRule="auto"/>
        <w:rPr>
          <w:sz w:val="20"/>
          <w:szCs w:val="20"/>
          <w:color w:val="auto"/>
        </w:rPr>
      </w:pPr>
      <w:r>
        <w:rPr>
          <w:rFonts w:ascii="Times New Roman" w:cs="Times New Roman" w:eastAsia="Times New Roman" w:hAnsi="Times New Roman"/>
          <w:sz w:val="18"/>
          <w:szCs w:val="18"/>
          <w:color w:val="auto"/>
        </w:rPr>
        <w:t>Loss resulting directly from the receipt by the Insured, in good faith, of any Counterfeit Money of the United States of America, Canada, or any other country.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ectPr>
          <w:pgSz w:w="11900" w:h="16838" w:orient="portrait"/>
          <w:cols w:equalWidth="0" w:num="1">
            <w:col w:w="11240"/>
          </w:cols>
          <w:pgMar w:left="320" w:top="27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AXIS 1012171 0119</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Includes copyright material of The Surety Association of America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3">
            <w:col w:w="3000" w:space="720"/>
            <w:col w:w="5980" w:space="720"/>
            <w:col w:w="820"/>
          </w:cols>
          <w:pgMar w:left="320" w:top="270" w:right="339" w:bottom="1440" w:gutter="0" w:footer="0" w:header="0"/>
          <w:type w:val="continuous"/>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4"/>
        </w:trPr>
        <w:tc>
          <w:tcPr>
            <w:tcW w:w="2900" w:type="dxa"/>
            <w:vAlign w:val="bottom"/>
            <w:tcBorders>
              <w:left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9</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GOVERNMENTAL OR REGULATORY AUTHORITY NOTIFICATION RIDER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SCHEDULE OF GOVERNMENTAL OR REGULATORY AUTHORITIES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131" w:lineRule="exact"/>
        <w:rPr>
          <w:sz w:val="20"/>
          <w:szCs w:val="20"/>
          <w:color w:val="auto"/>
        </w:rPr>
      </w:pPr>
    </w:p>
    <w:p>
      <w:pPr>
        <w:ind w:left="460" w:right="220" w:hanging="452"/>
        <w:spacing w:after="0" w:line="258"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bond is cancelled, terminated, or Substantially Modified, the Underwriter agrees to use its best efforts to notify each governmental or regulatory authority identified in the above Schedule within 60 days following such cancellation, termination, or modification, whether such cancellation, termination, or modification is at the request of the Insured or the Underwriter. Failure on the part of the Underwriter to provide such notice shall not impair or delay the effectiveness of such cancellation, termination, or modification, nor shall the Underwriter be held liable in any way for such failure.</w:t>
      </w:r>
    </w:p>
    <w:p>
      <w:pPr>
        <w:spacing w:after="0" w:line="88" w:lineRule="exact"/>
        <w:rPr>
          <w:rFonts w:ascii="Times New Roman" w:cs="Times New Roman" w:eastAsia="Times New Roman" w:hAnsi="Times New Roman"/>
          <w:sz w:val="18"/>
          <w:szCs w:val="18"/>
          <w:color w:val="auto"/>
        </w:rPr>
      </w:pPr>
    </w:p>
    <w:p>
      <w:pPr>
        <w:ind w:left="460" w:right="100" w:hanging="452"/>
        <w:spacing w:after="0" w:line="266"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Rider, Substantially Modified means a change in the type or amount of fidelity bond coverage, or a change in the exclusions of this bond, or any change in the bond such that it no longer meets the requirements of the applicable laws or regulations of a governmental or regulatory authority identified in the above Schedule.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1012175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240" w:type="dxa"/>
            <w:vAlign w:val="bottom"/>
            <w:tcBorders>
              <w:top w:val="single" w:sz="8" w:color="auto"/>
              <w:left w:val="single" w:sz="8" w:color="auto"/>
            </w:tcBorders>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8"/>
              </w:rPr>
              <w:t>Rider Number</w:t>
            </w:r>
          </w:p>
        </w:tc>
        <w:tc>
          <w:tcPr>
            <w:tcW w:w="660" w:type="dxa"/>
            <w:vAlign w:val="bottom"/>
            <w:tcBorders>
              <w:top w:val="single" w:sz="8" w:color="auto"/>
              <w:right w:val="single" w:sz="8" w:color="auto"/>
            </w:tcBorders>
          </w:tcPr>
          <w:p>
            <w:pPr>
              <w:spacing w:after="0"/>
              <w:rPr>
                <w:sz w:val="24"/>
                <w:szCs w:val="24"/>
                <w:color w:val="auto"/>
              </w:rPr>
            </w:pPr>
          </w:p>
        </w:tc>
        <w:tc>
          <w:tcPr>
            <w:tcW w:w="280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90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8"/>
        </w:trPr>
        <w:tc>
          <w:tcPr>
            <w:tcW w:w="174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263"/>
        </w:trPr>
        <w:tc>
          <w:tcPr>
            <w:tcW w:w="1740" w:type="dxa"/>
            <w:vAlign w:val="bottom"/>
            <w:tcBorders>
              <w:lef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900" w:type="dxa"/>
            <w:vAlign w:val="bottom"/>
          </w:tcPr>
          <w:p>
            <w:pPr>
              <w:spacing w:after="0"/>
              <w:rPr>
                <w:sz w:val="22"/>
                <w:szCs w:val="22"/>
                <w:color w:val="auto"/>
              </w:rPr>
            </w:pPr>
          </w:p>
        </w:tc>
        <w:tc>
          <w:tcPr>
            <w:tcW w:w="1760" w:type="dxa"/>
            <w:vAlign w:val="bottom"/>
            <w:tcBorders>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174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358"/>
        </w:trPr>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2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UNAUTHORIZED SIGNATURES INSURING AGREEMENT RIDER</w:t>
            </w:r>
          </w:p>
        </w:tc>
        <w:tc>
          <w:tcPr>
            <w:tcW w:w="1760" w:type="dxa"/>
            <w:vAlign w:val="bottom"/>
          </w:tcPr>
          <w:p>
            <w:pPr>
              <w:spacing w:after="0"/>
              <w:rPr>
                <w:sz w:val="24"/>
                <w:szCs w:val="24"/>
                <w:color w:val="auto"/>
              </w:rPr>
            </w:pPr>
          </w:p>
        </w:tc>
      </w:tr>
      <w:tr>
        <w:trPr>
          <w:trHeight w:val="405"/>
        </w:trPr>
        <w:tc>
          <w:tcPr>
            <w:tcW w:w="17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i w:val="1"/>
                <w:iCs w:val="1"/>
                <w:color w:val="auto"/>
              </w:rPr>
              <w:t>UNAUTHORIZED SIGNATURES INSURING AGREEMENT COVERAGE SCHEDULE</w:t>
            </w:r>
          </w:p>
        </w:tc>
        <w:tc>
          <w:tcPr>
            <w:tcW w:w="1760" w:type="dxa"/>
            <w:vAlign w:val="bottom"/>
          </w:tcPr>
          <w:p>
            <w:pPr>
              <w:spacing w:after="0"/>
              <w:rPr>
                <w:sz w:val="24"/>
                <w:szCs w:val="24"/>
                <w:color w:val="auto"/>
              </w:rPr>
            </w:pPr>
          </w:p>
        </w:tc>
      </w:tr>
      <w:tr>
        <w:trPr>
          <w:trHeight w:val="187"/>
        </w:trPr>
        <w:tc>
          <w:tcPr>
            <w:tcW w:w="1740" w:type="dxa"/>
            <w:vAlign w:val="bottom"/>
          </w:tcPr>
          <w:p>
            <w:pPr>
              <w:spacing w:after="0"/>
              <w:rPr>
                <w:sz w:val="16"/>
                <w:szCs w:val="16"/>
                <w:color w:val="auto"/>
              </w:rPr>
            </w:pPr>
          </w:p>
        </w:tc>
        <w:tc>
          <w:tcPr>
            <w:tcW w:w="3960" w:type="dxa"/>
            <w:vAlign w:val="bottom"/>
            <w:gridSpan w:val="5"/>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Unauthorized Signatures Insuring Agreement</w:t>
            </w:r>
          </w:p>
        </w:tc>
        <w:tc>
          <w:tcPr>
            <w:tcW w:w="3660" w:type="dxa"/>
            <w:vAlign w:val="bottom"/>
            <w:gridSpan w:val="2"/>
          </w:tcPr>
          <w:p>
            <w:pPr>
              <w:jc w:val="center"/>
              <w:ind w:right="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Unauthorized Signatures Insuring Agreement</w:t>
            </w:r>
          </w:p>
        </w:tc>
        <w:tc>
          <w:tcPr>
            <w:tcW w:w="1760" w:type="dxa"/>
            <w:vAlign w:val="bottom"/>
          </w:tcPr>
          <w:p>
            <w:pPr>
              <w:spacing w:after="0"/>
              <w:rPr>
                <w:sz w:val="16"/>
                <w:szCs w:val="16"/>
                <w:color w:val="auto"/>
              </w:rPr>
            </w:pPr>
          </w:p>
        </w:tc>
      </w:tr>
      <w:tr>
        <w:trPr>
          <w:trHeight w:val="245"/>
        </w:trPr>
        <w:tc>
          <w:tcPr>
            <w:tcW w:w="1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6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Single Loss Limit of Liability</w:t>
            </w:r>
          </w:p>
        </w:tc>
        <w:tc>
          <w:tcPr>
            <w:tcW w:w="36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Single Loss Deductible</w:t>
            </w:r>
          </w:p>
        </w:tc>
        <w:tc>
          <w:tcPr>
            <w:tcW w:w="1760" w:type="dxa"/>
            <w:vAlign w:val="bottom"/>
          </w:tcPr>
          <w:p>
            <w:pPr>
              <w:spacing w:after="0"/>
              <w:rPr>
                <w:sz w:val="21"/>
                <w:szCs w:val="21"/>
                <w:color w:val="auto"/>
              </w:rPr>
            </w:pPr>
          </w:p>
        </w:tc>
      </w:tr>
      <w:tr>
        <w:trPr>
          <w:trHeight w:val="216"/>
        </w:trPr>
        <w:tc>
          <w:tcPr>
            <w:tcW w:w="1740" w:type="dxa"/>
            <w:vAlign w:val="bottom"/>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0" w:type="dxa"/>
            <w:vAlign w:val="bottom"/>
            <w:tcBorders>
              <w:top w:val="single" w:sz="8" w:color="auto"/>
            </w:tcBorders>
            <w:gridSpan w:val="2"/>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$50,000</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2760" w:type="dxa"/>
            <w:vAlign w:val="bottom"/>
            <w:tcBorders>
              <w:top w:val="single" w:sz="8" w:color="auto"/>
              <w:right w:val="single" w:sz="8" w:color="CCEEFF"/>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$5,000</w:t>
            </w:r>
          </w:p>
        </w:tc>
        <w:tc>
          <w:tcPr>
            <w:tcW w:w="900" w:type="dxa"/>
            <w:vAlign w:val="bottom"/>
            <w:tcBorders>
              <w:top w:val="single" w:sz="8" w:color="auto"/>
            </w:tcBorders>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in the above schedule may also appear on the Declarations.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131"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INSURING AGREEMENTS section is amended by the addition of the following new Insuring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UNAUTHORIZED SIGNATURES</w:t>
      </w:r>
    </w:p>
    <w:p>
      <w:pPr>
        <w:spacing w:after="0" w:line="225" w:lineRule="exact"/>
        <w:rPr>
          <w:sz w:val="20"/>
          <w:szCs w:val="20"/>
          <w:color w:val="auto"/>
        </w:rPr>
      </w:pPr>
    </w:p>
    <w:p>
      <w:pPr>
        <w:ind w:left="460" w:right="220"/>
        <w:spacing w:after="0" w:line="266" w:lineRule="auto"/>
        <w:rPr>
          <w:sz w:val="20"/>
          <w:szCs w:val="20"/>
          <w:color w:val="auto"/>
        </w:rPr>
      </w:pPr>
      <w:r>
        <w:rPr>
          <w:rFonts w:ascii="Times New Roman" w:cs="Times New Roman" w:eastAsia="Times New Roman" w:hAnsi="Times New Roman"/>
          <w:sz w:val="18"/>
          <w:szCs w:val="18"/>
          <w:color w:val="auto"/>
        </w:rPr>
        <w:t>Loss resulting directly from the Insured having in good faith and in the ordinary course of business accepted from, paid to, or cashed for a person present on the premises of the Insured, any check, withdrawal order, or draft, made or drawn on a customer’s account, which bears the signature or endorsement of one other than a person whose name and signature is on the application on file with the Insured as a signatory on such account.</w:t>
      </w:r>
    </w:p>
    <w:p>
      <w:pPr>
        <w:spacing w:after="0" w:line="68" w:lineRule="exact"/>
        <w:rPr>
          <w:sz w:val="20"/>
          <w:szCs w:val="20"/>
          <w:color w:val="auto"/>
        </w:rPr>
      </w:pPr>
    </w:p>
    <w:p>
      <w:pPr>
        <w:ind w:left="460" w:right="180"/>
        <w:spacing w:after="0" w:line="282" w:lineRule="auto"/>
        <w:rPr>
          <w:sz w:val="20"/>
          <w:szCs w:val="20"/>
          <w:color w:val="auto"/>
        </w:rPr>
      </w:pPr>
      <w:r>
        <w:rPr>
          <w:rFonts w:ascii="Times New Roman" w:cs="Times New Roman" w:eastAsia="Times New Roman" w:hAnsi="Times New Roman"/>
          <w:sz w:val="18"/>
          <w:szCs w:val="18"/>
          <w:color w:val="auto"/>
        </w:rPr>
        <w:t>It shall be a condition precedent to the Insured’s right of recovery under this Insuring Agreement that the Insured shall have on file signatures of all persons who are authorized signatories on such account; and the Insured must maintain written instructions outlining the acceptance.</w:t>
      </w:r>
    </w:p>
    <w:p>
      <w:pPr>
        <w:spacing w:after="0" w:line="67" w:lineRule="exact"/>
        <w:rPr>
          <w:sz w:val="20"/>
          <w:szCs w:val="20"/>
          <w:color w:val="auto"/>
        </w:rPr>
      </w:pPr>
    </w:p>
    <w:p>
      <w:pPr>
        <w:ind w:left="460" w:right="120" w:hanging="452"/>
        <w:spacing w:after="0" w:line="282"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Single Loss Limit of Liability and Single Loss Deductible for the Unauthorized Signatures Insuring Agreement are as set forth in the Declarations or in the above schedule.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1012176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4"/>
        </w:trPr>
        <w:tc>
          <w:tcPr>
            <w:tcW w:w="2900" w:type="dxa"/>
            <w:vAlign w:val="bottom"/>
            <w:tcBorders>
              <w:left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11</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 NOTICE OF LEGAL PROCEEDINGS AGAINST INSURED RIDER</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It is agreed that the NOTICE OF LEGAL PROCEEDINGS AGAINST INSURED – ELECTION TO DEFEND section of the GENERAL AGREEMENTS is amended as follows:</w:t>
      </w:r>
    </w:p>
    <w:p>
      <w:pPr>
        <w:spacing w:after="0" w:line="67"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is replaced with the following:</w:t>
      </w:r>
    </w:p>
    <w:p>
      <w:pPr>
        <w:spacing w:after="0" w:line="117" w:lineRule="exact"/>
        <w:rPr>
          <w:sz w:val="20"/>
          <w:szCs w:val="20"/>
          <w:color w:val="auto"/>
        </w:rPr>
      </w:pPr>
    </w:p>
    <w:p>
      <w:pPr>
        <w:ind w:left="1020" w:right="20"/>
        <w:spacing w:after="0" w:line="266" w:lineRule="auto"/>
        <w:rPr>
          <w:sz w:val="20"/>
          <w:szCs w:val="20"/>
          <w:color w:val="auto"/>
        </w:rPr>
      </w:pPr>
      <w:r>
        <w:rPr>
          <w:rFonts w:ascii="Times New Roman" w:cs="Times New Roman" w:eastAsia="Times New Roman" w:hAnsi="Times New Roman"/>
          <w:sz w:val="18"/>
          <w:szCs w:val="18"/>
          <w:color w:val="auto"/>
        </w:rPr>
        <w:t>The Insured shall notify the Underwriter at the earliest practicable moment, not to exceed 60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last paragraph is replaced with the following:</w:t>
      </w:r>
    </w:p>
    <w:p>
      <w:pPr>
        <w:spacing w:after="0" w:line="117" w:lineRule="exact"/>
        <w:rPr>
          <w:sz w:val="20"/>
          <w:szCs w:val="20"/>
          <w:color w:val="auto"/>
        </w:rPr>
      </w:pPr>
    </w:p>
    <w:p>
      <w:pPr>
        <w:ind w:left="1020" w:right="80"/>
        <w:spacing w:after="0" w:line="256" w:lineRule="auto"/>
        <w:rPr>
          <w:sz w:val="20"/>
          <w:szCs w:val="20"/>
          <w:color w:val="auto"/>
        </w:rPr>
      </w:pPr>
      <w:r>
        <w:rPr>
          <w:rFonts w:ascii="Times New Roman" w:cs="Times New Roman" w:eastAsia="Times New Roman" w:hAnsi="Times New Roman"/>
          <w:sz w:val="18"/>
          <w:szCs w:val="18"/>
          <w:color w:val="auto"/>
        </w:rPr>
        <w:t>With respect to this General Agreement, Subsections (b) and (d) of Section 5. NOTICE/PROOF – LEGAL PROCEEDINGS AGAINST UNDERWRITER of the CONDITIONS AND LIMITATIONS of this bond apply upon the entry of such judgment or the occurrence of such settlement instead of upon discovery of loss. In addition, the Insured must notify the Underwriter within 60 days after such judgment is entered or after the Insured settles such legal proceeding, and, subject to Subsection (e) of Section 5. NOTICE/PROOF – LEGAL PROCEEDINGS AGAINST UNDERWRITER of the CONDITIONS AND LIMITATIONS, the Insured may not bring legal proceedings for the recovery of such loss after the expiration of 24 months from the date of such final judgment or settlement.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1012177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3"/>
        </w:trPr>
        <w:tc>
          <w:tcPr>
            <w:tcW w:w="2900" w:type="dxa"/>
            <w:vAlign w:val="bottom"/>
            <w:tcBorders>
              <w:left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12</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 KNOWLEDGE OF INSURED RIDER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131" w:lineRule="exact"/>
        <w:rPr>
          <w:sz w:val="20"/>
          <w:szCs w:val="20"/>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INSURED or JOINT INSUREDS, as applicable, section of the GENERAL AGREEMENTS is replaced with the following:</w:t>
      </w:r>
    </w:p>
    <w:p>
      <w:pPr>
        <w:spacing w:after="0" w:line="117" w:lineRule="exact"/>
        <w:rPr>
          <w:sz w:val="20"/>
          <w:szCs w:val="20"/>
          <w:color w:val="auto"/>
        </w:rPr>
      </w:pPr>
    </w:p>
    <w:p>
      <w:pPr>
        <w:ind w:left="1020" w:right="20"/>
        <w:spacing w:after="0" w:line="255" w:lineRule="auto"/>
        <w:rPr>
          <w:sz w:val="20"/>
          <w:szCs w:val="20"/>
          <w:color w:val="auto"/>
        </w:rPr>
      </w:pPr>
      <w:r>
        <w:rPr>
          <w:rFonts w:ascii="Times New Roman" w:cs="Times New Roman" w:eastAsia="Times New Roman" w:hAnsi="Times New Roman"/>
          <w:sz w:val="18"/>
          <w:szCs w:val="18"/>
          <w:color w:val="auto"/>
        </w:rPr>
        <w:t>Only the first named Insured can submit a claim under this bond, and shall act for all Insureds. Payment by the Underwriter to the first named Insured of loss sustained by any Insured shall fully release the Underwriter on account of such loss. If the first named Insured ceases to be covered under this bond, the Insured next named shall thereafter be considered as the first named Insured. Knowledge possessed or discovery made by General Counsel Department, Risk Management Department, Human Resource Department or the functional equivalent of any Insured shall constitute knowledge or discovery by all Insureds for the purposes of this Bond. The liability of the Underwriter for loss or losses sustained by all Insureds shall not exceed the amount for which the Underwriter would have been liable had all such loss or losses been sustained by one Insured.</w:t>
      </w:r>
    </w:p>
    <w:p>
      <w:pPr>
        <w:spacing w:after="0" w:line="216" w:lineRule="exact"/>
        <w:rPr>
          <w:sz w:val="20"/>
          <w:szCs w:val="20"/>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AND LIMITATIONS are amended as follows:</w:t>
      </w:r>
    </w:p>
    <w:p>
      <w:pPr>
        <w:spacing w:after="0" w:line="131" w:lineRule="exact"/>
        <w:rPr>
          <w:sz w:val="20"/>
          <w:szCs w:val="20"/>
          <w:color w:val="auto"/>
        </w:rPr>
      </w:pPr>
    </w:p>
    <w:p>
      <w:pPr>
        <w:ind w:left="1000" w:hanging="547"/>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section is replaced with the following:</w:t>
      </w:r>
    </w:p>
    <w:p>
      <w:pPr>
        <w:spacing w:after="0" w:line="117" w:lineRule="exact"/>
        <w:rPr>
          <w:sz w:val="20"/>
          <w:szCs w:val="20"/>
          <w:color w:val="auto"/>
        </w:rPr>
      </w:pPr>
    </w:p>
    <w:p>
      <w:pPr>
        <w:ind w:left="1460" w:right="20"/>
        <w:spacing w:after="0" w:line="281" w:lineRule="auto"/>
        <w:rPr>
          <w:sz w:val="20"/>
          <w:szCs w:val="20"/>
          <w:color w:val="auto"/>
        </w:rPr>
      </w:pPr>
      <w:r>
        <w:rPr>
          <w:rFonts w:ascii="Times New Roman" w:cs="Times New Roman" w:eastAsia="Times New Roman" w:hAnsi="Times New Roman"/>
          <w:sz w:val="17"/>
          <w:szCs w:val="17"/>
          <w:color w:val="auto"/>
        </w:rPr>
        <w:t>This bond applies to loss discovered by the Insured during the Bond Period. Discovery occurs when General Counsel Department, Risk Management Department, Human Resource Department or the functional equivalent of any Insured first becomes aware of facts which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56" w:lineRule="exact"/>
        <w:rPr>
          <w:sz w:val="20"/>
          <w:szCs w:val="20"/>
          <w:color w:val="auto"/>
        </w:rPr>
      </w:pPr>
    </w:p>
    <w:p>
      <w:pPr>
        <w:ind w:left="1460" w:right="220"/>
        <w:spacing w:after="0" w:line="266" w:lineRule="auto"/>
        <w:rPr>
          <w:sz w:val="20"/>
          <w:szCs w:val="20"/>
          <w:color w:val="auto"/>
        </w:rPr>
      </w:pPr>
      <w:r>
        <w:rPr>
          <w:rFonts w:ascii="Times New Roman" w:cs="Times New Roman" w:eastAsia="Times New Roman" w:hAnsi="Times New Roman"/>
          <w:sz w:val="18"/>
          <w:szCs w:val="18"/>
          <w:color w:val="auto"/>
        </w:rPr>
        <w:t>Discovery also occurs when General Counsel Department, Risk Management Department, Human Resource Department or the functional equivalent of any Insured receives notice of an actual or potential claim in which it is alleged that the Insured is liable to a third party under circumstances which, if true, would constitute a loss under this bond.</w:t>
      </w:r>
    </w:p>
    <w:p>
      <w:pPr>
        <w:spacing w:after="0" w:line="81" w:lineRule="exact"/>
        <w:rPr>
          <w:sz w:val="20"/>
          <w:szCs w:val="20"/>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the NOTICE/PROOF – LEGAL PROCEEDINGS AGAINST UNDERWRITER section is replaced with the following:</w:t>
      </w:r>
    </w:p>
    <w:p>
      <w:pPr>
        <w:spacing w:after="0" w:line="130" w:lineRule="exact"/>
        <w:rPr>
          <w:rFonts w:ascii="Times New Roman" w:cs="Times New Roman" w:eastAsia="Times New Roman" w:hAnsi="Times New Roman"/>
          <w:sz w:val="18"/>
          <w:szCs w:val="18"/>
          <w:color w:val="auto"/>
        </w:rPr>
      </w:pPr>
    </w:p>
    <w:p>
      <w:pPr>
        <w:ind w:left="2020" w:right="140" w:hanging="554"/>
        <w:spacing w:after="0" w:line="266" w:lineRule="auto"/>
        <w:tabs>
          <w:tab w:leader="none" w:pos="2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earliest practicable moment, not to exceed 60 days after discovery of loss by General Counsel Department, Risk Management Department, Human Resource Department or the functional equivalent of any Insured, the Insured shall give the Underwriter notice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640" w:val="left"/>
          <w:tab w:leader="none" w:pos="10400" w:val="left"/>
        </w:tabs>
        <w:rPr>
          <w:sz w:val="20"/>
          <w:szCs w:val="20"/>
          <w:color w:val="auto"/>
        </w:rPr>
      </w:pPr>
      <w:r>
        <w:rPr>
          <w:rFonts w:ascii="Times New Roman" w:cs="Times New Roman" w:eastAsia="Times New Roman" w:hAnsi="Times New Roman"/>
          <w:sz w:val="18"/>
          <w:szCs w:val="18"/>
          <w:color w:val="auto"/>
        </w:rPr>
        <w:t>AXIS 1012178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29" w:name="page30"/>
    <w:bookmarkEnd w:id="29"/>
    <w:p>
      <w:pPr>
        <w:ind w:left="8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-119380</wp:posOffset>
            </wp:positionV>
            <wp:extent cx="1165860" cy="728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4"/>
        </w:trPr>
        <w:tc>
          <w:tcPr>
            <w:tcW w:w="2900" w:type="dxa"/>
            <w:vAlign w:val="bottom"/>
            <w:tcBorders>
              <w:left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13</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PROTECTED INFORMATION EXCLUSION RIDER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agreed that this bond shall not apply to any loss resulting directly or indirectly from the: (i) theft, disappearance, or destruction of; (ii) unauthorized use or disclosure of; (iii) unauthorized access to; or (iv) failure to protect any:</w:t>
      </w:r>
    </w:p>
    <w:p>
      <w:pPr>
        <w:spacing w:after="0" w:line="67" w:lineRule="exact"/>
        <w:rPr>
          <w:sz w:val="20"/>
          <w:szCs w:val="20"/>
          <w:color w:val="auto"/>
        </w:rPr>
      </w:pPr>
    </w:p>
    <w:p>
      <w:pPr>
        <w:ind w:left="460" w:hanging="452"/>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or non-public; or</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or personally identifiable;</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information that any person or entity has a duty to protect under any law, rule or regulation, agreement, or industry guideline or standard; provided that this shall not apply to the extent that any unauthorized use or disclosure of a password enables a theft by an Employee of the Insured of tangible Property of the Insured or tangible Property that the Insured is holding for a third party.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Theft of tangible Property does not include the use of confidential or non-public information or personal or personally identifiable information to enable the theft of or disclosure of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640" w:val="left"/>
          <w:tab w:leader="none" w:pos="10400" w:val="left"/>
        </w:tabs>
        <w:rPr>
          <w:sz w:val="20"/>
          <w:szCs w:val="20"/>
          <w:color w:val="auto"/>
        </w:rPr>
      </w:pPr>
      <w:r>
        <w:rPr>
          <w:rFonts w:ascii="Times New Roman" w:cs="Times New Roman" w:eastAsia="Times New Roman" w:hAnsi="Times New Roman"/>
          <w:sz w:val="18"/>
          <w:szCs w:val="18"/>
          <w:color w:val="auto"/>
        </w:rPr>
        <w:t>AXIS 1012180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3"/>
        </w:trPr>
        <w:tc>
          <w:tcPr>
            <w:tcW w:w="2900" w:type="dxa"/>
            <w:vAlign w:val="bottom"/>
            <w:tcBorders>
              <w:left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14</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LOSS BY E-MAIL RIDER</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color w:val="auto"/>
        </w:rPr>
        <w:t xml:space="preserve">It is agreed that the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Section 5. NOTICE/PROOF – LEGAL PROCEEDINGS AGAINST UNDERWRITER, paragraph (a), is amended by the addition of the following:</w:t>
      </w:r>
    </w:p>
    <w:p>
      <w:pPr>
        <w:spacing w:after="0" w:line="51" w:lineRule="exact"/>
        <w:rPr>
          <w:sz w:val="20"/>
          <w:szCs w:val="20"/>
          <w:color w:val="auto"/>
        </w:rPr>
      </w:pPr>
    </w:p>
    <w:p>
      <w:pPr>
        <w:ind w:left="460" w:right="440"/>
        <w:spacing w:after="0" w:line="282" w:lineRule="auto"/>
        <w:rPr>
          <w:sz w:val="20"/>
          <w:szCs w:val="20"/>
          <w:color w:val="auto"/>
        </w:rPr>
      </w:pPr>
      <w:r>
        <w:rPr>
          <w:rFonts w:ascii="Times New Roman" w:cs="Times New Roman" w:eastAsia="Times New Roman" w:hAnsi="Times New Roman"/>
          <w:sz w:val="18"/>
          <w:szCs w:val="18"/>
          <w:color w:val="auto"/>
        </w:rPr>
        <w:t>The Insured may provide the Underwriter with such notice of loss by e-mail to the e-mail address set forth below. The date of the Underwriter’s receipt of such e-mailed notice shall constitute the date of notice.</w:t>
      </w:r>
    </w:p>
    <w:p>
      <w:pPr>
        <w:spacing w:after="0" w:line="54" w:lineRule="exact"/>
        <w:rPr>
          <w:sz w:val="20"/>
          <w:szCs w:val="20"/>
          <w:color w:val="auto"/>
        </w:rPr>
      </w:pPr>
    </w:p>
    <w:p>
      <w:pPr>
        <w:ind w:left="460" w:right="500"/>
        <w:spacing w:after="0" w:line="282" w:lineRule="auto"/>
        <w:rPr>
          <w:sz w:val="20"/>
          <w:szCs w:val="20"/>
          <w:color w:val="auto"/>
        </w:rPr>
      </w:pPr>
      <w:r>
        <w:rPr>
          <w:rFonts w:ascii="Times New Roman" w:cs="Times New Roman" w:eastAsia="Times New Roman" w:hAnsi="Times New Roman"/>
          <w:sz w:val="18"/>
          <w:szCs w:val="18"/>
          <w:color w:val="auto"/>
        </w:rPr>
        <w:t>Alternatively, the Insured may provide notice of loss to the Underwriter by mailing or faxing such notice to the address or fax number set forth below.</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notices must reference the Bond No. of this bond.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AXIS Insurance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Claims Department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 Box 4470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Alpharetta, GA 30023-4470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USFNOL@axiscapital.com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(Toll-Free): (866) 259-5435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(678) 746- 9000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Fax: (866) 770-5629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640" w:val="left"/>
          <w:tab w:leader="none" w:pos="10400" w:val="left"/>
        </w:tabs>
        <w:rPr>
          <w:sz w:val="20"/>
          <w:szCs w:val="20"/>
          <w:color w:val="auto"/>
        </w:rPr>
      </w:pPr>
      <w:r>
        <w:rPr>
          <w:rFonts w:ascii="Times New Roman" w:cs="Times New Roman" w:eastAsia="Times New Roman" w:hAnsi="Times New Roman"/>
          <w:sz w:val="18"/>
          <w:szCs w:val="18"/>
          <w:color w:val="auto"/>
        </w:rPr>
        <w:t>AXIS 1012189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4"/>
        </w:trPr>
        <w:tc>
          <w:tcPr>
            <w:tcW w:w="2900" w:type="dxa"/>
            <w:vAlign w:val="bottom"/>
            <w:tcBorders>
              <w:left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15</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OF OWNERSHIP OR CONTROL NOTICE RIDER</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 xml:space="preserve">It is agreed that the </w:t>
      </w:r>
      <w:r>
        <w:rPr>
          <w:rFonts w:ascii="Times New Roman" w:cs="Times New Roman" w:eastAsia="Times New Roman" w:hAnsi="Times New Roman"/>
          <w:sz w:val="18"/>
          <w:szCs w:val="18"/>
          <w:b w:val="1"/>
          <w:bCs w:val="1"/>
          <w:color w:val="auto"/>
        </w:rPr>
        <w:t>GENERAL AGREEMENTS</w:t>
      </w:r>
      <w:r>
        <w:rPr>
          <w:rFonts w:ascii="Times New Roman" w:cs="Times New Roman" w:eastAsia="Times New Roman" w:hAnsi="Times New Roman"/>
          <w:sz w:val="18"/>
          <w:szCs w:val="18"/>
          <w:color w:val="auto"/>
        </w:rPr>
        <w:t>, CHANGE OF OWNERSHIP – NOTICE or CHANGE OF CONTROL – NOTICE, as applicable, is replaced with the following:</w:t>
      </w:r>
    </w:p>
    <w:p>
      <w:pPr>
        <w:spacing w:after="0" w:line="51" w:lineRule="exact"/>
        <w:rPr>
          <w:sz w:val="20"/>
          <w:szCs w:val="20"/>
          <w:color w:val="auto"/>
        </w:rPr>
      </w:pPr>
    </w:p>
    <w:p>
      <w:pPr>
        <w:ind w:left="460" w:right="100"/>
        <w:spacing w:after="0" w:line="258" w:lineRule="auto"/>
        <w:rPr>
          <w:sz w:val="20"/>
          <w:szCs w:val="20"/>
          <w:color w:val="auto"/>
        </w:rPr>
      </w:pPr>
      <w:r>
        <w:rPr>
          <w:rFonts w:ascii="Times New Roman" w:cs="Times New Roman" w:eastAsia="Times New Roman" w:hAnsi="Times New Roman"/>
          <w:sz w:val="18"/>
          <w:szCs w:val="18"/>
          <w:color w:val="auto"/>
        </w:rPr>
        <w:t>When the Insured learns of a change in ownership by a single stockholder, partner or member, or by a group of affiliated stockholders, partners, or members, of more than 10% of its voting stock or total ownership interest, or of the voting stock or total ownership interest of a holding company or parent corporation which itself owns or controls the Insured, it shall give written notice to the Underwriter, as soon as practicable but not later than within 30 days of learning of such change in ownership. Failure to give the required notice shall result in termination of coverage for any loss involving a transferee of such stock or ownership interest, to be effective upon the date of the stock transfer or transfer of ownership interest.</w:t>
      </w:r>
    </w:p>
    <w:p>
      <w:pPr>
        <w:spacing w:after="0" w:line="75"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color w:val="auto"/>
        </w:rPr>
        <w:t>As used in this General Agreement, control shall have the meaning set forth in Section 2(a)(9) of the Investment Company Act of 1940, and means the power to exercise a controlling influence over the management or policies of a company, unless such power is solely the result of an official position with such company. A change in ownership of voting securities of a company which results in direct or indirect ownership by a securities holder or an affiliated group of securities holders of more than 25% of such voting securities shall be presumed to result in a change in control for the purpose of giving the required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1012191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4"/>
        </w:trPr>
        <w:tc>
          <w:tcPr>
            <w:tcW w:w="2900" w:type="dxa"/>
            <w:vAlign w:val="bottom"/>
            <w:tcBorders>
              <w:left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16</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7"/>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 TERMINATION OR CANCELATION NOTICE PERIOD RIDER</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 xml:space="preserve">It is agreed that the TERMINATION OR CANCELATION section of the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xml:space="preserve"> is amended by deleting the reference to “60 days” in the first paragraph and replacing it with “90 days.”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640" w:val="left"/>
          <w:tab w:leader="none" w:pos="10400" w:val="left"/>
        </w:tabs>
        <w:rPr>
          <w:sz w:val="20"/>
          <w:szCs w:val="20"/>
          <w:color w:val="auto"/>
        </w:rPr>
      </w:pPr>
      <w:r>
        <w:rPr>
          <w:rFonts w:ascii="Times New Roman" w:cs="Times New Roman" w:eastAsia="Times New Roman" w:hAnsi="Times New Roman"/>
          <w:sz w:val="18"/>
          <w:szCs w:val="18"/>
          <w:color w:val="auto"/>
        </w:rPr>
        <w:t>AXIS 1012193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2080" w:type="dxa"/>
            <w:vAlign w:val="bottom"/>
            <w:tcBorders>
              <w:top w:val="single" w:sz="8" w:color="auto"/>
              <w:left w:val="single" w:sz="8" w:color="auto"/>
            </w:tcBorders>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8"/>
              </w:rPr>
              <w:t>Rider Number</w:t>
            </w:r>
          </w:p>
        </w:tc>
        <w:tc>
          <w:tcPr>
            <w:tcW w:w="820" w:type="dxa"/>
            <w:vAlign w:val="bottom"/>
            <w:tcBorders>
              <w:top w:val="single" w:sz="8" w:color="auto"/>
              <w:right w:val="single" w:sz="8" w:color="auto"/>
            </w:tcBorders>
          </w:tcPr>
          <w:p>
            <w:pPr>
              <w:spacing w:after="0"/>
              <w:rPr>
                <w:sz w:val="24"/>
                <w:szCs w:val="24"/>
                <w:color w:val="auto"/>
              </w:rPr>
            </w:pPr>
          </w:p>
        </w:tc>
        <w:tc>
          <w:tcPr>
            <w:tcW w:w="28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16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jc w:val="center"/>
              <w:ind w:right="18"/>
              <w:spacing w:after="0"/>
              <w:rPr>
                <w:sz w:val="20"/>
                <w:szCs w:val="20"/>
                <w:color w:val="auto"/>
              </w:rPr>
            </w:pPr>
            <w:r>
              <w:rPr>
                <w:rFonts w:ascii="Times New Roman" w:cs="Times New Roman" w:eastAsia="Times New Roman" w:hAnsi="Times New Roman"/>
                <w:sz w:val="18"/>
                <w:szCs w:val="18"/>
                <w:color w:val="auto"/>
                <w:w w:val="99"/>
              </w:rPr>
              <w:t>Bond Number</w:t>
            </w:r>
          </w:p>
        </w:tc>
        <w:tc>
          <w:tcPr>
            <w:tcW w:w="90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1740" w:type="dxa"/>
            <w:vAlign w:val="bottom"/>
            <w:tcBorders>
              <w:left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264"/>
        </w:trPr>
        <w:tc>
          <w:tcPr>
            <w:tcW w:w="1740" w:type="dxa"/>
            <w:vAlign w:val="bottom"/>
            <w:tcBorders>
              <w:lef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160" w:type="dxa"/>
            <w:vAlign w:val="bottom"/>
          </w:tcPr>
          <w:p>
            <w:pPr>
              <w:spacing w:after="0"/>
              <w:rPr>
                <w:sz w:val="22"/>
                <w:szCs w:val="22"/>
                <w:color w:val="auto"/>
              </w:rPr>
            </w:pPr>
          </w:p>
        </w:tc>
        <w:tc>
          <w:tcPr>
            <w:tcW w:w="2600" w:type="dxa"/>
            <w:vAlign w:val="bottom"/>
            <w:tcBorders>
              <w:right w:val="single" w:sz="8" w:color="auto"/>
            </w:tcBorders>
          </w:tcPr>
          <w:p>
            <w:pPr>
              <w:jc w:val="center"/>
              <w:ind w:right="18"/>
              <w:spacing w:after="0"/>
              <w:rPr>
                <w:sz w:val="20"/>
                <w:szCs w:val="20"/>
                <w:color w:val="auto"/>
              </w:rPr>
            </w:pPr>
            <w:r>
              <w:rPr>
                <w:rFonts w:ascii="Times New Roman" w:cs="Times New Roman" w:eastAsia="Times New Roman" w:hAnsi="Times New Roman"/>
                <w:sz w:val="18"/>
                <w:szCs w:val="18"/>
                <w:color w:val="auto"/>
                <w:w w:val="99"/>
              </w:rPr>
              <w:t>P-001-000219755-03</w:t>
            </w:r>
          </w:p>
        </w:tc>
        <w:tc>
          <w:tcPr>
            <w:tcW w:w="900" w:type="dxa"/>
            <w:vAlign w:val="bottom"/>
          </w:tcPr>
          <w:p>
            <w:pPr>
              <w:spacing w:after="0"/>
              <w:rPr>
                <w:sz w:val="22"/>
                <w:szCs w:val="22"/>
                <w:color w:val="auto"/>
              </w:rPr>
            </w:pPr>
          </w:p>
        </w:tc>
        <w:tc>
          <w:tcPr>
            <w:tcW w:w="1760" w:type="dxa"/>
            <w:vAlign w:val="bottom"/>
            <w:tcBorders>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6"/>
              </w:rPr>
              <w:t>N/A</w:t>
            </w:r>
          </w:p>
        </w:tc>
      </w:tr>
      <w:tr>
        <w:trPr>
          <w:trHeight w:val="67"/>
        </w:trPr>
        <w:tc>
          <w:tcPr>
            <w:tcW w:w="1740" w:type="dxa"/>
            <w:vAlign w:val="bottom"/>
            <w:tcBorders>
              <w:left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336"/>
        </w:trPr>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CUSTOMER FUNDS TRANSFER FRAUD INSURING AGREEMENT</w:t>
            </w:r>
          </w:p>
        </w:tc>
        <w:tc>
          <w:tcPr>
            <w:tcW w:w="1760" w:type="dxa"/>
            <w:vAlign w:val="bottom"/>
          </w:tcPr>
          <w:p>
            <w:pPr>
              <w:spacing w:after="0"/>
              <w:rPr>
                <w:sz w:val="24"/>
                <w:szCs w:val="24"/>
                <w:color w:val="auto"/>
              </w:rPr>
            </w:pPr>
          </w:p>
        </w:tc>
      </w:tr>
      <w:tr>
        <w:trPr>
          <w:trHeight w:val="238"/>
        </w:trPr>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WITH CALL BACK FOR TRANSFERS IN EXCESS OF THE DEDUCTIBLE RIDER</w:t>
            </w:r>
          </w:p>
        </w:tc>
        <w:tc>
          <w:tcPr>
            <w:tcW w:w="1760" w:type="dxa"/>
            <w:vAlign w:val="bottom"/>
          </w:tcPr>
          <w:p>
            <w:pPr>
              <w:spacing w:after="0"/>
              <w:rPr>
                <w:sz w:val="20"/>
                <w:szCs w:val="20"/>
                <w:color w:val="auto"/>
              </w:rPr>
            </w:pPr>
          </w:p>
        </w:tc>
      </w:tr>
      <w:tr>
        <w:trPr>
          <w:trHeight w:val="405"/>
        </w:trPr>
        <w:tc>
          <w:tcPr>
            <w:tcW w:w="1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CUSTOMER FUNDS TRANSFER FRAUD INSURING AGREEMENT COVERAGE SCHEDULE</w:t>
            </w:r>
          </w:p>
        </w:tc>
        <w:tc>
          <w:tcPr>
            <w:tcW w:w="1760" w:type="dxa"/>
            <w:vAlign w:val="bottom"/>
          </w:tcPr>
          <w:p>
            <w:pPr>
              <w:spacing w:after="0"/>
              <w:rPr>
                <w:sz w:val="24"/>
                <w:szCs w:val="24"/>
                <w:color w:val="auto"/>
              </w:rPr>
            </w:pPr>
          </w:p>
        </w:tc>
      </w:tr>
      <w:tr>
        <w:trPr>
          <w:trHeight w:val="117"/>
        </w:trPr>
        <w:tc>
          <w:tcPr>
            <w:tcW w:w="1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2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Customer Funds Transfer Fraud</w:t>
            </w:r>
          </w:p>
        </w:tc>
        <w:tc>
          <w:tcPr>
            <w:tcW w:w="160" w:type="dxa"/>
            <w:vAlign w:val="bottom"/>
          </w:tcPr>
          <w:p>
            <w:pPr>
              <w:spacing w:after="0"/>
              <w:rPr>
                <w:sz w:val="10"/>
                <w:szCs w:val="10"/>
                <w:color w:val="auto"/>
              </w:rPr>
            </w:pPr>
          </w:p>
        </w:tc>
        <w:tc>
          <w:tcPr>
            <w:tcW w:w="35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Customer Funds Transfer Fraud</w:t>
            </w:r>
          </w:p>
        </w:tc>
        <w:tc>
          <w:tcPr>
            <w:tcW w:w="1760" w:type="dxa"/>
            <w:vAlign w:val="bottom"/>
          </w:tcPr>
          <w:p>
            <w:pPr>
              <w:spacing w:after="0"/>
              <w:rPr>
                <w:sz w:val="10"/>
                <w:szCs w:val="10"/>
                <w:color w:val="auto"/>
              </w:rPr>
            </w:pPr>
          </w:p>
        </w:tc>
      </w:tr>
      <w:tr>
        <w:trPr>
          <w:trHeight w:val="187"/>
        </w:trPr>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Insuring Agreement Single Loss Limit of Liability</w:t>
            </w:r>
          </w:p>
        </w:tc>
        <w:tc>
          <w:tcPr>
            <w:tcW w:w="160" w:type="dxa"/>
            <w:vAlign w:val="bottom"/>
          </w:tcPr>
          <w:p>
            <w:pPr>
              <w:spacing w:after="0"/>
              <w:rPr>
                <w:sz w:val="16"/>
                <w:szCs w:val="16"/>
                <w:color w:val="auto"/>
              </w:rPr>
            </w:pPr>
          </w:p>
        </w:tc>
        <w:tc>
          <w:tcPr>
            <w:tcW w:w="3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Insuring Agreement Single Loss Deductible</w:t>
            </w:r>
          </w:p>
        </w:tc>
        <w:tc>
          <w:tcPr>
            <w:tcW w:w="1760" w:type="dxa"/>
            <w:vAlign w:val="bottom"/>
          </w:tcPr>
          <w:p>
            <w:pPr>
              <w:spacing w:after="0"/>
              <w:rPr>
                <w:sz w:val="16"/>
                <w:szCs w:val="16"/>
                <w:color w:val="auto"/>
              </w:rPr>
            </w:pPr>
          </w:p>
        </w:tc>
      </w:tr>
      <w:tr>
        <w:trPr>
          <w:trHeight w:val="209"/>
        </w:trPr>
        <w:tc>
          <w:tcPr>
            <w:tcW w:w="1740" w:type="dxa"/>
            <w:vAlign w:val="bottom"/>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560" w:type="dxa"/>
            <w:vAlign w:val="bottom"/>
            <w:tcBorders>
              <w:top w:val="single" w:sz="8" w:color="auto"/>
            </w:tcBorders>
            <w:gridSpan w:val="2"/>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8"/>
              </w:rPr>
              <w:t>$4,000,000</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right w:val="single" w:sz="8" w:color="CCEEFF"/>
            </w:tcBorders>
            <w:shd w:val="clear" w:color="auto" w:fill="CCEEFF"/>
          </w:tcPr>
          <w:p>
            <w:pPr>
              <w:jc w:val="center"/>
              <w:ind w:left="818"/>
              <w:spacing w:after="0"/>
              <w:rPr>
                <w:sz w:val="20"/>
                <w:szCs w:val="20"/>
                <w:color w:val="auto"/>
              </w:rPr>
            </w:pPr>
            <w:r>
              <w:rPr>
                <w:rFonts w:ascii="Times New Roman" w:cs="Times New Roman" w:eastAsia="Times New Roman" w:hAnsi="Times New Roman"/>
                <w:sz w:val="18"/>
                <w:szCs w:val="18"/>
                <w:color w:val="auto"/>
                <w:w w:val="97"/>
              </w:rPr>
              <w:t>$100,000</w:t>
            </w:r>
          </w:p>
        </w:tc>
        <w:tc>
          <w:tcPr>
            <w:tcW w:w="900" w:type="dxa"/>
            <w:vAlign w:val="bottom"/>
            <w:tcBorders>
              <w:top w:val="single" w:sz="8" w:color="auto"/>
            </w:tcBorders>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in the above schedule may also appear on the Declarations.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INSURING AGREEMENTS section is amended by the addition of the following new Insuring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CUSTOMER FUNDS TRANSFER FRAUD</w:t>
      </w:r>
    </w:p>
    <w:p>
      <w:pPr>
        <w:spacing w:after="0" w:line="117" w:lineRule="exact"/>
        <w:rPr>
          <w:sz w:val="20"/>
          <w:szCs w:val="20"/>
          <w:color w:val="auto"/>
        </w:rPr>
      </w:pPr>
    </w:p>
    <w:p>
      <w:pPr>
        <w:ind w:left="1020"/>
        <w:spacing w:after="0" w:line="258" w:lineRule="auto"/>
        <w:rPr>
          <w:sz w:val="20"/>
          <w:szCs w:val="20"/>
          <w:color w:val="auto"/>
        </w:rPr>
      </w:pPr>
      <w:r>
        <w:rPr>
          <w:rFonts w:ascii="Times New Roman" w:cs="Times New Roman" w:eastAsia="Times New Roman" w:hAnsi="Times New Roman"/>
          <w:sz w:val="18"/>
          <w:szCs w:val="18"/>
          <w:color w:val="auto"/>
        </w:rPr>
        <w:t>Loss resulting directly from the Insured having, in good faith, transferred a Customer’s Money on deposit in an account or Certificated Securities to a person or account outside the Customer’s control, in reliance on a fraudulent telephone, telefacsimile, text message or e-mail instruction to the Insured directing such transfer from the Customer’s account, which instruction purports and reasonably appears to have originated from an Authorized Transfer Agent, but which, in fact, was issued without the Customer’s knowledge or consent by someone other than an Authorized Transfer Agent, subject to the following conditions precedent:</w:t>
      </w:r>
    </w:p>
    <w:p>
      <w:pPr>
        <w:spacing w:after="0" w:line="89" w:lineRule="exact"/>
        <w:rPr>
          <w:sz w:val="20"/>
          <w:szCs w:val="20"/>
          <w:color w:val="auto"/>
        </w:rPr>
      </w:pPr>
    </w:p>
    <w:p>
      <w:pPr>
        <w:ind w:left="1460" w:right="240" w:hanging="453"/>
        <w:spacing w:after="0" w:line="282" w:lineRule="auto"/>
        <w:tabs>
          <w:tab w:leader="none" w:pos="146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instruction included the Customer’s password and PIN and any other security codes required by the Insured’s written agreement with such Customer (“Verified Instruction”).</w:t>
      </w:r>
    </w:p>
    <w:p>
      <w:pPr>
        <w:spacing w:after="0" w:line="67" w:lineRule="exact"/>
        <w:rPr>
          <w:rFonts w:ascii="Times New Roman" w:cs="Times New Roman" w:eastAsia="Times New Roman" w:hAnsi="Times New Roman"/>
          <w:sz w:val="18"/>
          <w:szCs w:val="18"/>
          <w:color w:val="auto"/>
        </w:rPr>
      </w:pPr>
    </w:p>
    <w:p>
      <w:pPr>
        <w:ind w:left="1460" w:right="340" w:hanging="453"/>
        <w:spacing w:after="0" w:line="282" w:lineRule="auto"/>
        <w:tabs>
          <w:tab w:leader="none" w:pos="146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sender of the instruction was not, in fact, such Customer, was not authorized to act on behalf of such Customer, and was not an Employee.</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instruction was received by an Employee specifically authorized by the Insured to receive and act upon such instructions.</w:t>
      </w:r>
    </w:p>
    <w:p>
      <w:pPr>
        <w:spacing w:after="0" w:line="130" w:lineRule="exact"/>
        <w:rPr>
          <w:rFonts w:ascii="Times New Roman" w:cs="Times New Roman" w:eastAsia="Times New Roman" w:hAnsi="Times New Roman"/>
          <w:sz w:val="18"/>
          <w:szCs w:val="18"/>
          <w:color w:val="auto"/>
        </w:rPr>
      </w:pPr>
    </w:p>
    <w:p>
      <w:pPr>
        <w:ind w:left="1460" w:right="100" w:hanging="453"/>
        <w:spacing w:after="0" w:line="266" w:lineRule="auto"/>
        <w:tabs>
          <w:tab w:leader="none" w:pos="146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transfer exceeding the amount of the Customer Funds Transfer Fraud Insuring Agreement Single Loss Deductible, the Insured verified the instruction via a call back to a predetermined telephone number set forth in the Insured’s written agreement with such Customer, or by other verification procedures approved in writing by the Underwriter (“Security Measure”).</w:t>
      </w:r>
    </w:p>
    <w:p>
      <w:pPr>
        <w:spacing w:after="0" w:line="81" w:lineRule="exact"/>
        <w:rPr>
          <w:rFonts w:ascii="Times New Roman" w:cs="Times New Roman" w:eastAsia="Times New Roman" w:hAnsi="Times New Roman"/>
          <w:sz w:val="18"/>
          <w:szCs w:val="18"/>
          <w:color w:val="auto"/>
        </w:rPr>
      </w:pPr>
    </w:p>
    <w:p>
      <w:pPr>
        <w:ind w:left="1460" w:right="580" w:hanging="453"/>
        <w:spacing w:after="0" w:line="282" w:lineRule="auto"/>
        <w:tabs>
          <w:tab w:leader="none" w:pos="146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preserved a contemporaneous record of the Verified Instruction and any Security Measure and furnishes both to the Insurer, along with a copy of the Insured’s written agreement with the Customer, in the Proof of Loss.</w:t>
      </w:r>
    </w:p>
    <w:p>
      <w:pPr>
        <w:spacing w:after="0" w:line="67" w:lineRule="exact"/>
        <w:rPr>
          <w:rFonts w:ascii="Times New Roman" w:cs="Times New Roman" w:eastAsia="Times New Roman" w:hAnsi="Times New Roman"/>
          <w:sz w:val="18"/>
          <w:szCs w:val="18"/>
          <w:color w:val="auto"/>
        </w:rPr>
      </w:pPr>
    </w:p>
    <w:p>
      <w:pPr>
        <w:ind w:left="1460" w:right="180" w:hanging="453"/>
        <w:spacing w:after="0" w:line="282" w:lineRule="auto"/>
        <w:tabs>
          <w:tab w:leader="none" w:pos="146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asserts any available claims, offsets or defenses against the Customer, any financial institution, any fund administrator or any other party to the transaction.</w:t>
      </w:r>
    </w:p>
    <w:p>
      <w:pPr>
        <w:spacing w:after="0" w:line="67" w:lineRule="exact"/>
        <w:rPr>
          <w:rFonts w:ascii="Times New Roman" w:cs="Times New Roman" w:eastAsia="Times New Roman" w:hAnsi="Times New Roman"/>
          <w:sz w:val="18"/>
          <w:szCs w:val="18"/>
          <w:color w:val="auto"/>
        </w:rPr>
      </w:pPr>
    </w:p>
    <w:p>
      <w:pPr>
        <w:ind w:left="460" w:right="40" w:hanging="452"/>
        <w:spacing w:after="0" w:line="282"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Single Loss Limit of Liability and Single Loss Deductible for the Customer Funds Transfer Fraud Insuring Agreement are as set forth in the Declarations or in the above schedule.</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coverage provided by this Rider: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Definitions are added to the DEFINITIONS section:</w:t>
      </w:r>
    </w:p>
    <w:p>
      <w:pPr>
        <w:spacing w:after="0" w:line="156" w:lineRule="exact"/>
        <w:rPr>
          <w:sz w:val="20"/>
          <w:szCs w:val="20"/>
          <w:color w:val="auto"/>
        </w:rPr>
      </w:pPr>
    </w:p>
    <w:p>
      <w:pPr>
        <w:spacing w:after="0"/>
        <w:tabs>
          <w:tab w:leader="none" w:pos="3640" w:val="left"/>
          <w:tab w:leader="none" w:pos="10400" w:val="left"/>
        </w:tabs>
        <w:rPr>
          <w:sz w:val="20"/>
          <w:szCs w:val="20"/>
          <w:color w:val="auto"/>
        </w:rPr>
      </w:pPr>
      <w:r>
        <w:rPr>
          <w:rFonts w:ascii="Times New Roman" w:cs="Times New Roman" w:eastAsia="Times New Roman" w:hAnsi="Times New Roman"/>
          <w:sz w:val="18"/>
          <w:szCs w:val="18"/>
          <w:color w:val="auto"/>
        </w:rPr>
        <w:t>AXIS 1012198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2</w:t>
      </w:r>
    </w:p>
    <w:p>
      <w:pPr>
        <w:sectPr>
          <w:pgSz w:w="11900" w:h="16838" w:orient="portrait"/>
          <w:cols w:equalWidth="0" w:num="1">
            <w:col w:w="11240"/>
          </w:cols>
          <w:pgMar w:left="320" w:top="27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60" w:right="60"/>
        <w:spacing w:after="0" w:line="282" w:lineRule="auto"/>
        <w:rPr>
          <w:sz w:val="20"/>
          <w:szCs w:val="20"/>
          <w:color w:val="auto"/>
        </w:rPr>
      </w:pPr>
      <w:r>
        <w:rPr>
          <w:rFonts w:ascii="Times New Roman" w:cs="Times New Roman" w:eastAsia="Times New Roman" w:hAnsi="Times New Roman"/>
          <w:sz w:val="18"/>
          <w:szCs w:val="18"/>
          <w:color w:val="auto"/>
        </w:rPr>
        <w:t>Authorized Transfer Agent means an employee of the Customer or another financial institution with authority to instruct the Insured to transfer the Customer’s Money or Certificated Securities.</w:t>
      </w:r>
    </w:p>
    <w:p>
      <w:pPr>
        <w:spacing w:after="0" w:line="54" w:lineRule="exact"/>
        <w:rPr>
          <w:sz w:val="20"/>
          <w:szCs w:val="20"/>
          <w:color w:val="auto"/>
        </w:rPr>
      </w:pPr>
    </w:p>
    <w:p>
      <w:pPr>
        <w:ind w:left="1460" w:right="40"/>
        <w:spacing w:after="0" w:line="266" w:lineRule="auto"/>
        <w:rPr>
          <w:sz w:val="20"/>
          <w:szCs w:val="20"/>
          <w:color w:val="auto"/>
        </w:rPr>
      </w:pPr>
      <w:r>
        <w:rPr>
          <w:rFonts w:ascii="Times New Roman" w:cs="Times New Roman" w:eastAsia="Times New Roman" w:hAnsi="Times New Roman"/>
          <w:sz w:val="18"/>
          <w:szCs w:val="18"/>
          <w:color w:val="auto"/>
        </w:rPr>
        <w:t>Customer means an entity or natural person who has a written agreement with the Insured authorizing the Insured to transfer Money on deposit in an account or Certificated Securities in reliance upon a telephone, telefacsimile, text message or e-mail instruction from an Authorized Transfer Agent.</w:t>
      </w:r>
    </w:p>
    <w:p>
      <w:pPr>
        <w:spacing w:after="0" w:line="81" w:lineRule="exact"/>
        <w:rPr>
          <w:sz w:val="20"/>
          <w:szCs w:val="20"/>
          <w:color w:val="auto"/>
        </w:rPr>
      </w:pPr>
    </w:p>
    <w:p>
      <w:pPr>
        <w:ind w:left="1000" w:hanging="547"/>
        <w:spacing w:after="0"/>
        <w:tabs>
          <w:tab w:leader="none" w:pos="10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Exclusions are added to the EXCLUSIONS section:</w:t>
      </w:r>
    </w:p>
    <w:p>
      <w:pPr>
        <w:spacing w:after="0" w:line="130" w:lineRule="exact"/>
        <w:rPr>
          <w:rFonts w:ascii="Times New Roman" w:cs="Times New Roman" w:eastAsia="Times New Roman" w:hAnsi="Times New Roman"/>
          <w:sz w:val="18"/>
          <w:szCs w:val="18"/>
          <w:color w:val="auto"/>
        </w:rPr>
      </w:pPr>
    </w:p>
    <w:p>
      <w:pPr>
        <w:ind w:left="2120" w:right="220" w:hanging="654"/>
        <w:spacing w:after="0" w:line="282" w:lineRule="auto"/>
        <w:tabs>
          <w:tab w:leader="none" w:pos="212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a fraudulent instruction if the sender, or anyone acting in collusion with the sender, ever had authorized access to the Customer’s password, PIN or any other security code;</w:t>
      </w:r>
    </w:p>
    <w:p>
      <w:pPr>
        <w:spacing w:after="0" w:line="67" w:lineRule="exact"/>
        <w:rPr>
          <w:rFonts w:ascii="Times New Roman" w:cs="Times New Roman" w:eastAsia="Times New Roman" w:hAnsi="Times New Roman"/>
          <w:sz w:val="18"/>
          <w:szCs w:val="18"/>
          <w:color w:val="auto"/>
        </w:rPr>
      </w:pPr>
    </w:p>
    <w:p>
      <w:pPr>
        <w:ind w:left="2120" w:right="300" w:hanging="654"/>
        <w:spacing w:after="0" w:line="266" w:lineRule="auto"/>
        <w:tabs>
          <w:tab w:leader="none" w:pos="212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the fraudulent alteration of an instruction to initiate an automated clearing house (ACH) entry, or group of ACH entries, transmitted as an electronic message, or as an attachment to an electronic message, sent via the Internet unless:</w:t>
      </w:r>
    </w:p>
    <w:p>
      <w:pPr>
        <w:spacing w:after="0" w:line="81"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ACH entry was individually verified via the call back procedures without regard to the amount of the entry; or</w:t>
      </w:r>
    </w:p>
    <w:p>
      <w:pPr>
        <w:spacing w:after="0" w:line="130" w:lineRule="exact"/>
        <w:rPr>
          <w:rFonts w:ascii="Times New Roman" w:cs="Times New Roman" w:eastAsia="Times New Roman" w:hAnsi="Times New Roman"/>
          <w:sz w:val="18"/>
          <w:szCs w:val="18"/>
          <w:color w:val="auto"/>
        </w:rPr>
      </w:pPr>
    </w:p>
    <w:p>
      <w:pPr>
        <w:ind w:left="2460" w:right="400" w:hanging="441"/>
        <w:spacing w:after="0" w:line="282" w:lineRule="auto"/>
        <w:tabs>
          <w:tab w:leader="none" w:pos="2460"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instruction was formatted, encoded or encrypted so that any alteration in the ACH entry or group of ACH entries would be apparent to the Insured.</w:t>
      </w:r>
    </w:p>
    <w:p>
      <w:pPr>
        <w:spacing w:after="0" w:line="67" w:lineRule="exact"/>
        <w:rPr>
          <w:rFonts w:ascii="Times New Roman" w:cs="Times New Roman" w:eastAsia="Times New Roman" w:hAnsi="Times New Roman"/>
          <w:sz w:val="18"/>
          <w:szCs w:val="18"/>
          <w:color w:val="auto"/>
        </w:rPr>
      </w:pPr>
    </w:p>
    <w:p>
      <w:pPr>
        <w:jc w:val="both"/>
        <w:ind w:left="1000" w:right="80" w:hanging="547"/>
        <w:spacing w:after="0" w:line="261" w:lineRule="auto"/>
        <w:tabs>
          <w:tab w:leader="none" w:pos="10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loss or losses involving one natural person or one entity, or one group of natural persons or entities acting together, shall be a Single Loss without regard to the number of transfers or the number of instructions involved. A series of losses involving unidentified natural persons or entities but arising from the same method of operation shall be deemed to involve the same natural person or entity and shall be treated as a Single Loss.</w:t>
      </w:r>
    </w:p>
    <w:p>
      <w:pPr>
        <w:spacing w:after="0" w:line="179" w:lineRule="exact"/>
        <w:rPr>
          <w:rFonts w:ascii="Times New Roman" w:cs="Times New Roman" w:eastAsia="Times New Roman" w:hAnsi="Times New Roman"/>
          <w:sz w:val="18"/>
          <w:szCs w:val="18"/>
          <w:color w:val="auto"/>
        </w:rPr>
      </w:pPr>
    </w:p>
    <w:p>
      <w:pPr>
        <w:ind w:right="360" w:firstLine="8"/>
        <w:spacing w:after="0" w:line="282" w:lineRule="auto"/>
        <w:tabs>
          <w:tab w:leader="none" w:pos="2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(i) does not apply to loss covered under the Customer Funds Transfer Fraud Insuring Agreement. All other provisions of the bond remain unchanged.</w:t>
      </w:r>
    </w:p>
    <w:p>
      <w:pPr>
        <w:spacing w:after="0" w:line="92" w:lineRule="exact"/>
        <w:rPr>
          <w:sz w:val="20"/>
          <w:szCs w:val="20"/>
          <w:color w:val="auto"/>
        </w:rPr>
      </w:pPr>
    </w:p>
    <w:p>
      <w:pPr>
        <w:spacing w:after="0"/>
        <w:tabs>
          <w:tab w:leader="none" w:pos="3260" w:val="left"/>
          <w:tab w:leader="none" w:pos="10400" w:val="left"/>
        </w:tabs>
        <w:rPr>
          <w:sz w:val="20"/>
          <w:szCs w:val="20"/>
          <w:color w:val="auto"/>
        </w:rPr>
      </w:pPr>
      <w:r>
        <w:rPr>
          <w:rFonts w:ascii="Times New Roman" w:cs="Times New Roman" w:eastAsia="Times New Roman" w:hAnsi="Times New Roman"/>
          <w:sz w:val="18"/>
          <w:szCs w:val="18"/>
          <w:color w:val="auto"/>
        </w:rPr>
        <w:t>AXIS 1012198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2 of 2</w:t>
      </w:r>
    </w:p>
    <w:p>
      <w:pPr>
        <w:sectPr>
          <w:pgSz w:w="11900" w:h="16838" w:orient="portrait"/>
          <w:cols w:equalWidth="0" w:num="1">
            <w:col w:w="11240"/>
          </w:cols>
          <w:pgMar w:left="320" w:top="27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2080" w:type="dxa"/>
            <w:vAlign w:val="bottom"/>
            <w:tcBorders>
              <w:top w:val="single" w:sz="8" w:color="auto"/>
              <w:left w:val="single" w:sz="8" w:color="auto"/>
            </w:tcBorders>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8"/>
              </w:rPr>
              <w:t>Rider Number</w:t>
            </w:r>
          </w:p>
        </w:tc>
        <w:tc>
          <w:tcPr>
            <w:tcW w:w="820" w:type="dxa"/>
            <w:vAlign w:val="bottom"/>
            <w:tcBorders>
              <w:top w:val="single" w:sz="8" w:color="auto"/>
              <w:right w:val="single" w:sz="8" w:color="auto"/>
            </w:tcBorders>
          </w:tcPr>
          <w:p>
            <w:pPr>
              <w:spacing w:after="0"/>
              <w:rPr>
                <w:sz w:val="24"/>
                <w:szCs w:val="24"/>
                <w:color w:val="auto"/>
              </w:rPr>
            </w:pPr>
          </w:p>
        </w:tc>
        <w:tc>
          <w:tcPr>
            <w:tcW w:w="28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16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jc w:val="center"/>
              <w:ind w:right="18"/>
              <w:spacing w:after="0"/>
              <w:rPr>
                <w:sz w:val="20"/>
                <w:szCs w:val="20"/>
                <w:color w:val="auto"/>
              </w:rPr>
            </w:pPr>
            <w:r>
              <w:rPr>
                <w:rFonts w:ascii="Times New Roman" w:cs="Times New Roman" w:eastAsia="Times New Roman" w:hAnsi="Times New Roman"/>
                <w:sz w:val="18"/>
                <w:szCs w:val="18"/>
                <w:color w:val="auto"/>
                <w:w w:val="99"/>
              </w:rPr>
              <w:t>Bond Number</w:t>
            </w:r>
          </w:p>
        </w:tc>
        <w:tc>
          <w:tcPr>
            <w:tcW w:w="90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1740" w:type="dxa"/>
            <w:vAlign w:val="bottom"/>
            <w:tcBorders>
              <w:left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264"/>
        </w:trPr>
        <w:tc>
          <w:tcPr>
            <w:tcW w:w="1740" w:type="dxa"/>
            <w:vAlign w:val="bottom"/>
            <w:tcBorders>
              <w:lef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160" w:type="dxa"/>
            <w:vAlign w:val="bottom"/>
          </w:tcPr>
          <w:p>
            <w:pPr>
              <w:spacing w:after="0"/>
              <w:rPr>
                <w:sz w:val="22"/>
                <w:szCs w:val="22"/>
                <w:color w:val="auto"/>
              </w:rPr>
            </w:pPr>
          </w:p>
        </w:tc>
        <w:tc>
          <w:tcPr>
            <w:tcW w:w="2600" w:type="dxa"/>
            <w:vAlign w:val="bottom"/>
            <w:tcBorders>
              <w:right w:val="single" w:sz="8" w:color="auto"/>
            </w:tcBorders>
          </w:tcPr>
          <w:p>
            <w:pPr>
              <w:jc w:val="center"/>
              <w:ind w:right="18"/>
              <w:spacing w:after="0"/>
              <w:rPr>
                <w:sz w:val="20"/>
                <w:szCs w:val="20"/>
                <w:color w:val="auto"/>
              </w:rPr>
            </w:pPr>
            <w:r>
              <w:rPr>
                <w:rFonts w:ascii="Times New Roman" w:cs="Times New Roman" w:eastAsia="Times New Roman" w:hAnsi="Times New Roman"/>
                <w:sz w:val="18"/>
                <w:szCs w:val="18"/>
                <w:color w:val="auto"/>
                <w:w w:val="99"/>
              </w:rPr>
              <w:t>P-001-000219755-03</w:t>
            </w:r>
          </w:p>
        </w:tc>
        <w:tc>
          <w:tcPr>
            <w:tcW w:w="900" w:type="dxa"/>
            <w:vAlign w:val="bottom"/>
          </w:tcPr>
          <w:p>
            <w:pPr>
              <w:spacing w:after="0"/>
              <w:rPr>
                <w:sz w:val="22"/>
                <w:szCs w:val="22"/>
                <w:color w:val="auto"/>
              </w:rPr>
            </w:pPr>
          </w:p>
        </w:tc>
        <w:tc>
          <w:tcPr>
            <w:tcW w:w="1760" w:type="dxa"/>
            <w:vAlign w:val="bottom"/>
            <w:tcBorders>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6"/>
              </w:rPr>
              <w:t>N/A</w:t>
            </w:r>
          </w:p>
        </w:tc>
      </w:tr>
      <w:tr>
        <w:trPr>
          <w:trHeight w:val="67"/>
        </w:trPr>
        <w:tc>
          <w:tcPr>
            <w:tcW w:w="1740" w:type="dxa"/>
            <w:vAlign w:val="bottom"/>
            <w:tcBorders>
              <w:left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358"/>
        </w:trPr>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STOP PAYMENT ORDER LIABILITY INSURING AGREEMENT RIDER</w:t>
            </w:r>
          </w:p>
        </w:tc>
        <w:tc>
          <w:tcPr>
            <w:tcW w:w="1760" w:type="dxa"/>
            <w:vAlign w:val="bottom"/>
          </w:tcPr>
          <w:p>
            <w:pPr>
              <w:spacing w:after="0"/>
              <w:rPr>
                <w:sz w:val="24"/>
                <w:szCs w:val="24"/>
                <w:color w:val="auto"/>
              </w:rPr>
            </w:pPr>
          </w:p>
        </w:tc>
      </w:tr>
      <w:tr>
        <w:trPr>
          <w:trHeight w:val="405"/>
        </w:trPr>
        <w:tc>
          <w:tcPr>
            <w:tcW w:w="1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rPr>
              <w:t>STOP PAYMENT ORDER LIABILITY INSURING AGREEMENT COVERAGE SCHEDULE</w:t>
            </w:r>
          </w:p>
        </w:tc>
        <w:tc>
          <w:tcPr>
            <w:tcW w:w="1760" w:type="dxa"/>
            <w:vAlign w:val="bottom"/>
          </w:tcPr>
          <w:p>
            <w:pPr>
              <w:spacing w:after="0"/>
              <w:rPr>
                <w:sz w:val="24"/>
                <w:szCs w:val="24"/>
                <w:color w:val="auto"/>
              </w:rPr>
            </w:pPr>
          </w:p>
        </w:tc>
      </w:tr>
      <w:tr>
        <w:trPr>
          <w:trHeight w:val="117"/>
        </w:trPr>
        <w:tc>
          <w:tcPr>
            <w:tcW w:w="1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2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Stop Payment Order Liability Insuring Agreement</w:t>
            </w:r>
          </w:p>
        </w:tc>
        <w:tc>
          <w:tcPr>
            <w:tcW w:w="160" w:type="dxa"/>
            <w:vAlign w:val="bottom"/>
          </w:tcPr>
          <w:p>
            <w:pPr>
              <w:spacing w:after="0"/>
              <w:rPr>
                <w:sz w:val="10"/>
                <w:szCs w:val="10"/>
                <w:color w:val="auto"/>
              </w:rPr>
            </w:pPr>
          </w:p>
        </w:tc>
        <w:tc>
          <w:tcPr>
            <w:tcW w:w="35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Stop Payment Order Liability Insuring Agreement</w:t>
            </w:r>
          </w:p>
        </w:tc>
        <w:tc>
          <w:tcPr>
            <w:tcW w:w="1760" w:type="dxa"/>
            <w:vAlign w:val="bottom"/>
          </w:tcPr>
          <w:p>
            <w:pPr>
              <w:spacing w:after="0"/>
              <w:rPr>
                <w:sz w:val="10"/>
                <w:szCs w:val="10"/>
                <w:color w:val="auto"/>
              </w:rPr>
            </w:pPr>
          </w:p>
        </w:tc>
      </w:tr>
      <w:tr>
        <w:trPr>
          <w:trHeight w:val="187"/>
        </w:trPr>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Single Loss Limit of Liability</w:t>
            </w:r>
          </w:p>
        </w:tc>
        <w:tc>
          <w:tcPr>
            <w:tcW w:w="160" w:type="dxa"/>
            <w:vAlign w:val="bottom"/>
          </w:tcPr>
          <w:p>
            <w:pPr>
              <w:spacing w:after="0"/>
              <w:rPr>
                <w:sz w:val="16"/>
                <w:szCs w:val="16"/>
                <w:color w:val="auto"/>
              </w:rPr>
            </w:pPr>
          </w:p>
        </w:tc>
        <w:tc>
          <w:tcPr>
            <w:tcW w:w="3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Single Loss Deductible</w:t>
            </w:r>
          </w:p>
        </w:tc>
        <w:tc>
          <w:tcPr>
            <w:tcW w:w="1760" w:type="dxa"/>
            <w:vAlign w:val="bottom"/>
          </w:tcPr>
          <w:p>
            <w:pPr>
              <w:spacing w:after="0"/>
              <w:rPr>
                <w:sz w:val="16"/>
                <w:szCs w:val="16"/>
                <w:color w:val="auto"/>
              </w:rPr>
            </w:pPr>
          </w:p>
        </w:tc>
      </w:tr>
      <w:tr>
        <w:trPr>
          <w:trHeight w:val="209"/>
        </w:trPr>
        <w:tc>
          <w:tcPr>
            <w:tcW w:w="1740" w:type="dxa"/>
            <w:vAlign w:val="bottom"/>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560" w:type="dxa"/>
            <w:vAlign w:val="bottom"/>
            <w:tcBorders>
              <w:top w:val="single" w:sz="8" w:color="auto"/>
            </w:tcBorders>
            <w:gridSpan w:val="2"/>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8"/>
              </w:rPr>
              <w:t>$4,000,000</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right w:val="single" w:sz="8" w:color="CCEEFF"/>
            </w:tcBorders>
            <w:shd w:val="clear" w:color="auto" w:fill="CCEEFF"/>
          </w:tcPr>
          <w:p>
            <w:pPr>
              <w:jc w:val="center"/>
              <w:ind w:left="818"/>
              <w:spacing w:after="0"/>
              <w:rPr>
                <w:sz w:val="20"/>
                <w:szCs w:val="20"/>
                <w:color w:val="auto"/>
              </w:rPr>
            </w:pPr>
            <w:r>
              <w:rPr>
                <w:rFonts w:ascii="Times New Roman" w:cs="Times New Roman" w:eastAsia="Times New Roman" w:hAnsi="Times New Roman"/>
                <w:sz w:val="18"/>
                <w:szCs w:val="18"/>
                <w:color w:val="auto"/>
                <w:w w:val="97"/>
              </w:rPr>
              <w:t>$100,000</w:t>
            </w:r>
          </w:p>
        </w:tc>
        <w:tc>
          <w:tcPr>
            <w:tcW w:w="900" w:type="dxa"/>
            <w:vAlign w:val="bottom"/>
            <w:tcBorders>
              <w:top w:val="single" w:sz="8" w:color="auto"/>
            </w:tcBorders>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in the above schedule may also appear on the Declarations.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INSURING AGREEMENTS is amended by the addition of the following new Insuring Agreement:</w:t>
      </w:r>
    </w:p>
    <w:p>
      <w:pPr>
        <w:spacing w:after="0" w:line="200" w:lineRule="exact"/>
        <w:rPr>
          <w:sz w:val="20"/>
          <w:szCs w:val="20"/>
          <w:color w:val="auto"/>
        </w:rPr>
      </w:pPr>
    </w:p>
    <w:p>
      <w:pPr>
        <w:spacing w:after="0" w:line="24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STOP PAYMENT ORDER LIABILITY</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Loss resulting directly from the Insured’s legal liability for:</w:t>
      </w:r>
    </w:p>
    <w:p>
      <w:pPr>
        <w:spacing w:after="0" w:line="131" w:lineRule="exact"/>
        <w:rPr>
          <w:sz w:val="20"/>
          <w:szCs w:val="20"/>
          <w:color w:val="auto"/>
        </w:rPr>
      </w:pPr>
    </w:p>
    <w:p>
      <w:pPr>
        <w:ind w:left="1460" w:right="40" w:hanging="453"/>
        <w:spacing w:after="0" w:line="282" w:lineRule="auto"/>
        <w:tabs>
          <w:tab w:leader="none" w:pos="14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failure to comply with a request by a customer of the Insured, or such customer’s authorized agent, to stop payment on any draft made or drawn upon or against the Insured by such customer or such customer’s authorized agent; or</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pay any draft made or drawn upon or against the Insured by a customer of the Insured or such customer’s authorized agent.</w:t>
      </w:r>
    </w:p>
    <w:p>
      <w:pPr>
        <w:spacing w:after="0" w:line="130"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Single Loss Limit of Liability and Single Loss Deductible for the Stop Payment Order Liability Insuring Agreement are as set forth in the Declarations or in the above schedule.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640" w:val="left"/>
          <w:tab w:leader="none" w:pos="10400" w:val="left"/>
        </w:tabs>
        <w:rPr>
          <w:sz w:val="20"/>
          <w:szCs w:val="20"/>
          <w:color w:val="auto"/>
        </w:rPr>
      </w:pPr>
      <w:r>
        <w:rPr>
          <w:rFonts w:ascii="Times New Roman" w:cs="Times New Roman" w:eastAsia="Times New Roman" w:hAnsi="Times New Roman"/>
          <w:sz w:val="18"/>
          <w:szCs w:val="18"/>
          <w:color w:val="auto"/>
        </w:rPr>
        <w:t>AXIS 1012200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080" w:type="dxa"/>
            <w:vAlign w:val="bottom"/>
            <w:tcBorders>
              <w:top w:val="single" w:sz="8" w:color="auto"/>
              <w:left w:val="single" w:sz="8" w:color="auto"/>
            </w:tcBorders>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8"/>
              </w:rPr>
              <w:t>Rider Number</w:t>
            </w:r>
          </w:p>
        </w:tc>
        <w:tc>
          <w:tcPr>
            <w:tcW w:w="820" w:type="dxa"/>
            <w:vAlign w:val="bottom"/>
            <w:tcBorders>
              <w:top w:val="single" w:sz="8" w:color="auto"/>
              <w:right w:val="single" w:sz="8" w:color="auto"/>
            </w:tcBorders>
          </w:tcPr>
          <w:p>
            <w:pPr>
              <w:spacing w:after="0"/>
              <w:rPr>
                <w:sz w:val="24"/>
                <w:szCs w:val="24"/>
                <w:color w:val="auto"/>
              </w:rPr>
            </w:pPr>
          </w:p>
        </w:tc>
        <w:tc>
          <w:tcPr>
            <w:tcW w:w="28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16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jc w:val="center"/>
              <w:ind w:right="18"/>
              <w:spacing w:after="0"/>
              <w:rPr>
                <w:sz w:val="20"/>
                <w:szCs w:val="20"/>
                <w:color w:val="auto"/>
              </w:rPr>
            </w:pPr>
            <w:r>
              <w:rPr>
                <w:rFonts w:ascii="Times New Roman" w:cs="Times New Roman" w:eastAsia="Times New Roman" w:hAnsi="Times New Roman"/>
                <w:sz w:val="18"/>
                <w:szCs w:val="18"/>
                <w:color w:val="auto"/>
                <w:w w:val="99"/>
              </w:rPr>
              <w:t>Bond Number</w:t>
            </w:r>
          </w:p>
        </w:tc>
        <w:tc>
          <w:tcPr>
            <w:tcW w:w="90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8"/>
        </w:trPr>
        <w:tc>
          <w:tcPr>
            <w:tcW w:w="1740" w:type="dxa"/>
            <w:vAlign w:val="bottom"/>
            <w:tcBorders>
              <w:left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264"/>
        </w:trPr>
        <w:tc>
          <w:tcPr>
            <w:tcW w:w="1740" w:type="dxa"/>
            <w:vAlign w:val="bottom"/>
            <w:tcBorders>
              <w:lef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160" w:type="dxa"/>
            <w:vAlign w:val="bottom"/>
          </w:tcPr>
          <w:p>
            <w:pPr>
              <w:spacing w:after="0"/>
              <w:rPr>
                <w:sz w:val="22"/>
                <w:szCs w:val="22"/>
                <w:color w:val="auto"/>
              </w:rPr>
            </w:pPr>
          </w:p>
        </w:tc>
        <w:tc>
          <w:tcPr>
            <w:tcW w:w="2600" w:type="dxa"/>
            <w:vAlign w:val="bottom"/>
            <w:tcBorders>
              <w:right w:val="single" w:sz="8" w:color="auto"/>
            </w:tcBorders>
          </w:tcPr>
          <w:p>
            <w:pPr>
              <w:jc w:val="center"/>
              <w:ind w:right="18"/>
              <w:spacing w:after="0"/>
              <w:rPr>
                <w:sz w:val="20"/>
                <w:szCs w:val="20"/>
                <w:color w:val="auto"/>
              </w:rPr>
            </w:pPr>
            <w:r>
              <w:rPr>
                <w:rFonts w:ascii="Times New Roman" w:cs="Times New Roman" w:eastAsia="Times New Roman" w:hAnsi="Times New Roman"/>
                <w:sz w:val="18"/>
                <w:szCs w:val="18"/>
                <w:color w:val="auto"/>
                <w:w w:val="99"/>
              </w:rPr>
              <w:t>P-001-000219755-03</w:t>
            </w:r>
          </w:p>
        </w:tc>
        <w:tc>
          <w:tcPr>
            <w:tcW w:w="900" w:type="dxa"/>
            <w:vAlign w:val="bottom"/>
          </w:tcPr>
          <w:p>
            <w:pPr>
              <w:spacing w:after="0"/>
              <w:rPr>
                <w:sz w:val="22"/>
                <w:szCs w:val="22"/>
                <w:color w:val="auto"/>
              </w:rPr>
            </w:pPr>
          </w:p>
        </w:tc>
        <w:tc>
          <w:tcPr>
            <w:tcW w:w="1760" w:type="dxa"/>
            <w:vAlign w:val="bottom"/>
            <w:tcBorders>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6"/>
              </w:rPr>
              <w:t>N/A</w:t>
            </w:r>
          </w:p>
        </w:tc>
      </w:tr>
      <w:tr>
        <w:trPr>
          <w:trHeight w:val="67"/>
        </w:trPr>
        <w:tc>
          <w:tcPr>
            <w:tcW w:w="1740" w:type="dxa"/>
            <w:vAlign w:val="bottom"/>
            <w:tcBorders>
              <w:left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358"/>
        </w:trPr>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UNCOLLECTIBLE ITEMS OF DEPOSIT INSURING AGREEMENT RIDER</w:t>
            </w:r>
          </w:p>
        </w:tc>
        <w:tc>
          <w:tcPr>
            <w:tcW w:w="1760" w:type="dxa"/>
            <w:vAlign w:val="bottom"/>
          </w:tcPr>
          <w:p>
            <w:pPr>
              <w:spacing w:after="0"/>
              <w:rPr>
                <w:sz w:val="24"/>
                <w:szCs w:val="24"/>
                <w:color w:val="auto"/>
              </w:rPr>
            </w:pPr>
          </w:p>
        </w:tc>
      </w:tr>
      <w:tr>
        <w:trPr>
          <w:trHeight w:val="405"/>
        </w:trPr>
        <w:tc>
          <w:tcPr>
            <w:tcW w:w="1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rPr>
              <w:t>UNCOLLECTIBLE ITEMS OF DEPOSIT INSURING AGREEMENT COVERAGE SCHEDULE</w:t>
            </w:r>
          </w:p>
        </w:tc>
        <w:tc>
          <w:tcPr>
            <w:tcW w:w="1760" w:type="dxa"/>
            <w:vAlign w:val="bottom"/>
          </w:tcPr>
          <w:p>
            <w:pPr>
              <w:spacing w:after="0"/>
              <w:rPr>
                <w:sz w:val="24"/>
                <w:szCs w:val="24"/>
                <w:color w:val="auto"/>
              </w:rPr>
            </w:pPr>
          </w:p>
        </w:tc>
      </w:tr>
      <w:tr>
        <w:trPr>
          <w:trHeight w:val="117"/>
        </w:trPr>
        <w:tc>
          <w:tcPr>
            <w:tcW w:w="1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20" w:type="dxa"/>
            <w:vAlign w:val="bottom"/>
            <w:gridSpan w:val="3"/>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Uncollectible Items of Deposit Insuring Agreement</w:t>
            </w:r>
          </w:p>
        </w:tc>
        <w:tc>
          <w:tcPr>
            <w:tcW w:w="160" w:type="dxa"/>
            <w:vAlign w:val="bottom"/>
          </w:tcPr>
          <w:p>
            <w:pPr>
              <w:spacing w:after="0"/>
              <w:rPr>
                <w:sz w:val="10"/>
                <w:szCs w:val="10"/>
                <w:color w:val="auto"/>
              </w:rPr>
            </w:pPr>
          </w:p>
        </w:tc>
        <w:tc>
          <w:tcPr>
            <w:tcW w:w="35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Uncollectible Items of Deposit Insuring Agreement</w:t>
            </w:r>
          </w:p>
        </w:tc>
        <w:tc>
          <w:tcPr>
            <w:tcW w:w="1760" w:type="dxa"/>
            <w:vAlign w:val="bottom"/>
          </w:tcPr>
          <w:p>
            <w:pPr>
              <w:spacing w:after="0"/>
              <w:rPr>
                <w:sz w:val="10"/>
                <w:szCs w:val="10"/>
                <w:color w:val="auto"/>
              </w:rPr>
            </w:pPr>
          </w:p>
        </w:tc>
      </w:tr>
      <w:tr>
        <w:trPr>
          <w:trHeight w:val="187"/>
        </w:trPr>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Single Loss Limit of Liability</w:t>
            </w:r>
          </w:p>
        </w:tc>
        <w:tc>
          <w:tcPr>
            <w:tcW w:w="160" w:type="dxa"/>
            <w:vAlign w:val="bottom"/>
          </w:tcPr>
          <w:p>
            <w:pPr>
              <w:spacing w:after="0"/>
              <w:rPr>
                <w:sz w:val="16"/>
                <w:szCs w:val="16"/>
                <w:color w:val="auto"/>
              </w:rPr>
            </w:pPr>
          </w:p>
        </w:tc>
        <w:tc>
          <w:tcPr>
            <w:tcW w:w="3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Single Loss Deductible</w:t>
            </w:r>
          </w:p>
        </w:tc>
        <w:tc>
          <w:tcPr>
            <w:tcW w:w="1760" w:type="dxa"/>
            <w:vAlign w:val="bottom"/>
          </w:tcPr>
          <w:p>
            <w:pPr>
              <w:spacing w:after="0"/>
              <w:rPr>
                <w:sz w:val="16"/>
                <w:szCs w:val="16"/>
                <w:color w:val="auto"/>
              </w:rPr>
            </w:pPr>
          </w:p>
        </w:tc>
      </w:tr>
      <w:tr>
        <w:trPr>
          <w:trHeight w:val="209"/>
        </w:trPr>
        <w:tc>
          <w:tcPr>
            <w:tcW w:w="1740" w:type="dxa"/>
            <w:vAlign w:val="bottom"/>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560" w:type="dxa"/>
            <w:vAlign w:val="bottom"/>
            <w:tcBorders>
              <w:top w:val="single" w:sz="8" w:color="auto"/>
            </w:tcBorders>
            <w:gridSpan w:val="2"/>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8"/>
              </w:rPr>
              <w:t>$4,000,000</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right w:val="single" w:sz="8" w:color="CCEEFF"/>
            </w:tcBorders>
            <w:shd w:val="clear" w:color="auto" w:fill="CCEEFF"/>
          </w:tcPr>
          <w:p>
            <w:pPr>
              <w:jc w:val="center"/>
              <w:ind w:left="818"/>
              <w:spacing w:after="0"/>
              <w:rPr>
                <w:sz w:val="20"/>
                <w:szCs w:val="20"/>
                <w:color w:val="auto"/>
              </w:rPr>
            </w:pPr>
            <w:r>
              <w:rPr>
                <w:rFonts w:ascii="Times New Roman" w:cs="Times New Roman" w:eastAsia="Times New Roman" w:hAnsi="Times New Roman"/>
                <w:sz w:val="18"/>
                <w:szCs w:val="18"/>
                <w:color w:val="auto"/>
                <w:w w:val="97"/>
              </w:rPr>
              <w:t>$100,000</w:t>
            </w:r>
          </w:p>
        </w:tc>
        <w:tc>
          <w:tcPr>
            <w:tcW w:w="900" w:type="dxa"/>
            <w:vAlign w:val="bottom"/>
            <w:tcBorders>
              <w:top w:val="single" w:sz="8" w:color="auto"/>
            </w:tcBorders>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in the above schedule may also appear on the Declarations.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INSURING AGREEMENTS schedule is amended by the addition of the following new Insuring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UNCOLLECTIBLE ITEMS OF DEPOSIT</w:t>
      </w:r>
    </w:p>
    <w:p>
      <w:pPr>
        <w:spacing w:after="0" w:line="225" w:lineRule="exact"/>
        <w:rPr>
          <w:sz w:val="20"/>
          <w:szCs w:val="20"/>
          <w:color w:val="auto"/>
        </w:rPr>
      </w:pPr>
    </w:p>
    <w:p>
      <w:pPr>
        <w:ind w:left="1020" w:right="280"/>
        <w:spacing w:after="0" w:line="282" w:lineRule="auto"/>
        <w:rPr>
          <w:sz w:val="20"/>
          <w:szCs w:val="20"/>
          <w:color w:val="auto"/>
        </w:rPr>
      </w:pPr>
      <w:r>
        <w:rPr>
          <w:rFonts w:ascii="Times New Roman" w:cs="Times New Roman" w:eastAsia="Times New Roman" w:hAnsi="Times New Roman"/>
          <w:sz w:val="18"/>
          <w:szCs w:val="18"/>
          <w:color w:val="auto"/>
        </w:rPr>
        <w:t>Loss resulting directly from the Insured having, in good faith, credited its customer’s, shareholder’s or subscriber’s account of any item of deposit which proves to be uncollectible, provided that:</w:t>
      </w:r>
    </w:p>
    <w:p>
      <w:pPr>
        <w:spacing w:after="0" w:line="67" w:lineRule="exact"/>
        <w:rPr>
          <w:sz w:val="20"/>
          <w:szCs w:val="20"/>
          <w:color w:val="auto"/>
        </w:rPr>
      </w:pPr>
    </w:p>
    <w:p>
      <w:pPr>
        <w:ind w:left="1460" w:right="20" w:hanging="453"/>
        <w:spacing w:after="0" w:line="282" w:lineRule="auto"/>
        <w:tabs>
          <w:tab w:leader="none" w:pos="1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item was held for a minimum of 5 days before any redemption, withdrawal, dividend payment or share issuance occurs with respect to that item of deposit; and</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 redemption, withdrawal, dividend payment or share issuance with respect to that item of deposit.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Items of Deposit shall not be deemed uncollectible until the Insured’s collection procedures have failed.</w:t>
      </w:r>
    </w:p>
    <w:p>
      <w:pPr>
        <w:spacing w:after="0" w:line="117" w:lineRule="exact"/>
        <w:rPr>
          <w:sz w:val="20"/>
          <w:szCs w:val="20"/>
          <w:color w:val="auto"/>
        </w:rPr>
      </w:pPr>
    </w:p>
    <w:p>
      <w:pPr>
        <w:ind w:left="1020" w:right="240"/>
        <w:spacing w:after="0" w:line="282" w:lineRule="auto"/>
        <w:rPr>
          <w:sz w:val="20"/>
          <w:szCs w:val="20"/>
          <w:color w:val="auto"/>
        </w:rPr>
      </w:pPr>
      <w:r>
        <w:rPr>
          <w:rFonts w:ascii="Times New Roman" w:cs="Times New Roman" w:eastAsia="Times New Roman" w:hAnsi="Times New Roman"/>
          <w:sz w:val="18"/>
          <w:szCs w:val="18"/>
          <w:color w:val="auto"/>
        </w:rPr>
        <w:t>For the purposes of this Insuring Agreement, Item of Deposit means any one or more checks or drafts drawn upon a financial institution in the United States of America.</w:t>
      </w:r>
    </w:p>
    <w:p>
      <w:pPr>
        <w:spacing w:after="0" w:line="67" w:lineRule="exact"/>
        <w:rPr>
          <w:sz w:val="20"/>
          <w:szCs w:val="20"/>
          <w:color w:val="auto"/>
        </w:rPr>
      </w:pPr>
    </w:p>
    <w:p>
      <w:pPr>
        <w:ind w:left="460" w:right="140" w:hanging="452"/>
        <w:spacing w:after="0" w:line="282" w:lineRule="auto"/>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Single Loss Limit of Liability and Single Loss Deductible for the Uncollectible Items of Deposit Insuring Agreement are as set forth in the Declarations or in the above schedule.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1012202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4"/>
        </w:trPr>
        <w:tc>
          <w:tcPr>
            <w:tcW w:w="2900" w:type="dxa"/>
            <w:vAlign w:val="bottom"/>
            <w:tcBorders>
              <w:left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20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7"/>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 DEFINITION OF EMPLOYEE TO INCLUDE AFFILIATED PERSONS RIDER</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 xml:space="preserve">It is agreed that the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the DEFINITIONS section, the Definition of Employee, is amended by the addition of the following:</w:t>
      </w:r>
    </w:p>
    <w:p>
      <w:pPr>
        <w:spacing w:after="0" w:line="51"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color w:val="auto"/>
        </w:rPr>
        <w:t>Employee also means a natural person partner, officer or employee of an investment adviser, underwriter (distributor), transfer agent or shareholder accounting recordkeeper, or administrator for the Insured, but only while performing acts coming within the usual and customary duties of an officer or employee of the Insured or acting as a member of any committee duly elected or appointed to examine, audit or have custody of or access to Property of the Insured; provided that the adviser, underwriter, transfer agent, recordkeeper or administrator is an affiliated person (as defined in Section 2(a) of the Investment Company Act of 1940) of the Insured.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1012203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4"/>
        </w:trPr>
        <w:tc>
          <w:tcPr>
            <w:tcW w:w="2900" w:type="dxa"/>
            <w:vAlign w:val="bottom"/>
            <w:tcBorders>
              <w:left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21</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34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INVESTMENT COMPANY NO DEDUCTIBLE RIDER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 is agreed that the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xml:space="preserve"> are amended as follows:</w:t>
      </w:r>
    </w:p>
    <w:p>
      <w:pPr>
        <w:spacing w:after="0" w:line="135" w:lineRule="exact"/>
        <w:rPr>
          <w:sz w:val="20"/>
          <w:szCs w:val="20"/>
          <w:color w:val="auto"/>
        </w:rPr>
      </w:pPr>
    </w:p>
    <w:p>
      <w:pPr>
        <w:ind w:left="460" w:hanging="452"/>
        <w:spacing w:after="0"/>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section is amended by the addition of the following Definition:</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Investment Company means any investment company registered under the Investment Company Act of 1940.</w:t>
      </w:r>
    </w:p>
    <w:p>
      <w:pPr>
        <w:spacing w:after="0" w:line="252" w:lineRule="exact"/>
        <w:rPr>
          <w:sz w:val="20"/>
          <w:szCs w:val="20"/>
          <w:color w:val="auto"/>
        </w:rPr>
      </w:pPr>
    </w:p>
    <w:p>
      <w:pPr>
        <w:ind w:left="460" w:hanging="452"/>
        <w:spacing w:after="0"/>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DEDUCTIBLE AMOUNT section is amended by the addition of the following:</w:t>
      </w:r>
    </w:p>
    <w:p>
      <w:pPr>
        <w:spacing w:after="0" w:line="117" w:lineRule="exact"/>
        <w:rPr>
          <w:sz w:val="20"/>
          <w:szCs w:val="20"/>
          <w:color w:val="auto"/>
        </w:rPr>
      </w:pPr>
    </w:p>
    <w:p>
      <w:pPr>
        <w:ind w:left="1020" w:right="30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there shall be no Deductible Amount applicable to any loss under Insuring Agreement A sustained by any Investment Company named as an Insured under this bond.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ectPr>
          <w:pgSz w:w="11900" w:h="16838" w:orient="portrait"/>
          <w:cols w:equalWidth="0" w:num="1">
            <w:col w:w="11240"/>
          </w:cols>
          <w:pgMar w:left="320" w:top="27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AXIS 1012214 0119</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Includes copyright material of The Surety Association of America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3">
            <w:col w:w="3000" w:space="720"/>
            <w:col w:w="5980" w:space="720"/>
            <w:col w:w="820"/>
          </w:cols>
          <w:pgMar w:left="320" w:top="270" w:right="339" w:bottom="1440" w:gutter="0" w:footer="0" w:header="0"/>
          <w:type w:val="continuous"/>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4"/>
        </w:trPr>
        <w:tc>
          <w:tcPr>
            <w:tcW w:w="2900" w:type="dxa"/>
            <w:vAlign w:val="bottom"/>
            <w:tcBorders>
              <w:left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22</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SOCIAL ENGINEERING FRAUD INSURING AGREEMENT WITH OR WITHOUT OFFICIAL AUTHORIZATION RIDER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SOCIAL ENGINEERING FRAUD INSURING AGREEMENT COVERAGE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17780</wp:posOffset>
            </wp:positionV>
            <wp:extent cx="4843145" cy="282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43145" cy="28257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p>
      <w:pPr>
        <w:spacing w:after="0" w:line="3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Social Engineering Fraud Insuring Agreement</w:t>
      </w:r>
    </w:p>
    <w:p>
      <w:pPr>
        <w:spacing w:after="0" w:line="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Aggregate Limit of Liability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Social Engineering Fraud Insuring Agreement</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Single Loss Limit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5715</wp:posOffset>
            </wp:positionV>
            <wp:extent cx="4843145"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43145" cy="274320"/>
                    </a:xfrm>
                    <a:prstGeom prst="rect">
                      <a:avLst/>
                    </a:prstGeom>
                    <a:noFill/>
                  </pic:spPr>
                </pic:pic>
              </a:graphicData>
            </a:graphic>
          </wp:anchor>
        </w:drawing>
      </w:r>
    </w:p>
    <w:p>
      <w:pPr>
        <w:ind w:left="1940"/>
        <w:spacing w:after="0"/>
        <w:rPr>
          <w:sz w:val="20"/>
          <w:szCs w:val="20"/>
          <w:color w:val="auto"/>
        </w:rPr>
      </w:pPr>
      <w:r>
        <w:rPr>
          <w:rFonts w:ascii="Times New Roman" w:cs="Times New Roman" w:eastAsia="Times New Roman" w:hAnsi="Times New Roman"/>
          <w:sz w:val="17"/>
          <w:szCs w:val="17"/>
          <w:color w:val="auto"/>
        </w:rPr>
        <w:t>$100,000 without Official Authorization $100,000</w:t>
      </w:r>
    </w:p>
    <w:p>
      <w:pPr>
        <w:spacing w:after="0" w:line="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with Official Authorization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Social Engineering Fraud Insuring Agreement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Prior Acts Date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$100,000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Engineering Fraud Insuring</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Agreement Single Loss Deductible</w:t>
      </w:r>
    </w:p>
    <w:p>
      <w:pPr>
        <w:spacing w:after="0" w:line="99"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$100,000</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04/01/2021</w:t>
      </w:r>
    </w:p>
    <w:p>
      <w:pPr>
        <w:spacing w:after="0" w:line="326" w:lineRule="exact"/>
        <w:rPr>
          <w:sz w:val="20"/>
          <w:szCs w:val="20"/>
          <w:color w:val="auto"/>
        </w:rPr>
      </w:pPr>
    </w:p>
    <w:p>
      <w:pPr>
        <w:sectPr>
          <w:pgSz w:w="11900" w:h="16838" w:orient="portrait"/>
          <w:cols w:equalWidth="0" w:num="2">
            <w:col w:w="5640" w:space="720"/>
            <w:col w:w="4880"/>
          </w:cols>
          <w:pgMar w:left="320" w:top="27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INSURING AGREEMENTS section is amended by the addition of the following new Insuring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SOCIAL ENGINEERING FRAUD</w:t>
      </w:r>
    </w:p>
    <w:p>
      <w:pPr>
        <w:spacing w:after="0" w:line="225" w:lineRule="exact"/>
        <w:rPr>
          <w:sz w:val="20"/>
          <w:szCs w:val="20"/>
          <w:color w:val="auto"/>
        </w:rPr>
      </w:pPr>
    </w:p>
    <w:p>
      <w:pPr>
        <w:jc w:val="both"/>
        <w:ind w:left="1020" w:right="600"/>
        <w:spacing w:after="0" w:line="266" w:lineRule="auto"/>
        <w:rPr>
          <w:sz w:val="20"/>
          <w:szCs w:val="20"/>
          <w:color w:val="auto"/>
        </w:rPr>
      </w:pPr>
      <w:r>
        <w:rPr>
          <w:rFonts w:ascii="Times New Roman" w:cs="Times New Roman" w:eastAsia="Times New Roman" w:hAnsi="Times New Roman"/>
          <w:sz w:val="18"/>
          <w:szCs w:val="18"/>
          <w:color w:val="auto"/>
        </w:rPr>
        <w:t>Loss resulting directly from an Employee having, in good faith, transferred, paid, or delivered Money or Securities from the Insured’s account to a person or account outside of the Insured’s control, in reliance upon a Social Engineering Fraud Instruction directing such transfer, payment, or delivery of Money or Securities.</w:t>
      </w:r>
    </w:p>
    <w:p>
      <w:pPr>
        <w:spacing w:after="0" w:line="81" w:lineRule="exact"/>
        <w:rPr>
          <w:sz w:val="20"/>
          <w:szCs w:val="20"/>
          <w:color w:val="auto"/>
        </w:rPr>
      </w:pPr>
    </w:p>
    <w:p>
      <w:pPr>
        <w:ind w:left="1020" w:right="180" w:hanging="1012"/>
        <w:spacing w:after="0" w:line="383" w:lineRule="auto"/>
        <w:tabs>
          <w:tab w:leader="none" w:pos="4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coverage provided by this Rider, the DEFINITIONS section is amended by the addition of the following new definitions: Authorized Transfer Agent means:</w:t>
      </w:r>
    </w:p>
    <w:p>
      <w:pPr>
        <w:ind w:left="1460" w:hanging="453"/>
        <w:spacing w:after="0"/>
        <w:tabs>
          <w:tab w:leader="none" w:pos="14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officer, partner, member, or sole proprietor of the Insured;</w:t>
      </w:r>
    </w:p>
    <w:p>
      <w:pPr>
        <w:spacing w:after="0" w:line="130" w:lineRule="exact"/>
        <w:rPr>
          <w:rFonts w:ascii="Times New Roman" w:cs="Times New Roman" w:eastAsia="Times New Roman" w:hAnsi="Times New Roman"/>
          <w:sz w:val="18"/>
          <w:szCs w:val="18"/>
          <w:color w:val="auto"/>
        </w:rPr>
      </w:pPr>
    </w:p>
    <w:p>
      <w:pPr>
        <w:ind w:left="1460" w:right="40" w:hanging="453"/>
        <w:spacing w:after="0" w:line="282" w:lineRule="auto"/>
        <w:tabs>
          <w:tab w:leader="none" w:pos="14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who is authorized by the Insured to instruct other Employees to transfer, pay or deliver the Insured’s Money or Securities; or</w:t>
      </w:r>
    </w:p>
    <w:p>
      <w:pPr>
        <w:spacing w:after="0" w:line="67" w:lineRule="exact"/>
        <w:rPr>
          <w:rFonts w:ascii="Times New Roman" w:cs="Times New Roman" w:eastAsia="Times New Roman" w:hAnsi="Times New Roman"/>
          <w:sz w:val="18"/>
          <w:szCs w:val="18"/>
          <w:color w:val="auto"/>
        </w:rPr>
      </w:pPr>
    </w:p>
    <w:p>
      <w:pPr>
        <w:ind w:left="1460" w:right="260" w:hanging="453"/>
        <w:spacing w:after="0" w:line="282" w:lineRule="auto"/>
        <w:tabs>
          <w:tab w:leader="none" w:pos="14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a Vendor authorized by such Vendor and the Insured to direct the Insured’s Employees to transfer, pay, or deliver the Insured’s Money or Securities in accordance with the terms of a written agreement between the Vendor and the Insured.</w:t>
      </w:r>
    </w:p>
    <w:p>
      <w:pPr>
        <w:spacing w:after="0" w:line="54" w:lineRule="exact"/>
        <w:rPr>
          <w:sz w:val="20"/>
          <w:szCs w:val="20"/>
          <w:color w:val="auto"/>
        </w:rPr>
      </w:pPr>
    </w:p>
    <w:p>
      <w:pPr>
        <w:ind w:left="1020" w:right="20"/>
        <w:spacing w:after="0" w:line="258" w:lineRule="auto"/>
        <w:rPr>
          <w:sz w:val="20"/>
          <w:szCs w:val="20"/>
          <w:color w:val="auto"/>
        </w:rPr>
      </w:pPr>
      <w:r>
        <w:rPr>
          <w:rFonts w:ascii="Times New Roman" w:cs="Times New Roman" w:eastAsia="Times New Roman" w:hAnsi="Times New Roman"/>
          <w:sz w:val="18"/>
          <w:szCs w:val="18"/>
          <w:color w:val="auto"/>
        </w:rPr>
        <w:t>Official Authorization means a valid handwritten signature of an actual Employee, or an electronic record of entry and approval into a wire transfer system, accounting system, or similar system which is capable of maintaining and reproducing an audit trail, which demonstrates that an actual Employee (other than the Employee actually making the transfer, payment, or delivery) approved a transaction within their authority. A Forgery is not an Official Authorization. Official Authorization shall not include a typed name in any form (including but not limited to email, letterhead, or pre-printed material), but shall include electronic reproductions or handwritten signatures in any form.</w:t>
      </w:r>
    </w:p>
    <w:p>
      <w:pPr>
        <w:spacing w:after="0" w:line="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Securities means Certificated Securities or Uncertificated Securities.</w:t>
      </w:r>
    </w:p>
    <w:p>
      <w:pPr>
        <w:spacing w:after="0" w:line="117" w:lineRule="exact"/>
        <w:rPr>
          <w:sz w:val="20"/>
          <w:szCs w:val="20"/>
          <w:color w:val="auto"/>
        </w:rPr>
      </w:pPr>
    </w:p>
    <w:p>
      <w:pPr>
        <w:ind w:left="1020" w:right="20"/>
        <w:spacing w:after="0" w:line="282" w:lineRule="auto"/>
        <w:rPr>
          <w:sz w:val="20"/>
          <w:szCs w:val="20"/>
          <w:color w:val="auto"/>
        </w:rPr>
      </w:pPr>
      <w:r>
        <w:rPr>
          <w:rFonts w:ascii="Times New Roman" w:cs="Times New Roman" w:eastAsia="Times New Roman" w:hAnsi="Times New Roman"/>
          <w:sz w:val="18"/>
          <w:szCs w:val="18"/>
          <w:color w:val="auto"/>
        </w:rPr>
        <w:t>Social Engineering Fraud Instruction means a telephonic, written, or electronic instruction communicated to an Employee by a natural person purporting to be an Authorized Transfer Agent, or by an individual acting in</w:t>
      </w:r>
    </w:p>
    <w:p>
      <w:pPr>
        <w:spacing w:after="0" w:line="92"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1012231 0221</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3</w:t>
      </w:r>
    </w:p>
    <w:p>
      <w:pPr>
        <w:sectPr>
          <w:pgSz w:w="11900" w:h="16838" w:orient="portrait"/>
          <w:cols w:equalWidth="0" w:num="1">
            <w:col w:w="11240"/>
          </w:cols>
          <w:pgMar w:left="320" w:top="270" w:right="339" w:bottom="1440" w:gutter="0" w:footer="0" w:header="0"/>
          <w:type w:val="continuous"/>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20"/>
        <w:spacing w:after="0" w:line="261" w:lineRule="auto"/>
        <w:rPr>
          <w:sz w:val="20"/>
          <w:szCs w:val="20"/>
          <w:color w:val="auto"/>
        </w:rPr>
      </w:pPr>
      <w:r>
        <w:rPr>
          <w:rFonts w:ascii="Times New Roman" w:cs="Times New Roman" w:eastAsia="Times New Roman" w:hAnsi="Times New Roman"/>
          <w:sz w:val="18"/>
          <w:szCs w:val="18"/>
          <w:color w:val="auto"/>
        </w:rPr>
        <w:t>collusion with such person, for the purpose of intentionally misleading an Employee to transfer, pay, or deliver the Insured’s Money or Securities, but which instruction was not actually made by an Authorized Transfer Agent; provided, however, that Social Engineering Fraud Instruction shall not include any such instruction communicated by an employee of a Vendor who was acting in collusion with any third-party in communicating such instruction.</w:t>
      </w:r>
    </w:p>
    <w:p>
      <w:pPr>
        <w:spacing w:after="0" w:line="72" w:lineRule="exact"/>
        <w:rPr>
          <w:sz w:val="20"/>
          <w:szCs w:val="20"/>
          <w:color w:val="auto"/>
        </w:rPr>
      </w:pPr>
    </w:p>
    <w:p>
      <w:pPr>
        <w:ind w:left="1020" w:right="40"/>
        <w:spacing w:after="0" w:line="266" w:lineRule="auto"/>
        <w:rPr>
          <w:sz w:val="20"/>
          <w:szCs w:val="20"/>
          <w:color w:val="auto"/>
        </w:rPr>
      </w:pPr>
      <w:r>
        <w:rPr>
          <w:rFonts w:ascii="Times New Roman" w:cs="Times New Roman" w:eastAsia="Times New Roman" w:hAnsi="Times New Roman"/>
          <w:sz w:val="18"/>
          <w:szCs w:val="18"/>
          <w:color w:val="auto"/>
        </w:rPr>
        <w:t>Vendor means any entity or natural person that provides goods or support services to the Insured pursuant to a written agreement between the Vendor and the Insured. Vendor does not include any customer, automated clearing house, custodian, financial institution, administrator, counter-party, or any similar entity.</w:t>
      </w:r>
    </w:p>
    <w:p>
      <w:pPr>
        <w:spacing w:after="0" w:line="81" w:lineRule="exact"/>
        <w:rPr>
          <w:sz w:val="20"/>
          <w:szCs w:val="20"/>
          <w:color w:val="auto"/>
        </w:rPr>
      </w:pPr>
    </w:p>
    <w:p>
      <w:pPr>
        <w:ind w:left="460" w:right="180" w:hanging="452"/>
        <w:spacing w:after="0" w:line="282"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coverage provided by this Rider, and solely with respect to bond forms 15 and 24, the DEFINITIONS section is amended by the addition of the following new definition:</w:t>
      </w:r>
    </w:p>
    <w:p>
      <w:pPr>
        <w:spacing w:after="0" w:line="54" w:lineRule="exact"/>
        <w:rPr>
          <w:sz w:val="20"/>
          <w:szCs w:val="20"/>
          <w:color w:val="auto"/>
        </w:rPr>
      </w:pPr>
    </w:p>
    <w:p>
      <w:pPr>
        <w:ind w:left="1020" w:right="40"/>
        <w:spacing w:after="0" w:line="282" w:lineRule="auto"/>
        <w:rPr>
          <w:sz w:val="20"/>
          <w:szCs w:val="20"/>
          <w:color w:val="auto"/>
        </w:rPr>
      </w:pPr>
      <w:r>
        <w:rPr>
          <w:rFonts w:ascii="Times New Roman" w:cs="Times New Roman" w:eastAsia="Times New Roman" w:hAnsi="Times New Roman"/>
          <w:sz w:val="18"/>
          <w:szCs w:val="18"/>
          <w:color w:val="auto"/>
        </w:rPr>
        <w:t>Uncertificated Security means a share, participation or other interest in property of or an enterprise of the issuer or an obligation of the issuer, which is:</w:t>
      </w:r>
    </w:p>
    <w:p>
      <w:pPr>
        <w:spacing w:after="0" w:line="67" w:lineRule="exact"/>
        <w:rPr>
          <w:sz w:val="20"/>
          <w:szCs w:val="20"/>
          <w:color w:val="auto"/>
        </w:rPr>
      </w:pPr>
    </w:p>
    <w:p>
      <w:pPr>
        <w:ind w:left="1460" w:right="160" w:hanging="453"/>
        <w:spacing w:after="0" w:line="282" w:lineRule="auto"/>
        <w:tabs>
          <w:tab w:leader="none" w:pos="14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represented by an instrument and the transfer of which is registered upon books maintained for that purpose by or on behalf of the issuer;</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and</w:t>
      </w:r>
    </w:p>
    <w:p>
      <w:pPr>
        <w:spacing w:after="0" w:line="130" w:lineRule="exact"/>
        <w:rPr>
          <w:rFonts w:ascii="Times New Roman" w:cs="Times New Roman" w:eastAsia="Times New Roman" w:hAnsi="Times New Roman"/>
          <w:sz w:val="18"/>
          <w:szCs w:val="18"/>
          <w:color w:val="auto"/>
        </w:rPr>
      </w:pPr>
    </w:p>
    <w:p>
      <w:pPr>
        <w:ind w:right="940" w:firstLine="1007"/>
        <w:spacing w:after="0" w:line="391" w:lineRule="auto"/>
        <w:tabs>
          <w:tab w:leader="none" w:pos="144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 D. The EXCLUSIONS section, Exclusion (h), is deleted in its entirety and replaced by the following:</w:t>
      </w:r>
    </w:p>
    <w:p>
      <w:pPr>
        <w:spacing w:after="0" w:line="1" w:lineRule="exact"/>
        <w:rPr>
          <w:sz w:val="20"/>
          <w:szCs w:val="20"/>
          <w:color w:val="auto"/>
        </w:rPr>
      </w:pPr>
    </w:p>
    <w:p>
      <w:pPr>
        <w:ind w:left="1460" w:hanging="453"/>
        <w:spacing w:after="0"/>
        <w:tabs>
          <w:tab w:leader="none" w:pos="14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caused by an Employee, except when covered under: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Insuring Agreement (A);</w:t>
      </w:r>
    </w:p>
    <w:p>
      <w:pPr>
        <w:spacing w:after="0" w:line="130" w:lineRule="exact"/>
        <w:rPr>
          <w:rFonts w:ascii="Times New Roman" w:cs="Times New Roman" w:eastAsia="Times New Roman" w:hAnsi="Times New Roman"/>
          <w:sz w:val="18"/>
          <w:szCs w:val="18"/>
          <w:color w:val="auto"/>
        </w:rPr>
      </w:pPr>
    </w:p>
    <w:p>
      <w:pPr>
        <w:ind w:left="2020" w:right="760" w:hanging="554"/>
        <w:spacing w:after="0" w:line="282" w:lineRule="auto"/>
        <w:tabs>
          <w:tab w:leader="none" w:pos="202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Insuring Agreement (B) or (C) and resulting directly from misplacement, mysterious unexplainable disappearance, or destruction of or damage to Property; or</w:t>
      </w:r>
    </w:p>
    <w:p>
      <w:pPr>
        <w:spacing w:after="0" w:line="67" w:lineRule="exact"/>
        <w:rPr>
          <w:rFonts w:ascii="Times New Roman" w:cs="Times New Roman" w:eastAsia="Times New Roman" w:hAnsi="Times New Roman"/>
          <w:sz w:val="18"/>
          <w:szCs w:val="18"/>
          <w:color w:val="auto"/>
        </w:rPr>
      </w:pPr>
    </w:p>
    <w:p>
      <w:pPr>
        <w:ind w:right="1060" w:firstLine="1466"/>
        <w:spacing w:after="0" w:line="383" w:lineRule="auto"/>
        <w:tabs>
          <w:tab w:leader="none" w:pos="2011"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Social Engineering Fraud Insuring Agreement and resulting directly from unintentional acts of the Employee. E. The EXCLUSIONS section is amended by the addition of the following Exclusion:</w:t>
      </w:r>
    </w:p>
    <w:p>
      <w:pPr>
        <w:spacing w:after="0" w:line="1" w:lineRule="exact"/>
        <w:rPr>
          <w:sz w:val="20"/>
          <w:szCs w:val="20"/>
          <w:color w:val="auto"/>
        </w:rPr>
      </w:pPr>
    </w:p>
    <w:p>
      <w:pPr>
        <w:ind w:left="1020" w:right="180"/>
        <w:spacing w:after="0" w:line="282" w:lineRule="auto"/>
        <w:rPr>
          <w:sz w:val="20"/>
          <w:szCs w:val="20"/>
          <w:color w:val="auto"/>
        </w:rPr>
      </w:pPr>
      <w:r>
        <w:rPr>
          <w:rFonts w:ascii="Times New Roman" w:cs="Times New Roman" w:eastAsia="Times New Roman" w:hAnsi="Times New Roman"/>
          <w:sz w:val="18"/>
          <w:szCs w:val="18"/>
          <w:color w:val="auto"/>
        </w:rPr>
        <w:t>loss resulting directly or indirectly from an Employee relying upon and/or acting upon a Social Engineering Fraud Instruction, except when covered under the Social Engineering Fraud Insuring Agreement.</w:t>
      </w:r>
    </w:p>
    <w:p>
      <w:pPr>
        <w:spacing w:after="0" w:line="67" w:lineRule="exact"/>
        <w:rPr>
          <w:sz w:val="20"/>
          <w:szCs w:val="20"/>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 OF LIABILITY section is amended by the addition of the following: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Social Engineering Fraud Insuring Agreement Single Loss Limit of Liability with Official Authorization</w:t>
      </w:r>
    </w:p>
    <w:p>
      <w:pPr>
        <w:spacing w:after="0" w:line="225" w:lineRule="exact"/>
        <w:rPr>
          <w:sz w:val="20"/>
          <w:szCs w:val="20"/>
          <w:color w:val="auto"/>
        </w:rPr>
      </w:pPr>
    </w:p>
    <w:p>
      <w:pPr>
        <w:ind w:left="1020" w:right="80"/>
        <w:spacing w:after="0" w:line="261" w:lineRule="auto"/>
        <w:rPr>
          <w:sz w:val="20"/>
          <w:szCs w:val="20"/>
          <w:color w:val="auto"/>
        </w:rPr>
      </w:pPr>
      <w:r>
        <w:rPr>
          <w:rFonts w:ascii="Times New Roman" w:cs="Times New Roman" w:eastAsia="Times New Roman" w:hAnsi="Times New Roman"/>
          <w:sz w:val="18"/>
          <w:szCs w:val="18"/>
          <w:color w:val="auto"/>
        </w:rPr>
        <w:t xml:space="preserve">Subject to any applicable Aggregate Limit of Liability, the Social Engineering Fraud Insuring Agreement Single Loss Limit of Liability with Official Authorization set forth in the </w:t>
      </w:r>
      <w:r>
        <w:rPr>
          <w:rFonts w:ascii="Times New Roman" w:cs="Times New Roman" w:eastAsia="Times New Roman" w:hAnsi="Times New Roman"/>
          <w:sz w:val="18"/>
          <w:szCs w:val="18"/>
          <w:i w:val="1"/>
          <w:iCs w:val="1"/>
          <w:color w:val="auto"/>
        </w:rPr>
        <w:t>SOCIAL ENGINEERING FRAUD INSURING AGREEMENT COVERAGE SCHEDULE</w:t>
      </w:r>
      <w:r>
        <w:rPr>
          <w:rFonts w:ascii="Times New Roman" w:cs="Times New Roman" w:eastAsia="Times New Roman" w:hAnsi="Times New Roman"/>
          <w:sz w:val="18"/>
          <w:szCs w:val="18"/>
          <w:color w:val="auto"/>
        </w:rPr>
        <w:t xml:space="preserve"> shall apply to each Single Loss covered under the Social Engineering Fraud Insuring Agreement, provided that the following conditions precedent are satisfied:</w:t>
      </w:r>
    </w:p>
    <w:p>
      <w:pPr>
        <w:spacing w:after="0" w:line="85" w:lineRule="exact"/>
        <w:rPr>
          <w:sz w:val="20"/>
          <w:szCs w:val="20"/>
          <w:color w:val="auto"/>
        </w:rPr>
      </w:pPr>
    </w:p>
    <w:p>
      <w:pPr>
        <w:ind w:left="1460" w:right="240" w:hanging="453"/>
        <w:spacing w:after="0" w:line="266" w:lineRule="auto"/>
        <w:tabs>
          <w:tab w:leader="none" w:pos="1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obtained Official Authorization from at least two Employees, one of whom is an officer of or serves in a supervisory capacity with the Insured, and who was not the Employee who initially received the Social Engineering Fraud Instruction which was sent by a person purporting to be an Authorized Transfer Agent; and</w:t>
      </w:r>
    </w:p>
    <w:p>
      <w:pPr>
        <w:spacing w:after="0" w:line="81"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loss occurred on or after the Social Engineering Fraud Increased Limits Date for Loss with Official Authorization set forth in the</w:t>
      </w:r>
    </w:p>
    <w:p>
      <w:pPr>
        <w:spacing w:after="0" w:line="27"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SOCIAL ENGINEERING FRAUD INSURING AGREEMENT COVERAGE SCHEDULE.</w:t>
      </w:r>
    </w:p>
    <w:p>
      <w:pPr>
        <w:spacing w:after="0" w:line="137" w:lineRule="exact"/>
        <w:rPr>
          <w:sz w:val="20"/>
          <w:szCs w:val="20"/>
          <w:color w:val="auto"/>
        </w:rPr>
      </w:pPr>
    </w:p>
    <w:p>
      <w:pPr>
        <w:spacing w:after="0"/>
        <w:tabs>
          <w:tab w:leader="none" w:pos="3640" w:val="left"/>
          <w:tab w:leader="none" w:pos="10400" w:val="left"/>
        </w:tabs>
        <w:rPr>
          <w:sz w:val="20"/>
          <w:szCs w:val="20"/>
          <w:color w:val="auto"/>
        </w:rPr>
      </w:pPr>
      <w:r>
        <w:rPr>
          <w:rFonts w:ascii="Times New Roman" w:cs="Times New Roman" w:eastAsia="Times New Roman" w:hAnsi="Times New Roman"/>
          <w:sz w:val="18"/>
          <w:szCs w:val="18"/>
          <w:color w:val="auto"/>
        </w:rPr>
        <w:t>AXIS 1012231 0221</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2 of 3</w:t>
      </w:r>
    </w:p>
    <w:p>
      <w:pPr>
        <w:sectPr>
          <w:pgSz w:w="11900" w:h="16838" w:orient="portrait"/>
          <w:cols w:equalWidth="0" w:num="1">
            <w:col w:w="11240"/>
          </w:cols>
          <w:pgMar w:left="320" w:top="27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Social Engineering Fraud Insuring Agreement Single Loss Limit of Liability without Official Authorization</w:t>
      </w:r>
    </w:p>
    <w:p>
      <w:pPr>
        <w:spacing w:after="0" w:line="225" w:lineRule="exact"/>
        <w:rPr>
          <w:sz w:val="20"/>
          <w:szCs w:val="20"/>
          <w:color w:val="auto"/>
        </w:rPr>
      </w:pPr>
    </w:p>
    <w:p>
      <w:pPr>
        <w:ind w:left="1020" w:right="80"/>
        <w:spacing w:after="0" w:line="261" w:lineRule="auto"/>
        <w:rPr>
          <w:sz w:val="20"/>
          <w:szCs w:val="20"/>
          <w:color w:val="auto"/>
        </w:rPr>
      </w:pPr>
      <w:r>
        <w:rPr>
          <w:rFonts w:ascii="Times New Roman" w:cs="Times New Roman" w:eastAsia="Times New Roman" w:hAnsi="Times New Roman"/>
          <w:sz w:val="18"/>
          <w:szCs w:val="18"/>
          <w:color w:val="auto"/>
        </w:rPr>
        <w:t xml:space="preserve">Subject to any applicable Aggregate Limit of Liability, the Underwriter’s liability for each Single Loss covered under the Social Engineering Fraud Insuring Agreement shall not exceed the Single Loss Limit of Liability without Official Authorization set forth in the </w:t>
      </w:r>
      <w:r>
        <w:rPr>
          <w:rFonts w:ascii="Times New Roman" w:cs="Times New Roman" w:eastAsia="Times New Roman" w:hAnsi="Times New Roman"/>
          <w:sz w:val="18"/>
          <w:szCs w:val="18"/>
          <w:i w:val="1"/>
          <w:iCs w:val="1"/>
          <w:color w:val="auto"/>
        </w:rPr>
        <w:t>SOCIAL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ENGINEERING FRAUD INSURING AGREEMENT COVERAGE SCHEDULE </w:t>
      </w:r>
      <w:r>
        <w:rPr>
          <w:rFonts w:ascii="Times New Roman" w:cs="Times New Roman" w:eastAsia="Times New Roman" w:hAnsi="Times New Roman"/>
          <w:sz w:val="18"/>
          <w:szCs w:val="18"/>
          <w:color w:val="auto"/>
        </w:rPr>
        <w:t>if one or both of the conditions precedent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paragraph are not satisfied.</w:t>
      </w:r>
    </w:p>
    <w:p>
      <w:pPr>
        <w:spacing w:after="0" w:line="85" w:lineRule="exact"/>
        <w:rPr>
          <w:sz w:val="20"/>
          <w:szCs w:val="20"/>
          <w:color w:val="auto"/>
        </w:rPr>
      </w:pPr>
    </w:p>
    <w:p>
      <w:pPr>
        <w:ind w:left="460" w:hanging="452"/>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 OF LIABILITY section is amended by the addition of the following: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Social Engineering Fraud Insuring Agreement Aggregate Limit of Liability</w:t>
      </w:r>
    </w:p>
    <w:p>
      <w:pPr>
        <w:spacing w:after="0" w:line="117" w:lineRule="exact"/>
        <w:rPr>
          <w:sz w:val="20"/>
          <w:szCs w:val="20"/>
          <w:color w:val="auto"/>
        </w:rPr>
      </w:pPr>
    </w:p>
    <w:p>
      <w:pPr>
        <w:ind w:left="1020" w:right="200"/>
        <w:spacing w:after="0" w:line="258" w:lineRule="auto"/>
        <w:rPr>
          <w:sz w:val="20"/>
          <w:szCs w:val="20"/>
          <w:color w:val="auto"/>
        </w:rPr>
      </w:pPr>
      <w:r>
        <w:rPr>
          <w:rFonts w:ascii="Times New Roman" w:cs="Times New Roman" w:eastAsia="Times New Roman" w:hAnsi="Times New Roman"/>
          <w:sz w:val="18"/>
          <w:szCs w:val="18"/>
          <w:color w:val="auto"/>
        </w:rPr>
        <w:t xml:space="preserve">The Underwriter’s total liability for all losses covered under the Social Engineering Fraud Insuring Agreement and discovered during the Bond Period shown in Item 2 of the Declarations shall not exceed the Social Engineering Fraud Insuring Agreement Aggregate Limit of Liability set forth in the </w:t>
      </w:r>
      <w:r>
        <w:rPr>
          <w:rFonts w:ascii="Times New Roman" w:cs="Times New Roman" w:eastAsia="Times New Roman" w:hAnsi="Times New Roman"/>
          <w:sz w:val="18"/>
          <w:szCs w:val="18"/>
          <w:i w:val="1"/>
          <w:iCs w:val="1"/>
          <w:color w:val="auto"/>
        </w:rPr>
        <w:t>SOCIAL ENGINEERING FRAUD INSURING AGREEMENT COVERAGE SCHEDULE</w:t>
      </w:r>
      <w:r>
        <w:rPr>
          <w:rFonts w:ascii="Times New Roman" w:cs="Times New Roman" w:eastAsia="Times New Roman" w:hAnsi="Times New Roman"/>
          <w:sz w:val="18"/>
          <w:szCs w:val="18"/>
          <w:color w:val="auto"/>
        </w:rPr>
        <w:t>. The Social Engineering Fraud Insuring Agreement Aggregate Limit of Liability shall be reduced by the amount of any payment made under the terms of the Social Engineering Fraud Insuring Agreement.</w:t>
      </w:r>
    </w:p>
    <w:p>
      <w:pPr>
        <w:spacing w:after="0" w:line="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Upon exhaustion of the Social Engineering Fraud Insuring Agreement Aggregate Limit of Liability by such payments:</w:t>
      </w:r>
    </w:p>
    <w:p>
      <w:pPr>
        <w:spacing w:after="0" w:line="131" w:lineRule="exact"/>
        <w:rPr>
          <w:sz w:val="20"/>
          <w:szCs w:val="20"/>
          <w:color w:val="auto"/>
        </w:rPr>
      </w:pPr>
    </w:p>
    <w:p>
      <w:pPr>
        <w:ind w:left="1460" w:right="200" w:hanging="453"/>
        <w:spacing w:after="0" w:line="282" w:lineRule="auto"/>
        <w:tabs>
          <w:tab w:leader="none" w:pos="1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no further liability for loss or losses under the Social Engineering Fraud Insuring Agreement regardless of when discovered and whether or not previously reported to the Underwriter, and</w:t>
      </w:r>
    </w:p>
    <w:p>
      <w:pPr>
        <w:spacing w:after="0" w:line="67" w:lineRule="exact"/>
        <w:rPr>
          <w:rFonts w:ascii="Times New Roman" w:cs="Times New Roman" w:eastAsia="Times New Roman" w:hAnsi="Times New Roman"/>
          <w:sz w:val="18"/>
          <w:szCs w:val="18"/>
          <w:color w:val="auto"/>
        </w:rPr>
      </w:pPr>
    </w:p>
    <w:p>
      <w:pPr>
        <w:ind w:left="1460" w:hanging="453"/>
        <w:spacing w:after="0" w:line="261" w:lineRule="auto"/>
        <w:tabs>
          <w:tab w:leader="none" w:pos="1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Social Engineering Fraud Insuring Agreement, the Underwriter shall have no obligation under General Agreement F to continue the defense of the Insured, and upon notice by the Underwriter to the Insured that the Social Engineering Fraud Insuring Agreement Aggregate Limit of Liability has been exhausted, the Insured shall assume all responsibility for its defense at its own cost.</w:t>
      </w:r>
    </w:p>
    <w:p>
      <w:pPr>
        <w:spacing w:after="0" w:line="72" w:lineRule="exact"/>
        <w:rPr>
          <w:sz w:val="20"/>
          <w:szCs w:val="20"/>
          <w:color w:val="auto"/>
        </w:rPr>
      </w:pPr>
    </w:p>
    <w:p>
      <w:pPr>
        <w:ind w:left="1020" w:right="420"/>
        <w:spacing w:after="0" w:line="282" w:lineRule="auto"/>
        <w:rPr>
          <w:sz w:val="20"/>
          <w:szCs w:val="20"/>
          <w:color w:val="auto"/>
        </w:rPr>
      </w:pPr>
      <w:r>
        <w:rPr>
          <w:rFonts w:ascii="Times New Roman" w:cs="Times New Roman" w:eastAsia="Times New Roman" w:hAnsi="Times New Roman"/>
          <w:sz w:val="18"/>
          <w:szCs w:val="18"/>
          <w:color w:val="auto"/>
        </w:rPr>
        <w:t>The Social Engineering Fraud Insuring Agreement Aggregate Limit of Liability is part of, and not in addition to, the Aggregate Limit of Liability shown in Item 3 of the Declarations.</w:t>
      </w:r>
    </w:p>
    <w:p>
      <w:pPr>
        <w:spacing w:after="0" w:line="54" w:lineRule="exact"/>
        <w:rPr>
          <w:sz w:val="20"/>
          <w:szCs w:val="20"/>
          <w:color w:val="auto"/>
        </w:rPr>
      </w:pPr>
    </w:p>
    <w:p>
      <w:pPr>
        <w:ind w:left="1020" w:right="300"/>
        <w:spacing w:after="0" w:line="282" w:lineRule="auto"/>
        <w:rPr>
          <w:sz w:val="20"/>
          <w:szCs w:val="20"/>
          <w:color w:val="auto"/>
        </w:rPr>
      </w:pPr>
      <w:r>
        <w:rPr>
          <w:rFonts w:ascii="Times New Roman" w:cs="Times New Roman" w:eastAsia="Times New Roman" w:hAnsi="Times New Roman"/>
          <w:sz w:val="18"/>
          <w:szCs w:val="18"/>
          <w:color w:val="auto"/>
        </w:rPr>
        <w:t>The Social Engineering Fraud Insuring Agreement Aggregate Limit of Liability shall not be increased or reinstated by any recovery made and applied in accordance with subsections (a), (b) and (c) of Section 7.</w:t>
      </w:r>
    </w:p>
    <w:p>
      <w:pPr>
        <w:spacing w:after="0" w:line="67" w:lineRule="exact"/>
        <w:rPr>
          <w:sz w:val="20"/>
          <w:szCs w:val="20"/>
          <w:color w:val="auto"/>
        </w:rPr>
      </w:pPr>
    </w:p>
    <w:p>
      <w:pPr>
        <w:ind w:left="460" w:right="320" w:hanging="452"/>
        <w:spacing w:after="0" w:line="282"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Social Engineering Fraud Insuring Agreement does not apply to any loss discovered during the Bond Period but occurring prior to the Social Engineering Fraud Insuring Agreement Prior Acts Date set forth in the Coverage Schedule of this Rider.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640" w:val="left"/>
          <w:tab w:leader="none" w:pos="10400" w:val="left"/>
        </w:tabs>
        <w:rPr>
          <w:sz w:val="20"/>
          <w:szCs w:val="20"/>
          <w:color w:val="auto"/>
        </w:rPr>
      </w:pPr>
      <w:r>
        <w:rPr>
          <w:rFonts w:ascii="Times New Roman" w:cs="Times New Roman" w:eastAsia="Times New Roman" w:hAnsi="Times New Roman"/>
          <w:sz w:val="18"/>
          <w:szCs w:val="18"/>
          <w:color w:val="auto"/>
        </w:rPr>
        <w:t>AXIS 1012231 0221</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3 of 3</w:t>
      </w:r>
    </w:p>
    <w:p>
      <w:pPr>
        <w:sectPr>
          <w:pgSz w:w="11900" w:h="16838" w:orient="portrait"/>
          <w:cols w:equalWidth="0" w:num="1">
            <w:col w:w="11240"/>
          </w:cols>
          <w:pgMar w:left="320" w:top="27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4"/>
        </w:trPr>
        <w:tc>
          <w:tcPr>
            <w:tcW w:w="2900" w:type="dxa"/>
            <w:vAlign w:val="bottom"/>
            <w:tcBorders>
              <w:left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23</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STATUTORY RIDER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131" w:lineRule="exact"/>
        <w:rPr>
          <w:sz w:val="20"/>
          <w:szCs w:val="20"/>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paragraph of the Termination or Cancelation Condition is amended by the addition of the following at the end of such paragraph:</w:t>
      </w:r>
    </w:p>
    <w:p>
      <w:pPr>
        <w:spacing w:after="0" w:line="117" w:lineRule="exact"/>
        <w:rPr>
          <w:rFonts w:ascii="Times New Roman" w:cs="Times New Roman" w:eastAsia="Times New Roman" w:hAnsi="Times New Roman"/>
          <w:sz w:val="18"/>
          <w:szCs w:val="18"/>
          <w:color w:val="auto"/>
        </w:rPr>
      </w:pPr>
    </w:p>
    <w:p>
      <w:pPr>
        <w:ind w:left="46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this paragraph does not apply as to an Employee of an Insured that is located in New York or any partner, officer or employee of any Processor that is located in New York, if: (a) the dishonest act was committed by such person prior to becoming employed by the Insured or such Processor, (b) the dishonest act resulted in a conviction; and (c) the Insured or such Processor made a determination to hire or retain such person utilizing the factors set out in Correction Law Article 23-A.</w:t>
      </w:r>
    </w:p>
    <w:p>
      <w:pPr>
        <w:spacing w:after="0" w:line="85" w:lineRule="exact"/>
        <w:rPr>
          <w:rFonts w:ascii="Times New Roman" w:cs="Times New Roman" w:eastAsia="Times New Roman" w:hAnsi="Times New Roman"/>
          <w:sz w:val="18"/>
          <w:szCs w:val="18"/>
          <w:color w:val="auto"/>
        </w:rPr>
      </w:pPr>
    </w:p>
    <w:p>
      <w:pPr>
        <w:ind w:left="460" w:right="340" w:hanging="452"/>
        <w:spacing w:after="0" w:line="282"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Rider does not apply to any Employees of an Insured or any partners, officers or employees of a Processor or loss caused by any persons for whom there is a bar to employment established by law and the Insured or Processor has hired such person despite the bar.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640" w:val="left"/>
          <w:tab w:leader="none" w:pos="10400" w:val="left"/>
        </w:tabs>
        <w:rPr>
          <w:sz w:val="20"/>
          <w:szCs w:val="20"/>
          <w:color w:val="auto"/>
        </w:rPr>
      </w:pPr>
      <w:r>
        <w:rPr>
          <w:rFonts w:ascii="Times New Roman" w:cs="Times New Roman" w:eastAsia="Times New Roman" w:hAnsi="Times New Roman"/>
          <w:sz w:val="18"/>
          <w:szCs w:val="18"/>
          <w:color w:val="auto"/>
        </w:rPr>
        <w:t>AXIS 1012253 0119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tcPr>
          <w:p>
            <w:pPr>
              <w:jc w:val="center"/>
              <w:ind w:left="700"/>
              <w:spacing w:after="0"/>
              <w:rPr>
                <w:sz w:val="20"/>
                <w:szCs w:val="20"/>
                <w:color w:val="auto"/>
              </w:rPr>
            </w:pPr>
            <w:r>
              <w:rPr>
                <w:rFonts w:ascii="Times New Roman" w:cs="Times New Roman" w:eastAsia="Times New Roman" w:hAnsi="Times New Roman"/>
                <w:sz w:val="18"/>
                <w:szCs w:val="18"/>
                <w:color w:val="auto"/>
                <w:w w:val="98"/>
              </w:rPr>
              <w:t>Rider Number</w:t>
            </w:r>
          </w:p>
        </w:tc>
        <w:tc>
          <w:tcPr>
            <w:tcW w:w="680" w:type="dxa"/>
            <w:vAlign w:val="bottom"/>
            <w:tcBorders>
              <w:top w:val="single" w:sz="8" w:color="auto"/>
              <w:right w:val="single" w:sz="8" w:color="auto"/>
            </w:tcBorders>
          </w:tcPr>
          <w:p>
            <w:pPr>
              <w:spacing w:after="0"/>
              <w:rPr>
                <w:sz w:val="24"/>
                <w:szCs w:val="24"/>
                <w:color w:val="auto"/>
              </w:rPr>
            </w:pPr>
          </w:p>
        </w:tc>
        <w:tc>
          <w:tcPr>
            <w:tcW w:w="28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80" w:type="dxa"/>
            <w:vAlign w:val="bottom"/>
            <w:tcBorders>
              <w:top w:val="single" w:sz="8" w:color="auto"/>
            </w:tcBorders>
          </w:tcPr>
          <w:p>
            <w:pPr>
              <w:spacing w:after="0"/>
              <w:rPr>
                <w:sz w:val="24"/>
                <w:szCs w:val="24"/>
                <w:color w:val="auto"/>
              </w:rPr>
            </w:pP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90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Premium</w:t>
            </w:r>
          </w:p>
        </w:tc>
        <w:tc>
          <w:tcPr>
            <w:tcW w:w="40" w:type="dxa"/>
            <w:vAlign w:val="bottom"/>
          </w:tcPr>
          <w:p>
            <w:pPr>
              <w:spacing w:after="0"/>
              <w:rPr>
                <w:sz w:val="24"/>
                <w:szCs w:val="24"/>
                <w:color w:val="auto"/>
              </w:rPr>
            </w:pPr>
          </w:p>
        </w:tc>
      </w:tr>
      <w:tr>
        <w:trPr>
          <w:trHeight w:val="67"/>
        </w:trPr>
        <w:tc>
          <w:tcPr>
            <w:tcW w:w="100" w:type="dxa"/>
            <w:vAlign w:val="bottom"/>
            <w:tcBorders>
              <w:right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264"/>
        </w:trPr>
        <w:tc>
          <w:tcPr>
            <w:tcW w:w="100" w:type="dxa"/>
            <w:vAlign w:val="bottom"/>
            <w:tcBorders>
              <w:right w:val="single" w:sz="8" w:color="auto"/>
            </w:tcBorders>
          </w:tcPr>
          <w:p>
            <w:pPr>
              <w:spacing w:after="0"/>
              <w:rPr>
                <w:sz w:val="22"/>
                <w:szCs w:val="22"/>
                <w:color w:val="auto"/>
              </w:rPr>
            </w:pPr>
          </w:p>
        </w:tc>
        <w:tc>
          <w:tcPr>
            <w:tcW w:w="2200" w:type="dxa"/>
            <w:vAlign w:val="bottom"/>
          </w:tcPr>
          <w:p>
            <w:pPr>
              <w:jc w:val="right"/>
              <w:ind w:right="540"/>
              <w:spacing w:after="0"/>
              <w:rPr>
                <w:sz w:val="20"/>
                <w:szCs w:val="20"/>
                <w:color w:val="auto"/>
              </w:rPr>
            </w:pPr>
            <w:r>
              <w:rPr>
                <w:rFonts w:ascii="Times New Roman" w:cs="Times New Roman" w:eastAsia="Times New Roman" w:hAnsi="Times New Roman"/>
                <w:sz w:val="18"/>
                <w:szCs w:val="18"/>
                <w:color w:val="auto"/>
              </w:rPr>
              <w:t>24</w:t>
            </w:r>
          </w:p>
        </w:tc>
        <w:tc>
          <w:tcPr>
            <w:tcW w:w="68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80" w:type="dxa"/>
            <w:vAlign w:val="bottom"/>
          </w:tcPr>
          <w:p>
            <w:pPr>
              <w:spacing w:after="0"/>
              <w:rPr>
                <w:sz w:val="22"/>
                <w:szCs w:val="22"/>
                <w:color w:val="auto"/>
              </w:rPr>
            </w:pP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900" w:type="dxa"/>
            <w:vAlign w:val="bottom"/>
          </w:tcPr>
          <w:p>
            <w:pPr>
              <w:spacing w:after="0"/>
              <w:rPr>
                <w:sz w:val="22"/>
                <w:szCs w:val="22"/>
                <w:color w:val="auto"/>
              </w:rPr>
            </w:pPr>
          </w:p>
        </w:tc>
        <w:tc>
          <w:tcPr>
            <w:tcW w:w="1760" w:type="dxa"/>
            <w:vAlign w:val="bottom"/>
            <w:tcBorders>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6"/>
              </w:rPr>
              <w:t>N/A</w:t>
            </w:r>
          </w:p>
        </w:tc>
        <w:tc>
          <w:tcPr>
            <w:tcW w:w="40" w:type="dxa"/>
            <w:vAlign w:val="bottom"/>
          </w:tcPr>
          <w:p>
            <w:pPr>
              <w:spacing w:after="0"/>
              <w:rPr>
                <w:sz w:val="22"/>
                <w:szCs w:val="22"/>
                <w:color w:val="auto"/>
              </w:rPr>
            </w:pPr>
          </w:p>
        </w:tc>
      </w:tr>
      <w:tr>
        <w:trPr>
          <w:trHeight w:val="68"/>
        </w:trPr>
        <w:tc>
          <w:tcPr>
            <w:tcW w:w="100" w:type="dxa"/>
            <w:vAlign w:val="bottom"/>
            <w:tcBorders>
              <w:right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682"/>
        </w:trPr>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14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COMPUTER SYSTEMS FRAUD INSURING AGREEMENT RIDER</w:t>
            </w: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5"/>
          </w:tcPr>
          <w:p>
            <w:pPr>
              <w:jc w:val="center"/>
              <w:ind w:right="1160"/>
              <w:spacing w:after="0"/>
              <w:rPr>
                <w:sz w:val="20"/>
                <w:szCs w:val="20"/>
                <w:color w:val="auto"/>
              </w:rPr>
            </w:pPr>
            <w:r>
              <w:rPr>
                <w:rFonts w:ascii="Times New Roman" w:cs="Times New Roman" w:eastAsia="Times New Roman" w:hAnsi="Times New Roman"/>
                <w:sz w:val="14"/>
                <w:szCs w:val="14"/>
                <w:b w:val="1"/>
                <w:bCs w:val="1"/>
                <w:i w:val="1"/>
                <w:iCs w:val="1"/>
                <w:color w:val="auto"/>
              </w:rPr>
              <w:t>COMPUTER SYSTEMS FRAUD INSURING AGREEMENT COVERAGE SCHEDULE</w:t>
            </w:r>
          </w:p>
        </w:tc>
        <w:tc>
          <w:tcPr>
            <w:tcW w:w="1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17"/>
        </w:trPr>
        <w:tc>
          <w:tcPr>
            <w:tcW w:w="100" w:type="dxa"/>
            <w:vAlign w:val="bottom"/>
          </w:tcPr>
          <w:p>
            <w:pPr>
              <w:spacing w:after="0"/>
              <w:rPr>
                <w:sz w:val="10"/>
                <w:szCs w:val="10"/>
                <w:color w:val="auto"/>
              </w:rPr>
            </w:pPr>
          </w:p>
        </w:tc>
        <w:tc>
          <w:tcPr>
            <w:tcW w:w="5680" w:type="dxa"/>
            <w:vAlign w:val="bottom"/>
            <w:gridSpan w:val="4"/>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Computer Systems Fraud</w:t>
            </w:r>
          </w:p>
        </w:tc>
        <w:tc>
          <w:tcPr>
            <w:tcW w:w="80" w:type="dxa"/>
            <w:vAlign w:val="bottom"/>
          </w:tcPr>
          <w:p>
            <w:pPr>
              <w:spacing w:after="0"/>
              <w:rPr>
                <w:sz w:val="10"/>
                <w:szCs w:val="10"/>
                <w:color w:val="auto"/>
              </w:rPr>
            </w:pPr>
          </w:p>
        </w:tc>
        <w:tc>
          <w:tcPr>
            <w:tcW w:w="3580" w:type="dxa"/>
            <w:vAlign w:val="bottom"/>
            <w:gridSpan w:val="2"/>
          </w:tcPr>
          <w:p>
            <w:pPr>
              <w:jc w:val="center"/>
              <w:ind w:left="1718"/>
              <w:spacing w:after="0" w:line="118" w:lineRule="exact"/>
              <w:rPr>
                <w:sz w:val="20"/>
                <w:szCs w:val="20"/>
                <w:color w:val="auto"/>
              </w:rPr>
            </w:pPr>
            <w:r>
              <w:rPr>
                <w:rFonts w:ascii="Times New Roman" w:cs="Times New Roman" w:eastAsia="Times New Roman" w:hAnsi="Times New Roman"/>
                <w:sz w:val="13"/>
                <w:szCs w:val="13"/>
                <w:b w:val="1"/>
                <w:bCs w:val="1"/>
                <w:color w:val="auto"/>
              </w:rPr>
              <w:t>Computer Systems Fraud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7"/>
        </w:trPr>
        <w:tc>
          <w:tcPr>
            <w:tcW w:w="100" w:type="dxa"/>
            <w:vAlign w:val="bottom"/>
          </w:tcPr>
          <w:p>
            <w:pPr>
              <w:spacing w:after="0"/>
              <w:rPr>
                <w:sz w:val="16"/>
                <w:szCs w:val="16"/>
                <w:color w:val="auto"/>
              </w:rPr>
            </w:pPr>
          </w:p>
        </w:tc>
        <w:tc>
          <w:tcPr>
            <w:tcW w:w="56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Insuring Agreement Single Loss Limit of Liability</w:t>
            </w:r>
          </w:p>
        </w:tc>
        <w:tc>
          <w:tcPr>
            <w:tcW w:w="80" w:type="dxa"/>
            <w:vAlign w:val="bottom"/>
          </w:tcPr>
          <w:p>
            <w:pPr>
              <w:spacing w:after="0"/>
              <w:rPr>
                <w:sz w:val="16"/>
                <w:szCs w:val="16"/>
                <w:color w:val="auto"/>
              </w:rPr>
            </w:pPr>
          </w:p>
        </w:tc>
        <w:tc>
          <w:tcPr>
            <w:tcW w:w="5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Insuring Agreement Single Loss Deductible</w:t>
            </w:r>
          </w:p>
        </w:tc>
        <w:tc>
          <w:tcPr>
            <w:tcW w:w="40" w:type="dxa"/>
            <w:vAlign w:val="bottom"/>
          </w:tcPr>
          <w:p>
            <w:pPr>
              <w:spacing w:after="0"/>
              <w:rPr>
                <w:sz w:val="16"/>
                <w:szCs w:val="16"/>
                <w:color w:val="auto"/>
              </w:rPr>
            </w:pPr>
          </w:p>
        </w:tc>
      </w:tr>
      <w:tr>
        <w:trPr>
          <w:trHeight w:val="209"/>
        </w:trPr>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18"/>
                <w:szCs w:val="18"/>
                <w:color w:val="auto"/>
              </w:rPr>
            </w:pPr>
          </w:p>
        </w:tc>
        <w:tc>
          <w:tcPr>
            <w:tcW w:w="3440" w:type="dxa"/>
            <w:vAlign w:val="bottom"/>
            <w:tcBorders>
              <w:top w:val="single" w:sz="8" w:color="auto"/>
            </w:tcBorders>
            <w:gridSpan w:val="2"/>
            <w:shd w:val="clear" w:color="auto" w:fill="CCEEFF"/>
          </w:tcPr>
          <w:p>
            <w:pPr>
              <w:jc w:val="center"/>
              <w:ind w:right="2196"/>
              <w:spacing w:after="0"/>
              <w:rPr>
                <w:sz w:val="20"/>
                <w:szCs w:val="20"/>
                <w:color w:val="auto"/>
              </w:rPr>
            </w:pPr>
            <w:r>
              <w:rPr>
                <w:rFonts w:ascii="Times New Roman" w:cs="Times New Roman" w:eastAsia="Times New Roman" w:hAnsi="Times New Roman"/>
                <w:sz w:val="18"/>
                <w:szCs w:val="18"/>
                <w:color w:val="auto"/>
                <w:w w:val="98"/>
              </w:rPr>
              <w:t>$4,000,000</w:t>
            </w: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gridSpan w:val="2"/>
            <w:shd w:val="clear" w:color="auto" w:fill="CCEEFF"/>
          </w:tcPr>
          <w:p>
            <w:pPr>
              <w:jc w:val="center"/>
              <w:ind w:left="1698"/>
              <w:spacing w:after="0"/>
              <w:rPr>
                <w:sz w:val="20"/>
                <w:szCs w:val="20"/>
                <w:color w:val="auto"/>
              </w:rPr>
            </w:pPr>
            <w:r>
              <w:rPr>
                <w:rFonts w:ascii="Times New Roman" w:cs="Times New Roman" w:eastAsia="Times New Roman" w:hAnsi="Times New Roman"/>
                <w:sz w:val="18"/>
                <w:szCs w:val="18"/>
                <w:color w:val="auto"/>
              </w:rPr>
              <w:t>$100,000</w:t>
            </w:r>
          </w:p>
        </w:tc>
        <w:tc>
          <w:tcPr>
            <w:tcW w:w="176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in the above schedule may also appear on the Declarations.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INSURING AGREEMENTS section is amended by the addition of the following Insuring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COMPUTER SYSTEMS FRAUD</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Loss resulting directly from a fraudulent:</w:t>
      </w:r>
    </w:p>
    <w:p>
      <w:pPr>
        <w:spacing w:after="0" w:line="131" w:lineRule="exact"/>
        <w:rPr>
          <w:sz w:val="20"/>
          <w:szCs w:val="20"/>
          <w:color w:val="auto"/>
        </w:rPr>
      </w:pPr>
    </w:p>
    <w:p>
      <w:pPr>
        <w:ind w:left="1460" w:hanging="453"/>
        <w:spacing w:after="0"/>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Electronic Data or Computer Program into;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Electronic Data or Computer Program within;</w:t>
      </w:r>
    </w:p>
    <w:p>
      <w:pPr>
        <w:spacing w:after="0" w:line="117" w:lineRule="exact"/>
        <w:rPr>
          <w:sz w:val="20"/>
          <w:szCs w:val="20"/>
          <w:color w:val="auto"/>
        </w:rPr>
      </w:pPr>
    </w:p>
    <w:p>
      <w:pPr>
        <w:ind w:left="1020" w:right="60"/>
        <w:spacing w:after="0" w:line="282" w:lineRule="auto"/>
        <w:rPr>
          <w:sz w:val="20"/>
          <w:szCs w:val="20"/>
          <w:color w:val="auto"/>
        </w:rPr>
      </w:pPr>
      <w:r>
        <w:rPr>
          <w:rFonts w:ascii="Times New Roman" w:cs="Times New Roman" w:eastAsia="Times New Roman" w:hAnsi="Times New Roman"/>
          <w:sz w:val="18"/>
          <w:szCs w:val="18"/>
          <w:color w:val="auto"/>
        </w:rPr>
        <w:t>any Computer System operated by the Insured, whether owned or leased; or any Computer System identified in the application for this bond; or a Computer System first used by the Insured during the Bond Period, as provided by General Agreement B of this bond;</w:t>
      </w:r>
    </w:p>
    <w:p>
      <w:pPr>
        <w:spacing w:after="0" w:line="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provided that the entry or change causes:</w:t>
      </w:r>
    </w:p>
    <w:p>
      <w:pPr>
        <w:spacing w:after="0" w:line="131" w:lineRule="exact"/>
        <w:rPr>
          <w:sz w:val="20"/>
          <w:szCs w:val="20"/>
          <w:color w:val="auto"/>
        </w:rPr>
      </w:pPr>
    </w:p>
    <w:p>
      <w:pPr>
        <w:ind w:left="1460" w:hanging="453"/>
        <w:spacing w:after="0"/>
        <w:tabs>
          <w:tab w:leader="none" w:pos="1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to be transferred, paid, or delivered;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of the Insured, or of its customer, to be added, deleted, debited, or credited;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unauthorized account or a fictitious account to be debited or credited;</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without the knowledge or consent of the Insured.</w:t>
      </w:r>
    </w:p>
    <w:p>
      <w:pPr>
        <w:spacing w:after="0" w:line="117" w:lineRule="exact"/>
        <w:rPr>
          <w:sz w:val="20"/>
          <w:szCs w:val="20"/>
          <w:color w:val="auto"/>
        </w:rPr>
      </w:pPr>
    </w:p>
    <w:p>
      <w:pPr>
        <w:jc w:val="both"/>
        <w:ind w:left="1020" w:right="20"/>
        <w:spacing w:after="0" w:line="266" w:lineRule="auto"/>
        <w:rPr>
          <w:sz w:val="20"/>
          <w:szCs w:val="20"/>
          <w:color w:val="auto"/>
        </w:rPr>
      </w:pPr>
      <w:r>
        <w:rPr>
          <w:rFonts w:ascii="Times New Roman" w:cs="Times New Roman" w:eastAsia="Times New Roman" w:hAnsi="Times New Roman"/>
          <w:sz w:val="18"/>
          <w:szCs w:val="18"/>
          <w:color w:val="auto"/>
        </w:rPr>
        <w:t>In this Insuring Agreement, fraudulent entry or change shall include such entry or change made by an Employee of the Insured acting in good faith on an instruction from a software contractor who has a written agreement with the Insured to design, implement, or service programs for a Computer System covered by this Insuring Agreement.</w:t>
      </w:r>
    </w:p>
    <w:p>
      <w:pPr>
        <w:spacing w:after="0" w:line="81" w:lineRule="exact"/>
        <w:rPr>
          <w:sz w:val="20"/>
          <w:szCs w:val="20"/>
          <w:color w:val="auto"/>
        </w:rPr>
      </w:pPr>
    </w:p>
    <w:p>
      <w:pPr>
        <w:ind w:left="460" w:hanging="452"/>
        <w:spacing w:after="0"/>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coverage provided by this Rider, the DEFINITIONS section is amended by the addition of the following definitions:</w:t>
      </w:r>
    </w:p>
    <w:p>
      <w:pPr>
        <w:spacing w:after="0" w:line="117" w:lineRule="exact"/>
        <w:rPr>
          <w:sz w:val="20"/>
          <w:szCs w:val="20"/>
          <w:color w:val="auto"/>
        </w:rPr>
      </w:pPr>
    </w:p>
    <w:p>
      <w:pPr>
        <w:ind w:left="1020" w:right="760"/>
        <w:spacing w:after="0" w:line="282" w:lineRule="auto"/>
        <w:rPr>
          <w:sz w:val="20"/>
          <w:szCs w:val="20"/>
          <w:color w:val="auto"/>
        </w:rPr>
      </w:pPr>
      <w:r>
        <w:rPr>
          <w:rFonts w:ascii="Times New Roman" w:cs="Times New Roman" w:eastAsia="Times New Roman" w:hAnsi="Times New Roman"/>
          <w:sz w:val="18"/>
          <w:szCs w:val="18"/>
          <w:color w:val="auto"/>
        </w:rPr>
        <w:t>Computer Program means a set of related electronic instructions which direct the operations and functions of a computer or devices connected to it which enable the computer or devices to receive, process, store, or send Electronic Data.</w:t>
      </w:r>
    </w:p>
    <w:p>
      <w:pPr>
        <w:spacing w:after="0" w:line="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Computer System means:</w:t>
      </w:r>
    </w:p>
    <w:p>
      <w:pPr>
        <w:spacing w:after="0" w:line="131" w:lineRule="exact"/>
        <w:rPr>
          <w:sz w:val="20"/>
          <w:szCs w:val="20"/>
          <w:color w:val="auto"/>
        </w:rPr>
      </w:pPr>
    </w:p>
    <w:p>
      <w:pPr>
        <w:ind w:left="1460" w:hanging="453"/>
        <w:spacing w:after="0"/>
        <w:tabs>
          <w:tab w:leader="none" w:pos="1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computers with related peripheral components, including storage components wherever located;</w:t>
      </w:r>
    </w:p>
    <w:p>
      <w:pPr>
        <w:spacing w:after="0" w:line="156"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1012861 0221</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3</w:t>
      </w:r>
    </w:p>
    <w:p>
      <w:pPr>
        <w:sectPr>
          <w:pgSz w:w="11900" w:h="16838" w:orient="portrait"/>
          <w:cols w:equalWidth="0" w:num="1">
            <w:col w:w="11240"/>
          </w:cols>
          <w:pgMar w:left="320" w:top="27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60" w:hanging="453"/>
        <w:spacing w:after="0"/>
        <w:tabs>
          <w:tab w:leader="none" w:pos="1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applications software;</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 devices;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communications networks;</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by which Electronic Data are electronically collected, transmitted, processed, stored, and retrieved.</w:t>
      </w:r>
    </w:p>
    <w:p>
      <w:pPr>
        <w:spacing w:after="0" w:line="117" w:lineRule="exact"/>
        <w:rPr>
          <w:sz w:val="20"/>
          <w:szCs w:val="20"/>
          <w:color w:val="auto"/>
        </w:rPr>
      </w:pPr>
    </w:p>
    <w:p>
      <w:pPr>
        <w:ind w:left="1020" w:right="80"/>
        <w:spacing w:after="0" w:line="282" w:lineRule="auto"/>
        <w:rPr>
          <w:sz w:val="20"/>
          <w:szCs w:val="20"/>
          <w:color w:val="auto"/>
        </w:rPr>
      </w:pPr>
      <w:r>
        <w:rPr>
          <w:rFonts w:ascii="Times New Roman" w:cs="Times New Roman" w:eastAsia="Times New Roman" w:hAnsi="Times New Roman"/>
          <w:sz w:val="18"/>
          <w:szCs w:val="18"/>
          <w:color w:val="auto"/>
        </w:rPr>
        <w:t>Electronic Data means facts or information converted to a form usable in a Computer System by Computer Programs, and which is stored on magnetic tapes or disks, or optical storage disks, or other bulk media.</w:t>
      </w:r>
    </w:p>
    <w:p>
      <w:pPr>
        <w:spacing w:after="0" w:line="67" w:lineRule="exact"/>
        <w:rPr>
          <w:sz w:val="20"/>
          <w:szCs w:val="20"/>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coverage provided by this Rider, the EXCLUSIONS section is amended by the addition of the following Exclusions:</w:t>
      </w:r>
    </w:p>
    <w:p>
      <w:pPr>
        <w:spacing w:after="0" w:line="117" w:lineRule="exact"/>
        <w:rPr>
          <w:sz w:val="20"/>
          <w:szCs w:val="20"/>
          <w:color w:val="auto"/>
        </w:rPr>
      </w:pPr>
    </w:p>
    <w:p>
      <w:pPr>
        <w:ind w:left="1020" w:right="440"/>
        <w:spacing w:after="0" w:line="282" w:lineRule="auto"/>
        <w:rPr>
          <w:sz w:val="20"/>
          <w:szCs w:val="20"/>
          <w:color w:val="auto"/>
        </w:rPr>
      </w:pPr>
      <w:r>
        <w:rPr>
          <w:rFonts w:ascii="Times New Roman" w:cs="Times New Roman" w:eastAsia="Times New Roman" w:hAnsi="Times New Roman"/>
          <w:sz w:val="18"/>
          <w:szCs w:val="18"/>
          <w:color w:val="auto"/>
        </w:rPr>
        <w:t>loss of the type or kind covered by any other Insuring Agreement provided in this financial institution bond, including but not limited to Social Engineering Fraud, regardless of any deductible amount or limit of liability;</w:t>
      </w:r>
    </w:p>
    <w:p>
      <w:pPr>
        <w:spacing w:after="0" w:line="54" w:lineRule="exact"/>
        <w:rPr>
          <w:sz w:val="20"/>
          <w:szCs w:val="20"/>
          <w:color w:val="auto"/>
        </w:rPr>
      </w:pPr>
    </w:p>
    <w:p>
      <w:pPr>
        <w:ind w:left="1020" w:right="220"/>
        <w:spacing w:after="0" w:line="282" w:lineRule="auto"/>
        <w:rPr>
          <w:sz w:val="20"/>
          <w:szCs w:val="20"/>
          <w:color w:val="auto"/>
        </w:rPr>
      </w:pPr>
      <w:r>
        <w:rPr>
          <w:rFonts w:ascii="Times New Roman" w:cs="Times New Roman" w:eastAsia="Times New Roman" w:hAnsi="Times New Roman"/>
          <w:sz w:val="18"/>
          <w:szCs w:val="18"/>
          <w:color w:val="auto"/>
        </w:rPr>
        <w:t>loss resulting directly or indirectly from the assumption of liability by the Insured by contract unless the liability arises from a loss covered by this rider, and such liability would have been be imposed on the Insured regardless of the existence of such contract;</w:t>
      </w:r>
    </w:p>
    <w:p>
      <w:pPr>
        <w:spacing w:after="0" w:line="54" w:lineRule="exact"/>
        <w:rPr>
          <w:sz w:val="20"/>
          <w:szCs w:val="20"/>
          <w:color w:val="auto"/>
        </w:rPr>
      </w:pPr>
    </w:p>
    <w:p>
      <w:pPr>
        <w:ind w:left="1020" w:right="340"/>
        <w:spacing w:after="0" w:line="266" w:lineRule="auto"/>
        <w:rPr>
          <w:sz w:val="20"/>
          <w:szCs w:val="20"/>
          <w:color w:val="auto"/>
        </w:rPr>
      </w:pPr>
      <w:r>
        <w:rPr>
          <w:rFonts w:ascii="Times New Roman" w:cs="Times New Roman" w:eastAsia="Times New Roman" w:hAnsi="Times New Roman"/>
          <w:sz w:val="18"/>
          <w:szCs w:val="18"/>
          <w:color w:val="auto"/>
        </w:rPr>
        <w:t>loss resulting directly or indirectly from negotiable instruments, securities, documents, or other written instruments which bear a forged signature, or are counterfeit, altered, or otherwise fraudulent and which are used as source documentation in the preparation of Electronic Data or manually keyed into a data terminal;</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loss resulting directly or indirectly from:</w:t>
      </w:r>
    </w:p>
    <w:p>
      <w:pPr>
        <w:spacing w:after="0" w:line="131" w:lineRule="exact"/>
        <w:rPr>
          <w:sz w:val="20"/>
          <w:szCs w:val="20"/>
          <w:color w:val="auto"/>
        </w:rPr>
      </w:pPr>
    </w:p>
    <w:p>
      <w:pPr>
        <w:ind w:left="1460" w:right="160" w:hanging="453"/>
        <w:spacing w:after="0" w:line="282" w:lineRule="auto"/>
        <w:tabs>
          <w:tab w:leader="none" w:pos="1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failure, faulty construction, error in design, latent defect, fire, wear or tear, gradual deterioration, electrical disturbance, or electrical surge which affects a Computer System;</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breakdown of Electronic Data processing media;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 or omission in programming or processing;</w:t>
      </w:r>
    </w:p>
    <w:p>
      <w:pPr>
        <w:spacing w:after="0" w:line="117" w:lineRule="exact"/>
        <w:rPr>
          <w:sz w:val="20"/>
          <w:szCs w:val="20"/>
          <w:color w:val="auto"/>
        </w:rPr>
      </w:pPr>
    </w:p>
    <w:p>
      <w:pPr>
        <w:jc w:val="both"/>
        <w:ind w:left="1020" w:right="400"/>
        <w:spacing w:after="0" w:line="266" w:lineRule="auto"/>
        <w:rPr>
          <w:sz w:val="20"/>
          <w:szCs w:val="20"/>
          <w:color w:val="auto"/>
        </w:rPr>
      </w:pPr>
      <w:r>
        <w:rPr>
          <w:rFonts w:ascii="Times New Roman" w:cs="Times New Roman" w:eastAsia="Times New Roman" w:hAnsi="Times New Roman"/>
          <w:sz w:val="18"/>
          <w:szCs w:val="18"/>
          <w:color w:val="auto"/>
        </w:rPr>
        <w:t>loss resulting directly or indirectly from the input of Electronic Data into a Computer System terminal device either on the premises of a customer of the Insured or under the control of such a customer by a person who had authorized access to the customer’s authentication mechanism;</w:t>
      </w:r>
    </w:p>
    <w:p>
      <w:pPr>
        <w:spacing w:after="0" w:line="81" w:lineRule="exact"/>
        <w:rPr>
          <w:sz w:val="20"/>
          <w:szCs w:val="20"/>
          <w:color w:val="auto"/>
        </w:rPr>
      </w:pPr>
    </w:p>
    <w:p>
      <w:pPr>
        <w:ind w:left="460" w:right="300" w:hanging="452"/>
        <w:spacing w:after="0" w:line="266"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with respect to any similar Exclusion set forth in any Protected Information Exclusion Rider attached to this bond, solely with respect to the coverage provided by this Rider, the EXCLUSIONS section is amended by the addition of the following Exclusion:</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loss resulting directly or indirectly from the: (1) theft, disappearance, or destruction of; (2) unauthorized use or disclosure of;</w:t>
      </w:r>
    </w:p>
    <w:p>
      <w:pPr>
        <w:spacing w:after="0" w:line="27" w:lineRule="exact"/>
        <w:rPr>
          <w:sz w:val="20"/>
          <w:szCs w:val="20"/>
          <w:color w:val="auto"/>
        </w:rPr>
      </w:pPr>
    </w:p>
    <w:p>
      <w:pPr>
        <w:ind w:left="1280" w:hanging="261"/>
        <w:spacing w:after="0"/>
        <w:tabs>
          <w:tab w:leader="none" w:pos="12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to; or (4) failure to protect any:</w:t>
      </w:r>
    </w:p>
    <w:p>
      <w:pPr>
        <w:spacing w:after="0" w:line="112"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or non-public information;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or personally identifiable information;</w:t>
      </w:r>
    </w:p>
    <w:p>
      <w:pPr>
        <w:spacing w:after="0" w:line="117" w:lineRule="exact"/>
        <w:rPr>
          <w:sz w:val="20"/>
          <w:szCs w:val="20"/>
          <w:color w:val="auto"/>
        </w:rPr>
      </w:pPr>
    </w:p>
    <w:p>
      <w:pPr>
        <w:ind w:left="1020" w:right="120"/>
        <w:spacing w:after="0" w:line="266" w:lineRule="auto"/>
        <w:rPr>
          <w:sz w:val="20"/>
          <w:szCs w:val="20"/>
          <w:color w:val="auto"/>
        </w:rPr>
      </w:pPr>
      <w:r>
        <w:rPr>
          <w:rFonts w:ascii="Times New Roman" w:cs="Times New Roman" w:eastAsia="Times New Roman" w:hAnsi="Times New Roman"/>
          <w:sz w:val="18"/>
          <w:szCs w:val="18"/>
          <w:color w:val="auto"/>
        </w:rPr>
        <w:t>that any person or entity has a duty to protect under any law, rule or regulation, agreement, or industry guideline or standard, except that this shall not apply to the extent that any unauthorized use or disclosure of such information subsequently results in a direct loss otherwise covered under the Computer Systems Fraud Insuring Agreement.</w:t>
      </w:r>
    </w:p>
    <w:p>
      <w:pPr>
        <w:spacing w:after="0" w:line="81" w:lineRule="exact"/>
        <w:rPr>
          <w:sz w:val="20"/>
          <w:szCs w:val="20"/>
          <w:color w:val="auto"/>
        </w:rPr>
      </w:pPr>
    </w:p>
    <w:p>
      <w:pPr>
        <w:ind w:left="460" w:right="240" w:hanging="452"/>
        <w:spacing w:after="0" w:line="282"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below, found in the EXCLUSIONS section of financial institution bonds forms 14, and 25, does not apply to the Computer Systems Fraud Insuring Agreement.</w:t>
      </w:r>
    </w:p>
    <w:p>
      <w:pPr>
        <w:spacing w:after="0" w:line="92" w:lineRule="exact"/>
        <w:rPr>
          <w:sz w:val="20"/>
          <w:szCs w:val="20"/>
          <w:color w:val="auto"/>
        </w:rPr>
      </w:pPr>
    </w:p>
    <w:p>
      <w:pPr>
        <w:spacing w:after="0"/>
        <w:tabs>
          <w:tab w:leader="none" w:pos="3260" w:val="left"/>
          <w:tab w:leader="none" w:pos="10400" w:val="left"/>
        </w:tabs>
        <w:rPr>
          <w:sz w:val="20"/>
          <w:szCs w:val="20"/>
          <w:color w:val="auto"/>
        </w:rPr>
      </w:pPr>
      <w:r>
        <w:rPr>
          <w:rFonts w:ascii="Times New Roman" w:cs="Times New Roman" w:eastAsia="Times New Roman" w:hAnsi="Times New Roman"/>
          <w:sz w:val="18"/>
          <w:szCs w:val="18"/>
          <w:color w:val="auto"/>
        </w:rPr>
        <w:t>AXIS 1012861 0221</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2 of 3</w:t>
      </w:r>
    </w:p>
    <w:p>
      <w:pPr>
        <w:sectPr>
          <w:pgSz w:w="11900" w:h="16838" w:orient="portrait"/>
          <w:cols w:equalWidth="0" w:num="1">
            <w:col w:w="11240"/>
          </w:cols>
          <w:pgMar w:left="320" w:top="27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right="420"/>
        <w:spacing w:after="0" w:line="282" w:lineRule="auto"/>
        <w:rPr>
          <w:sz w:val="20"/>
          <w:szCs w:val="20"/>
          <w:color w:val="auto"/>
        </w:rPr>
      </w:pPr>
      <w:r>
        <w:rPr>
          <w:rFonts w:ascii="Times New Roman" w:cs="Times New Roman" w:eastAsia="Times New Roman" w:hAnsi="Times New Roman"/>
          <w:sz w:val="18"/>
          <w:szCs w:val="18"/>
          <w:color w:val="auto"/>
        </w:rPr>
        <w:t>“loss involving any Uncertificated Security except an Uncertificated Security of any Federal Reserve Bank of the United States or when covered under Insuring Agreement (A);”</w:t>
      </w:r>
    </w:p>
    <w:p>
      <w:pPr>
        <w:spacing w:after="0" w:line="67" w:lineRule="exact"/>
        <w:rPr>
          <w:sz w:val="20"/>
          <w:szCs w:val="20"/>
          <w:color w:val="auto"/>
        </w:rPr>
      </w:pPr>
    </w:p>
    <w:p>
      <w:pPr>
        <w:ind w:left="460" w:hanging="452"/>
        <w:spacing w:after="0"/>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Single Loss Defined subsection of the LIMIT OF LIABILITY section is amended by the addition of the following:</w:t>
      </w:r>
    </w:p>
    <w:p>
      <w:pPr>
        <w:spacing w:after="0" w:line="117" w:lineRule="exact"/>
        <w:rPr>
          <w:sz w:val="20"/>
          <w:szCs w:val="20"/>
          <w:color w:val="auto"/>
        </w:rPr>
      </w:pPr>
    </w:p>
    <w:p>
      <w:pPr>
        <w:ind w:left="1020" w:right="40"/>
        <w:spacing w:after="0" w:line="258" w:lineRule="auto"/>
        <w:rPr>
          <w:sz w:val="20"/>
          <w:szCs w:val="20"/>
          <w:color w:val="auto"/>
        </w:rPr>
      </w:pPr>
      <w:r>
        <w:rPr>
          <w:rFonts w:ascii="Times New Roman" w:cs="Times New Roman" w:eastAsia="Times New Roman" w:hAnsi="Times New Roman"/>
          <w:sz w:val="18"/>
          <w:szCs w:val="18"/>
          <w:color w:val="auto"/>
        </w:rPr>
        <w:t>Solely with respect to the Computer Systems Fraud Insuring Agreement, all loss or series of losses involving the fraudulent acts of one individual, or involving fraudulent acts in which one individual is implicated, whether or not that individual is specifically identified, shall be treated as a Single Loss and subject to the Single Loss Limit of Liability. A series of losses involving unidentified individuals but arising from the same method of operation shall be deemed to involve the same individuals and in that event shall be treated as a Single Loss and subject to the Single Loss Limit of Liability.</w:t>
      </w:r>
    </w:p>
    <w:p>
      <w:pPr>
        <w:spacing w:after="0" w:line="89" w:lineRule="exact"/>
        <w:rPr>
          <w:sz w:val="20"/>
          <w:szCs w:val="20"/>
          <w:color w:val="auto"/>
        </w:rPr>
      </w:pPr>
    </w:p>
    <w:p>
      <w:pPr>
        <w:ind w:left="460" w:right="60" w:hanging="452"/>
        <w:spacing w:after="0" w:line="282"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Single Loss Limit of Liability and Single Loss Deductible for the Computer Systems Fraud Insuring Agreement are as set forth in the Declarations or in the above schedule.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260" w:val="left"/>
          <w:tab w:leader="none" w:pos="10400" w:val="left"/>
        </w:tabs>
        <w:rPr>
          <w:sz w:val="20"/>
          <w:szCs w:val="20"/>
          <w:color w:val="auto"/>
        </w:rPr>
      </w:pPr>
      <w:r>
        <w:rPr>
          <w:rFonts w:ascii="Times New Roman" w:cs="Times New Roman" w:eastAsia="Times New Roman" w:hAnsi="Times New Roman"/>
          <w:sz w:val="18"/>
          <w:szCs w:val="18"/>
          <w:color w:val="auto"/>
        </w:rPr>
        <w:t>AXIS 1012861 0221</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3 of 3</w:t>
      </w:r>
    </w:p>
    <w:p>
      <w:pPr>
        <w:sectPr>
          <w:pgSz w:w="11900" w:h="16838" w:orient="portrait"/>
          <w:cols w:equalWidth="0" w:num="1">
            <w:col w:w="11240"/>
          </w:cols>
          <w:pgMar w:left="320" w:top="27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3"/>
        </w:trPr>
        <w:tc>
          <w:tcPr>
            <w:tcW w:w="2900" w:type="dxa"/>
            <w:vAlign w:val="bottom"/>
            <w:tcBorders>
              <w:left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25</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 EXCLUSION (M) RIDER</w:t>
      </w:r>
    </w:p>
    <w:p>
      <w:pPr>
        <w:spacing w:after="0" w:line="22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color w:val="auto"/>
        </w:rPr>
        <w:t xml:space="preserve">It is agreed that the Section entitled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the Section entitled EXCLUSIONS, exclusion (m) is replaced with the following:</w:t>
      </w:r>
    </w:p>
    <w:p>
      <w:pPr>
        <w:spacing w:after="0" w:line="51" w:lineRule="exact"/>
        <w:rPr>
          <w:sz w:val="20"/>
          <w:szCs w:val="20"/>
          <w:color w:val="auto"/>
        </w:rPr>
      </w:pPr>
    </w:p>
    <w:p>
      <w:pPr>
        <w:ind w:left="320" w:hanging="312"/>
        <w:spacing w:after="0"/>
        <w:tabs>
          <w:tab w:leader="none" w:pos="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surrender of property as a result of:</w:t>
      </w:r>
    </w:p>
    <w:p>
      <w:pPr>
        <w:spacing w:after="0" w:line="252"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kidnaping,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ransom or any extortion-related payment,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threats of bodily harm to any person, except the custodian of the property, or of damage to the premises or property of the Insured, or</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66" w:lineRule="auto"/>
        <w:tabs>
          <w:tab w:leader="none" w:pos="10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disappearance, damage, destruction, confiscation, or theft of property intended as a ransom or extortion payment while held or conveyed by a person duly authorized by the Insured to have custody of such property, except when resulting from threats of bodily harm to the custodian of the property as described in (3) above,</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except when covered under Insuring Agreement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1012869 0421</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4"/>
        </w:trPr>
        <w:tc>
          <w:tcPr>
            <w:tcW w:w="2900" w:type="dxa"/>
            <w:vAlign w:val="bottom"/>
            <w:tcBorders>
              <w:left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26</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 DEFINITION OF PROPERTY RIDER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(DOES NOT INCLUDE NON-FUNGIBLE TOKENS)</w:t>
      </w:r>
    </w:p>
    <w:p>
      <w:pPr>
        <w:spacing w:after="0" w:line="20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 xml:space="preserve">It is agreed that the Section entitled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the Section entitled DEFINITIONS, the definition of Property is amended by the addition of the following: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Property does not include non-fungible tokens.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700" w:val="left"/>
          <w:tab w:leader="none" w:pos="10400" w:val="left"/>
        </w:tabs>
        <w:rPr>
          <w:sz w:val="20"/>
          <w:szCs w:val="20"/>
          <w:color w:val="auto"/>
        </w:rPr>
      </w:pPr>
      <w:r>
        <w:rPr>
          <w:rFonts w:ascii="Times New Roman" w:cs="Times New Roman" w:eastAsia="Times New Roman" w:hAnsi="Times New Roman"/>
          <w:sz w:val="18"/>
          <w:szCs w:val="18"/>
          <w:color w:val="auto"/>
        </w:rPr>
        <w:t>AXIS 1012870 0521</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0" w:type="dxa"/>
            <w:vAlign w:val="bottom"/>
            <w:tcBorders>
              <w:right w:val="single" w:sz="8" w:color="auto"/>
            </w:tcBorders>
          </w:tcPr>
          <w:p>
            <w:pPr>
              <w:spacing w:after="0"/>
              <w:rPr>
                <w:sz w:val="24"/>
                <w:szCs w:val="24"/>
                <w:color w:val="auto"/>
              </w:rPr>
            </w:pPr>
          </w:p>
        </w:tc>
        <w:tc>
          <w:tcPr>
            <w:tcW w:w="2020" w:type="dxa"/>
            <w:vAlign w:val="bottom"/>
            <w:tcBorders>
              <w:top w:val="single" w:sz="8" w:color="auto"/>
            </w:tcBorders>
          </w:tcPr>
          <w:p>
            <w:pPr>
              <w:jc w:val="center"/>
              <w:ind w:left="876"/>
              <w:spacing w:after="0"/>
              <w:rPr>
                <w:sz w:val="20"/>
                <w:szCs w:val="20"/>
                <w:color w:val="auto"/>
              </w:rPr>
            </w:pPr>
            <w:r>
              <w:rPr>
                <w:rFonts w:ascii="Times New Roman" w:cs="Times New Roman" w:eastAsia="Times New Roman" w:hAnsi="Times New Roman"/>
                <w:sz w:val="18"/>
                <w:szCs w:val="18"/>
                <w:color w:val="auto"/>
                <w:w w:val="98"/>
              </w:rPr>
              <w:t>Rider Number</w:t>
            </w:r>
          </w:p>
        </w:tc>
        <w:tc>
          <w:tcPr>
            <w:tcW w:w="860" w:type="dxa"/>
            <w:vAlign w:val="bottom"/>
            <w:tcBorders>
              <w:top w:val="single" w:sz="8" w:color="auto"/>
              <w:right w:val="single" w:sz="8" w:color="auto"/>
            </w:tcBorders>
          </w:tcPr>
          <w:p>
            <w:pPr>
              <w:spacing w:after="0"/>
              <w:rPr>
                <w:sz w:val="24"/>
                <w:szCs w:val="24"/>
                <w:color w:val="auto"/>
              </w:rPr>
            </w:pPr>
          </w:p>
        </w:tc>
        <w:tc>
          <w:tcPr>
            <w:tcW w:w="28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80" w:type="dxa"/>
            <w:vAlign w:val="bottom"/>
            <w:tcBorders>
              <w:top w:val="single" w:sz="8" w:color="auto"/>
            </w:tcBorders>
          </w:tcPr>
          <w:p>
            <w:pPr>
              <w:spacing w:after="0"/>
              <w:rPr>
                <w:sz w:val="24"/>
                <w:szCs w:val="24"/>
                <w:color w:val="auto"/>
              </w:rPr>
            </w:pP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880" w:type="dxa"/>
            <w:vAlign w:val="bottom"/>
            <w:tcBorders>
              <w:top w:val="single" w:sz="8" w:color="auto"/>
            </w:tcBorders>
          </w:tcPr>
          <w:p>
            <w:pPr>
              <w:spacing w:after="0"/>
              <w:rPr>
                <w:sz w:val="24"/>
                <w:szCs w:val="24"/>
                <w:color w:val="auto"/>
              </w:rPr>
            </w:pPr>
          </w:p>
        </w:tc>
        <w:tc>
          <w:tcPr>
            <w:tcW w:w="1780" w:type="dxa"/>
            <w:vAlign w:val="bottom"/>
            <w:tcBorders>
              <w:top w:val="single" w:sz="8" w:color="auto"/>
              <w:right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9"/>
              </w:rPr>
              <w:t>Premium</w:t>
            </w:r>
          </w:p>
        </w:tc>
        <w:tc>
          <w:tcPr>
            <w:tcW w:w="40" w:type="dxa"/>
            <w:vAlign w:val="bottom"/>
          </w:tcPr>
          <w:p>
            <w:pPr>
              <w:spacing w:after="0"/>
              <w:rPr>
                <w:sz w:val="24"/>
                <w:szCs w:val="24"/>
                <w:color w:val="auto"/>
              </w:rPr>
            </w:pPr>
          </w:p>
        </w:tc>
      </w:tr>
      <w:tr>
        <w:trPr>
          <w:trHeight w:val="68"/>
        </w:trPr>
        <w:tc>
          <w:tcPr>
            <w:tcW w:w="100" w:type="dxa"/>
            <w:vAlign w:val="bottom"/>
            <w:tcBorders>
              <w:right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263"/>
        </w:trPr>
        <w:tc>
          <w:tcPr>
            <w:tcW w:w="100" w:type="dxa"/>
            <w:vAlign w:val="bottom"/>
            <w:tcBorders>
              <w:right w:val="single" w:sz="8" w:color="auto"/>
            </w:tcBorders>
          </w:tcPr>
          <w:p>
            <w:pPr>
              <w:spacing w:after="0"/>
              <w:rPr>
                <w:sz w:val="22"/>
                <w:szCs w:val="22"/>
                <w:color w:val="auto"/>
              </w:rPr>
            </w:pPr>
          </w:p>
        </w:tc>
        <w:tc>
          <w:tcPr>
            <w:tcW w:w="202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27</w:t>
            </w:r>
          </w:p>
        </w:tc>
        <w:tc>
          <w:tcPr>
            <w:tcW w:w="86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80" w:type="dxa"/>
            <w:vAlign w:val="bottom"/>
          </w:tcPr>
          <w:p>
            <w:pPr>
              <w:spacing w:after="0"/>
              <w:rPr>
                <w:sz w:val="22"/>
                <w:szCs w:val="22"/>
                <w:color w:val="auto"/>
              </w:rPr>
            </w:pP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880" w:type="dxa"/>
            <w:vAlign w:val="bottom"/>
          </w:tcPr>
          <w:p>
            <w:pPr>
              <w:spacing w:after="0"/>
              <w:rPr>
                <w:sz w:val="22"/>
                <w:szCs w:val="22"/>
                <w:color w:val="auto"/>
              </w:rPr>
            </w:pPr>
          </w:p>
        </w:tc>
        <w:tc>
          <w:tcPr>
            <w:tcW w:w="1780" w:type="dxa"/>
            <w:vAlign w:val="bottom"/>
            <w:tcBorders>
              <w:right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6"/>
              </w:rPr>
              <w:t>N/A</w:t>
            </w:r>
          </w:p>
        </w:tc>
        <w:tc>
          <w:tcPr>
            <w:tcW w:w="40" w:type="dxa"/>
            <w:vAlign w:val="bottom"/>
          </w:tcPr>
          <w:p>
            <w:pPr>
              <w:spacing w:after="0"/>
              <w:rPr>
                <w:sz w:val="22"/>
                <w:szCs w:val="22"/>
                <w:color w:val="auto"/>
              </w:rPr>
            </w:pPr>
          </w:p>
        </w:tc>
      </w:tr>
      <w:tr>
        <w:trPr>
          <w:trHeight w:val="68"/>
        </w:trPr>
        <w:tc>
          <w:tcPr>
            <w:tcW w:w="100" w:type="dxa"/>
            <w:vAlign w:val="bottom"/>
            <w:tcBorders>
              <w:right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358"/>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gridSpan w:val="5"/>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INSURING AGREEMENT (G) RIDER</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5"/>
          </w:tcPr>
          <w:p>
            <w:pPr>
              <w:jc w:val="center"/>
              <w:ind w:right="1160"/>
              <w:spacing w:after="0"/>
              <w:rPr>
                <w:sz w:val="20"/>
                <w:szCs w:val="20"/>
                <w:color w:val="auto"/>
              </w:rPr>
            </w:pPr>
            <w:r>
              <w:rPr>
                <w:rFonts w:ascii="Times New Roman" w:cs="Times New Roman" w:eastAsia="Times New Roman" w:hAnsi="Times New Roman"/>
                <w:sz w:val="14"/>
                <w:szCs w:val="14"/>
                <w:b w:val="1"/>
                <w:bCs w:val="1"/>
                <w:i w:val="1"/>
                <w:iCs w:val="1"/>
                <w:color w:val="auto"/>
              </w:rPr>
              <w:t>INSURING AGREEMENT (G) COVERAGE SCHEDULE</w:t>
            </w:r>
          </w:p>
        </w:tc>
        <w:tc>
          <w:tcPr>
            <w:tcW w:w="1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17"/>
        </w:trPr>
        <w:tc>
          <w:tcPr>
            <w:tcW w:w="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660" w:type="dxa"/>
            <w:vAlign w:val="bottom"/>
            <w:gridSpan w:val="3"/>
          </w:tcPr>
          <w:p>
            <w:pPr>
              <w:jc w:val="center"/>
              <w:ind w:right="2140"/>
              <w:spacing w:after="0" w:line="118" w:lineRule="exact"/>
              <w:rPr>
                <w:sz w:val="20"/>
                <w:szCs w:val="20"/>
                <w:color w:val="auto"/>
              </w:rPr>
            </w:pPr>
            <w:r>
              <w:rPr>
                <w:rFonts w:ascii="Times New Roman" w:cs="Times New Roman" w:eastAsia="Times New Roman" w:hAnsi="Times New Roman"/>
                <w:sz w:val="13"/>
                <w:szCs w:val="13"/>
                <w:b w:val="1"/>
                <w:bCs w:val="1"/>
                <w:color w:val="auto"/>
              </w:rPr>
              <w:t>Insuring Agreement (G)</w:t>
            </w:r>
          </w:p>
        </w:tc>
        <w:tc>
          <w:tcPr>
            <w:tcW w:w="80" w:type="dxa"/>
            <w:vAlign w:val="bottom"/>
          </w:tcPr>
          <w:p>
            <w:pPr>
              <w:spacing w:after="0"/>
              <w:rPr>
                <w:sz w:val="10"/>
                <w:szCs w:val="10"/>
                <w:color w:val="auto"/>
              </w:rPr>
            </w:pPr>
          </w:p>
        </w:tc>
        <w:tc>
          <w:tcPr>
            <w:tcW w:w="3560" w:type="dxa"/>
            <w:vAlign w:val="bottom"/>
            <w:gridSpan w:val="2"/>
          </w:tcPr>
          <w:p>
            <w:pPr>
              <w:jc w:val="center"/>
              <w:ind w:left="1718"/>
              <w:spacing w:after="0" w:line="118" w:lineRule="exact"/>
              <w:rPr>
                <w:sz w:val="20"/>
                <w:szCs w:val="20"/>
                <w:color w:val="auto"/>
              </w:rPr>
            </w:pPr>
            <w:r>
              <w:rPr>
                <w:rFonts w:ascii="Times New Roman" w:cs="Times New Roman" w:eastAsia="Times New Roman" w:hAnsi="Times New Roman"/>
                <w:sz w:val="13"/>
                <w:szCs w:val="13"/>
                <w:b w:val="1"/>
                <w:bCs w:val="1"/>
                <w:color w:val="auto"/>
              </w:rPr>
              <w:t>Insuring Agreement (G)</w:t>
            </w: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7"/>
        </w:trPr>
        <w:tc>
          <w:tcPr>
            <w:tcW w:w="100" w:type="dxa"/>
            <w:vAlign w:val="bottom"/>
          </w:tcPr>
          <w:p>
            <w:pPr>
              <w:spacing w:after="0"/>
              <w:rPr>
                <w:sz w:val="16"/>
                <w:szCs w:val="16"/>
                <w:color w:val="auto"/>
              </w:rPr>
            </w:pPr>
          </w:p>
        </w:tc>
        <w:tc>
          <w:tcPr>
            <w:tcW w:w="56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Single Loss Limit of Liability</w:t>
            </w:r>
          </w:p>
        </w:tc>
        <w:tc>
          <w:tcPr>
            <w:tcW w:w="80" w:type="dxa"/>
            <w:vAlign w:val="bottom"/>
          </w:tcPr>
          <w:p>
            <w:pPr>
              <w:spacing w:after="0"/>
              <w:rPr>
                <w:sz w:val="16"/>
                <w:szCs w:val="16"/>
                <w:color w:val="auto"/>
              </w:rPr>
            </w:pPr>
          </w:p>
        </w:tc>
        <w:tc>
          <w:tcPr>
            <w:tcW w:w="3560" w:type="dxa"/>
            <w:vAlign w:val="bottom"/>
            <w:gridSpan w:val="2"/>
          </w:tcPr>
          <w:p>
            <w:pPr>
              <w:jc w:val="center"/>
              <w:ind w:left="1738"/>
              <w:spacing w:after="0"/>
              <w:rPr>
                <w:sz w:val="20"/>
                <w:szCs w:val="20"/>
                <w:color w:val="auto"/>
              </w:rPr>
            </w:pPr>
            <w:r>
              <w:rPr>
                <w:rFonts w:ascii="Times New Roman" w:cs="Times New Roman" w:eastAsia="Times New Roman" w:hAnsi="Times New Roman"/>
                <w:sz w:val="14"/>
                <w:szCs w:val="14"/>
                <w:b w:val="1"/>
                <w:bCs w:val="1"/>
                <w:color w:val="auto"/>
              </w:rPr>
              <w:t>Single Loss Deductible</w:t>
            </w: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0"/>
        </w:trPr>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3620" w:type="dxa"/>
            <w:vAlign w:val="bottom"/>
            <w:tcBorders>
              <w:top w:val="single" w:sz="8" w:color="auto"/>
            </w:tcBorders>
            <w:gridSpan w:val="2"/>
            <w:shd w:val="clear" w:color="auto" w:fill="CCEEFF"/>
          </w:tcPr>
          <w:p>
            <w:pPr>
              <w:jc w:val="center"/>
              <w:ind w:right="2015"/>
              <w:spacing w:after="0"/>
              <w:rPr>
                <w:sz w:val="20"/>
                <w:szCs w:val="20"/>
                <w:color w:val="auto"/>
              </w:rPr>
            </w:pPr>
            <w:r>
              <w:rPr>
                <w:rFonts w:ascii="Times New Roman" w:cs="Times New Roman" w:eastAsia="Times New Roman" w:hAnsi="Times New Roman"/>
                <w:sz w:val="18"/>
                <w:szCs w:val="18"/>
                <w:color w:val="auto"/>
                <w:w w:val="98"/>
              </w:rPr>
              <w:t>$4,000,000</w:t>
            </w: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gridSpan w:val="2"/>
            <w:shd w:val="clear" w:color="auto" w:fill="CCEEFF"/>
          </w:tcPr>
          <w:p>
            <w:pPr>
              <w:jc w:val="center"/>
              <w:ind w:left="1718"/>
              <w:spacing w:after="0"/>
              <w:rPr>
                <w:sz w:val="20"/>
                <w:szCs w:val="20"/>
                <w:color w:val="auto"/>
              </w:rPr>
            </w:pPr>
            <w:r>
              <w:rPr>
                <w:rFonts w:ascii="Times New Roman" w:cs="Times New Roman" w:eastAsia="Times New Roman" w:hAnsi="Times New Roman"/>
                <w:sz w:val="18"/>
                <w:szCs w:val="18"/>
                <w:color w:val="auto"/>
              </w:rPr>
              <w:t>$100,000</w:t>
            </w:r>
          </w:p>
        </w:tc>
        <w:tc>
          <w:tcPr>
            <w:tcW w:w="178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in the above schedule may also appear on the Declarations.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131" w:lineRule="exact"/>
        <w:rPr>
          <w:sz w:val="20"/>
          <w:szCs w:val="20"/>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attached bond is hereby amended by adding an additional Insuring Agreement as follows:</w:t>
      </w:r>
    </w:p>
    <w:p>
      <w:pPr>
        <w:spacing w:after="0" w:line="117" w:lineRule="exact"/>
        <w:rPr>
          <w:rFonts w:ascii="Times New Roman" w:cs="Times New Roman" w:eastAsia="Times New Roman" w:hAnsi="Times New Roman"/>
          <w:sz w:val="18"/>
          <w:szCs w:val="18"/>
          <w:color w:val="auto"/>
        </w:rPr>
      </w:pPr>
    </w:p>
    <w:p>
      <w:pPr>
        <w:ind w:left="1020" w:right="180" w:hanging="1"/>
        <w:spacing w:after="0" w:line="274" w:lineRule="auto"/>
        <w:tabs>
          <w:tab w:leader="none" w:pos="1315"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resulting directly from the fact that an issuer of securities, transfer agent, bank, banker or trust company received from the Insured or the New York Stock Exchange specimen copies of the Insured’s mechanically reproduced facsimile signature and acted in reliance upon any false, fraudulent or unauthorized reproduction of such facsimile signature, whether such facsimile signature is the facsimile signature duly adopted by the Insured or is one resembling or purporting to be such facsimile signature, regardless of by whom or by what means the same may have been imprinted, and whether or not such loss is sustained by reason of the Insured’s having entered into an agreement to be legally liable when such facsimile signature or one resembling or purporting to be such facsimile signature is used, provided, however, that</w:t>
      </w:r>
    </w:p>
    <w:p>
      <w:pPr>
        <w:spacing w:after="0" w:line="78" w:lineRule="exact"/>
        <w:rPr>
          <w:rFonts w:ascii="Times New Roman" w:cs="Times New Roman" w:eastAsia="Times New Roman" w:hAnsi="Times New Roman"/>
          <w:sz w:val="17"/>
          <w:szCs w:val="17"/>
          <w:color w:val="auto"/>
        </w:rPr>
      </w:pPr>
    </w:p>
    <w:p>
      <w:pPr>
        <w:ind w:left="2020" w:hanging="554"/>
        <w:spacing w:after="0"/>
        <w:tabs>
          <w:tab w:leader="none" w:pos="202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facsimile signature is used on a document</w:t>
      </w:r>
    </w:p>
    <w:p>
      <w:pPr>
        <w:spacing w:after="0" w:line="130" w:lineRule="exact"/>
        <w:rPr>
          <w:rFonts w:ascii="Times New Roman" w:cs="Times New Roman" w:eastAsia="Times New Roman" w:hAnsi="Times New Roman"/>
          <w:sz w:val="18"/>
          <w:szCs w:val="18"/>
          <w:color w:val="auto"/>
        </w:rPr>
      </w:pPr>
    </w:p>
    <w:p>
      <w:pPr>
        <w:ind w:left="2460" w:right="60" w:hanging="441"/>
        <w:spacing w:after="0" w:line="266" w:lineRule="auto"/>
        <w:tabs>
          <w:tab w:leader="none" w:pos="2460" w:val="left"/>
        </w:tabs>
        <w:numPr>
          <w:ilvl w:val="3"/>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signature to an assignment or other instrument authorizing or effecting the transfer of shares of stock, or other registered securities, which may now or at any time hereafter be registered in the name of the Insured on the books of the association, company or corporation issuing the same; or</w:t>
      </w:r>
    </w:p>
    <w:p>
      <w:pPr>
        <w:spacing w:after="0" w:line="81" w:lineRule="exact"/>
        <w:rPr>
          <w:rFonts w:ascii="Times New Roman" w:cs="Times New Roman" w:eastAsia="Times New Roman" w:hAnsi="Times New Roman"/>
          <w:sz w:val="18"/>
          <w:szCs w:val="18"/>
          <w:color w:val="auto"/>
        </w:rPr>
      </w:pPr>
    </w:p>
    <w:p>
      <w:pPr>
        <w:ind w:left="2460" w:right="80" w:hanging="441"/>
        <w:spacing w:after="0" w:line="261" w:lineRule="auto"/>
        <w:tabs>
          <w:tab w:leader="none" w:pos="2460" w:val="left"/>
        </w:tabs>
        <w:numPr>
          <w:ilvl w:val="3"/>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signature to a power of substitution, designating a substitute or substitutes to make the actual transfer on the books of the issuer of shares of stock, or other registered securities, in respect of which the Insured may now or at any time hereafter be named as attorney to effect said transfer, whether said power of substitution is embodied in an endorsement on the certificate for said shares of stock or other registered security or in a separate instrument;</w:t>
      </w:r>
    </w:p>
    <w:p>
      <w:pPr>
        <w:spacing w:after="0" w:line="85" w:lineRule="exact"/>
        <w:rPr>
          <w:rFonts w:ascii="Times New Roman" w:cs="Times New Roman" w:eastAsia="Times New Roman" w:hAnsi="Times New Roman"/>
          <w:sz w:val="18"/>
          <w:szCs w:val="18"/>
          <w:color w:val="auto"/>
        </w:rPr>
      </w:pPr>
    </w:p>
    <w:p>
      <w:pPr>
        <w:ind w:left="2020" w:right="100" w:hanging="554"/>
        <w:spacing w:after="0" w:line="282" w:lineRule="auto"/>
        <w:tabs>
          <w:tab w:leader="none" w:pos="202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York Stock Exchange has not interposed any objections to the use by the Insured of such facsimile signature and such agreement, if any, was required by the said Exchange as a condition to its failing to interpose any such objection; and</w:t>
      </w:r>
    </w:p>
    <w:p>
      <w:pPr>
        <w:spacing w:after="0" w:line="67"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Insuring Agreement (G) shall not apply to any Certificated Securities which are Counterfeit.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Sub-sections (a) and (e) of Section 2. of the attached bond shall not apply to Insuring Agreement (G).</w:t>
      </w:r>
    </w:p>
    <w:p>
      <w:pPr>
        <w:spacing w:after="0" w:line="130"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Single Loss Limit of Liability and Single Loss Deductible for Insuring Agreement (G) are as set forth in the Declarations or in the above schedule.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SR 5907a 1188</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0" w:type="dxa"/>
            <w:vAlign w:val="bottom"/>
            <w:tcBorders>
              <w:right w:val="single" w:sz="8" w:color="auto"/>
            </w:tcBorders>
          </w:tcPr>
          <w:p>
            <w:pPr>
              <w:spacing w:after="0"/>
              <w:rPr>
                <w:sz w:val="24"/>
                <w:szCs w:val="24"/>
                <w:color w:val="auto"/>
              </w:rPr>
            </w:pPr>
          </w:p>
        </w:tc>
        <w:tc>
          <w:tcPr>
            <w:tcW w:w="2160" w:type="dxa"/>
            <w:vAlign w:val="bottom"/>
            <w:tcBorders>
              <w:top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Rider Number</w:t>
            </w:r>
          </w:p>
        </w:tc>
        <w:tc>
          <w:tcPr>
            <w:tcW w:w="720" w:type="dxa"/>
            <w:vAlign w:val="bottom"/>
            <w:tcBorders>
              <w:top w:val="single" w:sz="8" w:color="auto"/>
              <w:right w:val="single" w:sz="8" w:color="auto"/>
            </w:tcBorders>
          </w:tcPr>
          <w:p>
            <w:pPr>
              <w:spacing w:after="0"/>
              <w:rPr>
                <w:sz w:val="24"/>
                <w:szCs w:val="24"/>
                <w:color w:val="auto"/>
              </w:rPr>
            </w:pPr>
          </w:p>
        </w:tc>
        <w:tc>
          <w:tcPr>
            <w:tcW w:w="28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20" w:type="dxa"/>
            <w:vAlign w:val="bottom"/>
            <w:tcBorders>
              <w:top w:val="single" w:sz="8" w:color="auto"/>
              <w:right w:val="single" w:sz="8" w:color="auto"/>
            </w:tcBorders>
          </w:tcPr>
          <w:p>
            <w:pPr>
              <w:jc w:val="center"/>
              <w:ind w:right="295"/>
              <w:spacing w:after="0"/>
              <w:rPr>
                <w:sz w:val="20"/>
                <w:szCs w:val="20"/>
                <w:color w:val="auto"/>
              </w:rPr>
            </w:pPr>
            <w:r>
              <w:rPr>
                <w:rFonts w:ascii="Times New Roman" w:cs="Times New Roman" w:eastAsia="Times New Roman" w:hAnsi="Times New Roman"/>
                <w:sz w:val="18"/>
                <w:szCs w:val="18"/>
                <w:color w:val="auto"/>
                <w:w w:val="99"/>
              </w:rPr>
              <w:t>Bond Number</w:t>
            </w:r>
          </w:p>
        </w:tc>
        <w:tc>
          <w:tcPr>
            <w:tcW w:w="90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Premium</w:t>
            </w:r>
          </w:p>
        </w:tc>
        <w:tc>
          <w:tcPr>
            <w:tcW w:w="40" w:type="dxa"/>
            <w:vAlign w:val="bottom"/>
          </w:tcPr>
          <w:p>
            <w:pPr>
              <w:spacing w:after="0"/>
              <w:rPr>
                <w:sz w:val="24"/>
                <w:szCs w:val="24"/>
                <w:color w:val="auto"/>
              </w:rPr>
            </w:pPr>
          </w:p>
        </w:tc>
      </w:tr>
      <w:tr>
        <w:trPr>
          <w:trHeight w:val="67"/>
        </w:trPr>
        <w:tc>
          <w:tcPr>
            <w:tcW w:w="100" w:type="dxa"/>
            <w:vAlign w:val="bottom"/>
            <w:tcBorders>
              <w:right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264"/>
        </w:trPr>
        <w:tc>
          <w:tcPr>
            <w:tcW w:w="100" w:type="dxa"/>
            <w:vAlign w:val="bottom"/>
            <w:tcBorders>
              <w:right w:val="single" w:sz="8" w:color="auto"/>
            </w:tcBorders>
          </w:tcPr>
          <w:p>
            <w:pPr>
              <w:spacing w:after="0"/>
              <w:rPr>
                <w:sz w:val="22"/>
                <w:szCs w:val="22"/>
                <w:color w:val="auto"/>
              </w:rPr>
            </w:pPr>
          </w:p>
        </w:tc>
        <w:tc>
          <w:tcPr>
            <w:tcW w:w="2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28</w:t>
            </w:r>
          </w:p>
        </w:tc>
        <w:tc>
          <w:tcPr>
            <w:tcW w:w="72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20" w:type="dxa"/>
            <w:vAlign w:val="bottom"/>
            <w:tcBorders>
              <w:right w:val="single" w:sz="8" w:color="auto"/>
            </w:tcBorders>
          </w:tcPr>
          <w:p>
            <w:pPr>
              <w:jc w:val="center"/>
              <w:ind w:right="295"/>
              <w:spacing w:after="0"/>
              <w:rPr>
                <w:sz w:val="20"/>
                <w:szCs w:val="20"/>
                <w:color w:val="auto"/>
              </w:rPr>
            </w:pPr>
            <w:r>
              <w:rPr>
                <w:rFonts w:ascii="Times New Roman" w:cs="Times New Roman" w:eastAsia="Times New Roman" w:hAnsi="Times New Roman"/>
                <w:sz w:val="18"/>
                <w:szCs w:val="18"/>
                <w:color w:val="auto"/>
                <w:w w:val="99"/>
              </w:rPr>
              <w:t>P-001-000219755-03</w:t>
            </w:r>
          </w:p>
        </w:tc>
        <w:tc>
          <w:tcPr>
            <w:tcW w:w="900" w:type="dxa"/>
            <w:vAlign w:val="bottom"/>
          </w:tcPr>
          <w:p>
            <w:pPr>
              <w:spacing w:after="0"/>
              <w:rPr>
                <w:sz w:val="22"/>
                <w:szCs w:val="22"/>
                <w:color w:val="auto"/>
              </w:rPr>
            </w:pPr>
          </w:p>
        </w:tc>
        <w:tc>
          <w:tcPr>
            <w:tcW w:w="1760" w:type="dxa"/>
            <w:vAlign w:val="bottom"/>
            <w:tcBorders>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6"/>
              </w:rPr>
              <w:t>N/A</w:t>
            </w:r>
          </w:p>
        </w:tc>
        <w:tc>
          <w:tcPr>
            <w:tcW w:w="40" w:type="dxa"/>
            <w:vAlign w:val="bottom"/>
          </w:tcPr>
          <w:p>
            <w:pPr>
              <w:spacing w:after="0"/>
              <w:rPr>
                <w:sz w:val="22"/>
                <w:szCs w:val="22"/>
                <w:color w:val="auto"/>
              </w:rPr>
            </w:pPr>
          </w:p>
        </w:tc>
      </w:tr>
      <w:tr>
        <w:trPr>
          <w:trHeight w:val="68"/>
        </w:trPr>
        <w:tc>
          <w:tcPr>
            <w:tcW w:w="100" w:type="dxa"/>
            <w:vAlign w:val="bottom"/>
            <w:tcBorders>
              <w:right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80" w:type="dxa"/>
            <w:vAlign w:val="bottom"/>
            <w:tcBorders>
              <w:bottom w:val="single" w:sz="8" w:color="auto"/>
              <w:right w:val="single" w:sz="8" w:color="auto"/>
            </w:tcBorders>
            <w:gridSpan w:val="2"/>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358"/>
        </w:trPr>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60" w:type="dxa"/>
            <w:vAlign w:val="bottom"/>
            <w:gridSpan w:val="6"/>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CENTRAL HANDLING OF SECURITIES RIDER</w:t>
            </w: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center"/>
              <w:ind w:left="1975"/>
              <w:spacing w:after="0"/>
              <w:rPr>
                <w:sz w:val="20"/>
                <w:szCs w:val="20"/>
                <w:color w:val="auto"/>
              </w:rPr>
            </w:pPr>
            <w:r>
              <w:rPr>
                <w:rFonts w:ascii="Times New Roman" w:cs="Times New Roman" w:eastAsia="Times New Roman" w:hAnsi="Times New Roman"/>
                <w:sz w:val="14"/>
                <w:szCs w:val="14"/>
                <w:b w:val="1"/>
                <w:bCs w:val="1"/>
                <w:i w:val="1"/>
                <w:iCs w:val="1"/>
                <w:color w:val="auto"/>
              </w:rPr>
              <w:t>SCHEDULE</w:t>
            </w:r>
          </w:p>
        </w:tc>
        <w:tc>
          <w:tcPr>
            <w:tcW w:w="2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56"/>
        </w:trPr>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960" w:type="dxa"/>
            <w:vAlign w:val="bottom"/>
            <w:gridSpan w:val="5"/>
          </w:tcPr>
          <w:p>
            <w:pPr>
              <w:jc w:val="center"/>
              <w:ind w:right="2740"/>
              <w:spacing w:after="0" w:line="155" w:lineRule="exact"/>
              <w:rPr>
                <w:sz w:val="20"/>
                <w:szCs w:val="20"/>
                <w:color w:val="auto"/>
              </w:rPr>
            </w:pPr>
            <w:r>
              <w:rPr>
                <w:rFonts w:ascii="Times New Roman" w:cs="Times New Roman" w:eastAsia="Times New Roman" w:hAnsi="Times New Roman"/>
                <w:sz w:val="14"/>
                <w:szCs w:val="14"/>
                <w:b w:val="1"/>
                <w:bCs w:val="1"/>
                <w:color w:val="auto"/>
              </w:rPr>
              <w:t>DEPOSITORY</w:t>
            </w:r>
          </w:p>
        </w:tc>
        <w:tc>
          <w:tcPr>
            <w:tcW w:w="3220" w:type="dxa"/>
            <w:vAlign w:val="bottom"/>
            <w:gridSpan w:val="2"/>
          </w:tcPr>
          <w:p>
            <w:pPr>
              <w:jc w:val="center"/>
              <w:ind w:left="1355"/>
              <w:spacing w:after="0" w:line="155" w:lineRule="exact"/>
              <w:rPr>
                <w:sz w:val="20"/>
                <w:szCs w:val="20"/>
                <w:color w:val="auto"/>
              </w:rPr>
            </w:pPr>
            <w:r>
              <w:rPr>
                <w:rFonts w:ascii="Times New Roman" w:cs="Times New Roman" w:eastAsia="Times New Roman" w:hAnsi="Times New Roman"/>
                <w:sz w:val="14"/>
                <w:szCs w:val="14"/>
                <w:b w:val="1"/>
                <w:bCs w:val="1"/>
                <w:color w:val="auto"/>
              </w:rPr>
              <w:t>LOCATION COVERED</w:t>
            </w:r>
          </w:p>
        </w:tc>
        <w:tc>
          <w:tcPr>
            <w:tcW w:w="1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8"/>
        </w:trPr>
        <w:tc>
          <w:tcPr>
            <w:tcW w:w="100" w:type="dxa"/>
            <w:vAlign w:val="bottom"/>
            <w:tcBorders>
              <w:top w:val="single" w:sz="8" w:color="auto"/>
            </w:tcBorders>
          </w:tcPr>
          <w:p>
            <w:pPr>
              <w:spacing w:after="0"/>
              <w:rPr>
                <w:sz w:val="19"/>
                <w:szCs w:val="19"/>
                <w:color w:val="auto"/>
              </w:rPr>
            </w:pPr>
          </w:p>
        </w:tc>
        <w:tc>
          <w:tcPr>
            <w:tcW w:w="56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All Depositories used by the Insured</w:t>
            </w:r>
          </w:p>
        </w:tc>
        <w:tc>
          <w:tcPr>
            <w:tcW w:w="120" w:type="dxa"/>
            <w:vAlign w:val="bottom"/>
            <w:gridSpan w:val="2"/>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980" w:type="dxa"/>
            <w:vAlign w:val="bottom"/>
            <w:tcBorders>
              <w:top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All Locations of Depositories used by the Insured</w:t>
            </w:r>
          </w:p>
        </w:tc>
        <w:tc>
          <w:tcPr>
            <w:tcW w:w="40" w:type="dxa"/>
            <w:vAlign w:val="bottom"/>
            <w:tcBorders>
              <w:top w:val="single" w:sz="8" w:color="auto"/>
            </w:tcBorders>
          </w:tcPr>
          <w:p>
            <w:pPr>
              <w:spacing w:after="0"/>
              <w:rPr>
                <w:sz w:val="19"/>
                <w:szCs w:val="19"/>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131" w:lineRule="exact"/>
        <w:rPr>
          <w:sz w:val="20"/>
          <w:szCs w:val="20"/>
          <w:color w:val="auto"/>
        </w:rPr>
      </w:pPr>
    </w:p>
    <w:p>
      <w:pPr>
        <w:ind w:left="460" w:right="740" w:hanging="452"/>
        <w:spacing w:after="0" w:line="282"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premises of Depositories listed in the above Schedule shall be deemed to be premises of the Insured but only as respects coverage on Certificated Securities.</w:t>
      </w:r>
    </w:p>
    <w:p>
      <w:pPr>
        <w:spacing w:after="0" w:line="67" w:lineRule="exact"/>
        <w:rPr>
          <w:rFonts w:ascii="Times New Roman" w:cs="Times New Roman" w:eastAsia="Times New Roman" w:hAnsi="Times New Roman"/>
          <w:sz w:val="18"/>
          <w:szCs w:val="18"/>
          <w:color w:val="auto"/>
        </w:rPr>
      </w:pPr>
    </w:p>
    <w:p>
      <w:pPr>
        <w:ind w:left="460" w:right="160" w:hanging="452"/>
        <w:spacing w:after="0" w:line="282"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Securities held by such Depository shall be deemed to be Property as defined in the attached bond to the extent of the Insured’s interest therein as effected by the making of appropriate entries on the books and records of such Depository.</w:t>
      </w:r>
    </w:p>
    <w:p>
      <w:pPr>
        <w:spacing w:after="0" w:line="67" w:lineRule="exact"/>
        <w:rPr>
          <w:rFonts w:ascii="Times New Roman" w:cs="Times New Roman" w:eastAsia="Times New Roman" w:hAnsi="Times New Roman"/>
          <w:sz w:val="18"/>
          <w:szCs w:val="18"/>
          <w:color w:val="auto"/>
        </w:rPr>
      </w:pPr>
    </w:p>
    <w:p>
      <w:pPr>
        <w:jc w:val="both"/>
        <w:ind w:left="460" w:right="120" w:hanging="452"/>
        <w:spacing w:after="0" w:line="266"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attached bond does not afford coverage in favor of any Depository listed in the Schedule above. When the Underwriter indemnifies the Insured for a loss covered hereunder, the Insured will assign the rights and causes of action to the extent of the claim payment against the Depository, or any other entity or person against whom it has a cause of action, to the Underwriter.</w:t>
      </w:r>
    </w:p>
    <w:p>
      <w:pPr>
        <w:spacing w:after="0" w:line="81" w:lineRule="exact"/>
        <w:rPr>
          <w:rFonts w:ascii="Times New Roman" w:cs="Times New Roman" w:eastAsia="Times New Roman" w:hAnsi="Times New Roman"/>
          <w:sz w:val="18"/>
          <w:szCs w:val="18"/>
          <w:color w:val="auto"/>
        </w:rPr>
      </w:pPr>
    </w:p>
    <w:p>
      <w:pPr>
        <w:ind w:left="460" w:right="320" w:hanging="452"/>
        <w:spacing w:after="0" w:line="266"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rules of the Depository named in the Schedule above provide that the Insured shall be assessed for a portion of the judgment (or agreed settlement) taken by the Underwriter based upon the assignment set forth in part 3. above and the Insured actually pays such assessment, then the Underwriter will reimburse the Insured for the amount of the assessment but not exceeding the amount of loss payment by the Underwriter.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SR 5967e 1087</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3"/>
        </w:trPr>
        <w:tc>
          <w:tcPr>
            <w:tcW w:w="2900" w:type="dxa"/>
            <w:vAlign w:val="bottom"/>
            <w:tcBorders>
              <w:left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29</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STATUTORY RIDER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131" w:lineRule="exact"/>
        <w:rPr>
          <w:sz w:val="20"/>
          <w:szCs w:val="20"/>
          <w:color w:val="auto"/>
        </w:rPr>
      </w:pPr>
    </w:p>
    <w:p>
      <w:pPr>
        <w:ind w:left="460" w:right="1180" w:hanging="452"/>
        <w:spacing w:after="0" w:line="282"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(a) of the section entitled “Termination or Cancellation” of this bond/policy is deleted and cancellation of this bond/policy by the Underwriter/Company is subject to the following provisions:</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bond/policy has been in effect for 60 days or less, the underwriter/company may cancel this bond/policy by mailing or delivering to the first named Insured written notice of cancellation at least:</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days before the effective date of cancellation if the underwriter/company cancels for any reason not included in paragraph (2) below.</w:t>
      </w:r>
    </w:p>
    <w:p>
      <w:pPr>
        <w:spacing w:after="0" w:line="142" w:lineRule="exact"/>
        <w:rPr>
          <w:rFonts w:ascii="Times New Roman" w:cs="Times New Roman" w:eastAsia="Times New Roman" w:hAnsi="Times New Roman"/>
          <w:sz w:val="17"/>
          <w:szCs w:val="17"/>
          <w:color w:val="auto"/>
        </w:rPr>
      </w:pPr>
    </w:p>
    <w:p>
      <w:pPr>
        <w:ind w:left="1460" w:hanging="453"/>
        <w:spacing w:after="0"/>
        <w:tabs>
          <w:tab w:leader="none" w:pos="146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days before the effective date of cancellation if the underwriter/company cancels for any of the following reasons:</w:t>
      </w:r>
    </w:p>
    <w:p>
      <w:pPr>
        <w:spacing w:after="0" w:line="130" w:lineRule="exact"/>
        <w:rPr>
          <w:rFonts w:ascii="Times New Roman" w:cs="Times New Roman" w:eastAsia="Times New Roman" w:hAnsi="Times New Roman"/>
          <w:sz w:val="18"/>
          <w:szCs w:val="18"/>
          <w:color w:val="auto"/>
        </w:rPr>
      </w:pPr>
    </w:p>
    <w:p>
      <w:pPr>
        <w:ind w:left="2020" w:right="40" w:hanging="554"/>
        <w:spacing w:after="0" w:line="282" w:lineRule="auto"/>
        <w:tabs>
          <w:tab w:leader="none" w:pos="202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of premium provided, however, that a notice of cancellation for this reason shall inform the Insured of the amount due;</w:t>
      </w:r>
    </w:p>
    <w:p>
      <w:pPr>
        <w:spacing w:after="0" w:line="67"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a crime arising out of acts increasing the hazard insured against;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fraud or material misrepresentation in the obtaining of the bond/policy or in the presentation of a claim;</w:t>
      </w:r>
    </w:p>
    <w:p>
      <w:pPr>
        <w:spacing w:after="0" w:line="130" w:lineRule="exact"/>
        <w:rPr>
          <w:rFonts w:ascii="Times New Roman" w:cs="Times New Roman" w:eastAsia="Times New Roman" w:hAnsi="Times New Roman"/>
          <w:sz w:val="18"/>
          <w:szCs w:val="18"/>
          <w:color w:val="auto"/>
        </w:rPr>
      </w:pPr>
    </w:p>
    <w:p>
      <w:pPr>
        <w:ind w:left="2020" w:right="120" w:hanging="554"/>
        <w:spacing w:after="0" w:line="266" w:lineRule="auto"/>
        <w:tabs>
          <w:tab w:leader="none" w:pos="202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issuance of the bond/policy or after the last renewal date, discovery of an act or omission, or a violation of a bond/policy condition, that substantially and materially increases the hazard insured against, and that occurred subsequent to inception of the current bond/policy period;</w:t>
      </w:r>
    </w:p>
    <w:p>
      <w:pPr>
        <w:spacing w:after="0" w:line="81" w:lineRule="exact"/>
        <w:rPr>
          <w:rFonts w:ascii="Times New Roman" w:cs="Times New Roman" w:eastAsia="Times New Roman" w:hAnsi="Times New Roman"/>
          <w:sz w:val="18"/>
          <w:szCs w:val="18"/>
          <w:color w:val="auto"/>
        </w:rPr>
      </w:pPr>
    </w:p>
    <w:p>
      <w:pPr>
        <w:ind w:left="2020" w:hanging="554"/>
        <w:spacing w:after="0" w:line="277" w:lineRule="auto"/>
        <w:tabs>
          <w:tab w:leader="none" w:pos="2020" w:val="left"/>
        </w:tabs>
        <w:numPr>
          <w:ilvl w:val="3"/>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physical change in the property insured, occurring after issuance or last annual renewal anniversary date of the bond/policy, that results in the property becoming uninsurable in accordance with our objective, uniformly applied underwriting standards in effect at the time the bond/policy was issued or last renewed; or material change in the nature or extent of the risk, occurring after issuance or last annual renewal anniversary date of the bond/policy, that causes the risk of loss to be substantially and materially increased beyond that contemplated at the time the bond/policy was issued or last renewed;</w:t>
      </w:r>
    </w:p>
    <w:p>
      <w:pPr>
        <w:spacing w:after="0" w:line="73" w:lineRule="exact"/>
        <w:rPr>
          <w:rFonts w:ascii="Times New Roman" w:cs="Times New Roman" w:eastAsia="Times New Roman" w:hAnsi="Times New Roman"/>
          <w:sz w:val="17"/>
          <w:szCs w:val="17"/>
          <w:color w:val="auto"/>
        </w:rPr>
      </w:pPr>
    </w:p>
    <w:p>
      <w:pPr>
        <w:ind w:left="2020" w:right="40" w:hanging="554"/>
        <w:spacing w:after="0" w:line="282" w:lineRule="auto"/>
        <w:tabs>
          <w:tab w:leader="none" w:pos="202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pursuant to a determination by the Superintendent that continuation of our present premium volume would jeopardize our solvency or be hazardous to the interest of our policyholders, our creditors or the public;</w:t>
      </w:r>
    </w:p>
    <w:p>
      <w:pPr>
        <w:spacing w:after="0" w:line="67" w:lineRule="exact"/>
        <w:rPr>
          <w:rFonts w:ascii="Times New Roman" w:cs="Times New Roman" w:eastAsia="Times New Roman" w:hAnsi="Times New Roman"/>
          <w:sz w:val="18"/>
          <w:szCs w:val="18"/>
          <w:color w:val="auto"/>
        </w:rPr>
      </w:pPr>
    </w:p>
    <w:p>
      <w:pPr>
        <w:ind w:left="2020" w:right="40" w:hanging="554"/>
        <w:spacing w:after="0" w:line="282" w:lineRule="auto"/>
        <w:tabs>
          <w:tab w:leader="none" w:pos="202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Superintendent that the continuation of the bond/policy would violate, or would place us in violation of, any provision of the Insurance Code; or</w:t>
      </w:r>
    </w:p>
    <w:p>
      <w:pPr>
        <w:spacing w:after="0" w:line="67" w:lineRule="exact"/>
        <w:rPr>
          <w:rFonts w:ascii="Times New Roman" w:cs="Times New Roman" w:eastAsia="Times New Roman" w:hAnsi="Times New Roman"/>
          <w:sz w:val="18"/>
          <w:szCs w:val="18"/>
          <w:color w:val="auto"/>
        </w:rPr>
      </w:pPr>
    </w:p>
    <w:p>
      <w:pPr>
        <w:ind w:left="2020" w:right="220" w:hanging="554"/>
        <w:spacing w:after="0" w:line="258" w:lineRule="auto"/>
        <w:tabs>
          <w:tab w:leader="none" w:pos="202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underwriter/company has reason to believe, in good faith and with sufficient cause, that there is a probable risk of danger that an insured will destroy, or permit to be destroyed, the insured property for the purpose of collecting the insurance proceeds. If the underwriter/company cancels for this reason, the first named Insured may make a written request to the Insurance Department, within 10 days of receipt of this notice, to review the cancellation decision. Also, the underwriter/company will simultaneously send a copy of the cancellation notice to the Insurance Department.</w:t>
      </w:r>
    </w:p>
    <w:p>
      <w:pPr>
        <w:spacing w:after="0" w:line="88" w:lineRule="exact"/>
        <w:rPr>
          <w:rFonts w:ascii="Times New Roman" w:cs="Times New Roman" w:eastAsia="Times New Roman" w:hAnsi="Times New Roman"/>
          <w:sz w:val="18"/>
          <w:szCs w:val="18"/>
          <w:color w:val="auto"/>
        </w:rPr>
      </w:pPr>
    </w:p>
    <w:p>
      <w:pPr>
        <w:ind w:left="1000" w:right="360" w:hanging="547"/>
        <w:spacing w:after="0" w:line="257" w:lineRule="auto"/>
        <w:tabs>
          <w:tab w:leader="none" w:pos="10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bond/policy has been in effect for more than 60 days, or if this bond/policy is a renewal or continuation of a bond/policy the underwriter/company issued, the underwriter/company may cancel only for any of the reasons listed in paragraph (2) above, provided the underwriter/company mails the first named Insured written notice at</w:t>
      </w:r>
    </w:p>
    <w:p>
      <w:pPr>
        <w:spacing w:after="0" w:line="1" w:lineRule="exact"/>
        <w:rPr>
          <w:rFonts w:ascii="Times New Roman" w:cs="Times New Roman" w:eastAsia="Times New Roman" w:hAnsi="Times New Roman"/>
          <w:sz w:val="18"/>
          <w:szCs w:val="18"/>
          <w:color w:val="auto"/>
        </w:rPr>
      </w:pPr>
    </w:p>
    <w:p>
      <w:pPr>
        <w:ind w:left="1000"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least 15 days before the effective date of cancellation. If cancellation is for nonpayment of premium, the notice of cancellation shall inform the Insured of the amount due.</w:t>
      </w:r>
    </w:p>
    <w:p>
      <w:pPr>
        <w:spacing w:after="0" w:line="112" w:lineRule="exact"/>
        <w:rPr>
          <w:sz w:val="20"/>
          <w:szCs w:val="20"/>
          <w:color w:val="auto"/>
        </w:rPr>
      </w:pPr>
    </w:p>
    <w:p>
      <w:pPr>
        <w:spacing w:after="0"/>
        <w:tabs>
          <w:tab w:leader="none" w:pos="3480" w:val="left"/>
          <w:tab w:leader="none" w:pos="10400" w:val="left"/>
        </w:tabs>
        <w:rPr>
          <w:sz w:val="20"/>
          <w:szCs w:val="20"/>
          <w:color w:val="auto"/>
        </w:rPr>
      </w:pPr>
      <w:r>
        <w:rPr>
          <w:rFonts w:ascii="Times New Roman" w:cs="Times New Roman" w:eastAsia="Times New Roman" w:hAnsi="Times New Roman"/>
          <w:sz w:val="18"/>
          <w:szCs w:val="18"/>
          <w:color w:val="auto"/>
        </w:rPr>
        <w:t>SR 6180d 0709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1 of 3</w:t>
      </w:r>
    </w:p>
    <w:p>
      <w:pPr>
        <w:sectPr>
          <w:pgSz w:w="11900" w:h="16838" w:orient="portrait"/>
          <w:cols w:equalWidth="0" w:num="1">
            <w:col w:w="11240"/>
          </w:cols>
          <w:pgMar w:left="320" w:top="27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0" w:right="60" w:hanging="547"/>
        <w:spacing w:after="0" w:line="282" w:lineRule="auto"/>
        <w:tabs>
          <w:tab w:leader="none" w:pos="10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underwriter/company will mail or deliver notice, including the reason for cancellation, to the first named Insured at the address shown in the bond/policy and to the authorized agent or broker.</w:t>
      </w:r>
    </w:p>
    <w:p>
      <w:pPr>
        <w:spacing w:after="0" w:line="67" w:lineRule="exact"/>
        <w:rPr>
          <w:rFonts w:ascii="Times New Roman" w:cs="Times New Roman" w:eastAsia="Times New Roman" w:hAnsi="Times New Roman"/>
          <w:sz w:val="18"/>
          <w:szCs w:val="18"/>
          <w:color w:val="auto"/>
        </w:rPr>
      </w:pPr>
    </w:p>
    <w:p>
      <w:pPr>
        <w:ind w:left="1000" w:right="60" w:hanging="547"/>
        <w:spacing w:after="0" w:line="258" w:lineRule="auto"/>
        <w:tabs>
          <w:tab w:leader="none" w:pos="10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bond/policy is canceled, the underwriter/company will send the first named Insured any premium refund due. If the underwriter/company cancels, the refund will be pro rata. If the first named Insured cancels, the refund may be less than pro rata. However, when the premium is advanced under a premium finance agreement, the cancellation refund will be pro rata. Under such financed policies, the underwriter/company will be entitled to retain a minimum earned premium of 10% of the total premium or $60, whichever is greater. The cancellation will be effective even if the underwriter/company has not made or offered a refund.</w:t>
      </w:r>
    </w:p>
    <w:p>
      <w:pPr>
        <w:spacing w:after="0" w:line="88" w:lineRule="exact"/>
        <w:rPr>
          <w:rFonts w:ascii="Times New Roman" w:cs="Times New Roman" w:eastAsia="Times New Roman" w:hAnsi="Times New Roman"/>
          <w:sz w:val="18"/>
          <w:szCs w:val="18"/>
          <w:color w:val="auto"/>
        </w:rPr>
      </w:pPr>
    </w:p>
    <w:p>
      <w:pPr>
        <w:ind w:left="1000" w:right="40" w:hanging="547"/>
        <w:spacing w:after="0" w:line="312" w:lineRule="auto"/>
        <w:tabs>
          <w:tab w:leader="none" w:pos="10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one of the reasons for cancellation in paragraph a.(2) exists, the underwriter/company may cancel this entire bond/policy, even if the reason for cancellation pertains only to a new coverage or endorsement initially effective subsequent to the original issuance of this bond/policy.</w:t>
      </w:r>
    </w:p>
    <w:p>
      <w:pPr>
        <w:spacing w:after="0" w:line="45" w:lineRule="exact"/>
        <w:rPr>
          <w:rFonts w:ascii="Times New Roman" w:cs="Times New Roman" w:eastAsia="Times New Roman" w:hAnsi="Times New Roman"/>
          <w:sz w:val="17"/>
          <w:szCs w:val="17"/>
          <w:color w:val="auto"/>
        </w:rPr>
      </w:pPr>
    </w:p>
    <w:p>
      <w:pPr>
        <w:ind w:left="460" w:hanging="452"/>
        <w:spacing w:after="0"/>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or nonrenewal of this bond/policy by the Underwriter/Company is subject to the following provisions: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underwriter/company decides not to renew this bond/policy, it will send notice as provided in paragraph c. below.</w:t>
      </w:r>
    </w:p>
    <w:p>
      <w:pPr>
        <w:spacing w:after="0" w:line="130" w:lineRule="exact"/>
        <w:rPr>
          <w:rFonts w:ascii="Times New Roman" w:cs="Times New Roman" w:eastAsia="Times New Roman" w:hAnsi="Times New Roman"/>
          <w:sz w:val="18"/>
          <w:szCs w:val="18"/>
          <w:color w:val="auto"/>
        </w:rPr>
      </w:pPr>
    </w:p>
    <w:p>
      <w:pPr>
        <w:ind w:left="1000" w:right="320" w:hanging="547"/>
        <w:spacing w:after="0" w:line="261" w:lineRule="auto"/>
        <w:tabs>
          <w:tab w:leader="none" w:pos="10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underwriter/company conditionally renews this bond/policy subject to a change of limits, change in type of coverage, reduction of coverage, increased deductible, addition of exclusion, or increased premiums in excess of 10% (exclusive of any premium increase due to insured value added, increased exposure units, or as a result of experience rating, loss rating, retrospective rating or audit) the underwriter/company will send notice as provided in paragraph c. below.</w:t>
      </w:r>
    </w:p>
    <w:p>
      <w:pPr>
        <w:spacing w:after="0" w:line="85" w:lineRule="exact"/>
        <w:rPr>
          <w:rFonts w:ascii="Times New Roman" w:cs="Times New Roman" w:eastAsia="Times New Roman" w:hAnsi="Times New Roman"/>
          <w:sz w:val="18"/>
          <w:szCs w:val="18"/>
          <w:color w:val="auto"/>
        </w:rPr>
      </w:pPr>
    </w:p>
    <w:p>
      <w:pPr>
        <w:ind w:left="1000" w:right="140" w:hanging="547"/>
        <w:spacing w:after="0" w:line="266" w:lineRule="auto"/>
        <w:tabs>
          <w:tab w:leader="none" w:pos="10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underwriter/company decides not to renew this bond/policy, or to conditionally renew this bond/policy as provided in paragraph 2.b. above, the underwriter/company will mail or deliver written notice to the first named Insured shown in the Declarations at least 60 days, but not more than 120 days, before the expiration date of the bond/policy or, the anniversary date if this is a continuous bond/policy.</w:t>
      </w:r>
    </w:p>
    <w:p>
      <w:pPr>
        <w:spacing w:after="0" w:line="81"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will be mailed or delivered to the first named Insured at the address shown in the bond/policy and to the authorized agent or broker. If notice is mailed, proof of mailing will be sufficient proof of notice.</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will include the availability of loss information and the specific reason(s) for nonrenewal or conditional renewal, including the amount of any premium increase for conditional renewal and a description of any other changes.</w:t>
      </w:r>
    </w:p>
    <w:p>
      <w:pPr>
        <w:spacing w:after="0" w:line="67" w:lineRule="exact"/>
        <w:rPr>
          <w:rFonts w:ascii="Times New Roman" w:cs="Times New Roman" w:eastAsia="Times New Roman" w:hAnsi="Times New Roman"/>
          <w:sz w:val="18"/>
          <w:szCs w:val="18"/>
          <w:color w:val="auto"/>
        </w:rPr>
      </w:pPr>
    </w:p>
    <w:p>
      <w:pPr>
        <w:ind w:left="1000" w:right="40" w:hanging="547"/>
        <w:spacing w:after="0" w:line="282" w:lineRule="auto"/>
        <w:tabs>
          <w:tab w:leader="none" w:pos="10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underwriter/company violates the provisions of paragraph c. above by sending the first named Insured an incomplete or late conditional renewal notice or a late nonrenewal notice:</w:t>
      </w:r>
    </w:p>
    <w:p>
      <w:pPr>
        <w:spacing w:after="0" w:line="67" w:lineRule="exact"/>
        <w:rPr>
          <w:rFonts w:ascii="Times New Roman" w:cs="Times New Roman" w:eastAsia="Times New Roman" w:hAnsi="Times New Roman"/>
          <w:sz w:val="18"/>
          <w:szCs w:val="18"/>
          <w:color w:val="auto"/>
        </w:rPr>
      </w:pPr>
    </w:p>
    <w:p>
      <w:pPr>
        <w:ind w:left="1460" w:hanging="453"/>
        <w:spacing w:after="0" w:line="258" w:lineRule="auto"/>
        <w:tabs>
          <w:tab w:leader="none" w:pos="146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date of the bond/policy, coverage will remain in effect at the same terms and conditions of this bond/policy at the lower of the current rates or the prior period’s rates until 60 days after such notice is mailed or delivered, unless the first named Insured, during this 60 day period, has replaced the coverage or elects to cancel; provided, however, that if the insured elects to renew on the basis of a conditional renewal notice and the notice was provided at least thirty (30) days prior to the expiration date of this Policy, then the terms, conditions and rates set forth in the conditional renewal notice shall apply as of the renewal date; or</w:t>
      </w:r>
    </w:p>
    <w:p>
      <w:pPr>
        <w:spacing w:after="0" w:line="88" w:lineRule="exact"/>
        <w:rPr>
          <w:rFonts w:ascii="Times New Roman" w:cs="Times New Roman" w:eastAsia="Times New Roman" w:hAnsi="Times New Roman"/>
          <w:sz w:val="18"/>
          <w:szCs w:val="18"/>
          <w:color w:val="auto"/>
        </w:rPr>
      </w:pPr>
    </w:p>
    <w:p>
      <w:pPr>
        <w:ind w:left="1460" w:right="220" w:hanging="453"/>
        <w:spacing w:after="0" w:line="266" w:lineRule="auto"/>
        <w:tabs>
          <w:tab w:leader="none" w:pos="146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expiration date of this bond/policy, coverage will remain in effect at the same terms and conditions of this bond/policy for another required bond/policy period, at the lower of the current rates or the prior period’s rates, unless the first named Insured, during this additional required bond/policy period, has replaced the coverage or elects to cancel.</w:t>
      </w:r>
    </w:p>
    <w:p>
      <w:pPr>
        <w:spacing w:after="0" w:line="81"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underwriter/company need not send notice of nonrenewal or conditional renewal if the first named Insured, its authorized agent or broker or another insurer of the first named Insured mails or delivers notice that the bond/policy has been replaced or is no longer desired.</w:t>
      </w:r>
    </w:p>
    <w:p>
      <w:pPr>
        <w:spacing w:after="0" w:line="92" w:lineRule="exact"/>
        <w:rPr>
          <w:sz w:val="20"/>
          <w:szCs w:val="20"/>
          <w:color w:val="auto"/>
        </w:rPr>
      </w:pPr>
    </w:p>
    <w:p>
      <w:pPr>
        <w:spacing w:after="0"/>
        <w:tabs>
          <w:tab w:leader="none" w:pos="3480" w:val="left"/>
          <w:tab w:leader="none" w:pos="10400" w:val="left"/>
        </w:tabs>
        <w:rPr>
          <w:sz w:val="20"/>
          <w:szCs w:val="20"/>
          <w:color w:val="auto"/>
        </w:rPr>
      </w:pPr>
      <w:r>
        <w:rPr>
          <w:rFonts w:ascii="Times New Roman" w:cs="Times New Roman" w:eastAsia="Times New Roman" w:hAnsi="Times New Roman"/>
          <w:sz w:val="18"/>
          <w:szCs w:val="18"/>
          <w:color w:val="auto"/>
        </w:rPr>
        <w:t>SR 6180d 0709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2 of 3</w:t>
      </w:r>
    </w:p>
    <w:p>
      <w:pPr>
        <w:sectPr>
          <w:pgSz w:w="11900" w:h="16838" w:orient="portrait"/>
          <w:cols w:equalWidth="0" w:num="1">
            <w:col w:w="11240"/>
          </w:cols>
          <w:pgMar w:left="320" w:top="27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6" w:lineRule="exact"/>
        <w:rPr>
          <w:sz w:val="20"/>
          <w:szCs w:val="20"/>
          <w:color w:val="auto"/>
        </w:rPr>
      </w:pPr>
    </w:p>
    <w:p>
      <w:pPr>
        <w:spacing w:after="0"/>
        <w:tabs>
          <w:tab w:leader="none" w:pos="3480" w:val="left"/>
          <w:tab w:leader="none" w:pos="10400" w:val="left"/>
        </w:tabs>
        <w:rPr>
          <w:sz w:val="20"/>
          <w:szCs w:val="20"/>
          <w:color w:val="auto"/>
        </w:rPr>
      </w:pPr>
      <w:r>
        <w:rPr>
          <w:rFonts w:ascii="Times New Roman" w:cs="Times New Roman" w:eastAsia="Times New Roman" w:hAnsi="Times New Roman"/>
          <w:sz w:val="18"/>
          <w:szCs w:val="18"/>
          <w:color w:val="auto"/>
        </w:rPr>
        <w:t>SR 6180d 0709</w:t>
      </w:r>
      <w:r>
        <w:rPr>
          <w:sz w:val="20"/>
          <w:szCs w:val="20"/>
          <w:color w:val="auto"/>
        </w:rPr>
        <w:tab/>
      </w:r>
      <w:r>
        <w:rPr>
          <w:rFonts w:ascii="Times New Roman" w:cs="Times New Roman" w:eastAsia="Times New Roman" w:hAnsi="Times New Roman"/>
          <w:sz w:val="18"/>
          <w:szCs w:val="18"/>
          <w:i w:val="1"/>
          <w:iCs w:val="1"/>
          <w:color w:val="auto"/>
        </w:rPr>
        <w:t>Includes copyright material of The Surety Association of America</w:t>
      </w:r>
      <w:r>
        <w:rPr>
          <w:sz w:val="20"/>
          <w:szCs w:val="20"/>
          <w:color w:val="auto"/>
        </w:rPr>
        <w:tab/>
      </w:r>
      <w:r>
        <w:rPr>
          <w:rFonts w:ascii="Times New Roman" w:cs="Times New Roman" w:eastAsia="Times New Roman" w:hAnsi="Times New Roman"/>
          <w:sz w:val="18"/>
          <w:szCs w:val="18"/>
          <w:color w:val="auto"/>
        </w:rPr>
        <w:t>Page 3 of 3</w:t>
      </w:r>
    </w:p>
    <w:p>
      <w:pPr>
        <w:sectPr>
          <w:pgSz w:w="11900" w:h="16838" w:orient="portrait"/>
          <w:cols w:equalWidth="0" w:num="1">
            <w:col w:w="11240"/>
          </w:cols>
          <w:pgMar w:left="320" w:top="27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Rider Number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of Rider</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 Number</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r>
        <w:trPr>
          <w:trHeight w:val="264"/>
        </w:trPr>
        <w:tc>
          <w:tcPr>
            <w:tcW w:w="2900" w:type="dxa"/>
            <w:vAlign w:val="bottom"/>
            <w:tcBorders>
              <w:left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30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12:01 a.m. on 04/01/2022</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CRYPTOCURRENCY EXCLUSION RIDER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127" w:lineRule="exact"/>
        <w:rPr>
          <w:sz w:val="20"/>
          <w:szCs w:val="20"/>
          <w:color w:val="auto"/>
        </w:rPr>
      </w:pPr>
    </w:p>
    <w:p>
      <w:pPr>
        <w:ind w:left="460" w:hanging="452"/>
        <w:spacing w:after="0"/>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attached bond is amended by adding to Section 2. EXCLUSIONS—</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the following:</w:t>
      </w:r>
    </w:p>
    <w:p>
      <w:pPr>
        <w:spacing w:after="0" w:line="12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or indirectly from the theft, disappearance or destruction of Cryptocurrency or from the change in value of Cryptocurrency.</w:t>
      </w:r>
    </w:p>
    <w:p>
      <w:pPr>
        <w:spacing w:after="0" w:line="12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attached bond is amended by adding to the bond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Section 1. DEFINITIONS the following:</w:t>
      </w:r>
    </w:p>
    <w:p>
      <w:pPr>
        <w:spacing w:after="0" w:line="121" w:lineRule="exact"/>
        <w:rPr>
          <w:rFonts w:ascii="Times New Roman" w:cs="Times New Roman" w:eastAsia="Times New Roman" w:hAnsi="Times New Roman"/>
          <w:sz w:val="18"/>
          <w:szCs w:val="18"/>
          <w:color w:val="auto"/>
        </w:rPr>
      </w:pPr>
    </w:p>
    <w:p>
      <w:pPr>
        <w:ind w:left="46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Cryptocurrency means a digital or electronic medium of exchange, operating independently of a central authority, in which encryption techniques are used to regulate the generation of units and to verify the transfer of such units from one person to another.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SR 6343 0321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368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Effective Date of Endorsement</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Policy Number</w:t>
            </w:r>
          </w:p>
        </w:tc>
        <w:tc>
          <w:tcPr>
            <w:tcW w:w="3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8"/>
        </w:trPr>
        <w:tc>
          <w:tcPr>
            <w:tcW w:w="368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660" w:type="dxa"/>
            <w:vAlign w:val="bottom"/>
            <w:tcBorders>
              <w:bottom w:val="single" w:sz="8" w:color="auto"/>
              <w:right w:val="single" w:sz="8" w:color="auto"/>
            </w:tcBorders>
          </w:tcPr>
          <w:p>
            <w:pPr>
              <w:spacing w:after="0"/>
              <w:rPr>
                <w:sz w:val="5"/>
                <w:szCs w:val="5"/>
                <w:color w:val="auto"/>
              </w:rPr>
            </w:pPr>
          </w:p>
        </w:tc>
      </w:tr>
      <w:tr>
        <w:trPr>
          <w:trHeight w:val="263"/>
        </w:trPr>
        <w:tc>
          <w:tcPr>
            <w:tcW w:w="36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12:01 a.m. on 04/01/2022</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368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660" w:type="dxa"/>
            <w:vAlign w:val="bottom"/>
            <w:tcBorders>
              <w:bottom w:val="single" w:sz="8" w:color="auto"/>
              <w:right w:val="single" w:sz="8" w:color="auto"/>
            </w:tcBorders>
          </w:tcPr>
          <w:p>
            <w:pPr>
              <w:spacing w:after="0"/>
              <w:rPr>
                <w:sz w:val="5"/>
                <w:szCs w:val="5"/>
                <w:color w:val="auto"/>
              </w:rPr>
            </w:pPr>
          </w:p>
        </w:tc>
      </w:tr>
      <w:tr>
        <w:trPr>
          <w:trHeight w:val="358"/>
        </w:trPr>
        <w:tc>
          <w:tcPr>
            <w:tcW w:w="3680" w:type="dxa"/>
            <w:vAlign w:val="bottom"/>
          </w:tcPr>
          <w:p>
            <w:pPr>
              <w:spacing w:after="0"/>
              <w:rPr>
                <w:sz w:val="24"/>
                <w:szCs w:val="24"/>
                <w:color w:val="auto"/>
              </w:rPr>
            </w:pPr>
          </w:p>
        </w:tc>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Portman Ridge Finance Corporation</w:t>
            </w:r>
          </w:p>
        </w:tc>
        <w:tc>
          <w:tcPr>
            <w:tcW w:w="366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 the GENERAL AGREEMENTS are amended by the addition of the following:</w:t>
      </w:r>
    </w:p>
    <w:p>
      <w:pPr>
        <w:spacing w:after="0" w:line="252" w:lineRule="exact"/>
        <w:rPr>
          <w:sz w:val="20"/>
          <w:szCs w:val="20"/>
          <w:color w:val="auto"/>
        </w:rPr>
      </w:pPr>
    </w:p>
    <w:p>
      <w:pPr>
        <w:ind w:left="440" w:right="200" w:hanging="324"/>
        <w:spacing w:after="0" w:line="261" w:lineRule="auto"/>
        <w:tabs>
          <w:tab w:leader="none" w:pos="4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Employee or director of the Insured is required to provide a bond to a health, welfare or pension plan owned by the Insured subject to the Employee Retirement Income Security Act of 1974 (ERISA) (hereinafter the “Plan”), the majority of whose beneficiaries are Employees or former Employees of the Insured, the Plan shall be deemed an Insured under this bond for the purposes of Insuring Agreement (A) only and, in addition to all other terms and conditions of this bond, subject to the following:</w:t>
      </w:r>
    </w:p>
    <w:p>
      <w:pPr>
        <w:spacing w:after="0" w:line="180" w:lineRule="exact"/>
        <w:rPr>
          <w:sz w:val="20"/>
          <w:szCs w:val="20"/>
          <w:color w:val="auto"/>
        </w:rPr>
      </w:pPr>
    </w:p>
    <w:p>
      <w:pPr>
        <w:ind w:right="40" w:firstLine="8"/>
        <w:spacing w:after="0" w:line="282" w:lineRule="auto"/>
        <w:tabs>
          <w:tab w:leader="none" w:pos="2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deductible described in Section 11. DEDUCTIBLE AMOUNT of the CONDITIONS AND LIMITATIONS shall be applicable to a loss suffered by the Plan only after the Plan has received from the Underwriter:</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the lesser of $500,000 or 10% of the assets of the Plan at the beginning of the fiscal year of the Plan in which the loss is discovered, if the Plan does not hold “employer securities” within the meaning of section 407(d)(1) of ERISA; or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 the lesser of $1,000,000 or 10% of the assets of the Plan at the beginning of the fiscal year of the Plan in which the loss is discovered, if the Plan does not hold “employer securities” within the meaning of section 407(d)(1) of ERISA;</w:t>
      </w:r>
    </w:p>
    <w:p>
      <w:pPr>
        <w:spacing w:after="0" w:line="162" w:lineRule="exact"/>
        <w:rPr>
          <w:sz w:val="20"/>
          <w:szCs w:val="20"/>
          <w:color w:val="auto"/>
        </w:rPr>
      </w:pPr>
    </w:p>
    <w:p>
      <w:pPr>
        <w:ind w:right="20" w:firstLine="8"/>
        <w:spacing w:after="0" w:line="266" w:lineRule="auto"/>
        <w:tabs>
          <w:tab w:leader="none" w:pos="2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3. DISCOVERY of the CONDITIONS AND LIMITATIONS, loss suffered by the Plan is covered if discovered during the term of this bond or within one year thereafter, but if discovered during said one year period, the loss payable under this bond shall be reduced by the amount recoverable from any other bond or insurance protecting the assets of the plan against loss through fraud or dishonesty; and</w:t>
      </w:r>
    </w:p>
    <w:p>
      <w:pPr>
        <w:spacing w:after="0" w:line="175" w:lineRule="exact"/>
        <w:rPr>
          <w:rFonts w:ascii="Times New Roman" w:cs="Times New Roman" w:eastAsia="Times New Roman" w:hAnsi="Times New Roman"/>
          <w:sz w:val="18"/>
          <w:szCs w:val="18"/>
          <w:color w:val="auto"/>
        </w:rPr>
      </w:pPr>
    </w:p>
    <w:p>
      <w:pPr>
        <w:ind w:right="360" w:firstLine="8"/>
        <w:spacing w:after="0" w:line="266" w:lineRule="auto"/>
        <w:tabs>
          <w:tab w:leader="none" w:pos="2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Plan subject to ERISA is an Insured pursuant to this General Agreement, the Insured shall purchase limits sufficient to provide the minimum amount of coverage required by ERISA for each Plan and shall distribute any payment made under this bond to said Plan so that each Plan received the amount it would have received if insured separately for the minimum coverage which ERISA required it to have.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MANU-5562B 0118</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368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Effective Date of Endorsement</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Policy Number</w:t>
            </w:r>
          </w:p>
        </w:tc>
        <w:tc>
          <w:tcPr>
            <w:tcW w:w="3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368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660" w:type="dxa"/>
            <w:vAlign w:val="bottom"/>
            <w:tcBorders>
              <w:bottom w:val="single" w:sz="8" w:color="auto"/>
              <w:right w:val="single" w:sz="8" w:color="auto"/>
            </w:tcBorders>
          </w:tcPr>
          <w:p>
            <w:pPr>
              <w:spacing w:after="0"/>
              <w:rPr>
                <w:sz w:val="5"/>
                <w:szCs w:val="5"/>
                <w:color w:val="auto"/>
              </w:rPr>
            </w:pPr>
          </w:p>
        </w:tc>
      </w:tr>
      <w:tr>
        <w:trPr>
          <w:trHeight w:val="264"/>
        </w:trPr>
        <w:tc>
          <w:tcPr>
            <w:tcW w:w="36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12:01 a.m. on 04/01/2022</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368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660" w:type="dxa"/>
            <w:vAlign w:val="bottom"/>
            <w:tcBorders>
              <w:bottom w:val="single" w:sz="8" w:color="auto"/>
              <w:right w:val="single" w:sz="8" w:color="auto"/>
            </w:tcBorders>
          </w:tcPr>
          <w:p>
            <w:pPr>
              <w:spacing w:after="0"/>
              <w:rPr>
                <w:sz w:val="5"/>
                <w:szCs w:val="5"/>
                <w:color w:val="auto"/>
              </w:rPr>
            </w:pPr>
          </w:p>
        </w:tc>
      </w:tr>
      <w:tr>
        <w:trPr>
          <w:trHeight w:val="358"/>
        </w:trPr>
        <w:tc>
          <w:tcPr>
            <w:tcW w:w="3680" w:type="dxa"/>
            <w:vAlign w:val="bottom"/>
          </w:tcPr>
          <w:p>
            <w:pPr>
              <w:spacing w:after="0"/>
              <w:rPr>
                <w:sz w:val="24"/>
                <w:szCs w:val="24"/>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Portman Ridge Finance Corporation Rider</w:t>
            </w:r>
          </w:p>
        </w:tc>
        <w:tc>
          <w:tcPr>
            <w:tcW w:w="3660" w:type="dxa"/>
            <w:vAlign w:val="bottom"/>
          </w:tcPr>
          <w:p>
            <w:pPr>
              <w:spacing w:after="0"/>
              <w:rPr>
                <w:sz w:val="24"/>
                <w:szCs w:val="24"/>
                <w:color w:val="auto"/>
              </w:rPr>
            </w:pPr>
          </w:p>
        </w:tc>
      </w:tr>
    </w:tbl>
    <w:p>
      <w:pPr>
        <w:spacing w:after="0" w:line="19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It is agreed that the CONDITIONS AND LIMITATIONS, Section 1. DEFINITIONS, Definition (e) Employee, is amended by the addition of the following: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also means a natural person in the service of the Insured at any of the Insured’s offices or premises covered hereunder who is an intern.</w:t>
      </w:r>
    </w:p>
    <w:p>
      <w:pPr>
        <w:sectPr>
          <w:pgSz w:w="11900" w:h="16838" w:orient="portrait"/>
          <w:cols w:equalWidth="0" w:num="1">
            <w:col w:w="11240"/>
          </w:cols>
          <w:pgMar w:left="320" w:top="270"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other provisions of the bond remain unchanged.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MANU-5562D 0118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2">
            <w:col w:w="9700" w:space="720"/>
            <w:col w:w="820"/>
          </w:cols>
          <w:pgMar w:left="320" w:top="270" w:right="339" w:bottom="1440" w:gutter="0" w:footer="0" w:header="0"/>
          <w:type w:val="continuous"/>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368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Effective Date of Endorsement</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Policy Number</w:t>
            </w:r>
          </w:p>
        </w:tc>
        <w:tc>
          <w:tcPr>
            <w:tcW w:w="3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8"/>
        </w:trPr>
        <w:tc>
          <w:tcPr>
            <w:tcW w:w="368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660" w:type="dxa"/>
            <w:vAlign w:val="bottom"/>
            <w:tcBorders>
              <w:bottom w:val="single" w:sz="8" w:color="auto"/>
              <w:right w:val="single" w:sz="8" w:color="auto"/>
            </w:tcBorders>
          </w:tcPr>
          <w:p>
            <w:pPr>
              <w:spacing w:after="0"/>
              <w:rPr>
                <w:sz w:val="5"/>
                <w:szCs w:val="5"/>
                <w:color w:val="auto"/>
              </w:rPr>
            </w:pPr>
          </w:p>
        </w:tc>
      </w:tr>
      <w:tr>
        <w:trPr>
          <w:trHeight w:val="263"/>
        </w:trPr>
        <w:tc>
          <w:tcPr>
            <w:tcW w:w="36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12:01 a.m. on 04/01/2022</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368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Portman Ridge Financial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 the CONDITIONS AND LIMITATIONS are amended by the addition of the following: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AND CHANGE OF CONTROL</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Upon the Insured’s obtaining knowledge of a transfer of its outstanding voting securities which results in a change in control (as set forth in Section 2(a) (9) of the Investment Company Act of 1940) of the Insured, the Insured shall within thirty (30) days of such knowledge give written notice to the Underwriter setting forth: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names of the transferors and transferees (or the names of the beneficial owners if the voting securities are requested in another name); and</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 the total number of voting securities owned by the transferors and the transferees (or the beneficial owners), both immediately before and after the transfer;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the total number of outstanding voting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control means the power to exercise a controlling influence over the management or policies of the Insured.</w:t>
      </w:r>
    </w:p>
    <w:p>
      <w:pPr>
        <w:spacing w:after="0" w:line="22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Failure to give the required notice shall result in termination of coverage of this bond, effective upon the date of stock transfer for any loss in which any transferee is concerned or implicated. Such notice is not required to be given in the case of an Insured which is an Investment Company, as defined and described in Section 3 of the Investment Company Act of 1940.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 anguage to be developed.</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MANU-5562F 0118</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368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Effective Date of Endorsement</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Policy Number</w:t>
            </w:r>
          </w:p>
        </w:tc>
        <w:tc>
          <w:tcPr>
            <w:tcW w:w="3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7"/>
        </w:trPr>
        <w:tc>
          <w:tcPr>
            <w:tcW w:w="368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660" w:type="dxa"/>
            <w:vAlign w:val="bottom"/>
            <w:tcBorders>
              <w:bottom w:val="single" w:sz="8" w:color="auto"/>
              <w:right w:val="single" w:sz="8" w:color="auto"/>
            </w:tcBorders>
          </w:tcPr>
          <w:p>
            <w:pPr>
              <w:spacing w:after="0"/>
              <w:rPr>
                <w:sz w:val="5"/>
                <w:szCs w:val="5"/>
                <w:color w:val="auto"/>
              </w:rPr>
            </w:pPr>
          </w:p>
        </w:tc>
      </w:tr>
      <w:tr>
        <w:trPr>
          <w:trHeight w:val="264"/>
        </w:trPr>
        <w:tc>
          <w:tcPr>
            <w:tcW w:w="36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12:01 a.m. on 04/01/2022</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368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AUTOMATIC INCREASE IN LIMITS FOR INVESTMENT FUNDS RIDER</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 xml:space="preserve">It is agreed that the Section entitled </w:t>
      </w:r>
      <w:r>
        <w:rPr>
          <w:rFonts w:ascii="Times New Roman" w:cs="Times New Roman" w:eastAsia="Times New Roman" w:hAnsi="Times New Roman"/>
          <w:sz w:val="18"/>
          <w:szCs w:val="18"/>
          <w:b w:val="1"/>
          <w:bCs w:val="1"/>
          <w:color w:val="auto"/>
        </w:rPr>
        <w:t>CONDITIONS AND LIMITATIONS</w:t>
      </w:r>
      <w:r>
        <w:rPr>
          <w:rFonts w:ascii="Times New Roman" w:cs="Times New Roman" w:eastAsia="Times New Roman" w:hAnsi="Times New Roman"/>
          <w:sz w:val="18"/>
          <w:szCs w:val="18"/>
          <w:color w:val="auto"/>
        </w:rPr>
        <w:t>, the Section entitled LIMIT OF LIABILITY is amended by the addition of the following subsection:</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Automatic Increase in Limits for Investment Funds</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If an increase in bonding limits is required pursuant to Rule 17g-1 of the Investment Company Act of 1940 (“Rule 17g-1”), as amended, due to an increase in asset size of current investment funds covered under this bond, then the minimum increase in limits required to comply with Rule 17g-1 shall take place automatically without payment of additional premium for the remainder of the Bond Period; provided, however, that in no event shall the maximum:</w:t>
      </w:r>
    </w:p>
    <w:p>
      <w:pPr>
        <w:spacing w:after="0" w:line="176" w:lineRule="exact"/>
        <w:rPr>
          <w:sz w:val="20"/>
          <w:szCs w:val="20"/>
          <w:color w:val="auto"/>
        </w:rPr>
      </w:pPr>
    </w:p>
    <w:p>
      <w:pPr>
        <w:ind w:left="260" w:hanging="252"/>
        <w:spacing w:after="0"/>
        <w:tabs>
          <w:tab w:leader="none" w:pos="2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Loss Limit of Liability for each Single Loss under this bond exceed $4,250,000 ;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any sublimit for any Single Loss under any Rider attached to this bond exceed 10% of the amount of such sublimit as shown in such Rider.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AXIS 1012210 0721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65860" cy="728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658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284"/>
        </w:trPr>
        <w:tc>
          <w:tcPr>
            <w:tcW w:w="368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Effective Date of Endorsement</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Policy Number</w:t>
            </w:r>
          </w:p>
        </w:tc>
        <w:tc>
          <w:tcPr>
            <w:tcW w:w="3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r>
      <w:tr>
        <w:trPr>
          <w:trHeight w:val="68"/>
        </w:trPr>
        <w:tc>
          <w:tcPr>
            <w:tcW w:w="368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660" w:type="dxa"/>
            <w:vAlign w:val="bottom"/>
            <w:tcBorders>
              <w:bottom w:val="single" w:sz="8" w:color="auto"/>
              <w:right w:val="single" w:sz="8" w:color="auto"/>
            </w:tcBorders>
          </w:tcPr>
          <w:p>
            <w:pPr>
              <w:spacing w:after="0"/>
              <w:rPr>
                <w:sz w:val="5"/>
                <w:szCs w:val="5"/>
                <w:color w:val="auto"/>
              </w:rPr>
            </w:pPr>
          </w:p>
        </w:tc>
      </w:tr>
      <w:tr>
        <w:trPr>
          <w:trHeight w:val="263"/>
        </w:trPr>
        <w:tc>
          <w:tcPr>
            <w:tcW w:w="36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12:01 a.m. on 04/01/2022</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P-001-000219755-03</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68"/>
        </w:trPr>
        <w:tc>
          <w:tcPr>
            <w:tcW w:w="368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660" w:type="dxa"/>
            <w:vAlign w:val="bottom"/>
            <w:tcBorders>
              <w:bottom w:val="single" w:sz="8" w:color="auto"/>
              <w:right w:val="single" w:sz="8" w:color="auto"/>
            </w:tcBorders>
          </w:tcPr>
          <w:p>
            <w:pPr>
              <w:spacing w:after="0"/>
              <w:rPr>
                <w:sz w:val="5"/>
                <w:szCs w:val="5"/>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AUTOMATIC COVERAGE FOR NEW INVESTMENT FUNDS RIDER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the bond, if, after the effective date of this bond, the Insured creates or acquires any new Investment Fund, then such fund shall be covered under this bond, subject to its terms and conditions, only if:</w:t>
      </w:r>
    </w:p>
    <w:p>
      <w:pPr>
        <w:spacing w:after="0" w:line="67" w:lineRule="exact"/>
        <w:rPr>
          <w:sz w:val="20"/>
          <w:szCs w:val="20"/>
          <w:color w:val="auto"/>
        </w:rPr>
      </w:pPr>
    </w:p>
    <w:p>
      <w:pPr>
        <w:ind w:left="460" w:right="180" w:hanging="452"/>
        <w:spacing w:after="0" w:line="282" w:lineRule="auto"/>
        <w:tabs>
          <w:tab w:leader="none" w:pos="4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all cash, securities, assumed indebtedness and other consideration paid by the Insured did not exceed 10% of the total consolidated assets of the Insured as of the date of the Insured’s most recent audited consolidated financial statement prior to such transaction; and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increase in bonding limits is required pursuant to Rule 17g-1 of the Investment Company Act of 1940, as amended, the: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Loss Limit of Liability for each Single Loss under this bond shall not exceed $4,250,000 and</w:t>
      </w:r>
    </w:p>
    <w:p>
      <w:pPr>
        <w:spacing w:after="0" w:line="130" w:lineRule="exact"/>
        <w:rPr>
          <w:rFonts w:ascii="Times New Roman" w:cs="Times New Roman" w:eastAsia="Times New Roman" w:hAnsi="Times New Roman"/>
          <w:sz w:val="18"/>
          <w:szCs w:val="18"/>
          <w:color w:val="auto"/>
        </w:rPr>
      </w:pPr>
    </w:p>
    <w:p>
      <w:pPr>
        <w:ind w:left="1000" w:right="340" w:hanging="547"/>
        <w:spacing w:after="0" w:line="282" w:lineRule="auto"/>
        <w:tabs>
          <w:tab w:leader="none" w:pos="10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any sublimit for any Single Loss under any Rider attached to this bond shall not exceed 10% of the amount of such sublimit as shown in such Rider; and</w:t>
      </w:r>
    </w:p>
    <w:p>
      <w:pPr>
        <w:spacing w:after="0" w:line="67" w:lineRule="exact"/>
        <w:rPr>
          <w:rFonts w:ascii="Times New Roman" w:cs="Times New Roman" w:eastAsia="Times New Roman" w:hAnsi="Times New Roman"/>
          <w:sz w:val="18"/>
          <w:szCs w:val="18"/>
          <w:color w:val="auto"/>
        </w:rPr>
      </w:pPr>
    </w:p>
    <w:p>
      <w:pPr>
        <w:ind w:left="460" w:right="140" w:hanging="452"/>
        <w:spacing w:after="0" w:line="282" w:lineRule="auto"/>
        <w:tabs>
          <w:tab w:leader="none" w:pos="4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at its sole option upon submission of such information as the Underwriter may require, payment of any additional premium, and/or amendment of the provisions of the bond, agrees to provide coverage for such fund.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coverage under this bond for any event discovered prior to the effective date of such creation or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provisions of the bond remain unchanged.</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AXIS 1012211 0721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70" w:right="339" w:bottom="1440" w:gutter="0" w:footer="0" w:header="0"/>
        </w:sectPr>
      </w:pPr>
    </w:p>
    <w:bookmarkStart w:id="59" w:name="page60"/>
    <w:bookmarkEnd w:id="59"/>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OFFICER’S CERTIFICATE</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August 16, 2022</w:t>
      </w:r>
    </w:p>
    <w:p>
      <w:pPr>
        <w:spacing w:after="0" w:line="225"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I, Jason T. Roos, hereby certify that I am the Chief Financial Officer, Secretary and Treasurer of Portman Ridge Finance Corporation,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as such, I am authorized to execute this certificate on behalf of the Company, and that:</w:t>
      </w:r>
    </w:p>
    <w:p>
      <w:pPr>
        <w:spacing w:after="0" w:line="162"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resolutions attached hereto as Annex A are true, correct and complete copies of the resolutions duly adopted by the Company’s Board of Directors relating to the fidelity bond of the Company. Such resolutions have not been amended, modified or revoked and are in full force and effect on the date hereof.</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I have executed this Certificate as of the date first written above.</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Jason T.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60"/>
        <w:spacing w:after="0"/>
        <w:tabs>
          <w:tab w:leader="none" w:pos="73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Jason T. Roos</w:t>
      </w:r>
    </w:p>
    <w:p>
      <w:pPr>
        <w:spacing w:after="0" w:line="27" w:lineRule="exact"/>
        <w:rPr>
          <w:sz w:val="20"/>
          <w:szCs w:val="20"/>
          <w:color w:val="auto"/>
        </w:rPr>
      </w:pPr>
    </w:p>
    <w:p>
      <w:pPr>
        <w:ind w:left="676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tab/>
        <w:t>Chief Financial Officer, Secretary and Treasurer</w:t>
      </w:r>
    </w:p>
    <w:p>
      <w:pPr>
        <w:sectPr>
          <w:pgSz w:w="11900" w:h="16838" w:orient="portrait"/>
          <w:cols w:equalWidth="0" w:num="1">
            <w:col w:w="11180"/>
          </w:cols>
          <w:pgMar w:left="320" w:top="270" w:right="39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Company shall be named as an insured under a fidelity bond having an aggregate coverage amount of $4,000,000 as discussed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provided to the Board members, issued by a reputable fidelity insurance company, against larceny and embezzlement and such other types of losses as are included in standard fidelity bonds, covering the officers and the other employees of the Company from time to time, containing such provisions as may be required by the rules promulgated under the 1940 Act; and</w:t>
      </w:r>
    </w:p>
    <w:p>
      <w:pPr>
        <w:spacing w:after="0" w:line="17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fidelity bond in the amount and form presented to the Board members be, and hereby is, approved after consideration of all factors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relevant by the Board members, including the amount of the bond, the expected value of the assets of the Company to which any person covered under the bond may have access, the estimated amount of the premium for such bond, the type and terms of the arrangements made for the custody and safekeeping of the Company’s assets, and the nature of the securities in the Company’s portfolio; and</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proposed fidelity bond is approved, with such further changes therein as the officers of the Company may determine to be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desirable and proper, with the advice of the Company’s counsel, the execution of said fidelity bond by such officers to be conclusive evidence of such determination; and</w:t>
      </w:r>
    </w:p>
    <w:p>
      <w:pPr>
        <w:spacing w:after="0" w:line="1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Chief Financial Officer of the Company, be and hereby is, designated as the party responsible for making the necessary filings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the notices with respect to such bond required by paragraph (g) of Rule 17g-1 under the 1940 Act.</w:t>
      </w:r>
    </w:p>
    <w:sectPr>
      <w:pgSz w:w="11900" w:h="16838" w:orient="portrait"/>
      <w:cols w:equalWidth="0" w:num="1">
        <w:col w:w="11200"/>
      </w:cols>
      <w:pgMar w:left="32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lowerRoman"/>
      <w:start w:val="1"/>
    </w:lvl>
  </w:abstractNum>
  <w:abstractNum w:abstractNumId="1">
    <w:nsid w:val="235BA861"/>
    <w:multiLevelType w:val="hybridMultilevel"/>
    <w:lvl w:ilvl="0">
      <w:lvlJc w:val="left"/>
      <w:lvlText w:val="(%1)"/>
      <w:numFmt w:val="decimal"/>
      <w:start w:val="866"/>
    </w:lvl>
  </w:abstractNum>
  <w:abstractNum w:abstractNumId="2">
    <w:nsid w:val="47398C89"/>
    <w:multiLevelType w:val="hybridMultilevel"/>
    <w:lvl w:ilvl="0">
      <w:lvlJc w:val="left"/>
      <w:lvlText w:val="(%1)"/>
      <w:numFmt w:val="upperLetter"/>
      <w:start w:val="1"/>
    </w:lvl>
  </w:abstractNum>
  <w:abstractNum w:abstractNumId="3">
    <w:nsid w:val="354FE9F9"/>
    <w:multiLevelType w:val="hybridMultilevel"/>
    <w:lvl w:ilvl="0">
      <w:lvlJc w:val="left"/>
      <w:lvlText w:val="(%1)"/>
      <w:numFmt w:val="lowerRoman"/>
      <w:start w:val="3"/>
    </w:lvl>
  </w:abstractNum>
  <w:abstractNum w:abstractNumId="4">
    <w:nsid w:val="15B5AF5C"/>
    <w:multiLevelType w:val="hybridMultilevel"/>
    <w:lvl w:ilvl="0">
      <w:lvlJc w:val="left"/>
      <w:lvlText w:val="(%1)"/>
      <w:numFmt w:val="lowerLetter"/>
      <w:start w:val="1"/>
    </w:lvl>
  </w:abstractNum>
  <w:abstractNum w:abstractNumId="5">
    <w:nsid w:val="741226BB"/>
    <w:multiLevelType w:val="hybridMultilevel"/>
    <w:lvl w:ilvl="0">
      <w:lvlJc w:val="left"/>
      <w:lvlText w:val="(%1)"/>
      <w:numFmt w:val="upperLetter"/>
      <w:start w:val="2"/>
    </w:lvl>
    <w:lvl w:ilvl="1">
      <w:lvlJc w:val="left"/>
      <w:lvlText w:val="(%2)"/>
      <w:numFmt w:val="lowerLetter"/>
      <w:start w:val="1"/>
    </w:lvl>
  </w:abstractNum>
  <w:abstractNum w:abstractNumId="6">
    <w:nsid w:val="D34B6A8"/>
    <w:multiLevelType w:val="hybridMultilevel"/>
    <w:lvl w:ilvl="0">
      <w:lvlJc w:val="left"/>
      <w:lvlText w:val="(%1)"/>
      <w:numFmt w:val="decimal"/>
      <w:start w:val="2"/>
    </w:lvl>
    <w:lvl w:ilvl="1">
      <w:lvlJc w:val="left"/>
      <w:lvlText w:val="(%2)"/>
      <w:numFmt w:val="lowerLetter"/>
      <w:start w:val="1"/>
    </w:lvl>
  </w:abstractNum>
  <w:abstractNum w:abstractNumId="7">
    <w:nsid w:val="10233C99"/>
    <w:multiLevelType w:val="hybridMultilevel"/>
    <w:lvl w:ilvl="0">
      <w:lvlJc w:val="left"/>
      <w:lvlText w:val="(%1)"/>
      <w:numFmt w:val="lowerRoman"/>
      <w:start w:val="1"/>
    </w:lvl>
  </w:abstractNum>
  <w:abstractNum w:abstractNumId="8">
    <w:nsid w:val="3F6AB60F"/>
    <w:multiLevelType w:val="hybridMultilevel"/>
    <w:lvl w:ilvl="0">
      <w:lvlJc w:val="left"/>
      <w:lvlText w:val="(%1)"/>
      <w:numFmt w:val="upperLetter"/>
      <w:start w:val="3"/>
    </w:lvl>
  </w:abstractNum>
  <w:abstractNum w:abstractNumId="9">
    <w:nsid w:val="61574095"/>
    <w:multiLevelType w:val="hybridMultilevel"/>
    <w:lvl w:ilvl="0">
      <w:lvlJc w:val="left"/>
      <w:lvlText w:val="(%1)"/>
      <w:numFmt w:val="lowerLetter"/>
      <w:start w:val="1"/>
    </w:lvl>
  </w:abstractNum>
  <w:abstractNum w:abstractNumId="10">
    <w:nsid w:val="7E0C57B1"/>
    <w:multiLevelType w:val="hybridMultilevel"/>
    <w:lvl w:ilvl="0">
      <w:lvlJc w:val="left"/>
      <w:lvlText w:val="(%1)"/>
      <w:numFmt w:val="upperLetter"/>
      <w:start w:val="4"/>
    </w:lvl>
    <w:lvl w:ilvl="1">
      <w:lvlJc w:val="left"/>
      <w:lvlText w:val="(%2)"/>
      <w:numFmt w:val="decimal"/>
      <w:start w:val="1"/>
    </w:lvl>
  </w:abstractNum>
  <w:abstractNum w:abstractNumId="11">
    <w:nsid w:val="77AE35EB"/>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2">
    <w:nsid w:val="579BE4F1"/>
    <w:multiLevelType w:val="hybridMultilevel"/>
    <w:lvl w:ilvl="0">
      <w:lvlJc w:val="left"/>
      <w:lvlText w:val="%1"/>
      <w:numFmt w:val="decimal"/>
      <w:start w:val="1"/>
    </w:lvl>
    <w:lvl w:ilvl="1">
      <w:lvlJc w:val="left"/>
      <w:lvlText w:val="(%2)"/>
      <w:numFmt w:val="lowerRoman"/>
      <w:start w:val="1"/>
    </w:lvl>
  </w:abstractNum>
  <w:abstractNum w:abstractNumId="13">
    <w:nsid w:val="310C50B3"/>
    <w:multiLevelType w:val="hybridMultilevel"/>
    <w:lvl w:ilvl="0">
      <w:lvlJc w:val="left"/>
      <w:lvlText w:val="(%1)"/>
      <w:numFmt w:val="decimal"/>
      <w:start w:val="2"/>
    </w:lvl>
    <w:lvl w:ilvl="1">
      <w:lvlJc w:val="left"/>
      <w:lvlText w:val="%2"/>
      <w:numFmt w:val="lowerRoman"/>
      <w:start w:val="1"/>
    </w:lvl>
  </w:abstractNum>
  <w:abstractNum w:abstractNumId="14">
    <w:nsid w:val="5FF87E05"/>
    <w:multiLevelType w:val="hybridMultilevel"/>
    <w:lvl w:ilvl="0">
      <w:lvlJc w:val="left"/>
      <w:lvlText w:val="(%1)"/>
      <w:numFmt w:val="lowerLetter"/>
      <w:start w:val="3"/>
    </w:lvl>
    <w:lvl w:ilvl="1">
      <w:lvlJc w:val="left"/>
      <w:lvlText w:val="(%2)"/>
      <w:numFmt w:val="lowerRoman"/>
      <w:start w:val="1"/>
    </w:lvl>
  </w:abstractNum>
  <w:abstractNum w:abstractNumId="15">
    <w:nsid w:val="2F305DEF"/>
    <w:multiLevelType w:val="hybridMultilevel"/>
    <w:lvl w:ilvl="0">
      <w:lvlJc w:val="left"/>
      <w:lvlText w:val="(%1)"/>
      <w:numFmt w:val="upperLetter"/>
      <w:start w:val="6"/>
    </w:lvl>
  </w:abstractNum>
  <w:abstractNum w:abstractNumId="16">
    <w:nsid w:val="25A70BF7"/>
    <w:multiLevelType w:val="hybridMultilevel"/>
    <w:lvl w:ilvl="0">
      <w:lvlJc w:val="left"/>
      <w:lvlText w:val="%1."/>
      <w:numFmt w:val="upperLetter"/>
      <w:start w:val="1"/>
    </w:lvl>
  </w:abstractNum>
  <w:abstractNum w:abstractNumId="17">
    <w:nsid w:val="1DBABF00"/>
    <w:multiLevelType w:val="hybridMultilevel"/>
    <w:lvl w:ilvl="0">
      <w:lvlJc w:val="left"/>
      <w:lvlText w:val="(%1)"/>
      <w:numFmt w:val="lowerLetter"/>
      <w:start w:val="1"/>
    </w:lvl>
  </w:abstractNum>
  <w:abstractNum w:abstractNumId="18">
    <w:nsid w:val="4AD084E9"/>
    <w:multiLevelType w:val="hybridMultilevel"/>
    <w:lvl w:ilvl="0">
      <w:lvlJc w:val="left"/>
      <w:lvlText w:val="%1."/>
      <w:numFmt w:val="upperLetter"/>
      <w:start w:val="2"/>
    </w:lvl>
  </w:abstractNum>
  <w:abstractNum w:abstractNumId="19">
    <w:nsid w:val="1F48EAA1"/>
    <w:multiLevelType w:val="hybridMultilevel"/>
    <w:lvl w:ilvl="0">
      <w:lvlJc w:val="left"/>
      <w:lvlText w:val="(%1)"/>
      <w:numFmt w:val="lowerLetter"/>
      <w:start w:val="3"/>
    </w:lvl>
    <w:lvl w:ilvl="1">
      <w:lvlJc w:val="left"/>
      <w:lvlText w:val="(%2)"/>
      <w:numFmt w:val="lowerRoman"/>
      <w:start w:val="1"/>
    </w:lvl>
  </w:abstractNum>
  <w:abstractNum w:abstractNumId="20">
    <w:nsid w:val="1381823A"/>
    <w:multiLevelType w:val="hybridMultilevel"/>
    <w:lvl w:ilvl="0">
      <w:lvlJc w:val="left"/>
      <w:lvlText w:val="(%1)"/>
      <w:numFmt w:val="lowerRoman"/>
      <w:start w:val="3"/>
    </w:lvl>
  </w:abstractNum>
  <w:abstractNum w:abstractNumId="21">
    <w:nsid w:val="5DB70AE5"/>
    <w:multiLevelType w:val="hybridMultilevel"/>
    <w:lvl w:ilvl="0">
      <w:lvlJc w:val="left"/>
      <w:lvlText w:val="%1."/>
      <w:numFmt w:val="upperLetter"/>
      <w:start w:val="3"/>
    </w:lvl>
  </w:abstractNum>
  <w:abstractNum w:abstractNumId="22">
    <w:nsid w:val="100F8FCA"/>
    <w:multiLevelType w:val="hybridMultilevel"/>
    <w:lvl w:ilvl="0">
      <w:lvlJc w:val="left"/>
      <w:lvlText w:val="%1."/>
      <w:numFmt w:val="upperLetter"/>
      <w:start w:val="4"/>
    </w:lvl>
  </w:abstractNum>
  <w:abstractNum w:abstractNumId="23">
    <w:nsid w:val="6590700B"/>
    <w:multiLevelType w:val="hybridMultilevel"/>
    <w:lvl w:ilvl="0">
      <w:lvlJc w:val="left"/>
      <w:lvlText w:val="%1."/>
      <w:numFmt w:val="upperLetter"/>
      <w:start w:val="6"/>
    </w:lvl>
  </w:abstractNum>
  <w:abstractNum w:abstractNumId="24">
    <w:nsid w:val="15014ACB"/>
    <w:multiLevelType w:val="hybridMultilevel"/>
    <w:lvl w:ilvl="0">
      <w:lvlJc w:val="left"/>
      <w:lvlText w:val="(%1)"/>
      <w:numFmt w:val="lowerLetter"/>
      <w:start w:val="1"/>
    </w:lvl>
    <w:lvl w:ilvl="1">
      <w:lvlJc w:val="left"/>
      <w:lvlText w:val="(%2)"/>
      <w:numFmt w:val="decimal"/>
      <w:start w:val="1"/>
    </w:lvl>
  </w:abstractNum>
  <w:abstractNum w:abstractNumId="25">
    <w:nsid w:val="5F5E7FD0"/>
    <w:multiLevelType w:val="hybridMultilevel"/>
    <w:lvl w:ilvl="0">
      <w:lvlJc w:val="left"/>
      <w:lvlText w:val="%1"/>
      <w:numFmt w:val="lowerLetter"/>
      <w:start w:val="1"/>
    </w:lvl>
    <w:lvl w:ilvl="1">
      <w:lvlJc w:val="left"/>
      <w:lvlText w:val="(%2)"/>
      <w:numFmt w:val="decimal"/>
      <w:start w:val="6"/>
    </w:lvl>
  </w:abstractNum>
  <w:abstractNum w:abstractNumId="26">
    <w:nsid w:val="98A3148"/>
    <w:multiLevelType w:val="hybridMultilevel"/>
    <w:lvl w:ilvl="0">
      <w:lvlJc w:val="left"/>
      <w:lvlText w:val="(%1)"/>
      <w:numFmt w:val="lowerLetter"/>
      <w:start w:val="6"/>
    </w:lvl>
    <w:lvl w:ilvl="1">
      <w:lvlJc w:val="left"/>
      <w:lvlText w:val="(%2)"/>
      <w:numFmt w:val="decimal"/>
      <w:start w:val="1"/>
    </w:lvl>
  </w:abstractNum>
  <w:abstractNum w:abstractNumId="27">
    <w:nsid w:val="799D0247"/>
    <w:multiLevelType w:val="hybridMultilevel"/>
    <w:lvl w:ilvl="0">
      <w:lvlJc w:val="left"/>
      <w:lvlText w:val="(%1)"/>
      <w:numFmt w:val="lowerLetter"/>
      <w:start w:val="4"/>
    </w:lvl>
    <w:lvl w:ilvl="1">
      <w:lvlJc w:val="left"/>
      <w:lvlText w:val="(%2)"/>
      <w:numFmt w:val="decimal"/>
      <w:start w:val="1"/>
    </w:lvl>
  </w:abstractNum>
  <w:abstractNum w:abstractNumId="28">
    <w:nsid w:val="6B94764"/>
    <w:multiLevelType w:val="hybridMultilevel"/>
    <w:lvl w:ilvl="0">
      <w:lvlJc w:val="left"/>
      <w:lvlText w:val="(%1)"/>
      <w:numFmt w:val="lowerLetter"/>
      <w:start w:val="1"/>
    </w:lvl>
  </w:abstractNum>
  <w:abstractNum w:abstractNumId="29">
    <w:nsid w:val="42C296BD"/>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0">
    <w:nsid w:val="168E121F"/>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1"/>
    </w:lvl>
  </w:abstractNum>
  <w:abstractNum w:abstractNumId="31">
    <w:nsid w:val="1EBA5D23"/>
    <w:multiLevelType w:val="hybridMultilevel"/>
    <w:lvl w:ilvl="0">
      <w:lvlJc w:val="left"/>
      <w:lvlText w:val="%1"/>
      <w:numFmt w:val="lowerLetter"/>
      <w:start w:val="1"/>
    </w:lvl>
    <w:lvl w:ilvl="1">
      <w:lvlJc w:val="left"/>
      <w:lvlText w:val="(%2)"/>
      <w:numFmt w:val="decimal"/>
      <w:start w:val="3"/>
    </w:lvl>
  </w:abstractNum>
  <w:abstractNum w:abstractNumId="32">
    <w:nsid w:val="661E3F1E"/>
    <w:multiLevelType w:val="hybridMultilevel"/>
    <w:lvl w:ilvl="0">
      <w:lvlJc w:val="left"/>
      <w:lvlText w:val="(%1)"/>
      <w:numFmt w:val="lowerLetter"/>
      <w:start w:val="19"/>
    </w:lvl>
    <w:lvl w:ilvl="1">
      <w:lvlJc w:val="left"/>
      <w:lvlText w:val="%2"/>
      <w:numFmt w:val="decimal"/>
      <w:start w:val="1"/>
    </w:lvl>
  </w:abstractNum>
  <w:abstractNum w:abstractNumId="33">
    <w:nsid w:val="5DC79EA8"/>
    <w:multiLevelType w:val="hybridMultilevel"/>
    <w:lvl w:ilvl="0">
      <w:lvlJc w:val="left"/>
      <w:lvlText w:val="(%1)"/>
      <w:numFmt w:val="lowerLetter"/>
      <w:start w:val="1"/>
    </w:lvl>
    <w:lvl w:ilvl="1">
      <w:lvlJc w:val="left"/>
      <w:lvlText w:val="(%2)"/>
      <w:numFmt w:val="decimal"/>
      <w:start w:val="1"/>
    </w:lvl>
  </w:abstractNum>
  <w:abstractNum w:abstractNumId="34">
    <w:nsid w:val="540A47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5">
    <w:nsid w:val="7BD3EE7B"/>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6">
    <w:nsid w:val="51D9C564"/>
    <w:multiLevelType w:val="hybridMultilevel"/>
    <w:lvl w:ilvl="0">
      <w:lvlJc w:val="left"/>
      <w:lvlText w:val="(%1)"/>
      <w:numFmt w:val="lowerLetter"/>
      <w:start w:val="17"/>
    </w:lvl>
    <w:lvl w:ilvl="1">
      <w:lvlJc w:val="left"/>
      <w:lvlText w:val="(%2)"/>
      <w:numFmt w:val="decimal"/>
      <w:start w:val="1"/>
    </w:lvl>
    <w:lvl w:ilvl="2">
      <w:lvlJc w:val="left"/>
      <w:lvlText w:val="%3"/>
      <w:numFmt w:val="lowerLetter"/>
      <w:start w:val="1"/>
    </w:lvl>
  </w:abstractNum>
  <w:abstractNum w:abstractNumId="37">
    <w:nsid w:val="613EFDC5"/>
    <w:multiLevelType w:val="hybridMultilevel"/>
    <w:lvl w:ilvl="0">
      <w:lvlJc w:val="left"/>
      <w:lvlText w:val="(%1)"/>
      <w:numFmt w:val="lowerLetter"/>
      <w:start w:val="11"/>
    </w:lvl>
    <w:lvl w:ilvl="1">
      <w:lvlJc w:val="left"/>
      <w:lvlText w:val="(%2)"/>
      <w:numFmt w:val="decimal"/>
      <w:start w:val="1"/>
    </w:lvl>
  </w:abstractNum>
  <w:abstractNum w:abstractNumId="38">
    <w:nsid w:val="BF72B14"/>
    <w:multiLevelType w:val="hybridMultilevel"/>
    <w:lvl w:ilvl="0">
      <w:lvlJc w:val="left"/>
      <w:lvlText w:val="(%1)"/>
      <w:numFmt w:val="lowerLetter"/>
      <w:start w:val="12"/>
    </w:lvl>
  </w:abstractNum>
  <w:abstractNum w:abstractNumId="39">
    <w:nsid w:val="11447B73"/>
    <w:multiLevelType w:val="hybridMultilevel"/>
    <w:lvl w:ilvl="0">
      <w:lvlJc w:val="left"/>
      <w:lvlText w:val="(%1)"/>
      <w:numFmt w:val="lowerLetter"/>
      <w:start w:val="13"/>
    </w:lvl>
    <w:lvl w:ilvl="1">
      <w:lvlJc w:val="left"/>
      <w:lvlText w:val="(%2)"/>
      <w:numFmt w:val="decimal"/>
      <w:start w:val="1"/>
    </w:lvl>
  </w:abstractNum>
  <w:abstractNum w:abstractNumId="40">
    <w:nsid w:val="42963E5A"/>
    <w:multiLevelType w:val="hybridMultilevel"/>
    <w:lvl w:ilvl="0">
      <w:lvlJc w:val="left"/>
      <w:lvlText w:val="(%1)"/>
      <w:numFmt w:val="lowerLetter"/>
      <w:start w:val="19"/>
    </w:lvl>
    <w:lvl w:ilvl="1">
      <w:lvlJc w:val="left"/>
      <w:lvlText w:val="(%2)"/>
      <w:numFmt w:val="decimal"/>
      <w:start w:val="1"/>
    </w:lvl>
  </w:abstractNum>
  <w:abstractNum w:abstractNumId="41">
    <w:nsid w:val="A0382C5"/>
    <w:multiLevelType w:val="hybridMultilevel"/>
    <w:lvl w:ilvl="0">
      <w:lvlJc w:val="left"/>
      <w:lvlText w:val="(%1)"/>
      <w:numFmt w:val="lowerLetter"/>
      <w:start w:val="26"/>
    </w:lvl>
  </w:abstractNum>
  <w:abstractNum w:abstractNumId="42">
    <w:nsid w:val="8F2B15E"/>
    <w:multiLevelType w:val="hybridMultilevel"/>
    <w:lvl w:ilvl="0">
      <w:lvlJc w:val="left"/>
      <w:lvlText w:val="(%1)"/>
      <w:numFmt w:val="lowerLetter"/>
      <w:start w:val="1"/>
    </w:lvl>
  </w:abstractNum>
  <w:abstractNum w:abstractNumId="43">
    <w:nsid w:val="1A32234B"/>
    <w:multiLevelType w:val="hybridMultilevel"/>
    <w:lvl w:ilvl="0">
      <w:lvlJc w:val="left"/>
      <w:lvlText w:val="(%1)"/>
      <w:numFmt w:val="lowerLetter"/>
      <w:start w:val="3"/>
    </w:lvl>
  </w:abstractNum>
  <w:abstractNum w:abstractNumId="44">
    <w:nsid w:val="3B0FD379"/>
    <w:multiLevelType w:val="hybridMultilevel"/>
    <w:lvl w:ilvl="0">
      <w:lvlJc w:val="left"/>
      <w:lvlText w:val="(%1)"/>
      <w:numFmt w:val="lowerLetter"/>
      <w:start w:val="1"/>
    </w:lvl>
  </w:abstractNum>
  <w:abstractNum w:abstractNumId="45">
    <w:nsid w:val="68EB2F63"/>
    <w:multiLevelType w:val="hybridMultilevel"/>
    <w:lvl w:ilvl="0">
      <w:lvlJc w:val="left"/>
      <w:lvlText w:val="(%1)"/>
      <w:numFmt w:val="lowerLetter"/>
      <w:start w:val="1"/>
    </w:lvl>
  </w:abstractNum>
  <w:abstractNum w:abstractNumId="46">
    <w:nsid w:val="4962813B"/>
    <w:multiLevelType w:val="hybridMultilevel"/>
    <w:lvl w:ilvl="0">
      <w:lvlJc w:val="left"/>
      <w:lvlText w:val="(%1)"/>
      <w:numFmt w:val="lowerLetter"/>
      <w:start w:val="1"/>
    </w:lvl>
    <w:lvl w:ilvl="1">
      <w:lvlJc w:val="left"/>
      <w:lvlText w:val="(%2)"/>
      <w:numFmt w:val="decimal"/>
      <w:start w:val="1"/>
    </w:lvl>
  </w:abstractNum>
  <w:abstractNum w:abstractNumId="47">
    <w:nsid w:val="60B6DF70"/>
    <w:multiLevelType w:val="hybridMultilevel"/>
    <w:lvl w:ilvl="0">
      <w:lvlJc w:val="left"/>
      <w:lvlText w:val="(%1)"/>
      <w:numFmt w:val="lowerLetter"/>
      <w:start w:val="2"/>
    </w:lvl>
  </w:abstractNum>
  <w:abstractNum w:abstractNumId="48">
    <w:nsid w:val="6A5EE64"/>
    <w:multiLevelType w:val="hybridMultilevel"/>
    <w:lvl w:ilvl="0">
      <w:lvlJc w:val="left"/>
      <w:lvlText w:val="%1."/>
      <w:numFmt w:val="upperLetter"/>
      <w:start w:val="1"/>
    </w:lvl>
  </w:abstractNum>
  <w:abstractNum w:abstractNumId="49">
    <w:nsid w:val="14330624"/>
    <w:multiLevelType w:val="hybridMultilevel"/>
    <w:lvl w:ilvl="0">
      <w:lvlJc w:val="left"/>
      <w:lvlText w:val="%1."/>
      <w:numFmt w:val="upperLetter"/>
      <w:start w:val="2"/>
    </w:lvl>
  </w:abstractNum>
  <w:abstractNum w:abstractNumId="50">
    <w:nsid w:val="7FFFCA11"/>
    <w:multiLevelType w:val="hybridMultilevel"/>
    <w:lvl w:ilvl="0">
      <w:lvlJc w:val="left"/>
      <w:lvlText w:val="%1."/>
      <w:numFmt w:val="upperLetter"/>
      <w:start w:val="1"/>
    </w:lvl>
  </w:abstractNum>
  <w:abstractNum w:abstractNumId="51">
    <w:nsid w:val="1A27709E"/>
    <w:multiLevelType w:val="hybridMultilevel"/>
    <w:lvl w:ilvl="0">
      <w:lvlJc w:val="left"/>
      <w:lvlText w:val="%1."/>
      <w:numFmt w:val="upperLetter"/>
      <w:start w:val="2"/>
    </w:lvl>
  </w:abstractNum>
  <w:abstractNum w:abstractNumId="52">
    <w:nsid w:val="71EA1109"/>
    <w:multiLevelType w:val="hybridMultilevel"/>
    <w:lvl w:ilvl="0">
      <w:lvlJc w:val="left"/>
      <w:lvlText w:val="%1."/>
      <w:numFmt w:val="upperLetter"/>
      <w:start w:val="1"/>
    </w:lvl>
  </w:abstractNum>
  <w:abstractNum w:abstractNumId="53">
    <w:nsid w:val="100F59DC"/>
    <w:multiLevelType w:val="hybridMultilevel"/>
    <w:lvl w:ilvl="0">
      <w:lvlJc w:val="left"/>
      <w:lvlText w:val="(%1)"/>
      <w:numFmt w:val="decimal"/>
      <w:start w:val="1"/>
    </w:lvl>
  </w:abstractNum>
  <w:abstractNum w:abstractNumId="54">
    <w:nsid w:val="7FB7E0AA"/>
    <w:multiLevelType w:val="hybridMultilevel"/>
    <w:lvl w:ilvl="0">
      <w:lvlJc w:val="left"/>
      <w:lvlText w:val="%1."/>
      <w:numFmt w:val="upperLetter"/>
      <w:start w:val="2"/>
    </w:lvl>
  </w:abstractNum>
  <w:abstractNum w:abstractNumId="55">
    <w:nsid w:val="6EB5BD4"/>
    <w:multiLevelType w:val="hybridMultilevel"/>
    <w:lvl w:ilvl="0">
      <w:lvlJc w:val="left"/>
      <w:lvlText w:val="%1."/>
      <w:numFmt w:val="upperLetter"/>
      <w:start w:val="1"/>
    </w:lvl>
  </w:abstractNum>
  <w:abstractNum w:abstractNumId="56">
    <w:nsid w:val="6F6DD9AC"/>
    <w:multiLevelType w:val="hybridMultilevel"/>
    <w:lvl w:ilvl="0">
      <w:lvlJc w:val="left"/>
      <w:lvlText w:val="%1."/>
      <w:numFmt w:val="upperLetter"/>
      <w:start w:val="1"/>
    </w:lvl>
  </w:abstractNum>
  <w:abstractNum w:abstractNumId="57">
    <w:nsid w:val="94211F2"/>
    <w:multiLevelType w:val="hybridMultilevel"/>
    <w:lvl w:ilvl="0">
      <w:lvlJc w:val="left"/>
      <w:lvlText w:val="%1."/>
      <w:numFmt w:val="upperLetter"/>
      <w:start w:val="2"/>
    </w:lvl>
  </w:abstractNum>
  <w:abstractNum w:abstractNumId="58">
    <w:nsid w:val="885E1B"/>
    <w:multiLevelType w:val="hybridMultilevel"/>
    <w:lvl w:ilvl="0">
      <w:lvlJc w:val="left"/>
      <w:lvlText w:val="%1."/>
      <w:numFmt w:val="upperLetter"/>
      <w:start w:val="1"/>
    </w:lvl>
  </w:abstractNum>
  <w:abstractNum w:abstractNumId="59">
    <w:nsid w:val="76272110"/>
    <w:multiLevelType w:val="hybridMultilevel"/>
    <w:lvl w:ilvl="0">
      <w:lvlJc w:val="left"/>
      <w:lvlText w:val="%1."/>
      <w:numFmt w:val="upperLetter"/>
      <w:start w:val="1"/>
    </w:lvl>
  </w:abstractNum>
  <w:abstractNum w:abstractNumId="60">
    <w:nsid w:val="4C04A8AF"/>
    <w:multiLevelType w:val="hybridMultilevel"/>
    <w:lvl w:ilvl="0">
      <w:lvlJc w:val="left"/>
      <w:lvlText w:val="%1."/>
      <w:numFmt w:val="upperLetter"/>
      <w:start w:val="2"/>
    </w:lvl>
  </w:abstractNum>
  <w:abstractNum w:abstractNumId="61">
    <w:nsid w:val="1716703B"/>
    <w:multiLevelType w:val="hybridMultilevel"/>
    <w:lvl w:ilvl="0">
      <w:lvlJc w:val="left"/>
      <w:lvlText w:val="%1."/>
      <w:numFmt w:val="decimal"/>
      <w:start w:val="1"/>
    </w:lvl>
  </w:abstractNum>
  <w:abstractNum w:abstractNumId="62">
    <w:nsid w:val="14E17E33"/>
    <w:multiLevelType w:val="hybridMultilevel"/>
    <w:lvl w:ilvl="0">
      <w:lvlJc w:val="left"/>
      <w:lvlText w:val="%1."/>
      <w:numFmt w:val="decimal"/>
      <w:start w:val="2"/>
    </w:lvl>
    <w:lvl w:ilvl="1">
      <w:lvlJc w:val="left"/>
      <w:lvlText w:val="(%2)"/>
      <w:numFmt w:val="lowerLetter"/>
      <w:start w:val="1"/>
    </w:lvl>
  </w:abstractNum>
  <w:abstractNum w:abstractNumId="63">
    <w:nsid w:val="3222E7CD"/>
    <w:multiLevelType w:val="hybridMultilevel"/>
    <w:lvl w:ilvl="0">
      <w:lvlJc w:val="left"/>
      <w:lvlText w:val="%1."/>
      <w:numFmt w:val="upperLetter"/>
      <w:start w:val="1"/>
    </w:lvl>
  </w:abstractNum>
  <w:abstractNum w:abstractNumId="64">
    <w:nsid w:val="74DE0EE3"/>
    <w:multiLevelType w:val="hybridMultilevel"/>
    <w:lvl w:ilvl="0">
      <w:lvlJc w:val="left"/>
      <w:lvlText w:val="%1."/>
      <w:numFmt w:val="upperLetter"/>
      <w:start w:val="1"/>
    </w:lvl>
  </w:abstractNum>
  <w:abstractNum w:abstractNumId="65">
    <w:nsid w:val="68EBC550"/>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66">
    <w:nsid w:val="2DF6D648"/>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abstractNum>
  <w:abstractNum w:abstractNumId="67">
    <w:nsid w:val="46B7D447"/>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lvl w:ilvl="3">
      <w:lvlJc w:val="left"/>
      <w:lvlText w:val="(%4)"/>
      <w:numFmt w:val="decimal"/>
      <w:start w:val="1"/>
    </w:lvl>
  </w:abstractNum>
  <w:abstractNum w:abstractNumId="68">
    <w:nsid w:val="4A2AC315"/>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lvl w:ilvl="3">
      <w:lvlJc w:val="left"/>
      <w:lvlText w:val="%4"/>
      <w:numFmt w:val="decimal"/>
      <w:start w:val="1"/>
    </w:lvl>
  </w:abstractNum>
  <w:abstractNum w:abstractNumId="69">
    <w:nsid w:val="39EE015C"/>
    <w:multiLevelType w:val="hybridMultilevel"/>
    <w:lvl w:ilvl="0">
      <w:lvlJc w:val="left"/>
      <w:lvlText w:val="%1."/>
      <w:numFmt w:val="upperLetter"/>
      <w:start w:val="1"/>
    </w:lvl>
  </w:abstractNum>
  <w:abstractNum w:abstractNumId="70">
    <w:nsid w:val="57FC4FBB"/>
    <w:multiLevelType w:val="hybridMultilevel"/>
    <w:lvl w:ilvl="0">
      <w:lvlJc w:val="left"/>
      <w:lvlText w:val="%1"/>
      <w:numFmt w:val="upperLetter"/>
      <w:start w:val="1"/>
    </w:lvl>
    <w:lvl w:ilvl="1">
      <w:lvlJc w:val="left"/>
      <w:lvlText w:val="(%2)"/>
      <w:numFmt w:val="decimal"/>
      <w:start w:val="1"/>
    </w:lvl>
  </w:abstractNum>
  <w:abstractNum w:abstractNumId="71">
    <w:nsid w:val="CC1016F"/>
    <w:multiLevelType w:val="hybridMultilevel"/>
    <w:lvl w:ilvl="0">
      <w:lvlJc w:val="left"/>
      <w:lvlText w:val="%1."/>
      <w:numFmt w:val="upperLetter"/>
      <w:start w:val="2"/>
    </w:lvl>
    <w:lvl w:ilvl="1">
      <w:lvlJc w:val="left"/>
      <w:lvlText w:val="%2"/>
      <w:numFmt w:val="decimal"/>
      <w:start w:val="1"/>
    </w:lvl>
  </w:abstractNum>
  <w:abstractNum w:abstractNumId="72">
    <w:nsid w:val="43F18422"/>
    <w:multiLevelType w:val="hybridMultilevel"/>
    <w:lvl w:ilvl="0">
      <w:lvlJc w:val="left"/>
      <w:lvlText w:val="%1."/>
      <w:numFmt w:val="upperLetter"/>
      <w:start w:val="1"/>
    </w:lvl>
  </w:abstractNum>
  <w:abstractNum w:abstractNumId="73">
    <w:nsid w:val="60EF0119"/>
    <w:multiLevelType w:val="hybridMultilevel"/>
    <w:lvl w:ilvl="0">
      <w:lvlJc w:val="left"/>
      <w:lvlText w:val="(%1)"/>
      <w:numFmt w:val="decimal"/>
      <w:start w:val="1"/>
    </w:lvl>
  </w:abstractNum>
  <w:abstractNum w:abstractNumId="74">
    <w:nsid w:val="26F324BA"/>
    <w:multiLevelType w:val="hybridMultilevel"/>
    <w:lvl w:ilvl="0">
      <w:lvlJc w:val="left"/>
      <w:lvlText w:val="%1."/>
      <w:numFmt w:val="upperLetter"/>
      <w:start w:val="2"/>
    </w:lvl>
  </w:abstractNum>
  <w:abstractNum w:abstractNumId="75">
    <w:nsid w:val="7F01579B"/>
    <w:multiLevelType w:val="hybridMultilevel"/>
    <w:lvl w:ilvl="0">
      <w:lvlJc w:val="left"/>
      <w:lvlText w:val="%1."/>
      <w:numFmt w:val="upperLetter"/>
      <w:start w:val="1"/>
    </w:lvl>
  </w:abstractNum>
  <w:abstractNum w:abstractNumId="76">
    <w:nsid w:val="49DA307D"/>
    <w:multiLevelType w:val="hybridMultilevel"/>
    <w:lvl w:ilvl="0">
      <w:lvlJc w:val="left"/>
      <w:lvlText w:val="%1."/>
      <w:numFmt w:val="upperLetter"/>
      <w:start w:val="2"/>
    </w:lvl>
  </w:abstractNum>
  <w:abstractNum w:abstractNumId="77">
    <w:nsid w:val="7055A5F5"/>
    <w:multiLevelType w:val="hybridMultilevel"/>
    <w:lvl w:ilvl="0">
      <w:lvlJc w:val="left"/>
      <w:lvlText w:val="%1."/>
      <w:numFmt w:val="upperLetter"/>
      <w:start w:val="1"/>
    </w:lvl>
  </w:abstractNum>
  <w:abstractNum w:abstractNumId="78">
    <w:nsid w:val="5FB8370B"/>
    <w:multiLevelType w:val="hybridMultilevel"/>
    <w:lvl w:ilvl="0">
      <w:lvlJc w:val="left"/>
      <w:lvlText w:val="%1."/>
      <w:numFmt w:val="upperLetter"/>
      <w:start w:val="2"/>
    </w:lvl>
    <w:lvl w:ilvl="1">
      <w:lvlJc w:val="left"/>
      <w:lvlText w:val="(%2)"/>
      <w:numFmt w:val="decimal"/>
      <w:start w:val="1"/>
    </w:lvl>
  </w:abstractNum>
  <w:abstractNum w:abstractNumId="79">
    <w:nsid w:val="50801EE1"/>
    <w:multiLevelType w:val="hybridMultilevel"/>
    <w:lvl w:ilvl="0">
      <w:lvlJc w:val="left"/>
      <w:lvlText w:val="%1."/>
      <w:numFmt w:val="upperLetter"/>
      <w:start w:val="3"/>
    </w:lvl>
  </w:abstractNum>
  <w:abstractNum w:abstractNumId="80">
    <w:nsid w:val="488AC1A"/>
    <w:multiLevelType w:val="hybridMultilevel"/>
    <w:lvl w:ilvl="0">
      <w:lvlJc w:val="left"/>
      <w:lvlText w:val="%1"/>
      <w:numFmt w:val="upperLetter"/>
      <w:start w:val="1"/>
    </w:lvl>
    <w:lvl w:ilvl="1">
      <w:lvlJc w:val="left"/>
      <w:lvlText w:val="(%2)"/>
      <w:numFmt w:val="decimal"/>
      <w:start w:val="1"/>
    </w:lvl>
  </w:abstractNum>
  <w:abstractNum w:abstractNumId="81">
    <w:nsid w:val="5FB8011C"/>
    <w:multiLevelType w:val="hybridMultilevel"/>
    <w:lvl w:ilvl="0">
      <w:lvlJc w:val="left"/>
      <w:lvlText w:val="%1"/>
      <w:numFmt w:val="upperLetter"/>
      <w:start w:val="1"/>
    </w:lvl>
    <w:lvl w:ilvl="1">
      <w:lvlJc w:val="left"/>
      <w:lvlText w:val="(%2)"/>
      <w:numFmt w:val="lowerLetter"/>
      <w:start w:val="8"/>
    </w:lvl>
    <w:lvl w:ilvl="2">
      <w:lvlJc w:val="left"/>
      <w:lvlText w:val="(%3)"/>
      <w:numFmt w:val="decimal"/>
      <w:start w:val="1"/>
    </w:lvl>
  </w:abstractNum>
  <w:abstractNum w:abstractNumId="82">
    <w:nsid w:val="6AA78F7F"/>
    <w:multiLevelType w:val="hybridMultilevel"/>
    <w:lvl w:ilvl="0">
      <w:lvlJc w:val="left"/>
      <w:lvlText w:val="%1."/>
      <w:numFmt w:val="upperLetter"/>
      <w:start w:val="6"/>
    </w:lvl>
  </w:abstractNum>
  <w:abstractNum w:abstractNumId="83">
    <w:nsid w:val="7672BD23"/>
    <w:multiLevelType w:val="hybridMultilevel"/>
    <w:lvl w:ilvl="0">
      <w:lvlJc w:val="left"/>
      <w:lvlText w:val="(%1)"/>
      <w:numFmt w:val="lowerLetter"/>
      <w:start w:val="1"/>
    </w:lvl>
  </w:abstractNum>
  <w:abstractNum w:abstractNumId="84">
    <w:nsid w:val="6FC75AF8"/>
    <w:multiLevelType w:val="hybridMultilevel"/>
    <w:lvl w:ilvl="0">
      <w:lvlJc w:val="left"/>
      <w:lvlText w:val="%1."/>
      <w:numFmt w:val="upperLetter"/>
      <w:start w:val="7"/>
    </w:lvl>
  </w:abstractNum>
  <w:abstractNum w:abstractNumId="85">
    <w:nsid w:val="6A5F7029"/>
    <w:multiLevelType w:val="hybridMultilevel"/>
    <w:lvl w:ilvl="0">
      <w:lvlJc w:val="left"/>
      <w:lvlText w:val="(%1)"/>
      <w:numFmt w:val="lowerLetter"/>
      <w:start w:val="1"/>
    </w:lvl>
  </w:abstractNum>
  <w:abstractNum w:abstractNumId="86">
    <w:nsid w:val="7D5E18F8"/>
    <w:multiLevelType w:val="hybridMultilevel"/>
    <w:lvl w:ilvl="0">
      <w:lvlJc w:val="left"/>
      <w:lvlText w:val="%1."/>
      <w:numFmt w:val="upperLetter"/>
      <w:start w:val="8"/>
    </w:lvl>
  </w:abstractNum>
  <w:abstractNum w:abstractNumId="87">
    <w:nsid w:val="5F3534A4"/>
    <w:multiLevelType w:val="hybridMultilevel"/>
    <w:lvl w:ilvl="0">
      <w:lvlJc w:val="left"/>
      <w:lvlText w:val="%1."/>
      <w:numFmt w:val="decimal"/>
      <w:start w:val="1"/>
    </w:lvl>
  </w:abstractNum>
  <w:abstractNum w:abstractNumId="88">
    <w:nsid w:val="73A1821B"/>
    <w:multiLevelType w:val="hybridMultilevel"/>
    <w:lvl w:ilvl="0">
      <w:lvlJc w:val="left"/>
      <w:lvlText w:val="%1."/>
      <w:numFmt w:val="upperLetter"/>
      <w:start w:val="1"/>
    </w:lvl>
  </w:abstractNum>
  <w:abstractNum w:abstractNumId="89">
    <w:nsid w:val="7DE67713"/>
    <w:multiLevelType w:val="hybridMultilevel"/>
    <w:lvl w:ilvl="0">
      <w:lvlJc w:val="left"/>
      <w:lvlText w:val="(%1)"/>
      <w:numFmt w:val="decimal"/>
      <w:start w:val="1"/>
    </w:lvl>
  </w:abstractNum>
  <w:abstractNum w:abstractNumId="90">
    <w:nsid w:val="555C55B5"/>
    <w:multiLevelType w:val="hybridMultilevel"/>
    <w:lvl w:ilvl="0">
      <w:lvlJc w:val="left"/>
      <w:lvlText w:val="(%1)"/>
      <w:numFmt w:val="lowerLetter"/>
      <w:start w:val="1"/>
    </w:lvl>
  </w:abstractNum>
  <w:abstractNum w:abstractNumId="91">
    <w:nsid w:val="3FA62ACA"/>
    <w:multiLevelType w:val="hybridMultilevel"/>
    <w:lvl w:ilvl="0">
      <w:lvlJc w:val="left"/>
      <w:lvlText w:val="%1."/>
      <w:numFmt w:val="upperLetter"/>
      <w:start w:val="2"/>
    </w:lvl>
  </w:abstractNum>
  <w:abstractNum w:abstractNumId="92">
    <w:nsid w:val="14FCE74E"/>
    <w:multiLevelType w:val="hybridMultilevel"/>
    <w:lvl w:ilvl="0">
      <w:lvlJc w:val="left"/>
      <w:lvlText w:val="(%1)"/>
      <w:numFmt w:val="decimal"/>
      <w:start w:val="1"/>
    </w:lvl>
  </w:abstractNum>
  <w:abstractNum w:abstractNumId="93">
    <w:nsid w:val="6A3DD3E8"/>
    <w:multiLevelType w:val="hybridMultilevel"/>
    <w:lvl w:ilvl="0">
      <w:lvlJc w:val="left"/>
      <w:lvlText w:val="(%1)"/>
      <w:numFmt w:val="decimal"/>
      <w:start w:val="2"/>
    </w:lvl>
  </w:abstractNum>
  <w:abstractNum w:abstractNumId="94">
    <w:nsid w:val="71C91298"/>
    <w:multiLevelType w:val="hybridMultilevel"/>
    <w:lvl w:ilvl="0">
      <w:lvlJc w:val="left"/>
      <w:lvlText w:val="%1."/>
      <w:numFmt w:val="upperLetter"/>
      <w:start w:val="3"/>
    </w:lvl>
  </w:abstractNum>
  <w:abstractNum w:abstractNumId="95">
    <w:nsid w:val="9DAF632"/>
    <w:multiLevelType w:val="hybridMultilevel"/>
    <w:lvl w:ilvl="0">
      <w:lvlJc w:val="left"/>
      <w:lvlText w:val="(%1)"/>
      <w:numFmt w:val="decimal"/>
      <w:start w:val="1"/>
    </w:lvl>
  </w:abstractNum>
  <w:abstractNum w:abstractNumId="96">
    <w:nsid w:val="53299938"/>
    <w:multiLevelType w:val="hybridMultilevel"/>
    <w:lvl w:ilvl="0">
      <w:lvlJc w:val="left"/>
      <w:lvlText w:val="%1."/>
      <w:numFmt w:val="upperLetter"/>
      <w:start w:val="4"/>
    </w:lvl>
  </w:abstractNum>
  <w:abstractNum w:abstractNumId="97">
    <w:nsid w:val="1FBFE8E0"/>
    <w:multiLevelType w:val="hybridMultilevel"/>
    <w:lvl w:ilvl="0">
      <w:lvlJc w:val="left"/>
      <w:lvlText w:val="%1"/>
      <w:numFmt w:val="lowerLetter"/>
      <w:start w:val="1"/>
    </w:lvl>
    <w:lvl w:ilvl="1">
      <w:lvlJc w:val="left"/>
      <w:lvlText w:val="(%2)"/>
      <w:numFmt w:val="decimal"/>
      <w:start w:val="3"/>
    </w:lvl>
  </w:abstractNum>
  <w:abstractNum w:abstractNumId="98">
    <w:nsid w:val="5092CA79"/>
    <w:multiLevelType w:val="hybridMultilevel"/>
    <w:lvl w:ilvl="0">
      <w:lvlJc w:val="left"/>
      <w:lvlText w:val="(%1)"/>
      <w:numFmt w:val="lowerLetter"/>
      <w:start w:val="1"/>
    </w:lvl>
    <w:lvl w:ilvl="1">
      <w:lvlJc w:val="left"/>
      <w:lvlText w:val="%2"/>
      <w:numFmt w:val="decimal"/>
      <w:start w:val="1"/>
    </w:lvl>
  </w:abstractNum>
  <w:abstractNum w:abstractNumId="99">
    <w:nsid w:val="1D545C4D"/>
    <w:multiLevelType w:val="hybridMultilevel"/>
    <w:lvl w:ilvl="0">
      <w:lvlJc w:val="left"/>
      <w:lvlText w:val="%1."/>
      <w:numFmt w:val="upperLetter"/>
      <w:start w:val="5"/>
    </w:lvl>
  </w:abstractNum>
  <w:abstractNum w:abstractNumId="100">
    <w:nsid w:val="59ADEA3D"/>
    <w:multiLevelType w:val="hybridMultilevel"/>
    <w:lvl w:ilvl="0">
      <w:lvlJc w:val="left"/>
      <w:lvlText w:val="%1."/>
      <w:numFmt w:val="upperLetter"/>
      <w:start w:val="6"/>
    </w:lvl>
  </w:abstractNum>
  <w:abstractNum w:abstractNumId="101">
    <w:nsid w:val="288F1A34"/>
    <w:multiLevelType w:val="hybridMultilevel"/>
    <w:lvl w:ilvl="0">
      <w:lvlJc w:val="left"/>
      <w:lvlText w:val="%1."/>
      <w:numFmt w:val="upperLetter"/>
      <w:start w:val="7"/>
    </w:lvl>
  </w:abstractNum>
  <w:abstractNum w:abstractNumId="102">
    <w:nsid w:val="2A155DBC"/>
    <w:multiLevelType w:val="hybridMultilevel"/>
    <w:lvl w:ilvl="0">
      <w:lvlJc w:val="left"/>
      <w:lvlText w:val="(%1)"/>
      <w:numFmt w:val="lowerLetter"/>
      <w:start w:val="13"/>
    </w:lvl>
    <w:lvl w:ilvl="1">
      <w:lvlJc w:val="left"/>
      <w:lvlText w:val="(%2)"/>
      <w:numFmt w:val="decimal"/>
      <w:start w:val="1"/>
    </w:lvl>
  </w:abstractNum>
  <w:abstractNum w:abstractNumId="103">
    <w:nsid w:val="1D9F6E5F"/>
    <w:multiLevelType w:val="hybridMultilevel"/>
    <w:lvl w:ilvl="0">
      <w:lvlJc w:val="left"/>
      <w:lvlText w:val="%1."/>
      <w:numFmt w:val="decimal"/>
      <w:start w:val="1"/>
    </w:lvl>
    <w:lvl w:ilvl="1">
      <w:lvlJc w:val="left"/>
      <w:lvlText w:val="(%2)"/>
      <w:numFmt w:val="upperLetter"/>
      <w:start w:val="7"/>
    </w:lvl>
    <w:lvl w:ilvl="2">
      <w:lvlJc w:val="left"/>
      <w:lvlText w:val="(%3)"/>
      <w:numFmt w:val="lowerLetter"/>
      <w:start w:val="1"/>
    </w:lvl>
    <w:lvl w:ilvl="3">
      <w:lvlJc w:val="left"/>
      <w:lvlText w:val="(%4)"/>
      <w:numFmt w:val="decimal"/>
      <w:start w:val="1"/>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06">
    <w:nsid w:val="1CA0C5FA"/>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07">
    <w:nsid w:val="53584BCB"/>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08">
    <w:nsid w:val="415E286C"/>
    <w:multiLevelType w:val="hybridMultilevel"/>
    <w:lvl w:ilvl="0">
      <w:lvlJc w:val="left"/>
      <w:lvlText w:val="%1."/>
      <w:numFmt w:val="upperLetter"/>
      <w:start w:val="1"/>
    </w:lvl>
  </w:abstractNum>
  <w:abstractNum w:abstractNumId="109">
    <w:nsid w:val="7C58FD05"/>
    <w:multiLevelType w:val="hybridMultilevel"/>
    <w:lvl w:ilvl="0">
      <w:lvlJc w:val="left"/>
      <w:lvlText w:val="•"/>
      <w:numFmt w:val="bullet"/>
      <w:start w:val="1"/>
    </w:lvl>
  </w:abstractNum>
  <w:abstractNum w:abstractNumId="110">
    <w:nsid w:val="23D86AAC"/>
    <w:multiLevelType w:val="hybridMultilevel"/>
    <w:lvl w:ilvl="0">
      <w:lvlJc w:val="left"/>
      <w:lvlText w:val="(%1)"/>
      <w:numFmt w:val="decimal"/>
      <w:start w:val="1"/>
    </w:lvl>
  </w:abstractNum>
  <w:abstractNum w:abstractNumId="111">
    <w:nsid w:val="45E6D486"/>
    <w:multiLevelType w:val="hybridMultilevel"/>
    <w:lvl w:ilvl="0">
      <w:lvlJc w:val="left"/>
      <w:lvlText w:val="(%1)"/>
      <w:numFmt w:val="decimal"/>
      <w:start w:val="2"/>
    </w:lvl>
  </w:abstractNum>
  <w:abstractNum w:abstractNumId="112">
    <w:nsid w:val="5C10FE21"/>
    <w:multiLevelType w:val="hybridMultilevel"/>
    <w:lvl w:ilvl="0">
      <w:lvlJc w:val="left"/>
      <w:lvlText w:val="(%1)"/>
      <w:numFmt w:val="lowerLetter"/>
      <w:start w:val="1"/>
    </w:lvl>
  </w:abstractNum>
  <w:abstractNum w:abstractNumId="113">
    <w:nsid w:val="E7FFA2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2022-08-16T10:30:59Z</dcterms:created>
  <dcterms:modified xsi:type="dcterms:W3CDTF">2022-08-16T10:30:59Z</dcterms:modified>
</cp:coreProperties>
</file>