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660" w:right="1600" w:hanging="652"/>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62" w:lineRule="exact"/>
        <w:rPr>
          <w:sz w:val="24"/>
          <w:szCs w:val="24"/>
          <w:color w:val="auto"/>
        </w:rPr>
      </w:pPr>
    </w:p>
    <w:p>
      <w:pPr>
        <w:ind w:left="660" w:right="158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20-5951150</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960" w:space="720"/>
            <w:col w:w="3720"/>
          </w:cols>
          <w:pgMar w:left="240" w:top="783"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00"/>
          </w:cols>
          <w:pgMar w:left="240" w:top="783" w:right="259" w:bottom="1440" w:gutter="0" w:footer="0" w:header="0"/>
          <w:type w:val="continuous"/>
        </w:sect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jc w:val="center"/>
              <w:ind w:left="430"/>
              <w:spacing w:after="0"/>
              <w:rPr>
                <w:sz w:val="20"/>
                <w:szCs w:val="20"/>
                <w:color w:val="auto"/>
              </w:rPr>
            </w:pPr>
            <w:r>
              <w:rPr>
                <w:rFonts w:ascii="Arial" w:cs="Arial" w:eastAsia="Arial" w:hAnsi="Arial"/>
                <w:sz w:val="18"/>
                <w:szCs w:val="18"/>
                <w:color w:val="auto"/>
              </w:rPr>
              <w:t>x</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4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8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common stock of the registrant as of May 1, 2018 was 37,370,272.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12"/>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gridSpan w:val="4"/>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20" w:type="dxa"/>
            <w:vAlign w:val="bottom"/>
            <w:gridSpan w:val="13"/>
            <w:shd w:val="clear" w:color="auto" w:fill="CCEEFF"/>
          </w:tcPr>
          <w:p>
            <w:pPr>
              <w:jc w:val="center"/>
              <w:ind w:right="2520"/>
              <w:spacing w:after="0"/>
              <w:rPr>
                <w:sz w:val="20"/>
                <w:szCs w:val="20"/>
                <w:color w:val="auto"/>
              </w:rPr>
            </w:pPr>
            <w:r>
              <w:rPr>
                <w:rFonts w:ascii="Arial" w:cs="Arial" w:eastAsia="Arial" w:hAnsi="Arial"/>
                <w:sz w:val="18"/>
                <w:szCs w:val="18"/>
                <w:b w:val="1"/>
                <w:bCs w:val="1"/>
                <w:color w:val="auto"/>
                <w:w w:val="95"/>
              </w:rPr>
              <w:t>Part I. Financial Information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2018 (unaudited) and December 31, 2017</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 for the three months ended March 31, 2018 and 2017</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Statements of Changes in Net Assets (unaudited) for the three months ended March 31, 2018 and 2017</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three months ended March 31, 2018 and 2017</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Consolidated Financial Highlights (unaudited) for the three months ended March 31, 2018 and 2017</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Notes to Consolidated Financial Statements (unaudited)</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Item 2.</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Item 3.</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Quantitative and Qualitative Disclosures About Market Risk</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Item 4.</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 Disclosure</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5.</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20" w:type="dxa"/>
            <w:vAlign w:val="bottom"/>
            <w:gridSpan w:val="13"/>
            <w:shd w:val="clear" w:color="auto" w:fill="CCEEFF"/>
          </w:tcPr>
          <w:p>
            <w:pPr>
              <w:jc w:val="center"/>
              <w:ind w:right="2520"/>
              <w:spacing w:after="0" w:line="176" w:lineRule="exact"/>
              <w:rPr>
                <w:rFonts w:ascii="Arial" w:cs="Arial" w:eastAsia="Arial" w:hAnsi="Arial"/>
                <w:sz w:val="18"/>
                <w:szCs w:val="18"/>
                <w:b w:val="1"/>
                <w:bCs w:val="1"/>
                <w:color w:val="0000EE"/>
                <w:w w:val="97"/>
              </w:rPr>
            </w:pPr>
            <w:hyperlink w:anchor="page83">
              <w:r>
                <w:rPr>
                  <w:rFonts w:ascii="Arial" w:cs="Arial" w:eastAsia="Arial" w:hAnsi="Arial"/>
                  <w:sz w:val="18"/>
                  <w:szCs w:val="18"/>
                  <w:b w:val="1"/>
                  <w:bCs w:val="1"/>
                  <w:color w:val="0000EE"/>
                  <w:w w:val="97"/>
                </w:rPr>
                <w:t>Part II. Other Information</w:t>
              </w:r>
            </w:hyperlink>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1.</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Legal Proceedings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1A.</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Risk Factors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2.</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Unregistered Sales of Equity Securities and Use of Proceeds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3.</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Defaults Upon Senior Securities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4.</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5.</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6.</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Exhibits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2018</w:t>
            </w:r>
          </w:p>
        </w:tc>
        <w:tc>
          <w:tcPr>
            <w:tcW w:w="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 (cost: 2018 - $9,905,719; 2017 - $77,300,320)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9,905,719</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77,300,320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Debt securities (amortized cost: 2018 - $173,540,632; 2017 - $125,179,470)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166,115,758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118,197,479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8"/>
              </w:rPr>
              <w:t>CLO Fund Securities managed by affiliates (amortized cost: 2018 - $56,154,414; 2017 - $67,212,139)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38,209,849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w w:val="96"/>
              </w:rPr>
              <w:t>CLO Fund Securities managed by non-affiliates (amortized cost: 2018 - $5,146,029; 2017 - $5,126,893)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2,558,771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2,190,280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(cost: 2018 - $10,571,007; 2017 - $10,571,007)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4,478,280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Asset Manager Affiliates (cost: 2018 - $52,091,230; 2017 - $52,591,230)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38,663,000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38,849,000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Joint Venture (cost: 2018 - $24,914,858; 2017 - $24,914,858)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21,767,376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Total Investments at Fair Value (cost: 2018 - $332,323,890; 2017 - $362,895,917)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281,698,753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311,956,156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1,933,851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3,146,354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1,446,129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Receivable for open trades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2,679,896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523,057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530,209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291,428,040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319,808,974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6.125% Notes Due 2022 (net of offering costs of: 2018-$2,605,179; 2017 - $2,734,248)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74,802,021</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74,672,952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 (net of offering costs of: 2018 - $49,743; 2017 - $259,635)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6,950,257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26,740,365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KCAP Funding I, LLC Revolving Credit Facility (net of offering costs of: 2018 - $1,353,761)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18,473,983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Payable for open trades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8,952,506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34,215,195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1,054,965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2,350,803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Due to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120,060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110,425,953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138,004,398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w w:val="91"/>
              </w:rPr>
              <w:t>Common stock, par value $0.01 per share, 100,000,000 common shares authorized; 37,522,657 issued,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w w:val="91"/>
              </w:rPr>
              <w:t>37,354,479 outstanding at March 31, 2018, and 37,507,402 issued, and 37,339,224 outstanding at December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31, 2017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373,545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330,093,978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329,789,716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Excess distribution of net investment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(11,243,483)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(9,987,928)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(86,197,772)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(86,031,799)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(52,024,181)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(52,338,805)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181,002,087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181,804,576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291,428,040</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319,808,974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bottom w:val="single" w:sz="8" w:color="CCEEFF"/>
            </w:tcBorders>
            <w:vMerge w:val="restart"/>
          </w:tcPr>
          <w:p>
            <w:pPr>
              <w:jc w:val="center"/>
              <w:ind w:left="3330"/>
              <w:spacing w:after="0"/>
              <w:rPr>
                <w:sz w:val="20"/>
                <w:szCs w:val="20"/>
                <w:color w:val="auto"/>
              </w:rPr>
            </w:pPr>
            <w:r>
              <w:rPr>
                <w:rFonts w:ascii="Arial" w:cs="Arial" w:eastAsia="Arial" w:hAnsi="Arial"/>
                <w:sz w:val="18"/>
                <w:szCs w:val="18"/>
                <w:color w:val="auto"/>
                <w:w w:val="89"/>
              </w:rPr>
              <w:t>See accompanying notes to financial statements.</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960" w:type="dxa"/>
            <w:vAlign w:val="bottom"/>
            <w:tcBorders>
              <w:bottom w:val="single" w:sz="8" w:color="auto"/>
            </w:tcBorders>
          </w:tcPr>
          <w:p>
            <w:pPr>
              <w:jc w:val="right"/>
              <w:ind w:right="213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6"/>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3,398,197</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4,406,373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Payment-in-kind investment income</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362,937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Interest from cash and time deposits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49,205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 on CLO Fund Securities managed by affiliates</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1,833,667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Investment income on CLO Fund Securities managed by non-affiliates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99,361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Investment income - Joint Venture</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Total investment income</w:t>
            </w:r>
          </w:p>
        </w:tc>
        <w:tc>
          <w:tcPr>
            <w:tcW w:w="14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6,826,477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7,774,397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1,863,848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1,207,337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714,410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78,022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and other</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502,118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14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4,365,735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4,556,258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2,460,742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3,218,139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Net realized gains from investment transactions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43,938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unrealized (depreciation) appreciation on:</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40"/>
              <w:spacing w:after="0"/>
              <w:rPr>
                <w:sz w:val="20"/>
                <w:szCs w:val="20"/>
                <w:color w:val="auto"/>
              </w:rPr>
            </w:pPr>
            <w:r>
              <w:rPr>
                <w:rFonts w:ascii="Arial" w:cs="Arial" w:eastAsia="Arial" w:hAnsi="Arial"/>
                <w:sz w:val="18"/>
                <w:szCs w:val="18"/>
                <w:color w:val="auto"/>
              </w:rPr>
              <w:t>Debt securities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(442,884)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1,202,017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securities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(153,562)</w:t>
            </w:r>
          </w:p>
        </w:tc>
        <w:tc>
          <w:tcPr>
            <w:tcW w:w="0" w:type="dxa"/>
            <w:vAlign w:val="bottom"/>
          </w:tcPr>
          <w:p>
            <w:pPr>
              <w:spacing w:after="0"/>
              <w:rPr>
                <w:sz w:val="1"/>
                <w:szCs w:val="1"/>
                <w:color w:val="auto"/>
              </w:rPr>
            </w:pPr>
          </w:p>
        </w:tc>
      </w:tr>
      <w:tr>
        <w:trPr>
          <w:trHeight w:val="216"/>
        </w:trPr>
        <w:tc>
          <w:tcPr>
            <w:tcW w:w="7200" w:type="dxa"/>
            <w:vAlign w:val="bottom"/>
          </w:tcPr>
          <w:p>
            <w:pPr>
              <w:ind w:left="340"/>
              <w:spacing w:after="0"/>
              <w:rPr>
                <w:sz w:val="20"/>
                <w:szCs w:val="20"/>
                <w:color w:val="auto"/>
              </w:rPr>
            </w:pPr>
            <w:r>
              <w:rPr>
                <w:rFonts w:ascii="Arial" w:cs="Arial" w:eastAsia="Arial" w:hAnsi="Arial"/>
                <w:sz w:val="18"/>
                <w:szCs w:val="18"/>
                <w:color w:val="auto"/>
              </w:rPr>
              <w:t>CLO Fund Securities managed by affiliates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(220,819)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(1,252,986)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 Fund Securities managed by non-affiliates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349,355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(65,994)</w:t>
            </w:r>
          </w:p>
        </w:tc>
        <w:tc>
          <w:tcPr>
            <w:tcW w:w="0" w:type="dxa"/>
            <w:vAlign w:val="bottom"/>
          </w:tcPr>
          <w:p>
            <w:pPr>
              <w:spacing w:after="0"/>
              <w:rPr>
                <w:sz w:val="1"/>
                <w:szCs w:val="1"/>
                <w:color w:val="auto"/>
              </w:rPr>
            </w:pPr>
          </w:p>
        </w:tc>
      </w:tr>
      <w:tr>
        <w:trPr>
          <w:trHeight w:val="216"/>
        </w:trPr>
        <w:tc>
          <w:tcPr>
            <w:tcW w:w="7200" w:type="dxa"/>
            <w:vAlign w:val="bottom"/>
          </w:tcPr>
          <w:p>
            <w:pPr>
              <w:ind w:left="340"/>
              <w:spacing w:after="0"/>
              <w:rPr>
                <w:sz w:val="20"/>
                <w:szCs w:val="20"/>
                <w:color w:val="auto"/>
              </w:rPr>
            </w:pPr>
            <w:r>
              <w:rPr>
                <w:rFonts w:ascii="Arial" w:cs="Arial" w:eastAsia="Arial" w:hAnsi="Arial"/>
                <w:sz w:val="18"/>
                <w:szCs w:val="18"/>
                <w:color w:val="auto"/>
              </w:rPr>
              <w:t>Asset Manager Affiliates investments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314,000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(2,606,000)</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 Investment</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251,376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net change in unrealized appreciation (depreciation)</w:t>
            </w:r>
          </w:p>
        </w:tc>
        <w:tc>
          <w:tcPr>
            <w:tcW w:w="9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314,624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(2,876,525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and unrealized appreciation (depreciation) on investments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(2,832,587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Realized losses on extinguishments of Debt</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(169,074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Stockholders’ Equity Resulting From Operations</w:t>
            </w:r>
          </w:p>
        </w:tc>
        <w:tc>
          <w:tcPr>
            <w:tcW w:w="9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2,609,393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180"/>
              <w:spacing w:after="0"/>
              <w:rPr>
                <w:sz w:val="20"/>
                <w:szCs w:val="20"/>
                <w:color w:val="auto"/>
              </w:rPr>
            </w:pPr>
            <w:r>
              <w:rPr>
                <w:rFonts w:ascii="Arial" w:cs="Arial" w:eastAsia="Arial" w:hAnsi="Arial"/>
                <w:sz w:val="18"/>
                <w:szCs w:val="18"/>
                <w:color w:val="auto"/>
              </w:rPr>
              <w:t>Net Increase In Stockholders' Equity Resulting from Operations per Common Share:</w:t>
            </w:r>
          </w:p>
        </w:tc>
        <w:tc>
          <w:tcPr>
            <w:tcW w:w="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7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 Per Common Share:</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4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of Common Stock Outstanding—Basic</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37,350,411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37,202,996</w:t>
            </w:r>
          </w:p>
        </w:tc>
        <w:tc>
          <w:tcPr>
            <w:tcW w:w="0" w:type="dxa"/>
            <w:vAlign w:val="bottom"/>
          </w:tcPr>
          <w:p>
            <w:pPr>
              <w:spacing w:after="0"/>
              <w:rPr>
                <w:sz w:val="1"/>
                <w:szCs w:val="1"/>
                <w:color w:val="auto"/>
              </w:rPr>
            </w:pPr>
          </w:p>
        </w:tc>
      </w:t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Weighted Average Shares of Common Stock Outstanding—Diluted</w:t>
            </w: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37,350,411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37,202,996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2,460,742</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3,218,139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from investment transactions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Realized losses from extinguishments of Debt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(169,074)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314,624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(2,876,525)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increase/(decrease) in stockholders’ equity resulting from operations</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2,609,393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(3,716,297)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(4,431,785)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Dividend reinvestment plan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51,560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162,384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252,855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304,415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551,198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181,804,576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194,924,925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Net assets at end of period (including undistributed net investment income of $0 in 2018 and $0 in 2017)</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181,002,086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191,429,890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 value per common share</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37,354,479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37,209,649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6"/>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Net increase (decrease) in stockholder's equity resulting from operations</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2,609,393</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385,552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reconcile net (decrease) increase in stockholder’s equity resulting from operations to net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provided by (used in) in operations:</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Net realized (gains) losses on investment transactions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depreciation from investments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(314,624)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(52,140,700)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(28,597,362)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84,965,082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37,452,361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Net accretion of investments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(1,886,762)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170,035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214,894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losses on extinguishments of debt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169,074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Payment-in-kind interest income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(362,937)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252,855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payable for open trades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(25,262,689)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Decrease in receivable for open trades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2,993,750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2,950,658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interest and dividends receivable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(394,858)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Increase in accrued interest payable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72,161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other assets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(Increase) decrease in due from affiliates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(1,436,404)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due to affiliates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(1,295,838)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(1,097,317)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8,236,565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7,598,623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(1,353,761)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stockholders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(3,664,438)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Repayment 7.375 Notes Due 2019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KCAP Funding LLC, Revolving Credit Facility</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Repayment of KCAP Funding LLC, Revolving Credit Facility</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(172,256)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(5,190,455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(4,269,401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CHANGE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right="2760"/>
        <w:spacing w:after="0" w:line="307" w:lineRule="auto"/>
        <w:rPr>
          <w:sz w:val="20"/>
          <w:szCs w:val="20"/>
          <w:color w:val="auto"/>
        </w:rPr>
      </w:pPr>
      <w:r>
        <w:rPr>
          <w:rFonts w:ascii="Arial" w:cs="Arial" w:eastAsia="Arial" w:hAnsi="Arial"/>
          <w:sz w:val="17"/>
          <w:szCs w:val="17"/>
          <w:color w:val="auto"/>
        </w:rPr>
        <w:t>CASH AND RESTRICTED CASH, BEGINNING OF PERIOD CASH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3,046,110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3,329,222</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2,034,095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9,835,555</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5,080,205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13,164,777</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1,693,813</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1,790,390</w:t>
            </w: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51,560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162,384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Debt Securities Portfolio</w:t>
            </w:r>
          </w:p>
        </w:tc>
        <w:tc>
          <w:tcPr>
            <w:tcW w:w="1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1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24"/>
                <w:szCs w:val="2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89"/>
              </w:rPr>
              <w:t>Portfolio Company / Principal Business</w:t>
            </w:r>
          </w:p>
        </w:tc>
        <w:tc>
          <w:tcPr>
            <w:tcW w:w="41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 Rate¹ / Maturity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020" w:type="dxa"/>
            <w:vAlign w:val="bottom"/>
            <w:tcBorders>
              <w:top w:val="single" w:sz="8" w:color="auto"/>
            </w:tcBorders>
            <w:shd w:val="clear" w:color="auto" w:fill="CCEEFF"/>
          </w:tcPr>
          <w:p>
            <w:pPr>
              <w:spacing w:after="0" w:line="240" w:lineRule="exact"/>
              <w:rPr>
                <w:sz w:val="20"/>
                <w:szCs w:val="20"/>
                <w:color w:val="auto"/>
              </w:rPr>
            </w:pPr>
            <w:r>
              <w:rPr>
                <w:rFonts w:ascii="Arial" w:cs="Arial" w:eastAsia="Arial" w:hAnsi="Arial"/>
                <w:sz w:val="17"/>
                <w:szCs w:val="17"/>
                <w:color w:val="auto"/>
                <w:w w:val="98"/>
              </w:rPr>
              <w:t>Advanced Lighting Technologies, Inc.</w:t>
            </w:r>
            <w:r>
              <w:rPr>
                <w:rFonts w:ascii="Arial" w:cs="Arial" w:eastAsia="Arial" w:hAnsi="Arial"/>
                <w:sz w:val="27"/>
                <w:szCs w:val="27"/>
                <w:color w:val="auto"/>
                <w:w w:val="98"/>
                <w:vertAlign w:val="superscript"/>
              </w:rPr>
              <w:t>(8)</w:t>
            </w:r>
          </w:p>
        </w:tc>
        <w:tc>
          <w:tcPr>
            <w:tcW w:w="100" w:type="dxa"/>
            <w:vAlign w:val="bottom"/>
            <w:tcBorders>
              <w:top w:val="single" w:sz="8" w:color="CCEEFF"/>
            </w:tcBorders>
            <w:vMerge w:val="restart"/>
            <w:shd w:val="clear" w:color="auto" w:fill="CCEEFF"/>
          </w:tcPr>
          <w:p>
            <w:pPr>
              <w:spacing w:after="0"/>
              <w:rPr>
                <w:sz w:val="20"/>
                <w:szCs w:val="20"/>
                <w:color w:val="auto"/>
              </w:rPr>
            </w:pPr>
          </w:p>
        </w:tc>
        <w:tc>
          <w:tcPr>
            <w:tcW w:w="40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Junior Secured Loan — Second Lien Notes</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(14)</w:t>
            </w:r>
          </w:p>
        </w:tc>
        <w:tc>
          <w:tcPr>
            <w:tcW w:w="100" w:type="dxa"/>
            <w:vAlign w:val="bottom"/>
            <w:vMerge w:val="continue"/>
            <w:shd w:val="clear" w:color="auto" w:fill="CCEEFF"/>
          </w:tcPr>
          <w:p>
            <w:pPr>
              <w:spacing w:after="0"/>
              <w:rPr>
                <w:sz w:val="17"/>
                <w:szCs w:val="17"/>
                <w:color w:val="auto"/>
              </w:rPr>
            </w:pPr>
          </w:p>
        </w:tc>
        <w:tc>
          <w:tcPr>
            <w:tcW w:w="4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goods: Durable</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8.7% Cash, 10.0% PIK, 1 month LIBOR(1.70%)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17.00%; LIBOR Floor 1.00% , Due 10/23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911,573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911,571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020" w:type="dxa"/>
            <w:vAlign w:val="bottom"/>
            <w:shd w:val="clear" w:color="auto" w:fill="CCEEFF"/>
          </w:tcPr>
          <w:p>
            <w:pPr>
              <w:spacing w:after="0" w:line="228" w:lineRule="exact"/>
              <w:rPr>
                <w:sz w:val="20"/>
                <w:szCs w:val="20"/>
                <w:color w:val="auto"/>
              </w:rPr>
            </w:pPr>
            <w:r>
              <w:rPr>
                <w:rFonts w:ascii="Arial" w:cs="Arial" w:eastAsia="Arial" w:hAnsi="Arial"/>
                <w:sz w:val="16"/>
                <w:szCs w:val="16"/>
                <w:color w:val="auto"/>
              </w:rPr>
              <w:t>Advantage Sales &amp; Marketing Inc.</w:t>
            </w:r>
            <w:r>
              <w:rPr>
                <w:rFonts w:ascii="Arial" w:cs="Arial" w:eastAsia="Arial" w:hAnsi="Arial"/>
                <w:sz w:val="26"/>
                <w:szCs w:val="26"/>
                <w:color w:val="auto"/>
                <w:vertAlign w:val="superscript"/>
              </w:rPr>
              <w:t>(8)(14)</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Junior Secured Loan — Term Loan (Second Lien)</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(15)</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8.3% Cash, 3 month LIBOR(1.77%) + 6.50%; LIBOR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Floor 1.00% , Due 7/22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1,001,360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API Technologies Corp.</w:t>
            </w:r>
            <w:r>
              <w:rPr>
                <w:rFonts w:ascii="Arial" w:cs="Arial" w:eastAsia="Arial" w:hAnsi="Arial"/>
                <w:sz w:val="28"/>
                <w:szCs w:val="28"/>
                <w:color w:val="auto"/>
                <w:vertAlign w:val="superscript"/>
              </w:rPr>
              <w:t>(8)(14)(15)</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Loan — Initial Term Loan</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8.2% Cash, 1 month LIBOR(1.73%) + 6.50%; LIBOR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Floor 1.00% , Due 4/22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3,060,610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3,089,118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3,061,834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Avalign Technologies, Inc.</w:t>
            </w:r>
            <w:r>
              <w:rPr>
                <w:rFonts w:ascii="Arial" w:cs="Arial" w:eastAsia="Arial" w:hAnsi="Arial"/>
                <w:sz w:val="28"/>
                <w:szCs w:val="28"/>
                <w:color w:val="auto"/>
                <w:vertAlign w:val="superscript"/>
              </w:rPr>
              <w:t>(8)(14)(15)</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Senior Secured Loan — Initial Term Loan (First Lien)</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6.4% Cash, 1 month LIBOR(1.88%) + 4.50%; LIBOR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Floor 1.00% , Due 7/21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1,065,342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1,063,149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1,062,679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Avalign Technologies, Inc.</w:t>
            </w:r>
            <w:r>
              <w:rPr>
                <w:rFonts w:ascii="Arial" w:cs="Arial" w:eastAsia="Arial" w:hAnsi="Arial"/>
                <w:sz w:val="23"/>
                <w:szCs w:val="23"/>
                <w:color w:val="auto"/>
                <w:vertAlign w:val="superscript"/>
              </w:rPr>
              <w:t>(8)(14)(15)</w:t>
            </w:r>
          </w:p>
        </w:tc>
        <w:tc>
          <w:tcPr>
            <w:tcW w:w="41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Initial Term Loan (Second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10.4% Cash, 6 month LIBOR(2.13%) + 8.25%; LIBOR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Floor 1.00% , Due 7/22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1,489,570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6"/>
              </w:rPr>
              <w:t>BMC Acquisition, Inc. (aka BenefitMall)</w:t>
            </w:r>
          </w:p>
        </w:tc>
        <w:tc>
          <w:tcPr>
            <w:tcW w:w="41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Senior Secured Loan — Initial Term Loan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(8)(14)(15)</w:t>
            </w:r>
          </w:p>
        </w:tc>
        <w:tc>
          <w:tcPr>
            <w:tcW w:w="4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Banking, Finance, Insurance &amp; Real</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7.1% Cash, 6 month LIBOR(1.84%) + 5.25%; LIBOR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Estate</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Floor 1.00% , Due 12/24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2,990,800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Carolina Beverage Group LLC</w:t>
            </w:r>
            <w:r>
              <w:rPr>
                <w:rFonts w:ascii="Arial" w:cs="Arial" w:eastAsia="Arial" w:hAnsi="Arial"/>
                <w:sz w:val="23"/>
                <w:szCs w:val="23"/>
                <w:color w:val="auto"/>
                <w:vertAlign w:val="superscript"/>
              </w:rPr>
              <w:t>(8)(14)</w:t>
            </w:r>
          </w:p>
        </w:tc>
        <w:tc>
          <w:tcPr>
            <w:tcW w:w="41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Bond — 10.625% - 08/2018 -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143818AA0 144A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1,501,366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1,490,400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10.6% Cash, Due 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Community Care Health Network, Inc.</w:t>
            </w:r>
          </w:p>
        </w:tc>
        <w:tc>
          <w:tcPr>
            <w:tcW w:w="4180" w:type="dxa"/>
            <w:vAlign w:val="bottom"/>
            <w:gridSpan w:val="2"/>
            <w:shd w:val="clear" w:color="auto" w:fill="CCEEFF"/>
          </w:tcPr>
          <w:p>
            <w:pPr>
              <w:ind w:left="100"/>
              <w:spacing w:after="0" w:line="206" w:lineRule="exact"/>
              <w:rPr>
                <w:sz w:val="20"/>
                <w:szCs w:val="20"/>
                <w:color w:val="auto"/>
              </w:rPr>
            </w:pPr>
            <w:r>
              <w:rPr>
                <w:rFonts w:ascii="Arial" w:cs="Arial" w:eastAsia="Arial" w:hAnsi="Arial"/>
                <w:sz w:val="18"/>
                <w:szCs w:val="18"/>
                <w:color w:val="auto"/>
              </w:rPr>
              <w:t>Senior Secured Loan — Initial Term Loan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02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w w:val="98"/>
              </w:rPr>
              <w:t>(aka Matrix Medical Network)</w:t>
            </w:r>
            <w:r>
              <w:rPr>
                <w:rFonts w:ascii="Arial" w:cs="Arial" w:eastAsia="Arial" w:hAnsi="Arial"/>
                <w:sz w:val="29"/>
                <w:szCs w:val="29"/>
                <w:color w:val="auto"/>
                <w:w w:val="98"/>
                <w:vertAlign w:val="superscript"/>
              </w:rPr>
              <w:t>(8)(15)</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6.7% Cash, 3 month LIBOR(1.99%) + 4.75%; LIBOR</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Floor 1.00% , Due 2/25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1,995,075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CSM Bakery Solutions Limited (fka</w:t>
            </w:r>
          </w:p>
        </w:tc>
        <w:tc>
          <w:tcPr>
            <w:tcW w:w="4180" w:type="dxa"/>
            <w:vAlign w:val="bottom"/>
            <w:gridSpan w:val="2"/>
            <w:shd w:val="clear" w:color="auto" w:fill="CCEEFF"/>
          </w:tcPr>
          <w:p>
            <w:pPr>
              <w:ind w:left="100"/>
              <w:spacing w:after="0" w:line="206" w:lineRule="exact"/>
              <w:rPr>
                <w:sz w:val="20"/>
                <w:szCs w:val="20"/>
                <w:color w:val="auto"/>
              </w:rPr>
            </w:pPr>
            <w:r>
              <w:rPr>
                <w:rFonts w:ascii="Arial" w:cs="Arial" w:eastAsia="Arial" w:hAnsi="Arial"/>
                <w:sz w:val="18"/>
                <w:szCs w:val="18"/>
                <w:color w:val="auto"/>
              </w:rPr>
              <w:t>Junior Secured Loan — Term Loan (Second Lien)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02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CSM Bakery Supplies Limited)</w:t>
            </w:r>
            <w:r>
              <w:rPr>
                <w:rFonts w:ascii="Arial" w:cs="Arial" w:eastAsia="Arial" w:hAnsi="Arial"/>
                <w:sz w:val="29"/>
                <w:szCs w:val="29"/>
                <w:color w:val="auto"/>
                <w:vertAlign w:val="superscript"/>
              </w:rPr>
              <w:t>(8)</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9.5% Cash, 3 month LIBOR(1.70%) + 7.75%; LIBOR</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Floor 1.00% , Due 7/21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3,008,197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CT Technologies Intermediate Holdings,</w:t>
            </w:r>
          </w:p>
        </w:tc>
        <w:tc>
          <w:tcPr>
            <w:tcW w:w="10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 (Smart Holdings Corp.) (aka</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Loan — New Term Loan Facility</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02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HealthPort)</w:t>
            </w:r>
            <w:r>
              <w:rPr>
                <w:rFonts w:ascii="Arial" w:cs="Arial" w:eastAsia="Arial" w:hAnsi="Arial"/>
                <w:sz w:val="29"/>
                <w:szCs w:val="29"/>
                <w:color w:val="auto"/>
                <w:vertAlign w:val="superscript"/>
              </w:rPr>
              <w:t>(8)(15)</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6.1% Cash, 1 month LIBOR(1.88%) + 4.25%; LIBOR</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Floor 1.00% , Due 12/21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1,994,872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1,997,329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Cyanco Intermediate 2 Corp.</w:t>
            </w:r>
            <w:r>
              <w:rPr>
                <w:rFonts w:ascii="Arial" w:cs="Arial" w:eastAsia="Arial" w:hAnsi="Arial"/>
                <w:sz w:val="28"/>
                <w:szCs w:val="28"/>
                <w:color w:val="auto"/>
                <w:vertAlign w:val="superscript"/>
              </w:rPr>
              <w:t>(8)</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Junior Secured Loan — Term Loan (Second Lien)</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Chemicals, Plastics and Rubber</w:t>
            </w: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9.7% Cash, 3 Month LIBOR(2.17%) + 7.50%; LIBOR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Floor 0.00% , Due 3/26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Amortized</w:t>
            </w:r>
          </w:p>
        </w:tc>
        <w:tc>
          <w:tcPr>
            <w:tcW w:w="13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w w:val="93"/>
              </w:rPr>
              <w:t>Portfolio Company / Principal Business</w:t>
            </w: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Principal</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Cost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27"/>
                <w:szCs w:val="27"/>
                <w:color w:val="auto"/>
                <w:vertAlign w:val="subscript"/>
              </w:rPr>
              <w:t>Decolin Inc.</w:t>
            </w:r>
            <w:r>
              <w:rPr>
                <w:rFonts w:ascii="Arial" w:cs="Arial" w:eastAsia="Arial" w:hAnsi="Arial"/>
                <w:sz w:val="13"/>
                <w:szCs w:val="13"/>
                <w:color w:val="auto"/>
              </w:rPr>
              <w:t>(3)(8)(14)(15)</w:t>
            </w:r>
          </w:p>
        </w:tc>
        <w:tc>
          <w:tcPr>
            <w:tcW w:w="140" w:type="dxa"/>
            <w:vAlign w:val="bottom"/>
            <w:tcBorders>
              <w:top w:val="single" w:sz="8" w:color="CCEEFF"/>
            </w:tcBorders>
            <w:shd w:val="clear" w:color="auto" w:fill="CCEEFF"/>
          </w:tcPr>
          <w:p>
            <w:pPr>
              <w:spacing w:after="0"/>
              <w:rPr>
                <w:sz w:val="20"/>
                <w:szCs w:val="20"/>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Textiles and Leather</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6.3% Cash, 1 month LIBOR(1.82%) + 4.50%; LIBOR</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12/23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2,244,375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2,233,445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2,231,358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DigiCert, Inc.</w:t>
            </w:r>
            <w:r>
              <w:rPr>
                <w:rFonts w:ascii="Arial" w:cs="Arial" w:eastAsia="Arial" w:hAnsi="Arial"/>
                <w:sz w:val="23"/>
                <w:szCs w:val="23"/>
                <w:color w:val="auto"/>
                <w:vertAlign w:val="superscript"/>
              </w:rPr>
              <w:t>(8)(14)</w:t>
            </w: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Loan (Second Lien)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9.8% Cash, 3 month LIBOR(1.77%) + 8.00%; LIBOR</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995,214</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982,400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10/25</w:t>
            </w:r>
          </w:p>
        </w:tc>
        <w:tc>
          <w:tcPr>
            <w:tcW w:w="14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Drew Marine Group Inc.</w:t>
            </w:r>
            <w:r>
              <w:rPr>
                <w:rFonts w:ascii="Arial" w:cs="Arial" w:eastAsia="Arial" w:hAnsi="Arial"/>
                <w:sz w:val="23"/>
                <w:szCs w:val="23"/>
                <w:color w:val="auto"/>
                <w:vertAlign w:val="superscript"/>
              </w:rPr>
              <w:t>(8)(14)(15)</w:t>
            </w: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 Lien)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Transportation: Cargo</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8.9% Cash, 1 month LIBOR(1.88%) + 7.00%; LIBOR</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4,000,000</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4,000,834</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4,000,400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5/21</w:t>
            </w:r>
          </w:p>
        </w:tc>
        <w:tc>
          <w:tcPr>
            <w:tcW w:w="14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EagleTree-Carbide Acquisition Corp.</w:t>
            </w:r>
          </w:p>
        </w:tc>
        <w:tc>
          <w:tcPr>
            <w:tcW w:w="4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Junior Secured Loan — Term Loan (Second Lien)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16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w w:val="98"/>
              </w:rPr>
              <w:t>(aka Corsair Components, Inc.)</w:t>
            </w:r>
            <w:r>
              <w:rPr>
                <w:rFonts w:ascii="Arial" w:cs="Arial" w:eastAsia="Arial" w:hAnsi="Arial"/>
                <w:sz w:val="29"/>
                <w:szCs w:val="29"/>
                <w:color w:val="auto"/>
                <w:w w:val="98"/>
                <w:vertAlign w:val="superscript"/>
              </w:rPr>
              <w:t>(8)(14)</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10.8% Cash, 3 month LIBOR(2.30%) + 8.50%; LIBOR</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8/25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4,929,360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EagleTree-Carbide Acquisition Corp.</w:t>
            </w:r>
          </w:p>
        </w:tc>
        <w:tc>
          <w:tcPr>
            <w:tcW w:w="4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Term Loan (First Lien)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16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w w:val="98"/>
              </w:rPr>
              <w:t>(aka Corsair Components, Inc.)</w:t>
            </w:r>
            <w:r>
              <w:rPr>
                <w:rFonts w:ascii="Arial" w:cs="Arial" w:eastAsia="Arial" w:hAnsi="Arial"/>
                <w:sz w:val="29"/>
                <w:szCs w:val="29"/>
                <w:color w:val="auto"/>
                <w:w w:val="98"/>
                <w:vertAlign w:val="superscript"/>
              </w:rPr>
              <w:t>(8)(15)</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7.1% Cash, 3 Month LIBOR(2.30%) + 4.75%; LIBOR</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8/24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992,506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Evergreen North America Acquisition,</w:t>
            </w:r>
          </w:p>
        </w:tc>
        <w:tc>
          <w:tcPr>
            <w:tcW w:w="4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LLC (f/k/a Industrial Services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16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Acquisition, LLC)</w:t>
            </w:r>
            <w:r>
              <w:rPr>
                <w:rFonts w:ascii="Arial" w:cs="Arial" w:eastAsia="Arial" w:hAnsi="Arial"/>
                <w:sz w:val="29"/>
                <w:szCs w:val="29"/>
                <w:color w:val="auto"/>
                <w:vertAlign w:val="superscript"/>
              </w:rPr>
              <w:t>(8)(14)(15)</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6.9% Cash, 1 month LIBOR(1.94%) + 5.00%; LIBOR</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Environmental Industries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6/22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1,151,864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1,156,981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3160" w:type="dxa"/>
            <w:vAlign w:val="bottom"/>
            <w:gridSpan w:val="2"/>
            <w:shd w:val="clear" w:color="auto" w:fill="CCEEFF"/>
          </w:tcPr>
          <w:p>
            <w:pPr>
              <w:spacing w:after="0" w:line="246" w:lineRule="exact"/>
              <w:rPr>
                <w:sz w:val="20"/>
                <w:szCs w:val="20"/>
                <w:color w:val="auto"/>
              </w:rPr>
            </w:pPr>
            <w:r>
              <w:rPr>
                <w:rFonts w:ascii="Arial" w:cs="Arial" w:eastAsia="Arial" w:hAnsi="Arial"/>
                <w:sz w:val="17"/>
                <w:szCs w:val="17"/>
                <w:color w:val="auto"/>
              </w:rPr>
              <w:t>First American Payment Systems, L.P.</w:t>
            </w:r>
            <w:r>
              <w:rPr>
                <w:rFonts w:ascii="Arial" w:cs="Arial" w:eastAsia="Arial" w:hAnsi="Arial"/>
                <w:sz w:val="28"/>
                <w:szCs w:val="28"/>
                <w:color w:val="auto"/>
                <w:vertAlign w:val="superscript"/>
              </w:rPr>
              <w:t>(8)</w:t>
            </w: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Junior Secured Loan — Term Loan (Second Lien)</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(14)(15)</w:t>
            </w:r>
          </w:p>
        </w:tc>
        <w:tc>
          <w:tcPr>
            <w:tcW w:w="140" w:type="dxa"/>
            <w:vAlign w:val="bottom"/>
            <w:shd w:val="clear" w:color="auto" w:fill="CCEEFF"/>
          </w:tcPr>
          <w:p>
            <w:pPr>
              <w:spacing w:after="0"/>
              <w:rPr>
                <w:sz w:val="17"/>
                <w:szCs w:val="17"/>
                <w:color w:val="auto"/>
              </w:rPr>
            </w:pPr>
          </w:p>
        </w:tc>
        <w:tc>
          <w:tcPr>
            <w:tcW w:w="4160" w:type="dxa"/>
            <w:vAlign w:val="bottom"/>
            <w:gridSpan w:val="2"/>
            <w:vMerge w:val="continue"/>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Banking, Finance, Insurance &amp; Real</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12.2% Cash, 1 month LIBOR(1.69%) + 10.50%;</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Estate</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7/24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1,462,338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Flexera Software LLC (fka Flexera</w:t>
            </w:r>
          </w:p>
        </w:tc>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Initial Term Loan (Second</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line="217" w:lineRule="exact"/>
              <w:rPr>
                <w:sz w:val="20"/>
                <w:szCs w:val="20"/>
                <w:color w:val="auto"/>
              </w:rPr>
            </w:pPr>
            <w:r>
              <w:rPr>
                <w:rFonts w:ascii="Arial" w:cs="Arial" w:eastAsia="Arial" w:hAnsi="Arial"/>
                <w:sz w:val="16"/>
                <w:szCs w:val="16"/>
                <w:color w:val="auto"/>
              </w:rPr>
              <w:t>Software, Inc.)</w:t>
            </w:r>
            <w:r>
              <w:rPr>
                <w:rFonts w:ascii="Arial" w:cs="Arial" w:eastAsia="Arial" w:hAnsi="Arial"/>
                <w:sz w:val="25"/>
                <w:szCs w:val="25"/>
                <w:color w:val="auto"/>
                <w:vertAlign w:val="superscript"/>
              </w:rPr>
              <w:t>(8)</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9.1% Cash, 1 month LIBOR(1.88%) + 7.25%; LIBOR</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99,505</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2/26</w:t>
            </w:r>
          </w:p>
        </w:tc>
        <w:tc>
          <w:tcPr>
            <w:tcW w:w="14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GI Advo Opco, LLC</w:t>
            </w:r>
            <w:r>
              <w:rPr>
                <w:rFonts w:ascii="Arial" w:cs="Arial" w:eastAsia="Arial" w:hAnsi="Arial"/>
                <w:sz w:val="23"/>
                <w:szCs w:val="23"/>
                <w:color w:val="auto"/>
                <w:vertAlign w:val="superscript"/>
              </w:rPr>
              <w:t>(8)(14)(15)</w:t>
            </w: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6.8% Cash, 3 month LIBOR(2.30%) + 4.50%; LIBOR</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230,756</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229,349</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230,779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11/21</w:t>
            </w:r>
          </w:p>
        </w:tc>
        <w:tc>
          <w:tcPr>
            <w:tcW w:w="14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GK Holdings, Inc. (aka Global</w:t>
            </w:r>
          </w:p>
        </w:tc>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Initial Term Loan (Second</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line="217" w:lineRule="exact"/>
              <w:rPr>
                <w:sz w:val="20"/>
                <w:szCs w:val="20"/>
                <w:color w:val="auto"/>
              </w:rPr>
            </w:pPr>
            <w:r>
              <w:rPr>
                <w:rFonts w:ascii="Arial" w:cs="Arial" w:eastAsia="Arial" w:hAnsi="Arial"/>
                <w:sz w:val="16"/>
                <w:szCs w:val="16"/>
                <w:color w:val="auto"/>
              </w:rPr>
              <w:t>Knowledge)</w:t>
            </w:r>
            <w:r>
              <w:rPr>
                <w:rFonts w:ascii="Arial" w:cs="Arial" w:eastAsia="Arial" w:hAnsi="Arial"/>
                <w:sz w:val="25"/>
                <w:szCs w:val="25"/>
                <w:color w:val="auto"/>
                <w:vertAlign w:val="superscript"/>
              </w:rPr>
              <w:t>(8)(14)</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 Cash, 3 month LIBOR(2.30%) + 10.25%;</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1,483,583</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1,392,900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1/22</w:t>
            </w:r>
          </w:p>
        </w:tc>
        <w:tc>
          <w:tcPr>
            <w:tcW w:w="14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Amortized</w:t>
            </w:r>
          </w:p>
        </w:tc>
        <w:tc>
          <w:tcPr>
            <w:tcW w:w="13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w w:val="93"/>
              </w:rPr>
              <w:t>Portfolio Company / Principal Business</w:t>
            </w: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Principal</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Cost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Global Tel*Link Corporation</w:t>
            </w:r>
            <w:r>
              <w:rPr>
                <w:rFonts w:ascii="Arial" w:cs="Arial" w:eastAsia="Arial" w:hAnsi="Arial"/>
                <w:sz w:val="22"/>
                <w:szCs w:val="22"/>
                <w:color w:val="auto"/>
                <w:vertAlign w:val="superscript"/>
              </w:rPr>
              <w:t>(8)(14)</w:t>
            </w:r>
          </w:p>
        </w:tc>
        <w:tc>
          <w:tcPr>
            <w:tcW w:w="14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Junior Secured Loan — Term Loan (Second Lien)</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Telecommunications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10.6% Cash, 3 month LIBOR(2.30%) + 8.25%; LIBOR</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4,966,579</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4,957,000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1.25% , Due 11/20</w:t>
            </w:r>
          </w:p>
        </w:tc>
        <w:tc>
          <w:tcPr>
            <w:tcW w:w="14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Global Tel*Link Corporation</w:t>
            </w:r>
            <w:r>
              <w:rPr>
                <w:rFonts w:ascii="Arial" w:cs="Arial" w:eastAsia="Arial" w:hAnsi="Arial"/>
                <w:sz w:val="23"/>
                <w:szCs w:val="23"/>
                <w:color w:val="auto"/>
                <w:vertAlign w:val="superscript"/>
              </w:rPr>
              <w:t>(8)(14)(15)</w:t>
            </w: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(First Lien)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Telecommunications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6.3% Cash, 3 month LIBOR(2.30%) + 4.00%; LIBOR</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1,491,377</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1,488,101</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1,487,649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1.25% , Due 5/20</w:t>
            </w:r>
          </w:p>
        </w:tc>
        <w:tc>
          <w:tcPr>
            <w:tcW w:w="14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Grupo HIMA San Pablo, Inc.</w:t>
            </w:r>
            <w:r>
              <w:rPr>
                <w:rFonts w:ascii="Arial" w:cs="Arial" w:eastAsia="Arial" w:hAnsi="Arial"/>
                <w:sz w:val="23"/>
                <w:szCs w:val="23"/>
                <w:color w:val="auto"/>
                <w:vertAlign w:val="superscript"/>
              </w:rPr>
              <w:t>(8)(14)</w:t>
            </w: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B Loan (First Lien)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8.5% Cash, 3 month LIBOR(1.50%) + 7.00%; LIBOR</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2,850,000</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2,850,000</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2,593,500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1.50% , Due 1/18</w:t>
            </w:r>
          </w:p>
        </w:tc>
        <w:tc>
          <w:tcPr>
            <w:tcW w:w="14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1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Grupo HIMA San Pablo, Inc.</w:t>
            </w:r>
            <w:r>
              <w:rPr>
                <w:rFonts w:ascii="Arial" w:cs="Arial" w:eastAsia="Arial" w:hAnsi="Arial"/>
                <w:sz w:val="28"/>
                <w:szCs w:val="28"/>
                <w:color w:val="auto"/>
                <w:vertAlign w:val="superscript"/>
              </w:rPr>
              <w:t>(5)(8)(14)</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Secured Loan — Term Loan (Second Lien)</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(13.75)% Cash, Due 7/18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7,191,667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7,174,446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4,566,708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w:t>
            </w:r>
          </w:p>
        </w:tc>
        <w:tc>
          <w:tcPr>
            <w:tcW w:w="4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16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Clarke American Corp.)</w:t>
            </w:r>
            <w:r>
              <w:rPr>
                <w:rFonts w:ascii="Arial" w:cs="Arial" w:eastAsia="Arial" w:hAnsi="Arial"/>
                <w:sz w:val="29"/>
                <w:szCs w:val="29"/>
                <w:color w:val="auto"/>
                <w:vertAlign w:val="superscript"/>
              </w:rPr>
              <w:t>(8)(14)(15)</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7.1% Cash, 3 month LIBOR(2.30%) + 4.75%; LIBOR</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Publishing</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11/23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2,944,156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2,967,598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2,964,470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(8)(14)(15)</w:t>
            </w: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 (Second</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Forest Products &amp; Paper</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11.8% Cash, 3 month LIBOR(2.30%) + 9.50%; LIBOR</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11/24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1,560,055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Infobase Holdings, Inc.</w:t>
            </w:r>
            <w:r>
              <w:rPr>
                <w:rFonts w:ascii="Arial" w:cs="Arial" w:eastAsia="Arial" w:hAnsi="Arial"/>
                <w:sz w:val="23"/>
                <w:szCs w:val="23"/>
                <w:color w:val="auto"/>
                <w:vertAlign w:val="superscript"/>
              </w:rPr>
              <w:t>(8)(14)(15)</w:t>
            </w: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6.8% Cash, 3 month LIBOR(2.30%) + 4.50%; LIBOR</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1,987,500</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1,968,551</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1,987,500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12/22</w:t>
            </w:r>
          </w:p>
        </w:tc>
        <w:tc>
          <w:tcPr>
            <w:tcW w:w="14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Ivanti Software, Inc. (fka LANDesk</w:t>
            </w:r>
          </w:p>
        </w:tc>
        <w:tc>
          <w:tcPr>
            <w:tcW w:w="4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Junior Secured Loan — Loan (Second Lien)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16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Group, Inc.)</w:t>
            </w:r>
            <w:r>
              <w:rPr>
                <w:rFonts w:ascii="Arial" w:cs="Arial" w:eastAsia="Arial" w:hAnsi="Arial"/>
                <w:sz w:val="29"/>
                <w:szCs w:val="29"/>
                <w:color w:val="auto"/>
                <w:vertAlign w:val="superscript"/>
              </w:rPr>
              <w:t>(8)(14)</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10.9% Cash, 1 month LIBOR(1.88%) + 9.00%; LIBOR</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1/25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3,228,619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3,228,619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Kellermeyer Bergensons Services,</w:t>
            </w:r>
          </w:p>
        </w:tc>
        <w:tc>
          <w:tcPr>
            <w:tcW w:w="4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8"/>
              </w:rPr>
              <w:t>Senior Secured Loan — Initial Term Loan (First Lien)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16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29"/>
                <w:szCs w:val="29"/>
                <w:color w:val="auto"/>
                <w:vertAlign w:val="subscript"/>
              </w:rPr>
              <w:t>LLC</w:t>
            </w:r>
            <w:r>
              <w:rPr>
                <w:rFonts w:ascii="Arial" w:cs="Arial" w:eastAsia="Arial" w:hAnsi="Arial"/>
                <w:sz w:val="13"/>
                <w:szCs w:val="13"/>
                <w:color w:val="auto"/>
              </w:rPr>
              <w:t>(8)</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7.0% Cash, 3 month LIBOR(1.98%) + 5.00%; LIBOR</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10/21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997,847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997,847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997,847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Key Safety Systems, Inc.</w:t>
            </w:r>
            <w:r>
              <w:rPr>
                <w:rFonts w:ascii="Arial" w:cs="Arial" w:eastAsia="Arial" w:hAnsi="Arial"/>
                <w:sz w:val="23"/>
                <w:szCs w:val="23"/>
                <w:color w:val="auto"/>
                <w:vertAlign w:val="superscript"/>
              </w:rPr>
              <w:t>(8)(15)</w:t>
            </w: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Automotive</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6.3% Cash, 3 Month LIBOR(1.78%) + 4.50%; LIBOR</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2,000,000</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2,007,500</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8/21</w:t>
            </w:r>
          </w:p>
        </w:tc>
        <w:tc>
          <w:tcPr>
            <w:tcW w:w="14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MB Aerospace Holdings II Corp.</w:t>
            </w:r>
            <w:r>
              <w:rPr>
                <w:rFonts w:ascii="Arial" w:cs="Arial" w:eastAsia="Arial" w:hAnsi="Arial"/>
                <w:sz w:val="26"/>
                <w:szCs w:val="26"/>
                <w:color w:val="auto"/>
                <w:vertAlign w:val="superscript"/>
              </w:rPr>
              <w:t>(8)(14)</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Senior Secured Loan — Initial Term Loan (First Lien)</w:t>
            </w: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(15)</w:t>
            </w:r>
          </w:p>
        </w:tc>
        <w:tc>
          <w:tcPr>
            <w:tcW w:w="14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5.4% Cash, 1 month LIBOR(1.88%) + 3.50%; LIBOR</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1/25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1,246,875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1,240,778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1,232,162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Amortized</w:t>
            </w:r>
          </w:p>
        </w:tc>
        <w:tc>
          <w:tcPr>
            <w:tcW w:w="13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w w:val="93"/>
              </w:rPr>
              <w:t>Portfolio Company / Principal Business</w:t>
            </w: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Principal</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Cost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Borders>
              <w:top w:val="single" w:sz="8" w:color="auto"/>
            </w:tcBorders>
            <w:shd w:val="clear" w:color="auto" w:fill="CCEEFF"/>
          </w:tcPr>
          <w:p>
            <w:pPr>
              <w:spacing w:after="0" w:line="222" w:lineRule="exact"/>
              <w:rPr>
                <w:sz w:val="20"/>
                <w:szCs w:val="20"/>
                <w:color w:val="auto"/>
              </w:rPr>
            </w:pPr>
            <w:r>
              <w:rPr>
                <w:rFonts w:ascii="Arial" w:cs="Arial" w:eastAsia="Arial" w:hAnsi="Arial"/>
                <w:sz w:val="16"/>
                <w:szCs w:val="16"/>
                <w:color w:val="auto"/>
              </w:rPr>
              <w:t>National Home Health Care Corp.</w:t>
            </w:r>
            <w:r>
              <w:rPr>
                <w:rFonts w:ascii="Arial" w:cs="Arial" w:eastAsia="Arial" w:hAnsi="Arial"/>
                <w:sz w:val="25"/>
                <w:szCs w:val="25"/>
                <w:color w:val="auto"/>
                <w:vertAlign w:val="superscript"/>
              </w:rPr>
              <w:t>(8)(14)</w:t>
            </w:r>
          </w:p>
        </w:tc>
        <w:tc>
          <w:tcPr>
            <w:tcW w:w="140" w:type="dxa"/>
            <w:vAlign w:val="bottom"/>
            <w:tcBorders>
              <w:top w:val="single" w:sz="8" w:color="CCEEFF"/>
            </w:tcBorders>
            <w:shd w:val="clear" w:color="auto" w:fill="CCEEFF"/>
          </w:tcPr>
          <w:p>
            <w:pPr>
              <w:spacing w:after="0"/>
              <w:rPr>
                <w:sz w:val="19"/>
                <w:szCs w:val="19"/>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Loan — Delayed Draw Term Loan</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(15)</w:t>
            </w:r>
          </w:p>
        </w:tc>
        <w:tc>
          <w:tcPr>
            <w:tcW w:w="14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6.4% Cash, 3 Month LIBOR(1.89%) + 4.50%; LIBOR</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 , Due 12/21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(49,926)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National Home Health Care Corp.</w:t>
            </w:r>
            <w:r>
              <w:rPr>
                <w:rFonts w:ascii="Arial" w:cs="Arial" w:eastAsia="Arial" w:hAnsi="Arial"/>
                <w:sz w:val="26"/>
                <w:szCs w:val="26"/>
                <w:color w:val="auto"/>
                <w:vertAlign w:val="superscript"/>
              </w:rPr>
              <w:t>(8)(14)</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Secured Loan — Term Loan (Second Lien)</w:t>
            </w: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(15)</w:t>
            </w:r>
          </w:p>
        </w:tc>
        <w:tc>
          <w:tcPr>
            <w:tcW w:w="14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10.7% Cash, 1 month LIBOR(1.74%) + 9.00%; LIBOR</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12/22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1,500,728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1,482,987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1,465,761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(8)(14)</w:t>
            </w: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 Lien)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10.4% Cash, 1 month LIBOR(1.88%) + 8.50%; LIBOR</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1,495,995</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1,495,995</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1,495,995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12/19</w:t>
            </w:r>
          </w:p>
        </w:tc>
        <w:tc>
          <w:tcPr>
            <w:tcW w:w="140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rPr>
          <w:sz w:val="20"/>
          <w:szCs w:val="20"/>
          <w:color w:val="auto"/>
        </w:rPr>
      </w:pPr>
      <w:r>
        <w:rPr>
          <w:rFonts w:ascii="Arial" w:cs="Arial" w:eastAsia="Arial" w:hAnsi="Arial"/>
          <w:sz w:val="18"/>
          <w:szCs w:val="18"/>
          <w:color w:val="auto"/>
        </w:rPr>
        <w:t>Playpower, Inc.</w:t>
      </w:r>
      <w:r>
        <w:rPr>
          <w:rFonts w:ascii="Arial" w:cs="Arial" w:eastAsia="Arial" w:hAnsi="Arial"/>
          <w:sz w:val="30"/>
          <w:szCs w:val="30"/>
          <w:color w:val="auto"/>
          <w:vertAlign w:val="superscript"/>
        </w:rPr>
        <w:t>(8)(14)(15)</w:t>
      </w:r>
    </w:p>
    <w:p>
      <w:pPr>
        <w:ind w:left="140"/>
        <w:spacing w:after="0"/>
        <w:rPr>
          <w:sz w:val="20"/>
          <w:szCs w:val="20"/>
          <w:color w:val="auto"/>
        </w:rPr>
      </w:pPr>
      <w:r>
        <w:rPr>
          <w:rFonts w:ascii="Arial" w:cs="Arial" w:eastAsia="Arial" w:hAnsi="Arial"/>
          <w:sz w:val="18"/>
          <w:szCs w:val="18"/>
          <w:color w:val="auto"/>
        </w:rPr>
        <w:t>Construction &amp; Building</w:t>
      </w:r>
    </w:p>
    <w:p>
      <w:pPr>
        <w:spacing w:after="0" w:line="388" w:lineRule="exact"/>
        <w:rPr>
          <w:sz w:val="20"/>
          <w:szCs w:val="20"/>
          <w:color w:val="auto"/>
        </w:rPr>
      </w:pPr>
    </w:p>
    <w:p>
      <w:pPr>
        <w:ind w:left="140" w:hanging="129"/>
        <w:spacing w:after="0" w:line="255" w:lineRule="auto"/>
        <w:rPr>
          <w:sz w:val="20"/>
          <w:szCs w:val="20"/>
          <w:color w:val="auto"/>
        </w:rPr>
      </w:pPr>
      <w:r>
        <w:rPr>
          <w:rFonts w:ascii="Arial" w:cs="Arial" w:eastAsia="Arial" w:hAnsi="Arial"/>
          <w:sz w:val="16"/>
          <w:szCs w:val="16"/>
          <w:color w:val="auto"/>
        </w:rPr>
        <w:t>PSC Industrial Holdings Corp.</w:t>
      </w:r>
      <w:r>
        <w:rPr>
          <w:rFonts w:ascii="Arial" w:cs="Arial" w:eastAsia="Arial" w:hAnsi="Arial"/>
          <w:sz w:val="25"/>
          <w:szCs w:val="25"/>
          <w:color w:val="auto"/>
          <w:vertAlign w:val="superscript"/>
        </w:rPr>
        <w:t>(8)(14)</w:t>
      </w:r>
      <w:r>
        <w:rPr>
          <w:rFonts w:ascii="Arial" w:cs="Arial" w:eastAsia="Arial" w:hAnsi="Arial"/>
          <w:sz w:val="16"/>
          <w:szCs w:val="16"/>
          <w:color w:val="auto"/>
        </w:rPr>
        <w:t xml:space="preserve"> Environmental Industries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Senior Secured Loan — Initial Term Loan (First Lien)</w:t>
            </w: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7.1% Cash, 3 month LIBOR(2.30%) + 4.75%; LIBOR</w:t>
            </w: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Floor 1.00% , Due 6/21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992,347</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1,000,861</w:t>
            </w:r>
          </w:p>
        </w:tc>
        <w:tc>
          <w:tcPr>
            <w:tcW w:w="1080" w:type="dxa"/>
            <w:vAlign w:val="bottom"/>
          </w:tcPr>
          <w:p>
            <w:pPr>
              <w:jc w:val="right"/>
              <w:spacing w:after="0"/>
              <w:rPr>
                <w:sz w:val="20"/>
                <w:szCs w:val="20"/>
                <w:color w:val="auto"/>
              </w:rPr>
            </w:pPr>
            <w:r>
              <w:rPr>
                <w:rFonts w:ascii="Arial" w:cs="Arial" w:eastAsia="Arial" w:hAnsi="Arial"/>
                <w:sz w:val="18"/>
                <w:szCs w:val="18"/>
                <w:color w:val="auto"/>
              </w:rPr>
              <w:t>992,446</w:t>
            </w:r>
          </w:p>
        </w:tc>
      </w:tr>
      <w:tr>
        <w:trPr>
          <w:trHeight w:val="418"/>
        </w:trPr>
        <w:tc>
          <w:tcPr>
            <w:tcW w:w="4320" w:type="dxa"/>
            <w:vAlign w:val="bottom"/>
          </w:tcPr>
          <w:p>
            <w:pPr>
              <w:spacing w:after="0"/>
              <w:rPr>
                <w:sz w:val="20"/>
                <w:szCs w:val="20"/>
                <w:color w:val="auto"/>
              </w:rPr>
            </w:pPr>
            <w:r>
              <w:rPr>
                <w:rFonts w:ascii="Arial" w:cs="Arial" w:eastAsia="Arial" w:hAnsi="Arial"/>
                <w:sz w:val="18"/>
                <w:szCs w:val="18"/>
                <w:color w:val="auto"/>
              </w:rPr>
              <w:t>Junior Secured Loan — Initial Term Loan (Second</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Lien)</w:t>
            </w: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9"/>
              </w:rPr>
              <w:t>10.3% Cash, 1 month LIBOR(1.79%) + 8.50%; LIBOR</w:t>
            </w: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Floor 1.00% , Due 10/25</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3,000,000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2,943,377</w:t>
            </w:r>
          </w:p>
        </w:tc>
        <w:tc>
          <w:tcPr>
            <w:tcW w:w="1080" w:type="dxa"/>
            <w:vAlign w:val="bottom"/>
          </w:tcPr>
          <w:p>
            <w:pPr>
              <w:jc w:val="right"/>
              <w:spacing w:after="0"/>
              <w:rPr>
                <w:sz w:val="20"/>
                <w:szCs w:val="20"/>
                <w:color w:val="auto"/>
              </w:rPr>
            </w:pPr>
            <w:r>
              <w:rPr>
                <w:rFonts w:ascii="Arial" w:cs="Arial" w:eastAsia="Arial" w:hAnsi="Arial"/>
                <w:sz w:val="18"/>
                <w:szCs w:val="18"/>
                <w:color w:val="auto"/>
              </w:rPr>
              <w:t>2,941,800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-1097280</wp:posOffset>
            </wp:positionV>
            <wp:extent cx="72466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-548005</wp:posOffset>
            </wp:positionV>
            <wp:extent cx="7246620"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540"/>
            <w:col w:w="8240"/>
          </w:cols>
          <w:pgMar w:left="240" w:top="931"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Q Holding Company (fka Lexington</w:t>
            </w:r>
          </w:p>
        </w:tc>
        <w:tc>
          <w:tcPr>
            <w:tcW w:w="4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Senior Secured Loan — Term B Loan</w:t>
            </w: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02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Precision Corporation)</w:t>
            </w:r>
            <w:r>
              <w:rPr>
                <w:rFonts w:ascii="Arial" w:cs="Arial" w:eastAsia="Arial" w:hAnsi="Arial"/>
                <w:sz w:val="29"/>
                <w:szCs w:val="29"/>
                <w:color w:val="auto"/>
                <w:vertAlign w:val="superscript"/>
              </w:rPr>
              <w:t>(8)(15)</w:t>
            </w:r>
          </w:p>
        </w:tc>
        <w:tc>
          <w:tcPr>
            <w:tcW w:w="4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6.9% Cash, 1 month LIBOR(1.88%) + 5.00%; LIBOR</w:t>
            </w:r>
          </w:p>
        </w:tc>
        <w:tc>
          <w:tcPr>
            <w:tcW w:w="1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Chemicals, Plastics and Rubber</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Floor 1.00%</w:t>
            </w: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12/21</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1,994,845</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2,024,355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2,024,768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442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Ravn Air Group, Inc.</w:t>
            </w:r>
            <w:r>
              <w:rPr>
                <w:rFonts w:ascii="Arial" w:cs="Arial" w:eastAsia="Arial" w:hAnsi="Arial"/>
                <w:sz w:val="23"/>
                <w:szCs w:val="23"/>
                <w:color w:val="auto"/>
                <w:vertAlign w:val="superscript"/>
              </w:rPr>
              <w:t>(8)(14)(15)</w:t>
            </w:r>
          </w:p>
        </w:tc>
        <w:tc>
          <w:tcPr>
            <w:tcW w:w="44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Senior Secured Loan — Initial Term Loan</w:t>
            </w: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4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6.8% Cash, 3 month LIBOR(2.30%) + 4.50%; LIBOR</w:t>
            </w:r>
          </w:p>
        </w:tc>
        <w:tc>
          <w:tcPr>
            <w:tcW w:w="140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1,972,032</w:t>
            </w:r>
          </w:p>
        </w:tc>
        <w:tc>
          <w:tcPr>
            <w:tcW w:w="138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1,972,032</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1,883,093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Floor 1.00%</w:t>
            </w: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7/21</w:t>
            </w:r>
          </w:p>
        </w:tc>
        <w:tc>
          <w:tcPr>
            <w:tcW w:w="140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442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RESIC Enterprises, LLC (aka Lyons</w:t>
            </w:r>
          </w:p>
        </w:tc>
        <w:tc>
          <w:tcPr>
            <w:tcW w:w="4420" w:type="dxa"/>
            <w:vAlign w:val="bottom"/>
            <w:gridSpan w:val="2"/>
            <w:shd w:val="clear" w:color="auto" w:fill="CCEEFF"/>
          </w:tcPr>
          <w:p>
            <w:pPr>
              <w:ind w:left="140"/>
              <w:spacing w:after="0" w:line="206" w:lineRule="exact"/>
              <w:rPr>
                <w:sz w:val="20"/>
                <w:szCs w:val="20"/>
                <w:color w:val="auto"/>
              </w:rPr>
            </w:pPr>
            <w:r>
              <w:rPr>
                <w:rFonts w:ascii="Arial" w:cs="Arial" w:eastAsia="Arial" w:hAnsi="Arial"/>
                <w:sz w:val="18"/>
                <w:szCs w:val="18"/>
                <w:color w:val="auto"/>
              </w:rPr>
              <w:t>Senior Secured Loan — Initial Term Loan (First Lien)</w:t>
            </w: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020" w:type="dxa"/>
            <w:vAlign w:val="bottom"/>
            <w:shd w:val="clear" w:color="auto" w:fill="CCEEFF"/>
          </w:tcPr>
          <w:p>
            <w:pPr>
              <w:ind w:left="120"/>
              <w:spacing w:after="0" w:line="253" w:lineRule="exact"/>
              <w:rPr>
                <w:sz w:val="20"/>
                <w:szCs w:val="20"/>
                <w:color w:val="auto"/>
              </w:rPr>
            </w:pPr>
            <w:r>
              <w:rPr>
                <w:rFonts w:ascii="Arial" w:cs="Arial" w:eastAsia="Arial" w:hAnsi="Arial"/>
                <w:sz w:val="29"/>
                <w:szCs w:val="29"/>
                <w:color w:val="auto"/>
                <w:vertAlign w:val="subscript"/>
              </w:rPr>
              <w:t>Magnus)</w:t>
            </w:r>
            <w:r>
              <w:rPr>
                <w:rFonts w:ascii="Arial" w:cs="Arial" w:eastAsia="Arial" w:hAnsi="Arial"/>
                <w:sz w:val="13"/>
                <w:szCs w:val="13"/>
                <w:color w:val="auto"/>
              </w:rPr>
              <w:t>(8)(14)(15)</w:t>
            </w:r>
          </w:p>
        </w:tc>
        <w:tc>
          <w:tcPr>
            <w:tcW w:w="4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6.1% Cash, 1 month LIBOR(1.88%) + 4.25%; LIBOR</w:t>
            </w:r>
          </w:p>
        </w:tc>
        <w:tc>
          <w:tcPr>
            <w:tcW w:w="1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Floor 1.00%</w:t>
            </w: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11/24</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2,992,500</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2,978,318</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2,966,465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442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6"/>
              </w:rPr>
              <w:t>Robertshaw US Holding Corp. (fka Fox</w:t>
            </w:r>
          </w:p>
        </w:tc>
        <w:tc>
          <w:tcPr>
            <w:tcW w:w="4420" w:type="dxa"/>
            <w:vAlign w:val="bottom"/>
            <w:gridSpan w:val="2"/>
            <w:shd w:val="clear" w:color="auto" w:fill="CCEEFF"/>
          </w:tcPr>
          <w:p>
            <w:pPr>
              <w:ind w:left="140"/>
              <w:spacing w:after="0" w:line="206" w:lineRule="exact"/>
              <w:rPr>
                <w:sz w:val="20"/>
                <w:szCs w:val="20"/>
                <w:color w:val="auto"/>
              </w:rPr>
            </w:pPr>
            <w:r>
              <w:rPr>
                <w:rFonts w:ascii="Arial" w:cs="Arial" w:eastAsia="Arial" w:hAnsi="Arial"/>
                <w:sz w:val="18"/>
                <w:szCs w:val="18"/>
                <w:color w:val="auto"/>
              </w:rPr>
              <w:t>Junior Secured Loan — Term Loan (Second Lien)</w:t>
            </w: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02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US Bidco Corp.) </w:t>
            </w:r>
            <w:r>
              <w:rPr>
                <w:rFonts w:ascii="Arial" w:cs="Arial" w:eastAsia="Arial" w:hAnsi="Arial"/>
                <w:sz w:val="29"/>
                <w:szCs w:val="29"/>
                <w:color w:val="auto"/>
                <w:vertAlign w:val="superscript"/>
              </w:rPr>
              <w:t>(8)(14)</w:t>
            </w:r>
          </w:p>
        </w:tc>
        <w:tc>
          <w:tcPr>
            <w:tcW w:w="4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9.9% Cash, 1 month LIBOR(1.94%) + 8.00%; LIBOR</w:t>
            </w:r>
          </w:p>
        </w:tc>
        <w:tc>
          <w:tcPr>
            <w:tcW w:w="1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Equipment</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Floor 1.00%</w:t>
            </w: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2/26</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3,000,000</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2,970,268</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type w:val="continuous"/>
        </w:sectPr>
      </w:pPr>
    </w:p>
    <w:p>
      <w:pPr>
        <w:spacing w:after="0" w:line="5" w:lineRule="exact"/>
        <w:rPr>
          <w:sz w:val="20"/>
          <w:szCs w:val="20"/>
          <w:color w:val="auto"/>
        </w:rPr>
      </w:pPr>
    </w:p>
    <w:p>
      <w:pPr>
        <w:ind w:left="140" w:right="140" w:hanging="129"/>
        <w:spacing w:after="0"/>
        <w:rPr>
          <w:sz w:val="20"/>
          <w:szCs w:val="20"/>
          <w:color w:val="auto"/>
        </w:rPr>
      </w:pPr>
      <w:r>
        <w:rPr>
          <w:rFonts w:ascii="Arial" w:cs="Arial" w:eastAsia="Arial" w:hAnsi="Arial"/>
          <w:sz w:val="16"/>
          <w:szCs w:val="16"/>
          <w:color w:val="auto"/>
        </w:rPr>
        <w:t>Roscoe Medical, Inc.</w:t>
      </w:r>
      <w:r>
        <w:rPr>
          <w:rFonts w:ascii="Arial" w:cs="Arial" w:eastAsia="Arial" w:hAnsi="Arial"/>
          <w:sz w:val="26"/>
          <w:szCs w:val="26"/>
          <w:color w:val="auto"/>
          <w:vertAlign w:val="superscript"/>
        </w:rPr>
        <w:t>(8)(14)</w:t>
      </w:r>
      <w:r>
        <w:rPr>
          <w:rFonts w:ascii="Arial" w:cs="Arial" w:eastAsia="Arial" w:hAnsi="Arial"/>
          <w:sz w:val="16"/>
          <w:szCs w:val="16"/>
          <w:color w:val="auto"/>
        </w:rPr>
        <w:t xml:space="preserve"> Healthcare &amp; Pharmaceuticals</w:t>
      </w:r>
    </w:p>
    <w:p>
      <w:pPr>
        <w:spacing w:after="0" w:line="206" w:lineRule="exact"/>
        <w:rPr>
          <w:sz w:val="20"/>
          <w:szCs w:val="20"/>
          <w:color w:val="auto"/>
        </w:rPr>
      </w:pPr>
    </w:p>
    <w:p>
      <w:pPr>
        <w:ind w:left="140" w:right="140" w:hanging="129"/>
        <w:spacing w:after="0" w:line="255" w:lineRule="auto"/>
        <w:rPr>
          <w:sz w:val="20"/>
          <w:szCs w:val="20"/>
          <w:color w:val="auto"/>
        </w:rPr>
      </w:pPr>
      <w:r>
        <w:rPr>
          <w:rFonts w:ascii="Arial" w:cs="Arial" w:eastAsia="Arial" w:hAnsi="Arial"/>
          <w:sz w:val="16"/>
          <w:szCs w:val="16"/>
          <w:color w:val="auto"/>
        </w:rPr>
        <w:t>Roscoe Medical, Inc.</w:t>
      </w:r>
      <w:r>
        <w:rPr>
          <w:rFonts w:ascii="Arial" w:cs="Arial" w:eastAsia="Arial" w:hAnsi="Arial"/>
          <w:sz w:val="25"/>
          <w:szCs w:val="25"/>
          <w:color w:val="auto"/>
          <w:vertAlign w:val="superscript"/>
        </w:rPr>
        <w:t>(8)(14)(15)</w:t>
      </w:r>
      <w:r>
        <w:rPr>
          <w:rFonts w:ascii="Arial" w:cs="Arial" w:eastAsia="Arial" w:hAnsi="Arial"/>
          <w:sz w:val="16"/>
          <w:szCs w:val="16"/>
          <w:color w:val="auto"/>
        </w:rPr>
        <w:t xml:space="preserve"> Healthcare &amp; Pharmaceuticals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Salient CRGT Inc.</w:t>
      </w:r>
      <w:r>
        <w:rPr>
          <w:rFonts w:ascii="Arial" w:cs="Arial" w:eastAsia="Arial" w:hAnsi="Arial"/>
          <w:sz w:val="28"/>
          <w:szCs w:val="28"/>
          <w:color w:val="auto"/>
          <w:vertAlign w:val="superscript"/>
        </w:rPr>
        <w:t>(8)(14)(15)</w:t>
      </w:r>
    </w:p>
    <w:p>
      <w:pPr>
        <w:ind w:left="140"/>
        <w:spacing w:after="0"/>
        <w:rPr>
          <w:sz w:val="20"/>
          <w:szCs w:val="20"/>
          <w:color w:val="auto"/>
        </w:rPr>
      </w:pPr>
      <w:r>
        <w:rPr>
          <w:rFonts w:ascii="Arial" w:cs="Arial" w:eastAsia="Arial" w:hAnsi="Arial"/>
          <w:sz w:val="18"/>
          <w:szCs w:val="18"/>
          <w:color w:val="auto"/>
        </w:rPr>
        <w:t>High Tech Industries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Junior Secured Loan — Term Loan (Second Lien)</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11.25%, Due 9/19</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1,700,000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1,695,407</w:t>
            </w:r>
          </w:p>
        </w:tc>
        <w:tc>
          <w:tcPr>
            <w:tcW w:w="1080" w:type="dxa"/>
            <w:vAlign w:val="bottom"/>
          </w:tcPr>
          <w:p>
            <w:pPr>
              <w:jc w:val="right"/>
              <w:spacing w:after="0"/>
              <w:rPr>
                <w:sz w:val="20"/>
                <w:szCs w:val="20"/>
                <w:color w:val="auto"/>
              </w:rPr>
            </w:pPr>
            <w:r>
              <w:rPr>
                <w:rFonts w:ascii="Arial" w:cs="Arial" w:eastAsia="Arial" w:hAnsi="Arial"/>
                <w:sz w:val="18"/>
                <w:szCs w:val="18"/>
                <w:color w:val="auto"/>
              </w:rPr>
              <w:t>1,613,130</w:t>
            </w:r>
          </w:p>
        </w:tc>
      </w:tr>
      <w:tr>
        <w:trPr>
          <w:trHeight w:val="458"/>
        </w:trPr>
        <w:tc>
          <w:tcPr>
            <w:tcW w:w="4280" w:type="dxa"/>
            <w:vAlign w:val="bottom"/>
          </w:tcPr>
          <w:p>
            <w:pPr>
              <w:spacing w:after="0"/>
              <w:rPr>
                <w:sz w:val="20"/>
                <w:szCs w:val="20"/>
                <w:color w:val="auto"/>
              </w:rPr>
            </w:pPr>
            <w:r>
              <w:rPr>
                <w:rFonts w:ascii="Arial" w:cs="Arial" w:eastAsia="Arial" w:hAnsi="Arial"/>
                <w:sz w:val="18"/>
                <w:szCs w:val="18"/>
                <w:color w:val="auto"/>
              </w:rPr>
              <w:t>Junior Secured Loan — Term Loan (Second Lien)</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+ 11.25%, Due 9/19</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5,000,000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4,986,516</w:t>
            </w:r>
          </w:p>
        </w:tc>
        <w:tc>
          <w:tcPr>
            <w:tcW w:w="1080" w:type="dxa"/>
            <w:vAlign w:val="bottom"/>
          </w:tcPr>
          <w:p>
            <w:pPr>
              <w:jc w:val="right"/>
              <w:spacing w:after="0"/>
              <w:rPr>
                <w:sz w:val="20"/>
                <w:szCs w:val="20"/>
                <w:color w:val="auto"/>
              </w:rPr>
            </w:pPr>
            <w:r>
              <w:rPr>
                <w:rFonts w:ascii="Arial" w:cs="Arial" w:eastAsia="Arial" w:hAnsi="Arial"/>
                <w:sz w:val="18"/>
                <w:szCs w:val="18"/>
                <w:color w:val="auto"/>
              </w:rPr>
              <w:t>4,744,500</w:t>
            </w: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7.6% Cash, 1 month LIBOR(1.88%) + 5.75%; LIBOR</w:t>
            </w: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Floor 1.00% , Due 2/22</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1,919,051</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1,941,872</w:t>
            </w:r>
          </w:p>
        </w:tc>
        <w:tc>
          <w:tcPr>
            <w:tcW w:w="1080" w:type="dxa"/>
            <w:vAlign w:val="bottom"/>
          </w:tcPr>
          <w:p>
            <w:pPr>
              <w:jc w:val="right"/>
              <w:spacing w:after="0"/>
              <w:rPr>
                <w:sz w:val="20"/>
                <w:szCs w:val="20"/>
                <w:color w:val="auto"/>
              </w:rPr>
            </w:pPr>
            <w:r>
              <w:rPr>
                <w:rFonts w:ascii="Arial" w:cs="Arial" w:eastAsia="Arial" w:hAnsi="Arial"/>
                <w:sz w:val="18"/>
                <w:szCs w:val="18"/>
                <w:color w:val="auto"/>
              </w:rPr>
              <w:t>1,943,039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-1285875</wp:posOffset>
            </wp:positionV>
            <wp:extent cx="724662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-848360</wp:posOffset>
            </wp:positionV>
            <wp:extent cx="724662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-410845</wp:posOffset>
            </wp:positionV>
            <wp:extent cx="724662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ectPr>
          <w:pgSz w:w="11900" w:h="16838" w:orient="portrait"/>
          <w:cols w:equalWidth="0" w:num="2">
            <w:col w:w="2460" w:space="720"/>
            <w:col w:w="8240"/>
          </w:cols>
          <w:pgMar w:left="240" w:top="931" w:right="23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Amortized</w:t>
            </w:r>
          </w:p>
        </w:tc>
        <w:tc>
          <w:tcPr>
            <w:tcW w:w="13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w w:val="93"/>
              </w:rPr>
              <w:t>Portfolio Company / Principal Business</w:t>
            </w: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Principal</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SCSG EA Acquisition Company, Inc.</w:t>
            </w:r>
            <w:r>
              <w:rPr>
                <w:rFonts w:ascii="Arial" w:cs="Arial" w:eastAsia="Arial" w:hAnsi="Arial"/>
                <w:sz w:val="22"/>
                <w:szCs w:val="22"/>
                <w:color w:val="auto"/>
                <w:vertAlign w:val="superscript"/>
              </w:rPr>
              <w:t>(8)</w:t>
            </w:r>
          </w:p>
        </w:tc>
        <w:tc>
          <w:tcPr>
            <w:tcW w:w="140" w:type="dxa"/>
            <w:vAlign w:val="bottom"/>
            <w:tcBorders>
              <w:top w:val="single" w:sz="8" w:color="CCEEFF"/>
            </w:tcBorders>
            <w:shd w:val="clear" w:color="auto" w:fill="CCEEFF"/>
          </w:tcPr>
          <w:p>
            <w:pPr>
              <w:spacing w:after="0"/>
              <w:rPr>
                <w:sz w:val="17"/>
                <w:szCs w:val="17"/>
                <w:color w:val="auto"/>
              </w:rPr>
            </w:pPr>
          </w:p>
        </w:tc>
        <w:tc>
          <w:tcPr>
            <w:tcW w:w="4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Junior Secured Loan — Initial Term Loan (Second</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10.5% Cash, 3 month LIBOR(2.20%) + 8.25%; LIBOR</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9/24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990,026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SCSG EA Acquisition Company, Inc.</w:t>
            </w:r>
            <w:r>
              <w:rPr>
                <w:rFonts w:ascii="Arial" w:cs="Arial" w:eastAsia="Arial" w:hAnsi="Arial"/>
                <w:sz w:val="23"/>
                <w:szCs w:val="23"/>
                <w:color w:val="auto"/>
                <w:vertAlign w:val="superscript"/>
              </w:rPr>
              <w:t>(8)</w:t>
            </w:r>
          </w:p>
        </w:tc>
        <w:tc>
          <w:tcPr>
            <w:tcW w:w="4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 (Second</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(15)</w:t>
            </w:r>
          </w:p>
        </w:tc>
        <w:tc>
          <w:tcPr>
            <w:tcW w:w="14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10.5% Cash, 3 month LIBOR(2.20%) + 8.25%; LIBOR</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9/24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4,954,057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Stafford Logistics, Inc.(dba Custom</w:t>
            </w:r>
          </w:p>
        </w:tc>
        <w:tc>
          <w:tcPr>
            <w:tcW w:w="41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Junior Secured Loan — Restructured Term Loan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16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Ecology, Inc.)</w:t>
            </w:r>
            <w:r>
              <w:rPr>
                <w:rFonts w:ascii="Arial" w:cs="Arial" w:eastAsia="Arial" w:hAnsi="Arial"/>
                <w:sz w:val="29"/>
                <w:szCs w:val="29"/>
                <w:color w:val="auto"/>
                <w:vertAlign w:val="superscript"/>
              </w:rPr>
              <w:t>(8)(13)(14)</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1.0% Cash, 7.8% PIK, 3 month LIBOR(2.3%) + 5.5%;</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Environmental Industries</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0.00% , Due 10/22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1,917,777</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1,897,633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Stafford Logistics, Inc.(dba Custom</w:t>
            </w:r>
          </w:p>
        </w:tc>
        <w:tc>
          <w:tcPr>
            <w:tcW w:w="41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Term Loan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16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Ecology, Inc.)</w:t>
            </w:r>
            <w:r>
              <w:rPr>
                <w:rFonts w:ascii="Arial" w:cs="Arial" w:eastAsia="Arial" w:hAnsi="Arial"/>
                <w:sz w:val="29"/>
                <w:szCs w:val="29"/>
                <w:color w:val="auto"/>
                <w:vertAlign w:val="superscript"/>
              </w:rPr>
              <w:t>(8)(14)</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14.3% Cash, 3 month LIBOR(2.30%) + 12.00%;</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Environmental Industries</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0.00% , Due 10/22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339,788</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339,788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Tank Partners Holdings, LLC</w:t>
            </w:r>
            <w:r>
              <w:rPr>
                <w:rFonts w:ascii="Arial" w:cs="Arial" w:eastAsia="Arial" w:hAnsi="Arial"/>
                <w:sz w:val="23"/>
                <w:szCs w:val="23"/>
                <w:color w:val="auto"/>
                <w:vertAlign w:val="superscript"/>
              </w:rPr>
              <w:t>(8)(13)(14)</w:t>
            </w:r>
          </w:p>
        </w:tc>
        <w:tc>
          <w:tcPr>
            <w:tcW w:w="4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Loan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Energy: Oil &amp; Gas</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 Cash, 13.0% PIK, 1 month PRIME(4.50%) +</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13,252,794</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12,747,507</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9,918,391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8.50%; PRIME Floor 3.00% , Due 8/19</w:t>
            </w:r>
          </w:p>
        </w:tc>
        <w:tc>
          <w:tcPr>
            <w:tcW w:w="1400" w:type="dxa"/>
            <w:vAlign w:val="bottom"/>
            <w:gridSpan w:val="2"/>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Tex-Tech Industries, Inc.</w:t>
            </w:r>
            <w:r>
              <w:rPr>
                <w:rFonts w:ascii="Arial" w:cs="Arial" w:eastAsia="Arial" w:hAnsi="Arial"/>
                <w:sz w:val="23"/>
                <w:szCs w:val="23"/>
                <w:color w:val="auto"/>
                <w:vertAlign w:val="superscript"/>
              </w:rPr>
              <w:t>(8)(14)</w:t>
            </w:r>
          </w:p>
        </w:tc>
        <w:tc>
          <w:tcPr>
            <w:tcW w:w="4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 Lien)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Textiles and Leather</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10.9% Cash, 3 month LIBOR(1.88%) + 9.00%; LIBOR</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8,008,000</w:t>
            </w:r>
          </w:p>
        </w:tc>
        <w:tc>
          <w:tcPr>
            <w:tcW w:w="22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7,953,107</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7,947,940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8/24</w:t>
            </w:r>
          </w:p>
        </w:tc>
        <w:tc>
          <w:tcPr>
            <w:tcW w:w="11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Time Manufacturing Acquisition, LLC</w:t>
            </w:r>
            <w:r>
              <w:rPr>
                <w:rFonts w:ascii="Arial" w:cs="Arial" w:eastAsia="Arial" w:hAnsi="Arial"/>
                <w:sz w:val="26"/>
                <w:szCs w:val="26"/>
                <w:color w:val="auto"/>
                <w:vertAlign w:val="superscript"/>
              </w:rPr>
              <w:t>(8)</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(14)(15)</w:t>
            </w:r>
          </w:p>
        </w:tc>
        <w:tc>
          <w:tcPr>
            <w:tcW w:w="14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7.5% Cash, 6 month LIBOR(2.50%) + 5.00%; LIBOR</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Capital Equipment</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2/23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1,989,962</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1,992,513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1,989,763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1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Trimaran Advisors, L.L.C.</w:t>
            </w:r>
            <w:r>
              <w:rPr>
                <w:rFonts w:ascii="Arial" w:cs="Arial" w:eastAsia="Arial" w:hAnsi="Arial"/>
                <w:sz w:val="28"/>
                <w:szCs w:val="28"/>
                <w:color w:val="auto"/>
                <w:vertAlign w:val="superscript"/>
              </w:rPr>
              <w:t>(8)(9)(14)</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Loan — Revolving Credit Facility</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Related Party Loan</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 Cash, Due 11/22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1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Trimaran Advisors, L.L.C.</w:t>
            </w:r>
            <w:r>
              <w:rPr>
                <w:rFonts w:ascii="Arial" w:cs="Arial" w:eastAsia="Arial" w:hAnsi="Arial"/>
                <w:sz w:val="28"/>
                <w:szCs w:val="28"/>
                <w:color w:val="auto"/>
                <w:vertAlign w:val="superscript"/>
              </w:rPr>
              <w:t>(8)(9)(14)</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Loan — Term Loan Series 1</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Related Party Loan</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 Cash, Due 4/30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8,359,051</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8,359,051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8,359,051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1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Trimaran Advisors, L.L.C.</w:t>
            </w:r>
            <w:r>
              <w:rPr>
                <w:rFonts w:ascii="Arial" w:cs="Arial" w:eastAsia="Arial" w:hAnsi="Arial"/>
                <w:sz w:val="28"/>
                <w:szCs w:val="28"/>
                <w:color w:val="auto"/>
                <w:vertAlign w:val="superscript"/>
              </w:rPr>
              <w:t>(8)(9)(14)</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Loan — Term Loan Series 2</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Related Party Loan</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 Cash, Due 1/28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4,418,232</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4,418,232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TronAir Parent Inc.</w:t>
            </w:r>
            <w:r>
              <w:rPr>
                <w:rFonts w:ascii="Arial" w:cs="Arial" w:eastAsia="Arial" w:hAnsi="Arial"/>
                <w:sz w:val="23"/>
                <w:szCs w:val="23"/>
                <w:color w:val="auto"/>
                <w:vertAlign w:val="superscript"/>
              </w:rPr>
              <w:t>(8)(14)(15)</w:t>
            </w:r>
          </w:p>
        </w:tc>
        <w:tc>
          <w:tcPr>
            <w:tcW w:w="4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Senior Secured Loan — Initial Term Loan (First Lien)</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6.6% Cash, 3 month LIBOR(1.81%) + 4.75%; LIBOR</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994,949</w:t>
            </w:r>
          </w:p>
        </w:tc>
        <w:tc>
          <w:tcPr>
            <w:tcW w:w="22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992,568</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994,850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9/23</w:t>
            </w:r>
          </w:p>
        </w:tc>
        <w:tc>
          <w:tcPr>
            <w:tcW w:w="11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rPr>
          <w:sz w:val="20"/>
          <w:szCs w:val="20"/>
          <w:color w:val="auto"/>
        </w:rPr>
      </w:pPr>
      <w:r>
        <w:rPr>
          <w:rFonts w:ascii="Arial" w:cs="Arial" w:eastAsia="Arial" w:hAnsi="Arial"/>
          <w:sz w:val="18"/>
          <w:szCs w:val="18"/>
          <w:color w:val="auto"/>
        </w:rPr>
        <w:t>TRSO I, Inc.</w:t>
      </w:r>
      <w:r>
        <w:rPr>
          <w:rFonts w:ascii="Arial" w:cs="Arial" w:eastAsia="Arial" w:hAnsi="Arial"/>
          <w:sz w:val="30"/>
          <w:szCs w:val="30"/>
          <w:color w:val="auto"/>
          <w:vertAlign w:val="superscript"/>
        </w:rPr>
        <w:t>(8)(14)</w:t>
      </w:r>
    </w:p>
    <w:p>
      <w:pPr>
        <w:ind w:left="140"/>
        <w:spacing w:after="0"/>
        <w:rPr>
          <w:sz w:val="20"/>
          <w:szCs w:val="20"/>
          <w:color w:val="auto"/>
        </w:rPr>
      </w:pPr>
      <w:r>
        <w:rPr>
          <w:rFonts w:ascii="Arial" w:cs="Arial" w:eastAsia="Arial" w:hAnsi="Arial"/>
          <w:sz w:val="18"/>
          <w:szCs w:val="18"/>
          <w:color w:val="auto"/>
        </w:rPr>
        <w:t>Energy: Oil &amp; Gas</w:t>
      </w:r>
    </w:p>
    <w:p>
      <w:pPr>
        <w:spacing w:after="0" w:line="388" w:lineRule="exact"/>
        <w:rPr>
          <w:sz w:val="20"/>
          <w:szCs w:val="20"/>
          <w:color w:val="auto"/>
        </w:rPr>
      </w:pPr>
    </w:p>
    <w:p>
      <w:pPr>
        <w:ind w:left="140" w:hanging="129"/>
        <w:spacing w:after="0" w:line="288" w:lineRule="auto"/>
        <w:rPr>
          <w:sz w:val="20"/>
          <w:szCs w:val="20"/>
          <w:color w:val="auto"/>
        </w:rPr>
      </w:pPr>
      <w:r>
        <w:rPr>
          <w:rFonts w:ascii="Arial" w:cs="Arial" w:eastAsia="Arial" w:hAnsi="Arial"/>
          <w:sz w:val="15"/>
          <w:szCs w:val="15"/>
          <w:color w:val="auto"/>
        </w:rPr>
        <w:t>Verdesian Life Sciences, LLC</w:t>
      </w:r>
      <w:r>
        <w:rPr>
          <w:rFonts w:ascii="Arial" w:cs="Arial" w:eastAsia="Arial" w:hAnsi="Arial"/>
          <w:sz w:val="24"/>
          <w:szCs w:val="24"/>
          <w:color w:val="auto"/>
          <w:vertAlign w:val="superscript"/>
        </w:rPr>
        <w:t>(8)(14)(15)</w:t>
      </w:r>
      <w:r>
        <w:rPr>
          <w:rFonts w:ascii="Arial" w:cs="Arial" w:eastAsia="Arial" w:hAnsi="Arial"/>
          <w:sz w:val="15"/>
          <w:szCs w:val="15"/>
          <w:color w:val="auto"/>
        </w:rPr>
        <w:t xml:space="preserve"> Environmental Industries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Junior Secured Loan — Term Loan (Second Lien)</w:t>
            </w: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14.0% Cash, 3 month LIBOR(1.00%) + 13.00%;</w:t>
            </w: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LIBOR Floor 1.00% , Due 12/19</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1,000,000</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995,055</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418"/>
        </w:trPr>
        <w:tc>
          <w:tcPr>
            <w:tcW w:w="426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6.8% Cash, 3 month LIBOR(1.77%) + 5.00%; LIBOR</w:t>
            </w: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Floor 1.00% , Due 7/20</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362,923</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345,739</w:t>
            </w:r>
          </w:p>
        </w:tc>
        <w:tc>
          <w:tcPr>
            <w:tcW w:w="1080" w:type="dxa"/>
            <w:vAlign w:val="bottom"/>
          </w:tcPr>
          <w:p>
            <w:pPr>
              <w:jc w:val="right"/>
              <w:spacing w:after="0"/>
              <w:rPr>
                <w:sz w:val="20"/>
                <w:szCs w:val="20"/>
                <w:color w:val="auto"/>
              </w:rPr>
            </w:pPr>
            <w:r>
              <w:rPr>
                <w:rFonts w:ascii="Arial" w:cs="Arial" w:eastAsia="Arial" w:hAnsi="Arial"/>
                <w:sz w:val="18"/>
                <w:szCs w:val="18"/>
                <w:color w:val="auto"/>
              </w:rPr>
              <w:t>350,211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-960120</wp:posOffset>
            </wp:positionV>
            <wp:extent cx="72466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-410845</wp:posOffset>
            </wp:positionV>
            <wp:extent cx="72466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ectPr>
          <w:pgSz w:w="11900" w:h="16838" w:orient="portrait"/>
          <w:cols w:equalWidth="0" w:num="2">
            <w:col w:w="2840" w:space="340"/>
            <w:col w:w="8240"/>
          </w:cols>
          <w:pgMar w:left="240" w:top="931" w:right="2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89"/>
              </w:rPr>
              <w:t>Portfolio Company / Principal Business</w:t>
            </w:r>
          </w:p>
        </w:tc>
        <w:tc>
          <w:tcPr>
            <w:tcW w:w="14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Weiman Products, LLC</w:t>
            </w:r>
            <w:r>
              <w:rPr>
                <w:rFonts w:ascii="Arial" w:cs="Arial" w:eastAsia="Arial" w:hAnsi="Arial"/>
                <w:sz w:val="22"/>
                <w:szCs w:val="22"/>
                <w:color w:val="auto"/>
                <w:vertAlign w:val="superscript"/>
              </w:rPr>
              <w:t>(8)(14)(15)</w:t>
            </w:r>
          </w:p>
        </w:tc>
        <w:tc>
          <w:tcPr>
            <w:tcW w:w="140" w:type="dxa"/>
            <w:vAlign w:val="bottom"/>
            <w:tcBorders>
              <w:top w:val="single" w:sz="8" w:color="CCEEFF"/>
            </w:tcBorders>
            <w:shd w:val="clear" w:color="auto" w:fill="CCEEFF"/>
          </w:tcPr>
          <w:p>
            <w:pPr>
              <w:spacing w:after="0"/>
              <w:rPr>
                <w:sz w:val="17"/>
                <w:szCs w:val="17"/>
                <w:color w:val="auto"/>
              </w:rPr>
            </w:pPr>
          </w:p>
        </w:tc>
        <w:tc>
          <w:tcPr>
            <w:tcW w:w="3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Term Loan (2013)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goods: Non-durable</w:t>
            </w:r>
          </w:p>
        </w:tc>
        <w:tc>
          <w:tcPr>
            <w:tcW w:w="140" w:type="dxa"/>
            <w:vAlign w:val="bottom"/>
            <w:shd w:val="clear" w:color="auto" w:fill="CCEEFF"/>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6.8% Cash, 3 month LIBOR(2.30%) + 4.50%;</w:t>
            </w: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642,071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639,105</w:t>
            </w:r>
          </w:p>
        </w:tc>
        <w:tc>
          <w:tcPr>
            <w:tcW w:w="13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642,071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LIBOR Floor 1.00% , Due 11/21</w:t>
            </w:r>
          </w:p>
        </w:tc>
        <w:tc>
          <w:tcPr>
            <w:tcW w:w="11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34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WireCo WorldGroup Inc. </w:t>
            </w:r>
            <w:r>
              <w:rPr>
                <w:rFonts w:ascii="Arial" w:cs="Arial" w:eastAsia="Arial" w:hAnsi="Arial"/>
                <w:sz w:val="23"/>
                <w:szCs w:val="23"/>
                <w:color w:val="auto"/>
                <w:vertAlign w:val="superscript"/>
              </w:rPr>
              <w:t>(8)(14)</w:t>
            </w:r>
          </w:p>
        </w:tc>
        <w:tc>
          <w:tcPr>
            <w:tcW w:w="14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 (Second</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Equipment</w:t>
            </w:r>
          </w:p>
        </w:tc>
        <w:tc>
          <w:tcPr>
            <w:tcW w:w="140" w:type="dxa"/>
            <w:vAlign w:val="bottom"/>
            <w:shd w:val="clear" w:color="auto" w:fill="CCEEFF"/>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Lien)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11.0% Cash, 3 month LIBOR(1.98%) + 9.00%;</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LIBOR Floor 1.00% , Due 9/24</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2,963,377</w:t>
            </w:r>
          </w:p>
        </w:tc>
        <w:tc>
          <w:tcPr>
            <w:tcW w:w="2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3,008,400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Zest Acquisition Corp.</w:t>
            </w:r>
            <w:r>
              <w:rPr>
                <w:rFonts w:ascii="Arial" w:cs="Arial" w:eastAsia="Arial" w:hAnsi="Arial"/>
                <w:sz w:val="23"/>
                <w:szCs w:val="23"/>
                <w:color w:val="auto"/>
                <w:vertAlign w:val="superscript"/>
              </w:rPr>
              <w:t>(8)</w:t>
            </w:r>
          </w:p>
        </w:tc>
        <w:tc>
          <w:tcPr>
            <w:tcW w:w="14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 (Second</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140" w:type="dxa"/>
            <w:vAlign w:val="bottom"/>
            <w:shd w:val="clear" w:color="auto" w:fill="CCEEFF"/>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Lien)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9.6% Cash, 3 month LIBOR(2.11%) + 7.50%;</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LIBOR Floor 1.00% , Due 3/26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3,477,594</w:t>
            </w:r>
          </w:p>
        </w:tc>
        <w:tc>
          <w:tcPr>
            <w:tcW w:w="22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3,543,750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Total Investment in Debt Securities</w:t>
            </w:r>
          </w:p>
        </w:tc>
        <w:tc>
          <w:tcPr>
            <w:tcW w:w="1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1"/>
              </w:rPr>
              <w:t>(92% of net asset value at fair value)</w:t>
            </w:r>
          </w:p>
        </w:tc>
        <w:tc>
          <w:tcPr>
            <w:tcW w:w="4160" w:type="dxa"/>
            <w:vAlign w:val="bottom"/>
            <w:gridSpan w:val="3"/>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174,642,978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173,540,632</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   166,115,758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Percentage</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20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4"/>
              </w:rPr>
              <w:t>Ownership/Shares</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Advanced Lighting Technologies, Inc,</w:t>
            </w:r>
            <w:r>
              <w:rPr>
                <w:rFonts w:ascii="Arial" w:cs="Arial" w:eastAsia="Arial" w:hAnsi="Arial"/>
                <w:sz w:val="27"/>
                <w:szCs w:val="27"/>
                <w:color w:val="auto"/>
                <w:vertAlign w:val="superscript"/>
              </w:rPr>
              <w:t>(8)(14)</w:t>
            </w: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goods: Durable</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0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1.90%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Advanced Lighting Technologies, Inc.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goods: Durable</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5"/>
              </w:rPr>
              <w:t>Membership Interests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181,999</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9"/>
              </w:rPr>
              <w:t>Partnership Interests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Interests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250,961</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1,079,617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Equipment</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610,745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New Millennium Holdco, Inc. (Millennium Health, LLC)</w:t>
            </w:r>
            <w:r>
              <w:rPr>
                <w:rFonts w:ascii="Arial" w:cs="Arial" w:eastAsia="Arial" w:hAnsi="Arial"/>
                <w:sz w:val="28"/>
                <w:szCs w:val="28"/>
                <w:color w:val="auto"/>
                <w:vertAlign w:val="superscript"/>
              </w:rPr>
              <w:t>(3)(14)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1,953,299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Hotel, Gaming &amp; Leisure</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Stafford Logistics, Inc.(dba Custom Ecology, Inc.)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Stafford Logistics, Inc.(dba Custom Ecology, Inc.)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Class B Equity</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(8)(10)(14)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Unit</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10.68%</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980,000</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185,205</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1,680,161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1,289,562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0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1"/>
              </w:rPr>
              <w:t>Caribe Media Inc. (fka Caribe Information Investments Incorporated)</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(8)(14)</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Media: Advertising, Printing &amp; Publishing</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780" w:type="dxa"/>
            <w:vAlign w:val="bottom"/>
            <w:gridSpan w:val="3"/>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359,765</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344,393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Equity Securities</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 of net asset value at fair value)</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10,571,007</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4,478,280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CLO Subordinated Investments</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4"/>
              </w:rPr>
              <w:t>Investment</w:t>
            </w:r>
            <w:r>
              <w:rPr>
                <w:rFonts w:ascii="Arial" w:cs="Arial" w:eastAsia="Arial" w:hAnsi="Arial"/>
                <w:sz w:val="30"/>
                <w:szCs w:val="30"/>
                <w:b w:val="1"/>
                <w:bCs w:val="1"/>
                <w:color w:val="auto"/>
                <w:w w:val="84"/>
                <w:vertAlign w:val="superscript"/>
              </w:rPr>
              <w:t>(11)</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ind w:left="960"/>
              <w:spacing w:after="0"/>
              <w:rPr>
                <w:sz w:val="20"/>
                <w:szCs w:val="20"/>
                <w:color w:val="auto"/>
              </w:rPr>
            </w:pPr>
            <w:r>
              <w:rPr>
                <w:rFonts w:ascii="Arial" w:cs="Arial" w:eastAsia="Arial" w:hAnsi="Arial"/>
                <w:sz w:val="18"/>
                <w:szCs w:val="18"/>
                <w:b w:val="1"/>
                <w:bCs w:val="1"/>
                <w:color w:val="auto"/>
              </w:rPr>
              <w:t>Portfolio Company</w:t>
            </w:r>
          </w:p>
        </w:tc>
        <w:tc>
          <w:tcPr>
            <w:tcW w:w="100" w:type="dxa"/>
            <w:vAlign w:val="bottom"/>
          </w:tcPr>
          <w:p>
            <w:pPr>
              <w:spacing w:after="0"/>
              <w:rPr>
                <w:sz w:val="20"/>
                <w:szCs w:val="20"/>
                <w:color w:val="auto"/>
              </w:rPr>
            </w:pPr>
          </w:p>
        </w:tc>
        <w:tc>
          <w:tcPr>
            <w:tcW w:w="3520" w:type="dxa"/>
            <w:vAlign w:val="bottom"/>
            <w:gridSpan w:val="2"/>
            <w:vMerge w:val="continue"/>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Grant Grove CLO, Ltd.</w:t>
            </w:r>
            <w:r>
              <w:rPr>
                <w:rFonts w:ascii="Arial" w:cs="Arial" w:eastAsia="Arial" w:hAnsi="Arial"/>
                <w:sz w:val="30"/>
                <w:szCs w:val="30"/>
                <w:color w:val="auto"/>
                <w:vertAlign w:val="superscript"/>
              </w:rPr>
              <w:t>(3)(12)(14)</w:t>
            </w:r>
          </w:p>
        </w:tc>
        <w:tc>
          <w:tcPr>
            <w:tcW w:w="100" w:type="dxa"/>
            <w:vAlign w:val="bottom"/>
            <w:tcBorders>
              <w:top w:val="single" w:sz="8" w:color="CCEEFF"/>
            </w:tcBorders>
            <w:shd w:val="clear" w:color="auto" w:fill="CCEEFF"/>
          </w:tcPr>
          <w:p>
            <w:pPr>
              <w:spacing w:after="0"/>
              <w:rPr>
                <w:sz w:val="19"/>
                <w:szCs w:val="19"/>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Subordinated Securities, effective interest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00" w:type="dxa"/>
            <w:vAlign w:val="bottom"/>
            <w:vMerge w:val="continue"/>
            <w:shd w:val="clear" w:color="auto" w:fill="CCEEFF"/>
          </w:tcPr>
          <w:p>
            <w:pPr>
              <w:spacing w:after="0"/>
              <w:rPr>
                <w:sz w:val="21"/>
                <w:szCs w:val="21"/>
                <w:color w:val="auto"/>
              </w:rPr>
            </w:pP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N/M, 1/21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2,485,886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Katonah III, Ltd.</w:t>
            </w:r>
            <w:r>
              <w:rPr>
                <w:rFonts w:ascii="Arial" w:cs="Arial" w:eastAsia="Arial" w:hAnsi="Arial"/>
                <w:sz w:val="30"/>
                <w:szCs w:val="30"/>
                <w:color w:val="auto"/>
                <w:vertAlign w:val="superscript"/>
              </w:rPr>
              <w:t>(3)(12)(14)</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20" w:type="dxa"/>
            <w:vAlign w:val="bottom"/>
            <w:gridSpan w:val="2"/>
            <w:vMerge w:val="continue"/>
          </w:tcPr>
          <w:p>
            <w:pPr>
              <w:spacing w:after="0"/>
              <w:rPr>
                <w:sz w:val="21"/>
                <w:szCs w:val="21"/>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N/M, 5/15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369,280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Katonah 2007-I CLO Ltd.</w:t>
            </w:r>
            <w:r>
              <w:rPr>
                <w:rFonts w:ascii="Arial" w:cs="Arial" w:eastAsia="Arial" w:hAnsi="Arial"/>
                <w:sz w:val="30"/>
                <w:szCs w:val="30"/>
                <w:color w:val="auto"/>
                <w:vertAlign w:val="superscript"/>
              </w:rPr>
              <w:t>(3)(6)(12)(14)</w:t>
            </w: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00" w:type="dxa"/>
            <w:vAlign w:val="bottom"/>
            <w:vMerge w:val="continue"/>
            <w:shd w:val="clear" w:color="auto" w:fill="CCEEFF"/>
          </w:tcPr>
          <w:p>
            <w:pPr>
              <w:spacing w:after="0"/>
              <w:rPr>
                <w:sz w:val="21"/>
                <w:szCs w:val="21"/>
                <w:color w:val="auto"/>
              </w:rPr>
            </w:pP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5.3%, 4/22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10,309,141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Trimaran CLO VII, Ltd.</w:t>
            </w:r>
            <w:r>
              <w:rPr>
                <w:rFonts w:ascii="Arial" w:cs="Arial" w:eastAsia="Arial" w:hAnsi="Arial"/>
                <w:sz w:val="30"/>
                <w:szCs w:val="30"/>
                <w:color w:val="auto"/>
                <w:vertAlign w:val="superscript"/>
              </w:rPr>
              <w:t>(3)(6)(12)(13)(14)</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20" w:type="dxa"/>
            <w:vAlign w:val="bottom"/>
            <w:gridSpan w:val="2"/>
            <w:vMerge w:val="continue"/>
          </w:tcPr>
          <w:p>
            <w:pPr>
              <w:spacing w:after="0"/>
              <w:rPr>
                <w:sz w:val="21"/>
                <w:szCs w:val="21"/>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N/M, 6/21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379,830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7"/>
              </w:rPr>
              <w:t>Catamaran CLO 2012-1 Ltd.</w:t>
            </w:r>
            <w:r>
              <w:rPr>
                <w:rFonts w:ascii="Arial" w:cs="Arial" w:eastAsia="Arial" w:hAnsi="Arial"/>
                <w:sz w:val="30"/>
                <w:szCs w:val="30"/>
                <w:color w:val="auto"/>
                <w:w w:val="97"/>
                <w:vertAlign w:val="superscript"/>
              </w:rPr>
              <w:t>(3)(6)(12)(14)</w:t>
            </w: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00" w:type="dxa"/>
            <w:vAlign w:val="bottom"/>
            <w:vMerge w:val="continue"/>
            <w:shd w:val="clear" w:color="auto" w:fill="CCEEFF"/>
          </w:tcPr>
          <w:p>
            <w:pPr>
              <w:spacing w:after="0"/>
              <w:rPr>
                <w:sz w:val="21"/>
                <w:szCs w:val="21"/>
                <w:color w:val="auto"/>
              </w:rPr>
            </w:pP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9.6%, 12/23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4,707,631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1,273,674</w:t>
            </w:r>
          </w:p>
        </w:tc>
        <w:tc>
          <w:tcPr>
            <w:tcW w:w="0" w:type="dxa"/>
            <w:vAlign w:val="bottom"/>
          </w:tcPr>
          <w:p>
            <w:pPr>
              <w:spacing w:after="0"/>
              <w:rPr>
                <w:sz w:val="1"/>
                <w:szCs w:val="1"/>
                <w:color w:val="auto"/>
              </w:rPr>
            </w:pPr>
          </w:p>
        </w:tc>
      </w:tr>
      <w:tr>
        <w:trPr>
          <w:trHeight w:val="23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Catamaran CLO 2013- 1 Ltd.</w:t>
            </w:r>
            <w:r>
              <w:rPr>
                <w:rFonts w:ascii="Arial" w:cs="Arial" w:eastAsia="Arial" w:hAnsi="Arial"/>
                <w:sz w:val="30"/>
                <w:szCs w:val="30"/>
                <w:color w:val="auto"/>
                <w:vertAlign w:val="superscript"/>
              </w:rPr>
              <w:t>(3)(6)(14)</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20" w:type="dxa"/>
            <w:vAlign w:val="bottom"/>
            <w:gridSpan w:val="2"/>
            <w:vMerge w:val="continue"/>
          </w:tcPr>
          <w:p>
            <w:pPr>
              <w:spacing w:after="0"/>
              <w:rPr>
                <w:sz w:val="21"/>
                <w:szCs w:val="21"/>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31.2%, 1/28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5,408,941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6,531,546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Catamaran CLO 2014-1 Ltd.</w:t>
            </w:r>
            <w:r>
              <w:rPr>
                <w:rFonts w:ascii="Arial" w:cs="Arial" w:eastAsia="Arial" w:hAnsi="Arial"/>
                <w:sz w:val="30"/>
                <w:szCs w:val="30"/>
                <w:color w:val="auto"/>
                <w:vertAlign w:val="superscript"/>
              </w:rPr>
              <w:t>(3)(6)(14)</w:t>
            </w: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00" w:type="dxa"/>
            <w:vAlign w:val="bottom"/>
            <w:vMerge w:val="continue"/>
            <w:shd w:val="clear" w:color="auto" w:fill="CCEEFF"/>
          </w:tcPr>
          <w:p>
            <w:pPr>
              <w:spacing w:after="0"/>
              <w:rPr>
                <w:sz w:val="21"/>
                <w:szCs w:val="21"/>
                <w:color w:val="auto"/>
              </w:rPr>
            </w:pP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14.1%, 4/30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9,894,371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9,603,228</w:t>
            </w:r>
          </w:p>
        </w:tc>
        <w:tc>
          <w:tcPr>
            <w:tcW w:w="0" w:type="dxa"/>
            <w:vAlign w:val="bottom"/>
          </w:tcPr>
          <w:p>
            <w:pPr>
              <w:spacing w:after="0"/>
              <w:rPr>
                <w:sz w:val="1"/>
                <w:szCs w:val="1"/>
                <w:color w:val="auto"/>
              </w:rPr>
            </w:pPr>
          </w:p>
        </w:tc>
      </w:tr>
      <w:tr>
        <w:trPr>
          <w:trHeight w:val="23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Dryden 30 Senior Loan Fund</w:t>
            </w:r>
            <w:r>
              <w:rPr>
                <w:rFonts w:ascii="Arial" w:cs="Arial" w:eastAsia="Arial" w:hAnsi="Arial"/>
                <w:sz w:val="30"/>
                <w:szCs w:val="30"/>
                <w:color w:val="auto"/>
                <w:vertAlign w:val="superscript"/>
              </w:rPr>
              <w:t>(3)(14)</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20" w:type="dxa"/>
            <w:vAlign w:val="bottom"/>
            <w:gridSpan w:val="2"/>
            <w:vMerge w:val="continue"/>
          </w:tcPr>
          <w:p>
            <w:pPr>
              <w:spacing w:after="0"/>
              <w:rPr>
                <w:sz w:val="21"/>
                <w:szCs w:val="21"/>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29.4%, 12/29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1,372,988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2,188,491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Catamaran CLO 2014-2 Ltd.</w:t>
            </w:r>
            <w:r>
              <w:rPr>
                <w:rFonts w:ascii="Arial" w:cs="Arial" w:eastAsia="Arial" w:hAnsi="Arial"/>
                <w:sz w:val="30"/>
                <w:szCs w:val="30"/>
                <w:color w:val="auto"/>
                <w:vertAlign w:val="superscript"/>
              </w:rPr>
              <w:t>(3)(6)(14)</w:t>
            </w: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00" w:type="dxa"/>
            <w:vAlign w:val="bottom"/>
            <w:vMerge w:val="continue"/>
            <w:shd w:val="clear" w:color="auto" w:fill="CCEEFF"/>
          </w:tcPr>
          <w:p>
            <w:pPr>
              <w:spacing w:after="0"/>
              <w:rPr>
                <w:sz w:val="21"/>
                <w:szCs w:val="21"/>
                <w:color w:val="auto"/>
              </w:rPr>
            </w:pP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11.3%, 11/25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6,580,474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4,130,745</w:t>
            </w:r>
          </w:p>
        </w:tc>
        <w:tc>
          <w:tcPr>
            <w:tcW w:w="0" w:type="dxa"/>
            <w:vAlign w:val="bottom"/>
          </w:tcPr>
          <w:p>
            <w:pPr>
              <w:spacing w:after="0"/>
              <w:rPr>
                <w:sz w:val="1"/>
                <w:szCs w:val="1"/>
                <w:color w:val="auto"/>
              </w:rPr>
            </w:pPr>
          </w:p>
        </w:tc>
      </w:tr>
      <w:tr>
        <w:trPr>
          <w:trHeight w:val="23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Catamaran CLO 2015-1 Ltd.</w:t>
            </w:r>
            <w:r>
              <w:rPr>
                <w:rFonts w:ascii="Arial" w:cs="Arial" w:eastAsia="Arial" w:hAnsi="Arial"/>
                <w:sz w:val="30"/>
                <w:szCs w:val="30"/>
                <w:color w:val="auto"/>
                <w:vertAlign w:val="superscript"/>
              </w:rPr>
              <w:t>(3)(6)(14)</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20" w:type="dxa"/>
            <w:vAlign w:val="bottom"/>
            <w:gridSpan w:val="2"/>
            <w:vMerge w:val="continue"/>
          </w:tcPr>
          <w:p>
            <w:pPr>
              <w:spacing w:after="0"/>
              <w:rPr>
                <w:sz w:val="21"/>
                <w:szCs w:val="21"/>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11.8%, 10/26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4,499,935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3,565,406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Catamaran CLO 2016-1 Ltd.</w:t>
            </w:r>
            <w:r>
              <w:rPr>
                <w:rFonts w:ascii="Arial" w:cs="Arial" w:eastAsia="Arial" w:hAnsi="Arial"/>
                <w:sz w:val="30"/>
                <w:szCs w:val="30"/>
                <w:color w:val="auto"/>
                <w:vertAlign w:val="superscript"/>
              </w:rPr>
              <w:t>(3)(6)(14)</w:t>
            </w: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00" w:type="dxa"/>
            <w:vAlign w:val="bottom"/>
            <w:vMerge w:val="continue"/>
            <w:shd w:val="clear" w:color="auto" w:fill="CCEEFF"/>
          </w:tcPr>
          <w:p>
            <w:pPr>
              <w:spacing w:after="0"/>
              <w:rPr>
                <w:sz w:val="22"/>
                <w:szCs w:val="22"/>
                <w:color w:val="auto"/>
              </w:rPr>
            </w:pP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9.7%, 4/27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9,996,031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8,108,071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Subordinated Securities</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56,922,383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36,081,440</w:t>
            </w:r>
          </w:p>
        </w:tc>
        <w:tc>
          <w:tcPr>
            <w:tcW w:w="0" w:type="dxa"/>
            <w:vAlign w:val="bottom"/>
          </w:tcPr>
          <w:p>
            <w:pPr>
              <w:spacing w:after="0"/>
              <w:rPr>
                <w:sz w:val="1"/>
                <w:szCs w:val="1"/>
                <w:color w:val="auto"/>
              </w:rPr>
            </w:pPr>
          </w:p>
        </w:tc>
      </w:tr>
      <w:tr>
        <w:trPr>
          <w:trHeight w:val="426"/>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ind w:left="960"/>
              <w:spacing w:after="0"/>
              <w:rPr>
                <w:sz w:val="20"/>
                <w:szCs w:val="20"/>
                <w:color w:val="auto"/>
              </w:rPr>
            </w:pPr>
            <w:r>
              <w:rPr>
                <w:rFonts w:ascii="Arial" w:cs="Arial" w:eastAsia="Arial" w:hAnsi="Arial"/>
                <w:sz w:val="18"/>
                <w:szCs w:val="18"/>
                <w:b w:val="1"/>
                <w:bCs w:val="1"/>
                <w:color w:val="auto"/>
              </w:rPr>
              <w:t>Portfolio Company</w:t>
            </w:r>
          </w:p>
        </w:tc>
        <w:tc>
          <w:tcPr>
            <w:tcW w:w="100" w:type="dxa"/>
            <w:vAlign w:val="bottom"/>
          </w:tcPr>
          <w:p>
            <w:pPr>
              <w:spacing w:after="0"/>
              <w:rPr>
                <w:sz w:val="20"/>
                <w:szCs w:val="20"/>
                <w:color w:val="auto"/>
              </w:rPr>
            </w:pPr>
          </w:p>
        </w:tc>
        <w:tc>
          <w:tcPr>
            <w:tcW w:w="3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Investment</w:t>
            </w:r>
          </w:p>
        </w:tc>
        <w:tc>
          <w:tcPr>
            <w:tcW w:w="14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KCAP F3C Senior Funding LLC</w:t>
            </w:r>
            <w:r>
              <w:rPr>
                <w:rFonts w:ascii="Arial" w:cs="Arial" w:eastAsia="Arial" w:hAnsi="Arial"/>
                <w:sz w:val="30"/>
                <w:szCs w:val="30"/>
                <w:color w:val="auto"/>
                <w:vertAlign w:val="superscript"/>
              </w:rPr>
              <w:t>(3)(6)(14)</w:t>
            </w:r>
          </w:p>
        </w:tc>
        <w:tc>
          <w:tcPr>
            <w:tcW w:w="100" w:type="dxa"/>
            <w:vAlign w:val="bottom"/>
            <w:tcBorders>
              <w:top w:val="single" w:sz="8" w:color="CCEEFF"/>
            </w:tcBorders>
            <w:shd w:val="clear" w:color="auto" w:fill="CCEEFF"/>
          </w:tcPr>
          <w:p>
            <w:pPr>
              <w:spacing w:after="0"/>
              <w:rPr>
                <w:sz w:val="19"/>
                <w:szCs w:val="19"/>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Class E Notes, 8.9% Cash, 3 month LIBOR</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00" w:type="dxa"/>
            <w:vAlign w:val="bottom"/>
            <w:vMerge w:val="continue"/>
            <w:shd w:val="clear" w:color="auto" w:fill="CCEEFF"/>
          </w:tcPr>
          <w:p>
            <w:pPr>
              <w:spacing w:after="0"/>
              <w:rPr>
                <w:sz w:val="22"/>
                <w:szCs w:val="22"/>
                <w:color w:val="auto"/>
              </w:rPr>
            </w:pPr>
          </w:p>
        </w:tc>
        <w:tc>
          <w:tcPr>
            <w:tcW w:w="3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(1.40%) + 7.50%, Due 12/29</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4,378,060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4,687,180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 CLO Rated-Note</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4,378,060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4,687,180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Total Investment in CLO Fund Securities</w:t>
            </w:r>
          </w:p>
        </w:tc>
        <w:tc>
          <w:tcPr>
            <w:tcW w:w="1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(23% of net asset value at fair value)</w:t>
            </w:r>
          </w:p>
        </w:tc>
        <w:tc>
          <w:tcPr>
            <w:tcW w:w="100" w:type="dxa"/>
            <w:vAlign w:val="bottom"/>
            <w:shd w:val="clear" w:color="auto" w:fill="CCEEFF"/>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61,300,443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40,768,620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Asset Manager Affiliates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w w:val="92"/>
              </w:rPr>
              <w:t>Percentage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0" w:type="dxa"/>
            <w:vAlign w:val="bottom"/>
          </w:tcPr>
          <w:p>
            <w:pPr>
              <w:spacing w:after="0"/>
              <w:rPr>
                <w:sz w:val="1"/>
                <w:szCs w:val="1"/>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w w:val="97"/>
              </w:rPr>
              <w:t>Portfolio Company / Principal Business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4"/>
          </w:tcPr>
          <w:p>
            <w:pPr>
              <w:ind w:left="1280"/>
              <w:spacing w:after="0"/>
              <w:rPr>
                <w:sz w:val="20"/>
                <w:szCs w:val="20"/>
                <w:color w:val="auto"/>
              </w:rPr>
            </w:pPr>
            <w:r>
              <w:rPr>
                <w:rFonts w:ascii="Arial" w:cs="Arial" w:eastAsia="Arial" w:hAnsi="Arial"/>
                <w:sz w:val="18"/>
                <w:szCs w:val="18"/>
                <w:b w:val="1"/>
                <w:bCs w:val="1"/>
                <w:color w:val="auto"/>
              </w:rPr>
              <w:t>Investment</w:t>
            </w: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Ownership</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30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(8)(9)(14)</w:t>
            </w:r>
          </w:p>
        </w:tc>
        <w:tc>
          <w:tcPr>
            <w:tcW w:w="1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52,091,230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38,663,000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8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Total Investment in Asset Manager Affiliates</w:t>
            </w:r>
          </w:p>
        </w:tc>
        <w:tc>
          <w:tcPr>
            <w:tcW w:w="9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52,091,230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38,663,000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(21% of net asset value at fair value)</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Joint Ventures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w w:val="92"/>
              </w:rPr>
              <w:t>Percentage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w w:val="97"/>
              </w:rPr>
              <w:t>Portfolio Company / Principal Business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4"/>
          </w:tcPr>
          <w:p>
            <w:pPr>
              <w:ind w:left="1280"/>
              <w:spacing w:after="0"/>
              <w:rPr>
                <w:sz w:val="20"/>
                <w:szCs w:val="20"/>
                <w:color w:val="auto"/>
              </w:rPr>
            </w:pPr>
            <w:r>
              <w:rPr>
                <w:rFonts w:ascii="Arial" w:cs="Arial" w:eastAsia="Arial" w:hAnsi="Arial"/>
                <w:sz w:val="18"/>
                <w:szCs w:val="18"/>
                <w:b w:val="1"/>
                <w:bCs w:val="1"/>
                <w:color w:val="auto"/>
              </w:rPr>
              <w:t>Investment</w:t>
            </w: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Ownership</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30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KCAP Freedom 3 LLC</w:t>
            </w:r>
            <w:r>
              <w:rPr>
                <w:rFonts w:ascii="Arial" w:cs="Arial" w:eastAsia="Arial" w:hAnsi="Arial"/>
                <w:sz w:val="30"/>
                <w:szCs w:val="30"/>
                <w:color w:val="auto"/>
                <w:vertAlign w:val="superscript"/>
              </w:rPr>
              <w:t>(14)</w:t>
            </w:r>
          </w:p>
        </w:tc>
        <w:tc>
          <w:tcPr>
            <w:tcW w:w="1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24,914,858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21,767,376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Joint Ventures</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24,914,858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21,767,376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(12% of net asset value at fair value)</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3780" w:type="dxa"/>
            <w:vAlign w:val="bottom"/>
            <w:gridSpan w:val="6"/>
          </w:tcPr>
          <w:p>
            <w:pPr>
              <w:ind w:left="100"/>
              <w:spacing w:after="0"/>
              <w:rPr>
                <w:sz w:val="20"/>
                <w:szCs w:val="20"/>
                <w:color w:val="auto"/>
              </w:rPr>
            </w:pPr>
            <w:r>
              <w:rPr>
                <w:rFonts w:ascii="Arial" w:cs="Arial" w:eastAsia="Arial" w:hAnsi="Arial"/>
                <w:sz w:val="18"/>
                <w:szCs w:val="18"/>
                <w:b w:val="1"/>
                <w:bCs w:val="1"/>
                <w:color w:val="auto"/>
              </w:rPr>
              <w:t>Investment</w:t>
            </w: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Yield</w:t>
            </w:r>
          </w:p>
        </w:tc>
        <w:tc>
          <w:tcPr>
            <w:tcW w:w="1800" w:type="dxa"/>
            <w:vAlign w:val="bottom"/>
            <w:gridSpan w:val="5"/>
          </w:tcPr>
          <w:p>
            <w:pPr>
              <w:spacing w:after="0"/>
              <w:rPr>
                <w:sz w:val="20"/>
                <w:szCs w:val="20"/>
                <w:color w:val="auto"/>
              </w:rPr>
            </w:pPr>
            <w:r>
              <w:rPr>
                <w:rFonts w:ascii="Arial" w:cs="Arial" w:eastAsia="Arial" w:hAnsi="Arial"/>
                <w:sz w:val="18"/>
                <w:szCs w:val="18"/>
                <w:b w:val="1"/>
                <w:bCs w:val="1"/>
                <w:color w:val="auto"/>
              </w:rPr>
              <w:t>Par /Amortized Cost</w:t>
            </w:r>
          </w:p>
        </w:tc>
        <w:tc>
          <w:tcPr>
            <w:tcW w:w="1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30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30"/>
                <w:szCs w:val="30"/>
                <w:color w:val="auto"/>
                <w:vertAlign w:val="superscript"/>
              </w:rPr>
              <w:t>(7)(8)</w:t>
            </w:r>
          </w:p>
        </w:tc>
        <w:tc>
          <w:tcPr>
            <w:tcW w:w="120" w:type="dxa"/>
            <w:vAlign w:val="bottom"/>
            <w:tcBorders>
              <w:right w:val="single" w:sz="8" w:color="CCEEFF"/>
            </w:tcBorders>
            <w:shd w:val="clear" w:color="auto" w:fill="CCEEFF"/>
          </w:tcPr>
          <w:p>
            <w:pPr>
              <w:spacing w:after="0"/>
              <w:rPr>
                <w:sz w:val="22"/>
                <w:szCs w:val="22"/>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spacing w:after="0"/>
              <w:rPr>
                <w:sz w:val="22"/>
                <w:szCs w:val="22"/>
                <w:color w:val="auto"/>
              </w:rPr>
            </w:pPr>
          </w:p>
        </w:tc>
        <w:tc>
          <w:tcPr>
            <w:tcW w:w="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0.20%</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9,905,719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9,905,719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Short-term Investments</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(5% of net asset value at fair value)</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9,905,719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9,905,719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tcPr>
          <w:p>
            <w:pPr>
              <w:spacing w:after="0" w:line="284" w:lineRule="exact"/>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b w:val="1"/>
                <w:bCs w:val="1"/>
                <w:color w:val="auto"/>
                <w:vertAlign w:val="superscript"/>
              </w:rPr>
              <w:t>4</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3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332,323,890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281,698,753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right="60" w:hanging="350"/>
        <w:spacing w:after="0" w:line="224" w:lineRule="auto"/>
        <w:tabs>
          <w:tab w:leader="none" w:pos="38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March 31, 2018. As noted in the table above, 84% (based on par) of debt securities contain LIBOR floors which range between 1.00% and 3.0%.</w:t>
      </w:r>
    </w:p>
    <w:p>
      <w:pPr>
        <w:spacing w:after="0" w:line="8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March 31, 2018, as determined by the Company’s Board of Directors.</w:t>
      </w:r>
    </w:p>
    <w:p>
      <w:pPr>
        <w:spacing w:after="0" w:line="87" w:lineRule="exact"/>
        <w:rPr>
          <w:sz w:val="20"/>
          <w:szCs w:val="20"/>
          <w:color w:val="auto"/>
        </w:rPr>
      </w:pPr>
    </w:p>
    <w:p>
      <w:pPr>
        <w:ind w:left="380" w:hanging="372"/>
        <w:spacing w:after="0"/>
        <w:tabs>
          <w:tab w:leader="none" w:pos="38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202" w:lineRule="exact"/>
        <w:rPr>
          <w:sz w:val="20"/>
          <w:szCs w:val="20"/>
          <w:color w:val="auto"/>
        </w:rPr>
      </w:pPr>
    </w:p>
    <w:p>
      <w:pPr>
        <w:ind w:left="380" w:right="600" w:hanging="372"/>
        <w:spacing w:after="0" w:line="209" w:lineRule="auto"/>
        <w:tabs>
          <w:tab w:leader="none" w:pos="38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$338 million. The aggregate gross unrealized appreciation is approximately $7.4 million, the aggregate gross unrealized depreciation is approximately $63.6 million, and the net unrealized depreciation is approximately $56.2 million.</w:t>
      </w:r>
    </w:p>
    <w:p>
      <w:pPr>
        <w:spacing w:after="0" w:line="89" w:lineRule="exact"/>
        <w:rPr>
          <w:sz w:val="20"/>
          <w:szCs w:val="20"/>
          <w:color w:val="auto"/>
        </w:rPr>
      </w:pPr>
    </w:p>
    <w:p>
      <w:pPr>
        <w:ind w:left="380" w:hanging="372"/>
        <w:spacing w:after="0"/>
        <w:tabs>
          <w:tab w:leader="none" w:pos="38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Loan or debt security is on non-accrual status and therefore is considered non-income producing.</w:t>
      </w:r>
    </w:p>
    <w:p>
      <w:pPr>
        <w:spacing w:after="0" w:line="110"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87" w:lineRule="exact"/>
        <w:rPr>
          <w:sz w:val="20"/>
          <w:szCs w:val="20"/>
          <w:color w:val="auto"/>
        </w:rPr>
      </w:pPr>
    </w:p>
    <w:p>
      <w:pPr>
        <w:ind w:left="380" w:hanging="372"/>
        <w:spacing w:after="0"/>
        <w:tabs>
          <w:tab w:leader="none" w:pos="38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Money market account.</w:t>
      </w:r>
    </w:p>
    <w:p>
      <w:pPr>
        <w:spacing w:after="0" w:line="87"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left="372" w:right="40" w:hanging="372"/>
        <w:spacing w:after="0" w:line="218" w:lineRule="auto"/>
        <w:tabs>
          <w:tab w:leader="none" w:pos="372"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Affiliates, including Trimaran Advisors,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88" w:lineRule="exact"/>
        <w:rPr>
          <w:sz w:val="20"/>
          <w:szCs w:val="20"/>
          <w:color w:val="auto"/>
        </w:rPr>
      </w:pPr>
    </w:p>
    <w:p>
      <w:pPr>
        <w:ind w:left="372" w:hanging="372"/>
        <w:spacing w:after="0"/>
        <w:tabs>
          <w:tab w:leader="none" w:pos="37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Non-voting.</w:t>
      </w:r>
    </w:p>
    <w:p>
      <w:pPr>
        <w:spacing w:after="0" w:line="201" w:lineRule="exact"/>
        <w:rPr>
          <w:rFonts w:ascii="Arial" w:cs="Arial" w:eastAsia="Arial" w:hAnsi="Arial"/>
          <w:sz w:val="30"/>
          <w:szCs w:val="30"/>
          <w:color w:val="auto"/>
          <w:vertAlign w:val="superscript"/>
        </w:rPr>
      </w:pPr>
    </w:p>
    <w:p>
      <w:pPr>
        <w:jc w:val="both"/>
        <w:ind w:left="372" w:right="120" w:hanging="372"/>
        <w:spacing w:after="0" w:line="218" w:lineRule="auto"/>
        <w:tabs>
          <w:tab w:leader="none" w:pos="37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88" w:lineRule="exact"/>
        <w:rPr>
          <w:rFonts w:ascii="Arial" w:cs="Arial" w:eastAsia="Arial" w:hAnsi="Arial"/>
          <w:sz w:val="30"/>
          <w:szCs w:val="30"/>
          <w:color w:val="auto"/>
          <w:vertAlign w:val="superscript"/>
        </w:rPr>
      </w:pPr>
    </w:p>
    <w:p>
      <w:pPr>
        <w:ind w:left="372" w:hanging="372"/>
        <w:spacing w:after="0"/>
        <w:tabs>
          <w:tab w:leader="none" w:pos="37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Notice of redemption has been received for this security.</w:t>
      </w:r>
    </w:p>
    <w:p>
      <w:pPr>
        <w:spacing w:after="0" w:line="201" w:lineRule="exact"/>
        <w:rPr>
          <w:rFonts w:ascii="Arial" w:cs="Arial" w:eastAsia="Arial" w:hAnsi="Arial"/>
          <w:sz w:val="30"/>
          <w:szCs w:val="30"/>
          <w:color w:val="auto"/>
          <w:vertAlign w:val="superscript"/>
        </w:rPr>
      </w:pPr>
    </w:p>
    <w:p>
      <w:pPr>
        <w:ind w:left="372" w:right="3620" w:hanging="372"/>
        <w:spacing w:after="0" w:line="194" w:lineRule="auto"/>
        <w:tabs>
          <w:tab w:leader="none" w:pos="37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Loan or security was on partial nonaccrual status, whereby we have recognized income on a portion of contractual PIK amounts due.</w:t>
      </w:r>
    </w:p>
    <w:p>
      <w:pPr>
        <w:spacing w:after="0" w:line="87" w:lineRule="exact"/>
        <w:rPr>
          <w:rFonts w:ascii="Arial" w:cs="Arial" w:eastAsia="Arial" w:hAnsi="Arial"/>
          <w:sz w:val="30"/>
          <w:szCs w:val="30"/>
          <w:color w:val="auto"/>
          <w:vertAlign w:val="superscript"/>
        </w:rPr>
      </w:pPr>
    </w:p>
    <w:p>
      <w:pPr>
        <w:ind w:left="372" w:hanging="372"/>
        <w:spacing w:after="0"/>
        <w:tabs>
          <w:tab w:leader="none" w:pos="37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Fair value of this investment was determined using significant unobservable inputs.</w:t>
      </w:r>
    </w:p>
    <w:p>
      <w:pPr>
        <w:spacing w:after="0" w:line="201" w:lineRule="exact"/>
        <w:rPr>
          <w:rFonts w:ascii="Arial" w:cs="Arial" w:eastAsia="Arial" w:hAnsi="Arial"/>
          <w:sz w:val="30"/>
          <w:szCs w:val="30"/>
          <w:color w:val="auto"/>
          <w:vertAlign w:val="superscript"/>
        </w:rPr>
      </w:pPr>
    </w:p>
    <w:p>
      <w:pPr>
        <w:ind w:left="372" w:hanging="372"/>
        <w:spacing w:after="0" w:line="238" w:lineRule="auto"/>
        <w:tabs>
          <w:tab w:leader="none" w:pos="372"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As of March 31, 2018, this investment is owned by KCAP Funding I, LLC and was pledged to secure KCAP Funding I, LLC’s debt obligation pursuant to its senior secured revolving credit facility (the “Revolving Credit Facility”) with the Company, as the servicer, certain institutional lenders, State Bank and Trust Company, as the administrative agent, lead arranger and bookrunner, and CIBC Bank USA, as documentation agent..</w:t>
      </w:r>
    </w:p>
    <w:p>
      <w:pPr>
        <w:spacing w:after="0" w:line="2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Debt Securities Portfolio</w:t>
            </w: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2"/>
              </w:rPr>
              <w:t>Fair Value</w:t>
            </w:r>
            <w:r>
              <w:rPr>
                <w:rFonts w:ascii="Arial" w:cs="Arial" w:eastAsia="Arial" w:hAnsi="Arial"/>
                <w:sz w:val="30"/>
                <w:szCs w:val="30"/>
                <w:b w:val="1"/>
                <w:bCs w:val="1"/>
                <w:color w:val="auto"/>
                <w:w w:val="92"/>
                <w:vertAlign w:val="superscript"/>
              </w:rPr>
              <w:t>2</w:t>
            </w:r>
          </w:p>
        </w:tc>
        <w:tc>
          <w:tcPr>
            <w:tcW w:w="0" w:type="dxa"/>
            <w:vAlign w:val="bottom"/>
          </w:tcPr>
          <w:p>
            <w:pPr>
              <w:spacing w:after="0"/>
              <w:rPr>
                <w:sz w:val="1"/>
                <w:szCs w:val="1"/>
                <w:color w:val="auto"/>
              </w:rPr>
            </w:pPr>
          </w:p>
        </w:tc>
      </w:tr>
      <w:tr>
        <w:trPr>
          <w:trHeight w:val="234"/>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89"/>
              </w:rPr>
              <w:t>Portfolio Company / Principal Business</w:t>
            </w:r>
          </w:p>
        </w:tc>
        <w:tc>
          <w:tcPr>
            <w:tcW w:w="44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Principal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Cost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Advanced Lighting Technologies, Inc.</w:t>
            </w:r>
            <w:r>
              <w:rPr>
                <w:rFonts w:ascii="Arial" w:cs="Arial" w:eastAsia="Arial" w:hAnsi="Arial"/>
                <w:sz w:val="22"/>
                <w:szCs w:val="22"/>
                <w:color w:val="auto"/>
                <w:vertAlign w:val="superscript"/>
              </w:rPr>
              <w:t>(8)</w:t>
            </w:r>
          </w:p>
        </w:tc>
        <w:tc>
          <w:tcPr>
            <w:tcW w:w="100" w:type="dxa"/>
            <w:vAlign w:val="bottom"/>
            <w:tcBorders>
              <w:top w:val="single" w:sz="8" w:color="CCEEFF"/>
            </w:tcBorders>
            <w:shd w:val="clear" w:color="auto" w:fill="CCEEFF"/>
          </w:tcPr>
          <w:p>
            <w:pPr>
              <w:spacing w:after="0"/>
              <w:rPr>
                <w:sz w:val="17"/>
                <w:szCs w:val="17"/>
                <w:color w:val="auto"/>
              </w:rPr>
            </w:pPr>
          </w:p>
        </w:tc>
        <w:tc>
          <w:tcPr>
            <w:tcW w:w="4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Junior Secured Loan — Second Lien Notes</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2"/>
              </w:rPr>
              <w:t>8.7% Cash, 10.0% PIK, 3 month LIBOR(1.70%) + 17.00%;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goods: Durable</w:t>
            </w:r>
          </w:p>
        </w:tc>
        <w:tc>
          <w:tcPr>
            <w:tcW w:w="100" w:type="dxa"/>
            <w:vAlign w:val="bottom"/>
            <w:shd w:val="clear" w:color="auto" w:fill="CCEEFF"/>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LIBOR Floor 1.00% , Due 10/23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889,338</w:t>
            </w: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0"/>
              </w:rPr>
              <w:t>Advantage Sales &amp; Marketing Inc.</w:t>
            </w:r>
            <w:r>
              <w:rPr>
                <w:rFonts w:ascii="Arial" w:cs="Arial" w:eastAsia="Arial" w:hAnsi="Arial"/>
                <w:sz w:val="30"/>
                <w:szCs w:val="30"/>
                <w:color w:val="auto"/>
                <w:w w:val="90"/>
                <w:vertAlign w:val="superscript"/>
              </w:rPr>
              <w:t>(8)(14)</w:t>
            </w:r>
          </w:p>
        </w:tc>
        <w:tc>
          <w:tcPr>
            <w:tcW w:w="1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2"/>
              </w:rPr>
              <w:t>7.9% Cash, 3 month LIBOR(1.38%) + 6.50%; LIBOR Floor</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3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100" w:type="dxa"/>
            <w:vAlign w:val="bottom"/>
            <w:shd w:val="clear" w:color="auto" w:fill="CCEEFF"/>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1.00% , Due 7/22</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1,001,438</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API Technologies Corp.</w:t>
            </w:r>
            <w:r>
              <w:rPr>
                <w:rFonts w:ascii="Arial" w:cs="Arial" w:eastAsia="Arial" w:hAnsi="Arial"/>
                <w:sz w:val="30"/>
                <w:szCs w:val="30"/>
                <w:color w:val="auto"/>
                <w:vertAlign w:val="superscript"/>
              </w:rPr>
              <w:t>(8)</w:t>
            </w:r>
          </w:p>
        </w:tc>
        <w:tc>
          <w:tcPr>
            <w:tcW w:w="1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Initial Term Loan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2"/>
              </w:rPr>
              <w:t>8.2% Cash, 3 month LIBOR(1.69%) + 6.50%; LIBOR Floor</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3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100" w:type="dxa"/>
            <w:vAlign w:val="bottom"/>
            <w:shd w:val="clear" w:color="auto" w:fill="CCEEFF"/>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1.00% , Due 4/22</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3,080,305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3,110,759</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Avalign Technologies, Inc.</w:t>
            </w:r>
            <w:r>
              <w:rPr>
                <w:rFonts w:ascii="Arial" w:cs="Arial" w:eastAsia="Arial" w:hAnsi="Arial"/>
                <w:sz w:val="30"/>
                <w:szCs w:val="30"/>
                <w:color w:val="auto"/>
                <w:vertAlign w:val="superscript"/>
              </w:rPr>
              <w:t>(8)</w:t>
            </w:r>
          </w:p>
        </w:tc>
        <w:tc>
          <w:tcPr>
            <w:tcW w:w="1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Initial Term Loan (First Lien)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2"/>
              </w:rPr>
              <w:t>6.1% Cash, 1 month LIBOR(1.57%) + 4.50%; LIBOR Floor</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3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100" w:type="dxa"/>
            <w:vAlign w:val="bottom"/>
            <w:shd w:val="clear" w:color="auto" w:fill="CCEEFF"/>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1.00% , Due 7/21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1,062,983</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Avalign Technologies, Inc.</w:t>
            </w:r>
            <w:r>
              <w:rPr>
                <w:rFonts w:ascii="Arial" w:cs="Arial" w:eastAsia="Arial" w:hAnsi="Arial"/>
                <w:sz w:val="30"/>
                <w:szCs w:val="30"/>
                <w:color w:val="auto"/>
                <w:vertAlign w:val="superscript"/>
              </w:rPr>
              <w:t>(8)(14)</w:t>
            </w:r>
          </w:p>
        </w:tc>
        <w:tc>
          <w:tcPr>
            <w:tcW w:w="1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Junior Secured Loan — Initial Term Loan (Second Lien)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2"/>
              </w:rPr>
              <w:t>9.7% Cash, 6 month LIBOR(1.46%) + 8.25%; LIBOR Floor</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3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100" w:type="dxa"/>
            <w:vAlign w:val="bottom"/>
            <w:shd w:val="clear" w:color="auto" w:fill="CCEEFF"/>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1.00% , Due 7/22</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1,488,964</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6"/>
              </w:rPr>
              <w:t>BMC Acquisition, Inc. (aka BenefitMall)</w:t>
            </w:r>
          </w:p>
        </w:tc>
        <w:tc>
          <w:tcPr>
            <w:tcW w:w="100" w:type="dxa"/>
            <w:vAlign w:val="bottom"/>
            <w:shd w:val="clear" w:color="auto" w:fill="CCEEFF"/>
          </w:tcPr>
          <w:p>
            <w:pPr>
              <w:spacing w:after="0"/>
              <w:rPr>
                <w:sz w:val="17"/>
                <w:szCs w:val="17"/>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(8)(14)</w:t>
            </w:r>
          </w:p>
        </w:tc>
        <w:tc>
          <w:tcPr>
            <w:tcW w:w="100" w:type="dxa"/>
            <w:vAlign w:val="bottom"/>
            <w:shd w:val="clear" w:color="auto" w:fill="CCEEFF"/>
          </w:tcPr>
          <w:p>
            <w:pPr>
              <w:spacing w:after="0"/>
              <w:rPr>
                <w:sz w:val="13"/>
                <w:szCs w:val="13"/>
                <w:color w:val="auto"/>
              </w:rPr>
            </w:pPr>
          </w:p>
        </w:tc>
        <w:tc>
          <w:tcPr>
            <w:tcW w:w="43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Banking, Finance, Insurance &amp; Real</w:t>
            </w:r>
          </w:p>
        </w:tc>
        <w:tc>
          <w:tcPr>
            <w:tcW w:w="100" w:type="dxa"/>
            <w:vAlign w:val="bottom"/>
            <w:shd w:val="clear" w:color="auto" w:fill="CCEEFF"/>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2"/>
              </w:rPr>
              <w:t>7.0% Cash, 3 month LIBOR(1.84%) + 5.17%; LIBOR Floor</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Estate</w:t>
            </w:r>
          </w:p>
        </w:tc>
        <w:tc>
          <w:tcPr>
            <w:tcW w:w="10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1.00% , Due 12/24</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2,998,125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Carolina Beverage Group LLC</w:t>
            </w:r>
            <w:r>
              <w:rPr>
                <w:rFonts w:ascii="Arial" w:cs="Arial" w:eastAsia="Arial" w:hAnsi="Arial"/>
                <w:sz w:val="30"/>
                <w:szCs w:val="30"/>
                <w:color w:val="auto"/>
                <w:w w:val="99"/>
                <w:vertAlign w:val="superscript"/>
              </w:rPr>
              <w:t>(8)(14)</w:t>
            </w:r>
          </w:p>
        </w:tc>
        <w:tc>
          <w:tcPr>
            <w:tcW w:w="1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Senior Secured Bond — 10.625% - 08/2018 - 143818AA0</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144A</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3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Food and Tobacco</w:t>
            </w:r>
          </w:p>
        </w:tc>
        <w:tc>
          <w:tcPr>
            <w:tcW w:w="100" w:type="dxa"/>
            <w:vAlign w:val="bottom"/>
            <w:shd w:val="clear" w:color="auto" w:fill="CCEEFF"/>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10.6% Cash, Due 8/18</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1,502,374</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CSM Bakery Solutions Limited (fka</w:t>
            </w:r>
          </w:p>
        </w:tc>
        <w:tc>
          <w:tcPr>
            <w:tcW w:w="1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2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w w:val="98"/>
              </w:rPr>
              <w:t>CSM Bakery Supplies Limited)</w:t>
            </w:r>
            <w:r>
              <w:rPr>
                <w:rFonts w:ascii="Arial" w:cs="Arial" w:eastAsia="Arial" w:hAnsi="Arial"/>
                <w:sz w:val="30"/>
                <w:szCs w:val="30"/>
                <w:color w:val="auto"/>
                <w:w w:val="98"/>
                <w:vertAlign w:val="superscript"/>
              </w:rPr>
              <w:t>(8)(14)</w:t>
            </w:r>
          </w:p>
        </w:tc>
        <w:tc>
          <w:tcPr>
            <w:tcW w:w="100" w:type="dxa"/>
            <w:vAlign w:val="bottom"/>
            <w:shd w:val="clear" w:color="auto" w:fill="CCEEFF"/>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2"/>
              </w:rPr>
              <w:t>9.1% Cash, 3 month LIBOR(1.33%) + 7.75%; LIBOR Floor</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Food and Tobacco</w:t>
            </w:r>
          </w:p>
        </w:tc>
        <w:tc>
          <w:tcPr>
            <w:tcW w:w="1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1.00% , Due 7/21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3,008,816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DigiCert, Inc.</w:t>
      </w:r>
      <w:r>
        <w:rPr>
          <w:rFonts w:ascii="Arial" w:cs="Arial" w:eastAsia="Arial" w:hAnsi="Arial"/>
          <w:sz w:val="30"/>
          <w:szCs w:val="30"/>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989455" cy="43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89455" cy="43751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High Tech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989455" cy="43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89455" cy="43751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Drew Marine Group Inc.</w:t>
      </w:r>
      <w:r>
        <w:rPr>
          <w:rFonts w:ascii="Arial" w:cs="Arial" w:eastAsia="Arial" w:hAnsi="Arial"/>
          <w:sz w:val="26"/>
          <w:szCs w:val="26"/>
          <w:color w:val="auto"/>
          <w:vertAlign w:val="superscript"/>
        </w:rPr>
        <w:t>(8)</w:t>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Transportation: Cargo</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8"/>
          <w:szCs w:val="18"/>
          <w:color w:val="auto"/>
        </w:rPr>
        <w:t>Junior Secured Loan — Initial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-121920</wp:posOffset>
            </wp:positionV>
            <wp:extent cx="5257165" cy="43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57165" cy="43751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9.4% Cash, 3 month LIBOR(1.38%) + 8.00%; LIBOR Floor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gridSpan w:val="2"/>
          </w:tcPr>
          <w:p>
            <w:pPr>
              <w:ind w:left="100"/>
              <w:spacing w:after="0"/>
              <w:rPr>
                <w:sz w:val="20"/>
                <w:szCs w:val="20"/>
                <w:color w:val="auto"/>
              </w:rPr>
            </w:pPr>
            <w:r>
              <w:rPr>
                <w:rFonts w:ascii="Arial" w:cs="Arial" w:eastAsia="Arial" w:hAnsi="Arial"/>
                <w:sz w:val="18"/>
                <w:szCs w:val="18"/>
                <w:color w:val="auto"/>
                <w:w w:val="90"/>
              </w:rPr>
              <w:t>1.00%</w:t>
            </w:r>
          </w:p>
        </w:tc>
        <w:tc>
          <w:tcPr>
            <w:tcW w:w="4140" w:type="dxa"/>
            <w:vAlign w:val="bottom"/>
          </w:tcPr>
          <w:p>
            <w:pPr>
              <w:ind w:left="40"/>
              <w:spacing w:after="0"/>
              <w:rPr>
                <w:sz w:val="20"/>
                <w:szCs w:val="20"/>
                <w:color w:val="auto"/>
              </w:rPr>
            </w:pPr>
            <w:r>
              <w:rPr>
                <w:rFonts w:ascii="Arial" w:cs="Arial" w:eastAsia="Arial" w:hAnsi="Arial"/>
                <w:sz w:val="18"/>
                <w:szCs w:val="18"/>
                <w:color w:val="auto"/>
              </w:rPr>
              <w:t>, Due 10/25</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1,000,000</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995,059</w:t>
            </w:r>
          </w:p>
        </w:tc>
        <w:tc>
          <w:tcPr>
            <w:tcW w:w="1040" w:type="dxa"/>
            <w:vAlign w:val="bottom"/>
          </w:tcPr>
          <w:p>
            <w:pPr>
              <w:jc w:val="right"/>
              <w:spacing w:after="0"/>
              <w:rPr>
                <w:sz w:val="20"/>
                <w:szCs w:val="20"/>
                <w:color w:val="auto"/>
              </w:rPr>
            </w:pPr>
            <w:r>
              <w:rPr>
                <w:rFonts w:ascii="Arial" w:cs="Arial" w:eastAsia="Arial" w:hAnsi="Arial"/>
                <w:sz w:val="18"/>
                <w:szCs w:val="18"/>
                <w:color w:val="auto"/>
              </w:rPr>
              <w:t>979,100</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46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0" w:type="dxa"/>
            <w:vAlign w:val="bottom"/>
            <w:vMerge w:val="continue"/>
          </w:tcPr>
          <w:p>
            <w:pPr>
              <w:spacing w:after="0"/>
              <w:rPr>
                <w:sz w:val="17"/>
                <w:szCs w:val="17"/>
                <w:color w:val="auto"/>
              </w:rPr>
            </w:pPr>
          </w:p>
        </w:tc>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8"/>
              </w:rPr>
              <w:t>8.6% Cash, 1 month LIBOR(1.57%) + 7.00%; LIBOR Floor</w:t>
            </w:r>
          </w:p>
        </w:tc>
        <w:tc>
          <w:tcPr>
            <w:tcW w:w="1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0" w:type="dxa"/>
            <w:vAlign w:val="bottom"/>
            <w:shd w:val="clear" w:color="auto" w:fill="CCEEFF"/>
          </w:tcPr>
          <w:p>
            <w:pPr>
              <w:spacing w:after="0"/>
              <w:rPr>
                <w:sz w:val="5"/>
                <w:szCs w:val="5"/>
                <w:color w:val="auto"/>
              </w:rPr>
            </w:pPr>
          </w:p>
        </w:tc>
        <w:tc>
          <w:tcPr>
            <w:tcW w:w="4620" w:type="dxa"/>
            <w:vAlign w:val="bottom"/>
            <w:gridSpan w:val="2"/>
            <w:vMerge w:val="continue"/>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1.00%</w:t>
            </w:r>
          </w:p>
        </w:tc>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Due 5/21</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4,000,000</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4,000,901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ectPr>
          <w:pgSz w:w="11900" w:h="16838" w:orient="portrait"/>
          <w:cols w:equalWidth="0" w:num="2">
            <w:col w:w="2320" w:space="720"/>
            <w:col w:w="8380"/>
          </w:cols>
          <w:pgMar w:left="240" w:top="904" w:right="23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560" w:type="dxa"/>
            <w:vAlign w:val="bottom"/>
            <w:gridSpan w:val="3"/>
          </w:tcPr>
          <w:p>
            <w:pPr>
              <w:ind w:left="100"/>
              <w:spacing w:after="0"/>
              <w:rPr>
                <w:sz w:val="20"/>
                <w:szCs w:val="20"/>
                <w:color w:val="auto"/>
              </w:rPr>
            </w:pPr>
            <w:r>
              <w:rPr>
                <w:rFonts w:ascii="Arial" w:cs="Arial" w:eastAsia="Arial" w:hAnsi="Arial"/>
                <w:sz w:val="18"/>
                <w:szCs w:val="18"/>
                <w:b w:val="1"/>
                <w:bCs w:val="1"/>
                <w:color w:val="auto"/>
              </w:rPr>
              <w:t>Investment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89"/>
              </w:rPr>
              <w:t>Portfolio Company / Principal Business</w:t>
            </w:r>
          </w:p>
        </w:tc>
        <w:tc>
          <w:tcPr>
            <w:tcW w:w="4560" w:type="dxa"/>
            <w:vAlign w:val="bottom"/>
            <w:gridSpan w:val="3"/>
          </w:tcPr>
          <w:p>
            <w:pPr>
              <w:ind w:left="100"/>
              <w:spacing w:after="0"/>
              <w:rPr>
                <w:sz w:val="20"/>
                <w:szCs w:val="20"/>
                <w:color w:val="auto"/>
              </w:rPr>
            </w:pPr>
            <w:r>
              <w:rPr>
                <w:rFonts w:ascii="Arial" w:cs="Arial" w:eastAsia="Arial" w:hAnsi="Arial"/>
                <w:sz w:val="18"/>
                <w:szCs w:val="18"/>
                <w:b w:val="1"/>
                <w:bCs w:val="1"/>
                <w:color w:val="auto"/>
              </w:rPr>
              <w:t>Interest Rate¹ / Maturity</w:t>
            </w: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Principal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EagleTree-Carbide Acquisition Corp.</w:t>
            </w:r>
          </w:p>
        </w:tc>
        <w:tc>
          <w:tcPr>
            <w:tcW w:w="100" w:type="dxa"/>
            <w:vAlign w:val="bottom"/>
            <w:tcBorders>
              <w:top w:val="single" w:sz="8" w:color="CCEEFF"/>
            </w:tcBorders>
            <w:shd w:val="clear" w:color="auto" w:fill="CCEEFF"/>
          </w:tcPr>
          <w:p>
            <w:pPr>
              <w:spacing w:after="0"/>
              <w:rPr>
                <w:sz w:val="16"/>
                <w:szCs w:val="16"/>
                <w:color w:val="auto"/>
              </w:rPr>
            </w:pPr>
          </w:p>
        </w:tc>
        <w:tc>
          <w:tcPr>
            <w:tcW w:w="4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Junior Secured Loan — Term Loan (Second Lien)</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2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w w:val="96"/>
              </w:rPr>
              <w:t>(aka Corsair Components, Inc.)</w:t>
            </w:r>
            <w:r>
              <w:rPr>
                <w:rFonts w:ascii="Arial" w:cs="Arial" w:eastAsia="Arial" w:hAnsi="Arial"/>
                <w:sz w:val="30"/>
                <w:szCs w:val="30"/>
                <w:color w:val="auto"/>
                <w:w w:val="96"/>
                <w:vertAlign w:val="superscript"/>
              </w:rPr>
              <w:t>(8)(14)</w:t>
            </w:r>
          </w:p>
        </w:tc>
        <w:tc>
          <w:tcPr>
            <w:tcW w:w="100" w:type="dxa"/>
            <w:vAlign w:val="bottom"/>
            <w:shd w:val="clear" w:color="auto" w:fill="CCEEFF"/>
          </w:tcPr>
          <w:p>
            <w:pPr>
              <w:spacing w:after="0"/>
              <w:rPr>
                <w:sz w:val="23"/>
                <w:szCs w:val="23"/>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 Cash, 3 month LIBOR(1.69%) + 8.50%; LIBOR</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10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8/25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4,927,010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First American Payment Systems, L.P.</w:t>
            </w:r>
            <w:r>
              <w:rPr>
                <w:rFonts w:ascii="Arial" w:cs="Arial" w:eastAsia="Arial" w:hAnsi="Arial"/>
                <w:sz w:val="23"/>
                <w:szCs w:val="23"/>
                <w:color w:val="auto"/>
                <w:vertAlign w:val="superscript"/>
              </w:rPr>
              <w:t>(8)</w:t>
            </w:r>
          </w:p>
        </w:tc>
        <w:tc>
          <w:tcPr>
            <w:tcW w:w="10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 Lien)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Banking, Finance, Insurance &amp; Real</w:t>
            </w:r>
          </w:p>
        </w:tc>
        <w:tc>
          <w:tcPr>
            <w:tcW w:w="100" w:type="dxa"/>
            <w:vAlign w:val="bottom"/>
            <w:shd w:val="clear" w:color="auto" w:fill="CCEEFF"/>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 Cash, 1 month LIBOR(1.39%) + 10.50%; LIBOR</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Estate</w:t>
            </w:r>
          </w:p>
        </w:tc>
        <w:tc>
          <w:tcPr>
            <w:tcW w:w="100" w:type="dxa"/>
            <w:vAlign w:val="bottom"/>
            <w:shd w:val="clear" w:color="auto" w:fill="CCEEFF"/>
          </w:tcPr>
          <w:p>
            <w:pPr>
              <w:spacing w:after="0"/>
              <w:rPr>
                <w:sz w:val="20"/>
                <w:szCs w:val="20"/>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7/24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1,460,837</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Flexera Software LLC (fka Flexera</w:t>
            </w:r>
          </w:p>
        </w:tc>
        <w:tc>
          <w:tcPr>
            <w:tcW w:w="10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 (First Lien)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2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rPr>
              <w:t>Software, Inc.)</w:t>
            </w:r>
            <w:r>
              <w:rPr>
                <w:rFonts w:ascii="Arial" w:cs="Arial" w:eastAsia="Arial" w:hAnsi="Arial"/>
                <w:sz w:val="30"/>
                <w:szCs w:val="30"/>
                <w:color w:val="auto"/>
                <w:vertAlign w:val="superscript"/>
              </w:rPr>
              <w:t>(8)</w:t>
            </w:r>
          </w:p>
        </w:tc>
        <w:tc>
          <w:tcPr>
            <w:tcW w:w="100" w:type="dxa"/>
            <w:vAlign w:val="bottom"/>
            <w:shd w:val="clear" w:color="auto" w:fill="CCEEFF"/>
          </w:tcPr>
          <w:p>
            <w:pPr>
              <w:spacing w:after="0"/>
              <w:rPr>
                <w:sz w:val="23"/>
                <w:szCs w:val="23"/>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 Cash, 1 month LIBOR(1.57%) + 3.50%; LIBOR</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10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4/20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1,995,443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GI Advo Opco, LLC</w:t>
            </w:r>
            <w:r>
              <w:rPr>
                <w:rFonts w:ascii="Arial" w:cs="Arial" w:eastAsia="Arial" w:hAnsi="Arial"/>
                <w:sz w:val="30"/>
                <w:szCs w:val="30"/>
                <w:color w:val="auto"/>
                <w:vertAlign w:val="superscript"/>
              </w:rPr>
              <w:t>(8)</w:t>
            </w:r>
          </w:p>
        </w:tc>
        <w:tc>
          <w:tcPr>
            <w:tcW w:w="10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6.2% Cash, 3 month LIBOR(1.69%) + 4.50%; LIBOR</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60" w:type="dxa"/>
            <w:vAlign w:val="bottom"/>
            <w:gridSpan w:val="2"/>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100" w:type="dxa"/>
            <w:vAlign w:val="bottom"/>
            <w:shd w:val="clear" w:color="auto" w:fill="CCEEFF"/>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11/21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230,756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229,252</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GK Holdings, Inc. (aka Global</w:t>
            </w:r>
          </w:p>
        </w:tc>
        <w:tc>
          <w:tcPr>
            <w:tcW w:w="10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Junior Secured Loan — Initial Term Loan (Second Lien)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2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rPr>
              <w:t>Knowledge)</w:t>
            </w:r>
            <w:r>
              <w:rPr>
                <w:rFonts w:ascii="Arial" w:cs="Arial" w:eastAsia="Arial" w:hAnsi="Arial"/>
                <w:sz w:val="30"/>
                <w:szCs w:val="30"/>
                <w:color w:val="auto"/>
                <w:vertAlign w:val="superscript"/>
              </w:rPr>
              <w:t>(8)</w:t>
            </w:r>
          </w:p>
        </w:tc>
        <w:tc>
          <w:tcPr>
            <w:tcW w:w="100" w:type="dxa"/>
            <w:vAlign w:val="bottom"/>
            <w:shd w:val="clear" w:color="auto" w:fill="CCEEFF"/>
          </w:tcPr>
          <w:p>
            <w:pPr>
              <w:spacing w:after="0"/>
              <w:rPr>
                <w:sz w:val="23"/>
                <w:szCs w:val="23"/>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 Cash, 3 month LIBOR(1.69%) + 10.25%; LIBOR</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10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1,482,520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(8)</w:t>
            </w:r>
          </w:p>
        </w:tc>
        <w:tc>
          <w:tcPr>
            <w:tcW w:w="10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 (First Lien)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5.7% Cash, 3 month LIBOR(1.69%) + 4.00%; LIBOR</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60" w:type="dxa"/>
            <w:vAlign w:val="bottom"/>
            <w:gridSpan w:val="2"/>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Telecommunications</w:t>
            </w:r>
          </w:p>
        </w:tc>
        <w:tc>
          <w:tcPr>
            <w:tcW w:w="100" w:type="dxa"/>
            <w:vAlign w:val="bottom"/>
            <w:shd w:val="clear" w:color="auto" w:fill="CCEEFF"/>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1.25% , Due 5/20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1,495,689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1,492,021</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(8)(14)</w:t>
            </w:r>
          </w:p>
        </w:tc>
        <w:tc>
          <w:tcPr>
            <w:tcW w:w="10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9.9% Cash, 3 month LIBOR(1.69%) + 8.25%; LIBOR</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60" w:type="dxa"/>
            <w:vAlign w:val="bottom"/>
            <w:gridSpan w:val="2"/>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Telecommunications</w:t>
            </w:r>
          </w:p>
        </w:tc>
        <w:tc>
          <w:tcPr>
            <w:tcW w:w="100" w:type="dxa"/>
            <w:vAlign w:val="bottom"/>
            <w:shd w:val="clear" w:color="auto" w:fill="CCEEFF"/>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1.25% , Due 11/20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4,963,469</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(8)</w:t>
            </w:r>
          </w:p>
        </w:tc>
        <w:tc>
          <w:tcPr>
            <w:tcW w:w="10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B Loan (First Lien)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8.5% Cash, 3 month LIBOR(1.50%) + 7.00%; LIBOR</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60" w:type="dxa"/>
            <w:vAlign w:val="bottom"/>
            <w:gridSpan w:val="2"/>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100" w:type="dxa"/>
            <w:vAlign w:val="bottom"/>
            <w:shd w:val="clear" w:color="auto" w:fill="CCEEFF"/>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1.50% , Due 1/18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2,849,063</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Grupo HIMA San Pablo, Inc.</w:t>
            </w:r>
            <w:r>
              <w:rPr>
                <w:rFonts w:ascii="Arial" w:cs="Arial" w:eastAsia="Arial" w:hAnsi="Arial"/>
                <w:sz w:val="29"/>
                <w:szCs w:val="29"/>
                <w:color w:val="auto"/>
                <w:vertAlign w:val="superscript"/>
              </w:rPr>
              <w:t>(8)(14)</w:t>
            </w:r>
          </w:p>
        </w:tc>
        <w:tc>
          <w:tcPr>
            <w:tcW w:w="100" w:type="dxa"/>
            <w:vAlign w:val="bottom"/>
            <w:shd w:val="clear" w:color="auto" w:fill="CCEEFF"/>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Secured Loan — Term Loan (Second Lien)</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10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13.8% Cash, Due 7/18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7,191,667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7,174,676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w:t>
            </w:r>
          </w:p>
        </w:tc>
        <w:tc>
          <w:tcPr>
            <w:tcW w:w="100" w:type="dxa"/>
            <w:vAlign w:val="bottom"/>
            <w:shd w:val="clear" w:color="auto" w:fill="CCEEFF"/>
          </w:tcPr>
          <w:p>
            <w:pPr>
              <w:spacing w:after="0"/>
              <w:rPr>
                <w:sz w:val="17"/>
                <w:szCs w:val="17"/>
                <w:color w:val="auto"/>
              </w:rPr>
            </w:pPr>
          </w:p>
        </w:tc>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Clarke American Corp.)</w:t>
            </w:r>
            <w:r>
              <w:rPr>
                <w:rFonts w:ascii="Arial" w:cs="Arial" w:eastAsia="Arial" w:hAnsi="Arial"/>
                <w:sz w:val="24"/>
                <w:szCs w:val="24"/>
                <w:color w:val="auto"/>
                <w:vertAlign w:val="superscript"/>
              </w:rPr>
              <w:t>(8)(14)</w:t>
            </w:r>
          </w:p>
        </w:tc>
        <w:tc>
          <w:tcPr>
            <w:tcW w:w="100" w:type="dxa"/>
            <w:vAlign w:val="bottom"/>
            <w:shd w:val="clear" w:color="auto" w:fill="CCEEFF"/>
          </w:tcPr>
          <w:p>
            <w:pPr>
              <w:spacing w:after="0"/>
              <w:rPr>
                <w:sz w:val="18"/>
                <w:szCs w:val="18"/>
                <w:color w:val="auto"/>
              </w:rPr>
            </w:pPr>
          </w:p>
        </w:tc>
        <w:tc>
          <w:tcPr>
            <w:tcW w:w="4460" w:type="dxa"/>
            <w:vAlign w:val="bottom"/>
            <w:gridSpan w:val="2"/>
            <w:vMerge w:val="continue"/>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Media: Advertising, Printing &amp;</w:t>
            </w:r>
          </w:p>
        </w:tc>
        <w:tc>
          <w:tcPr>
            <w:tcW w:w="100" w:type="dxa"/>
            <w:vAlign w:val="bottom"/>
            <w:shd w:val="clear" w:color="auto" w:fill="CCEEFF"/>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 Cash, 3 month LIBOR(1.69%) + 4.75%; LIBOR</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Publishing</w:t>
            </w:r>
          </w:p>
        </w:tc>
        <w:tc>
          <w:tcPr>
            <w:tcW w:w="100" w:type="dxa"/>
            <w:vAlign w:val="bottom"/>
            <w:shd w:val="clear" w:color="auto" w:fill="CCEEFF"/>
          </w:tcPr>
          <w:p>
            <w:pPr>
              <w:spacing w:after="0"/>
              <w:rPr>
                <w:sz w:val="20"/>
                <w:szCs w:val="20"/>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11/23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2,986,482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3,011,321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(8)(14)</w:t>
            </w:r>
          </w:p>
        </w:tc>
        <w:tc>
          <w:tcPr>
            <w:tcW w:w="10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Junior Secured Loan — Initial Term Loan (Second Lien)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11.2% Cash, 3 month LIBOR(1.69%) + 9.50%; LIBOR</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60" w:type="dxa"/>
            <w:vAlign w:val="bottom"/>
            <w:gridSpan w:val="2"/>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Forest Products &amp; Paper</w:t>
            </w:r>
          </w:p>
        </w:tc>
        <w:tc>
          <w:tcPr>
            <w:tcW w:w="100" w:type="dxa"/>
            <w:vAlign w:val="bottom"/>
            <w:shd w:val="clear" w:color="auto" w:fill="CCEEFF"/>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11/24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1,558,556</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Industrial Services Acquisition, LLC (aka</w:t>
            </w:r>
          </w:p>
        </w:tc>
        <w:tc>
          <w:tcPr>
            <w:tcW w:w="10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2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rPr>
              <w:t>Evergreen / NAIC)</w:t>
            </w:r>
            <w:r>
              <w:rPr>
                <w:rFonts w:ascii="Arial" w:cs="Arial" w:eastAsia="Arial" w:hAnsi="Arial"/>
                <w:sz w:val="30"/>
                <w:szCs w:val="30"/>
                <w:color w:val="auto"/>
                <w:vertAlign w:val="superscript"/>
              </w:rPr>
              <w:t>(8)(14)</w:t>
            </w:r>
          </w:p>
        </w:tc>
        <w:tc>
          <w:tcPr>
            <w:tcW w:w="100" w:type="dxa"/>
            <w:vAlign w:val="bottom"/>
            <w:shd w:val="clear" w:color="auto" w:fill="CCEEFF"/>
          </w:tcPr>
          <w:p>
            <w:pPr>
              <w:spacing w:after="0"/>
              <w:rPr>
                <w:sz w:val="23"/>
                <w:szCs w:val="23"/>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 Cash, 1 month LIBOR(1.63%) + 5.00%; LIBOR</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10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1.00% , Due 6/22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1,167,909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1,173,405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1,167,909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Amortized</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0" w:type="dxa"/>
            <w:vAlign w:val="bottom"/>
          </w:tcPr>
          <w:p>
            <w:pPr>
              <w:spacing w:after="0"/>
              <w:rPr>
                <w:sz w:val="1"/>
                <w:szCs w:val="1"/>
                <w:color w:val="auto"/>
              </w:rPr>
            </w:pPr>
          </w:p>
        </w:tc>
      </w:tr>
      <w:tr>
        <w:trPr>
          <w:trHeight w:val="234"/>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Principal</w:t>
            </w:r>
          </w:p>
        </w:tc>
        <w:tc>
          <w:tcPr>
            <w:tcW w:w="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Cost</w:t>
            </w: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Infobase Holdings, Inc.</w:t>
            </w:r>
            <w:r>
              <w:rPr>
                <w:rFonts w:ascii="Arial" w:cs="Arial" w:eastAsia="Arial" w:hAnsi="Arial"/>
                <w:sz w:val="22"/>
                <w:szCs w:val="22"/>
                <w:color w:val="auto"/>
                <w:vertAlign w:val="superscript"/>
              </w:rPr>
              <w:t>(8)(14)</w:t>
            </w:r>
          </w:p>
        </w:tc>
        <w:tc>
          <w:tcPr>
            <w:tcW w:w="40" w:type="dxa"/>
            <w:vAlign w:val="bottom"/>
            <w:tcBorders>
              <w:top w:val="single" w:sz="8" w:color="CCEEFF"/>
            </w:tcBorders>
            <w:shd w:val="clear" w:color="auto" w:fill="CCEEFF"/>
          </w:tcPr>
          <w:p>
            <w:pPr>
              <w:spacing w:after="0"/>
              <w:rPr>
                <w:sz w:val="17"/>
                <w:szCs w:val="17"/>
                <w:color w:val="auto"/>
              </w:rPr>
            </w:pPr>
          </w:p>
        </w:tc>
        <w:tc>
          <w:tcPr>
            <w:tcW w:w="5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Term Loan</w:t>
            </w:r>
          </w:p>
        </w:tc>
        <w:tc>
          <w:tcPr>
            <w:tcW w:w="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4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8.0% Cash, Prime LIBOR(0.00%) + 8.00%; LIBOR Floor 0.00% , Due</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12/22</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2,000,000</w:t>
            </w:r>
          </w:p>
        </w:tc>
        <w:tc>
          <w:tcPr>
            <w:tcW w:w="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1,980,000</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3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Ivanti Software, Inc. (fka LANDesk Group,</w:t>
            </w:r>
          </w:p>
        </w:tc>
        <w:tc>
          <w:tcPr>
            <w:tcW w:w="4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Loan (Second Lien)</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400" w:type="dxa"/>
            <w:vAlign w:val="bottom"/>
            <w:shd w:val="clear" w:color="auto" w:fill="CCEEFF"/>
          </w:tcPr>
          <w:p>
            <w:pPr>
              <w:spacing w:after="0" w:line="271" w:lineRule="exact"/>
              <w:rPr>
                <w:sz w:val="20"/>
                <w:szCs w:val="20"/>
                <w:color w:val="auto"/>
              </w:rPr>
            </w:pPr>
            <w:r>
              <w:rPr>
                <w:rFonts w:ascii="Arial" w:cs="Arial" w:eastAsia="Arial" w:hAnsi="Arial"/>
                <w:sz w:val="18"/>
                <w:szCs w:val="18"/>
                <w:color w:val="auto"/>
              </w:rPr>
              <w:t>Inc.)</w:t>
            </w:r>
            <w:r>
              <w:rPr>
                <w:rFonts w:ascii="Arial" w:cs="Arial" w:eastAsia="Arial" w:hAnsi="Arial"/>
                <w:sz w:val="30"/>
                <w:szCs w:val="30"/>
                <w:color w:val="auto"/>
                <w:vertAlign w:val="superscript"/>
              </w:rPr>
              <w:t>(8)</w:t>
            </w:r>
          </w:p>
        </w:tc>
        <w:tc>
          <w:tcPr>
            <w:tcW w:w="40" w:type="dxa"/>
            <w:vAlign w:val="bottom"/>
            <w:shd w:val="clear" w:color="auto" w:fill="CCEEFF"/>
          </w:tcPr>
          <w:p>
            <w:pPr>
              <w:spacing w:after="0"/>
              <w:rPr>
                <w:sz w:val="23"/>
                <w:szCs w:val="23"/>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10.6% Cash, 1 month LIBOR(1.57%) + 9.00%; LIBOR Floor 1.00% ,</w:t>
            </w:r>
          </w:p>
        </w:tc>
        <w:tc>
          <w:tcPr>
            <w:tcW w:w="7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3,228,619</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3,228,619</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MB Aerospace ACP Holdings II Corp.</w:t>
            </w:r>
            <w:r>
              <w:rPr>
                <w:rFonts w:ascii="Arial" w:cs="Arial" w:eastAsia="Arial" w:hAnsi="Arial"/>
                <w:sz w:val="23"/>
                <w:szCs w:val="23"/>
                <w:color w:val="auto"/>
                <w:vertAlign w:val="superscript"/>
              </w:rPr>
              <w:t>(8)(14)</w:t>
            </w:r>
          </w:p>
        </w:tc>
        <w:tc>
          <w:tcPr>
            <w:tcW w:w="4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4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7.1% Cash, 1 month LIBOR(1.63%) + 5.50%; LIBOR Floor 1.00% , Due</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12/22</w:t>
            </w:r>
          </w:p>
        </w:tc>
        <w:tc>
          <w:tcPr>
            <w:tcW w:w="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980,000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981,158</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3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MB Aerospace ACP Holdings III Corp.</w:t>
            </w:r>
            <w:r>
              <w:rPr>
                <w:rFonts w:ascii="Arial" w:cs="Arial" w:eastAsia="Arial" w:hAnsi="Arial"/>
                <w:sz w:val="23"/>
                <w:szCs w:val="23"/>
                <w:color w:val="auto"/>
                <w:vertAlign w:val="superscript"/>
              </w:rPr>
              <w:t>(8)(14)</w:t>
            </w:r>
          </w:p>
        </w:tc>
        <w:tc>
          <w:tcPr>
            <w:tcW w:w="4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4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5.1% Cash, 1 month LIBOR(1.58%) + 3.50%; LIBOR Floor 1.00% , Due</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1,243,750</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1,243,750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3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National Home Health Care Corp.</w:t>
            </w:r>
            <w:r>
              <w:rPr>
                <w:rFonts w:ascii="Arial" w:cs="Arial" w:eastAsia="Arial" w:hAnsi="Arial"/>
                <w:sz w:val="23"/>
                <w:szCs w:val="23"/>
                <w:color w:val="auto"/>
                <w:vertAlign w:val="superscript"/>
              </w:rPr>
              <w:t>(8)(14)</w:t>
            </w:r>
          </w:p>
        </w:tc>
        <w:tc>
          <w:tcPr>
            <w:tcW w:w="4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 Lien)</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4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10.4% Cash, 1 month LIBOR(1.43%) + 9.00%; LIBOR Floor 1.00% ,</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Due 12/22</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1,500,728</w:t>
            </w:r>
          </w:p>
        </w:tc>
        <w:tc>
          <w:tcPr>
            <w:tcW w:w="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1,482,044</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1,458,257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(8)</w:t>
            </w:r>
          </w:p>
        </w:tc>
        <w:tc>
          <w:tcPr>
            <w:tcW w:w="4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 Lien)</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4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10.2% Cash, 3 month LIBOR(1.69%) + 8.50%; LIBOR Floor 1.00% ,</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Due 12/19</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1,495,995</w:t>
            </w:r>
          </w:p>
        </w:tc>
        <w:tc>
          <w:tcPr>
            <w:tcW w:w="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1,495,995</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1,487,618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Playpower, Inc.</w:t>
            </w:r>
            <w:r>
              <w:rPr>
                <w:rFonts w:ascii="Arial" w:cs="Arial" w:eastAsia="Arial" w:hAnsi="Arial"/>
                <w:sz w:val="23"/>
                <w:szCs w:val="23"/>
                <w:color w:val="auto"/>
                <w:vertAlign w:val="superscript"/>
              </w:rPr>
              <w:t>(8)(14)</w:t>
            </w:r>
          </w:p>
        </w:tc>
        <w:tc>
          <w:tcPr>
            <w:tcW w:w="4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 (First Lien)</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Construction &amp; Building</w:t>
            </w:r>
          </w:p>
        </w:tc>
        <w:tc>
          <w:tcPr>
            <w:tcW w:w="4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6.4% Cash, 3 month LIBOR(1.69%) + 4.75%; LIBOR Floor 1.00% , Due</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6/21</w:t>
            </w:r>
          </w:p>
        </w:tc>
        <w:tc>
          <w:tcPr>
            <w:tcW w:w="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994,898</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1,004,093</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999,872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3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PSC Industrial Holdings Corp.</w:t>
            </w:r>
            <w:r>
              <w:rPr>
                <w:rFonts w:ascii="Arial" w:cs="Arial" w:eastAsia="Arial" w:hAnsi="Arial"/>
                <w:sz w:val="23"/>
                <w:szCs w:val="23"/>
                <w:color w:val="auto"/>
                <w:vertAlign w:val="superscript"/>
              </w:rPr>
              <w:t>(8)(14)</w:t>
            </w:r>
          </w:p>
        </w:tc>
        <w:tc>
          <w:tcPr>
            <w:tcW w:w="4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 (Second Lien)</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4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10.0% Cash, 1 month LIBOR(1.46%) + 8.50%; LIBOR Floor 1.00% ,</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Due 10/25</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3,000,000</w:t>
            </w:r>
          </w:p>
        </w:tc>
        <w:tc>
          <w:tcPr>
            <w:tcW w:w="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2,941,524</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RESIC Enterprises, LLC (aka Lyons Magnus)</w:t>
            </w:r>
          </w:p>
        </w:tc>
        <w:tc>
          <w:tcPr>
            <w:tcW w:w="4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Initial Term Loan (First Lien)</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(8)</w:t>
            </w:r>
          </w:p>
        </w:tc>
        <w:tc>
          <w:tcPr>
            <w:tcW w:w="4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5.7% Cash, 1 month LIBOR(1.43%) + 4.25%; LIBOR Floor 1.00% , Due</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Food and Tobacco</w:t>
            </w:r>
          </w:p>
        </w:tc>
        <w:tc>
          <w:tcPr>
            <w:tcW w:w="40" w:type="dxa"/>
            <w:vAlign w:val="bottom"/>
            <w:shd w:val="clear" w:color="auto" w:fill="CCEEFF"/>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3,000,000</w:t>
            </w: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2,985,247</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Roscoe Medical, Inc.</w:t>
            </w:r>
            <w:r>
              <w:rPr>
                <w:rFonts w:ascii="Arial" w:cs="Arial" w:eastAsia="Arial" w:hAnsi="Arial"/>
                <w:sz w:val="29"/>
                <w:szCs w:val="29"/>
                <w:color w:val="auto"/>
                <w:vertAlign w:val="superscript"/>
              </w:rPr>
              <w:t>(8)(14)</w:t>
            </w:r>
          </w:p>
        </w:tc>
        <w:tc>
          <w:tcPr>
            <w:tcW w:w="40" w:type="dxa"/>
            <w:vAlign w:val="bottom"/>
            <w:shd w:val="clear" w:color="auto" w:fill="CCEEFF"/>
          </w:tcPr>
          <w:p>
            <w:pPr>
              <w:spacing w:after="0"/>
              <w:rPr>
                <w:sz w:val="22"/>
                <w:szCs w:val="22"/>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Secured Loan — Term Loan (Second Lien)</w:t>
            </w: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4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11.3% Cash, Due 9/19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6,700,000</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6,678,900</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Salient CRGT Inc.</w:t>
            </w:r>
            <w:r>
              <w:rPr>
                <w:rFonts w:ascii="Arial" w:cs="Arial" w:eastAsia="Arial" w:hAnsi="Arial"/>
                <w:sz w:val="23"/>
                <w:szCs w:val="23"/>
                <w:color w:val="auto"/>
                <w:vertAlign w:val="superscript"/>
              </w:rPr>
              <w:t>(8)</w:t>
            </w:r>
          </w:p>
        </w:tc>
        <w:tc>
          <w:tcPr>
            <w:tcW w:w="4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4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7.3% Cash, 1 month LIBOR(1.57%) + 5.75%; LIBOR Floor 1.00% , Due</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1,967,742</w:t>
            </w:r>
          </w:p>
        </w:tc>
        <w:tc>
          <w:tcPr>
            <w:tcW w:w="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1,992,339</w:t>
            </w:r>
          </w:p>
        </w:tc>
        <w:tc>
          <w:tcPr>
            <w:tcW w:w="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1,992,339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3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860" w:type="dxa"/>
            <w:vAlign w:val="bottom"/>
            <w:gridSpan w:val="4"/>
          </w:tcPr>
          <w:p>
            <w:pPr>
              <w:ind w:left="60"/>
              <w:spacing w:after="0"/>
              <w:rPr>
                <w:sz w:val="20"/>
                <w:szCs w:val="20"/>
                <w:color w:val="auto"/>
              </w:rPr>
            </w:pPr>
            <w:r>
              <w:rPr>
                <w:rFonts w:ascii="Arial" w:cs="Arial" w:eastAsia="Arial" w:hAnsi="Arial"/>
                <w:sz w:val="18"/>
                <w:szCs w:val="18"/>
                <w:b w:val="1"/>
                <w:bCs w:val="1"/>
                <w:color w:val="auto"/>
              </w:rPr>
              <w:t>Investment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Amortized</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w w:val="98"/>
              </w:rPr>
              <w:t>Portfolio Company / Principal Business</w:t>
            </w:r>
          </w:p>
        </w:tc>
        <w:tc>
          <w:tcPr>
            <w:tcW w:w="4860" w:type="dxa"/>
            <w:vAlign w:val="bottom"/>
            <w:gridSpan w:val="4"/>
          </w:tcPr>
          <w:p>
            <w:pPr>
              <w:ind w:left="60"/>
              <w:spacing w:after="0"/>
              <w:rPr>
                <w:sz w:val="20"/>
                <w:szCs w:val="20"/>
                <w:color w:val="auto"/>
              </w:rPr>
            </w:pPr>
            <w:r>
              <w:rPr>
                <w:rFonts w:ascii="Arial" w:cs="Arial" w:eastAsia="Arial" w:hAnsi="Arial"/>
                <w:sz w:val="18"/>
                <w:szCs w:val="18"/>
                <w:b w:val="1"/>
                <w:bCs w:val="1"/>
                <w:color w:val="auto"/>
              </w:rPr>
              <w:t>Interest Rate¹ / Maturity</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Principal</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Cost</w:t>
            </w: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SCSG EA Acquisition Company, Inc.</w:t>
            </w:r>
            <w:r>
              <w:rPr>
                <w:rFonts w:ascii="Arial" w:cs="Arial" w:eastAsia="Arial" w:hAnsi="Arial"/>
                <w:sz w:val="22"/>
                <w:szCs w:val="22"/>
                <w:color w:val="auto"/>
                <w:vertAlign w:val="superscript"/>
              </w:rPr>
              <w:t>(8)</w:t>
            </w:r>
          </w:p>
        </w:tc>
        <w:tc>
          <w:tcPr>
            <w:tcW w:w="6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Initial Term Loan (Second Lien)</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60" w:type="dxa"/>
            <w:vAlign w:val="bottom"/>
            <w:shd w:val="clear" w:color="auto" w:fill="CCEEFF"/>
          </w:tcPr>
          <w:p>
            <w:pPr>
              <w:spacing w:after="0"/>
              <w:rPr>
                <w:sz w:val="20"/>
                <w:szCs w:val="20"/>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9.7% Cash, 3 month LIBOR(1.48%) + 8.25%; LIBOR Floor</w:t>
            </w: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0"/>
              </w:rPr>
              <w:t>1.00%</w:t>
            </w:r>
          </w:p>
        </w:tc>
        <w:tc>
          <w:tcPr>
            <w:tcW w:w="4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Due 9/24</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5,000,000</w:t>
            </w: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4,952,274</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4,955,000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4320" w:type="dxa"/>
            <w:vAlign w:val="bottom"/>
            <w:gridSpan w:val="2"/>
            <w:vMerge w:val="continue"/>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Stafford Logistics, Inc.(dba Custom Ecology,</w:t>
            </w:r>
          </w:p>
        </w:tc>
        <w:tc>
          <w:tcPr>
            <w:tcW w:w="60" w:type="dxa"/>
            <w:vAlign w:val="bottom"/>
            <w:shd w:val="clear" w:color="auto" w:fill="CCEEFF"/>
          </w:tcPr>
          <w:p>
            <w:pPr>
              <w:spacing w:after="0"/>
              <w:rPr>
                <w:sz w:val="17"/>
                <w:szCs w:val="17"/>
                <w:color w:val="auto"/>
              </w:rPr>
            </w:pPr>
          </w:p>
        </w:tc>
        <w:tc>
          <w:tcPr>
            <w:tcW w:w="4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Restructured Term Loan</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spacing w:after="0" w:line="271" w:lineRule="exact"/>
              <w:rPr>
                <w:sz w:val="20"/>
                <w:szCs w:val="20"/>
                <w:color w:val="auto"/>
              </w:rPr>
            </w:pPr>
            <w:r>
              <w:rPr>
                <w:rFonts w:ascii="Arial" w:cs="Arial" w:eastAsia="Arial" w:hAnsi="Arial"/>
                <w:sz w:val="31"/>
                <w:szCs w:val="31"/>
                <w:color w:val="auto"/>
                <w:vertAlign w:val="subscript"/>
              </w:rPr>
              <w:t>Inc.)</w:t>
            </w:r>
            <w:r>
              <w:rPr>
                <w:rFonts w:ascii="Arial" w:cs="Arial" w:eastAsia="Arial" w:hAnsi="Arial"/>
                <w:sz w:val="14"/>
                <w:szCs w:val="14"/>
                <w:color w:val="auto"/>
              </w:rPr>
              <w:t>(8)(13)(14)</w:t>
            </w:r>
          </w:p>
        </w:tc>
        <w:tc>
          <w:tcPr>
            <w:tcW w:w="60" w:type="dxa"/>
            <w:vAlign w:val="bottom"/>
            <w:shd w:val="clear" w:color="auto" w:fill="CCEEFF"/>
          </w:tcPr>
          <w:p>
            <w:pPr>
              <w:spacing w:after="0"/>
              <w:rPr>
                <w:sz w:val="23"/>
                <w:szCs w:val="23"/>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8.2% Cash, 7.2% PIK, 3 month LIBOR(1.57%) + 6.62%;</w:t>
            </w: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6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LIBOR Floor 1.00% , Due 10/22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1,883,914</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1,875,914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Stafford Logistics, Inc.(dba Custom Ecology,</w:t>
            </w:r>
          </w:p>
        </w:tc>
        <w:tc>
          <w:tcPr>
            <w:tcW w:w="60" w:type="dxa"/>
            <w:vAlign w:val="bottom"/>
            <w:shd w:val="clear" w:color="auto" w:fill="CCEEFF"/>
          </w:tcPr>
          <w:p>
            <w:pPr>
              <w:spacing w:after="0"/>
              <w:rPr>
                <w:sz w:val="17"/>
                <w:szCs w:val="17"/>
                <w:color w:val="auto"/>
              </w:rPr>
            </w:pPr>
          </w:p>
        </w:tc>
        <w:tc>
          <w:tcPr>
            <w:tcW w:w="4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spacing w:after="0" w:line="271" w:lineRule="exact"/>
              <w:rPr>
                <w:sz w:val="20"/>
                <w:szCs w:val="20"/>
                <w:color w:val="auto"/>
              </w:rPr>
            </w:pPr>
            <w:r>
              <w:rPr>
                <w:rFonts w:ascii="Arial" w:cs="Arial" w:eastAsia="Arial" w:hAnsi="Arial"/>
                <w:sz w:val="31"/>
                <w:szCs w:val="31"/>
                <w:color w:val="auto"/>
                <w:vertAlign w:val="subscript"/>
              </w:rPr>
              <w:t>Inc.)</w:t>
            </w:r>
            <w:r>
              <w:rPr>
                <w:rFonts w:ascii="Arial" w:cs="Arial" w:eastAsia="Arial" w:hAnsi="Arial"/>
                <w:sz w:val="14"/>
                <w:szCs w:val="14"/>
                <w:color w:val="auto"/>
              </w:rPr>
              <w:t>(8)(14)</w:t>
            </w: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13.7%</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Cash, 3 month LIBOR(1.69%) + 12.00%; LIBOR Floor</w:t>
            </w: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1.00%</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10/22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339,788</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339,788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339,788</w:t>
            </w: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color w:val="auto"/>
        </w:rPr>
        <w:t>Tank Partners Holdings, LLC</w:t>
      </w:r>
      <w:r>
        <w:rPr>
          <w:rFonts w:ascii="Arial" w:cs="Arial" w:eastAsia="Arial" w:hAnsi="Arial"/>
          <w:sz w:val="30"/>
          <w:szCs w:val="30"/>
          <w:color w:val="auto"/>
          <w:vertAlign w:val="superscript"/>
        </w:rPr>
        <w:t>(8)(13)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152650"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2650" cy="3003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Energy: Oil &amp; Gas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Tex-Tech Industries, Inc.</w:t>
      </w:r>
      <w:r>
        <w:rPr>
          <w:rFonts w:ascii="Arial" w:cs="Arial" w:eastAsia="Arial" w:hAnsi="Arial"/>
          <w:sz w:val="30"/>
          <w:szCs w:val="30"/>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2152650" cy="43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2650" cy="43751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Textiles and Leather</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Time Manufacturing Acquisition, LLC</w:t>
      </w:r>
      <w:r>
        <w:rPr>
          <w:rFonts w:ascii="Arial" w:cs="Arial" w:eastAsia="Arial" w:hAnsi="Arial"/>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2152650" cy="43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2650" cy="437515"/>
                    </a:xfrm>
                    <a:prstGeom prst="rect">
                      <a:avLst/>
                    </a:prstGeom>
                    <a:noFill/>
                  </pic:spPr>
                </pic:pic>
              </a:graphicData>
            </a:graphic>
          </wp:anchor>
        </w:drawing>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Capital Equipment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Trimaran Advisors, L.L.C.</w:t>
      </w:r>
      <w:r>
        <w:rPr>
          <w:rFonts w:ascii="Arial" w:cs="Arial" w:eastAsia="Arial" w:hAnsi="Arial"/>
          <w:sz w:val="30"/>
          <w:szCs w:val="30"/>
          <w:color w:val="auto"/>
          <w:vertAlign w:val="superscript"/>
        </w:rPr>
        <w:t>(8)(9)(14)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15265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2650" cy="3003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Related Party Loan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Trimaran Advisors, L.L.C.</w:t>
      </w:r>
      <w:r>
        <w:rPr>
          <w:rFonts w:ascii="Arial" w:cs="Arial" w:eastAsia="Arial" w:hAnsi="Arial"/>
          <w:sz w:val="30"/>
          <w:szCs w:val="30"/>
          <w:color w:val="auto"/>
          <w:vertAlign w:val="superscript"/>
        </w:rPr>
        <w:t>(8)(9)(14)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152650"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2650" cy="3003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Related Party Loan</w:t>
      </w:r>
    </w:p>
    <w:p>
      <w:pPr>
        <w:spacing w:after="0" w:line="213" w:lineRule="exact"/>
        <w:rPr>
          <w:sz w:val="20"/>
          <w:szCs w:val="20"/>
          <w:color w:val="auto"/>
        </w:rPr>
      </w:pPr>
    </w:p>
    <w:p>
      <w:pPr>
        <w:jc w:val="right"/>
        <w:ind w:right="1120"/>
        <w:spacing w:after="0" w:line="396" w:lineRule="auto"/>
        <w:rPr>
          <w:sz w:val="20"/>
          <w:szCs w:val="20"/>
          <w:color w:val="auto"/>
        </w:rPr>
      </w:pPr>
      <w:r>
        <w:rPr>
          <w:rFonts w:ascii="Arial" w:cs="Arial" w:eastAsia="Arial" w:hAnsi="Arial"/>
          <w:sz w:val="16"/>
          <w:szCs w:val="16"/>
          <w:color w:val="auto"/>
        </w:rPr>
        <w:t>TronAir Parent Inc.</w:t>
      </w:r>
      <w:r>
        <w:rPr>
          <w:rFonts w:ascii="Arial" w:cs="Arial" w:eastAsia="Arial" w:hAnsi="Arial"/>
          <w:sz w:val="25"/>
          <w:szCs w:val="25"/>
          <w:color w:val="auto"/>
          <w:vertAlign w:val="superscript"/>
        </w:rPr>
        <w:t>(8)(14)</w:t>
      </w:r>
      <w:r>
        <w:rPr>
          <w:rFonts w:ascii="Arial" w:cs="Arial" w:eastAsia="Arial" w:hAnsi="Arial"/>
          <w:sz w:val="16"/>
          <w:szCs w:val="16"/>
          <w:color w:val="auto"/>
        </w:rPr>
        <w:t xml:space="preserve"> Aerospace and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2152650" cy="43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2650" cy="4375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TRSO I, Inc.</w:t>
      </w:r>
      <w:r>
        <w:rPr>
          <w:rFonts w:ascii="Arial" w:cs="Arial" w:eastAsia="Arial" w:hAnsi="Arial"/>
          <w:sz w:val="30"/>
          <w:szCs w:val="30"/>
          <w:color w:val="auto"/>
          <w:vertAlign w:val="superscript"/>
        </w:rPr>
        <w:t>(8)(14)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2152650" cy="437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2650" cy="43751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Energy: Oil &amp; Gas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2152650" cy="43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2650" cy="43751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Consumer goods: Non-durable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2152650" cy="437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2650" cy="43751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Capital Equipment</w:t>
      </w:r>
    </w:p>
    <w:p>
      <w:pPr>
        <w:spacing w:after="0" w:line="327" w:lineRule="exact"/>
        <w:rPr>
          <w:sz w:val="20"/>
          <w:szCs w:val="20"/>
          <w:color w:val="auto"/>
        </w:rPr>
      </w:pPr>
    </w:p>
    <w:p>
      <w:pPr>
        <w:ind w:left="180" w:hanging="161"/>
        <w:spacing w:after="0" w:line="347" w:lineRule="auto"/>
        <w:rPr>
          <w:sz w:val="20"/>
          <w:szCs w:val="20"/>
          <w:color w:val="auto"/>
        </w:rPr>
      </w:pPr>
      <w:r>
        <w:rPr>
          <w:rFonts w:ascii="Arial" w:cs="Arial" w:eastAsia="Arial" w:hAnsi="Arial"/>
          <w:sz w:val="16"/>
          <w:szCs w:val="16"/>
          <w:b w:val="1"/>
          <w:bCs w:val="1"/>
          <w:color w:val="auto"/>
        </w:rPr>
        <w:t>Total Investment in Debt Securities (65% of net asset value at fair value)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0" w:type="dxa"/>
            <w:vAlign w:val="bottom"/>
          </w:tcPr>
          <w:p>
            <w:pPr>
              <w:spacing w:after="0"/>
              <w:rPr>
                <w:sz w:val="21"/>
                <w:szCs w:val="21"/>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Loan</w:t>
            </w: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2.0% Cash, 12.8% PIK, Base Rate (4.25%) + 10.5% , Due 8/19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12,739,078</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12,258,031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vMerge w:val="continue"/>
          </w:tcPr>
          <w:p>
            <w:pPr>
              <w:spacing w:after="0"/>
              <w:rPr>
                <w:sz w:val="17"/>
                <w:szCs w:val="17"/>
                <w:color w:val="auto"/>
              </w:rPr>
            </w:pPr>
          </w:p>
        </w:tc>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7"/>
              </w:rPr>
              <w:t>10.6% Cash, 1 month LIBOR(1.57%) + 9.00%; LIBOR Floor</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CCEEFF"/>
          </w:tcPr>
          <w:p>
            <w:pPr>
              <w:spacing w:after="0"/>
              <w:rPr>
                <w:sz w:val="5"/>
                <w:szCs w:val="5"/>
                <w:color w:val="auto"/>
              </w:rPr>
            </w:pPr>
          </w:p>
        </w:tc>
        <w:tc>
          <w:tcPr>
            <w:tcW w:w="4660" w:type="dxa"/>
            <w:vAlign w:val="bottom"/>
            <w:gridSpan w:val="2"/>
            <w:vMerge w:val="continue"/>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1.00%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8/24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8,008,000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7,950,994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7,947,940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vMerge w:val="continue"/>
          </w:tcPr>
          <w:p>
            <w:pPr>
              <w:spacing w:after="0"/>
              <w:rPr>
                <w:sz w:val="17"/>
                <w:szCs w:val="17"/>
                <w:color w:val="auto"/>
              </w:rPr>
            </w:pPr>
          </w:p>
        </w:tc>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9"/>
              </w:rPr>
              <w:t>6.8% Cash, 3 month LIBOR(1.75%) + 5.00%; LIBOR Floor</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CCEEFF"/>
          </w:tcPr>
          <w:p>
            <w:pPr>
              <w:spacing w:after="0"/>
              <w:rPr>
                <w:sz w:val="5"/>
                <w:szCs w:val="5"/>
                <w:color w:val="auto"/>
              </w:rPr>
            </w:pPr>
          </w:p>
        </w:tc>
        <w:tc>
          <w:tcPr>
            <w:tcW w:w="4660" w:type="dxa"/>
            <w:vAlign w:val="bottom"/>
            <w:gridSpan w:val="2"/>
            <w:vMerge w:val="continue"/>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1.00%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2/23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994,987</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992,633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vMerge w:val="continue"/>
          </w:tcPr>
          <w:p>
            <w:pPr>
              <w:spacing w:after="0"/>
              <w:rPr>
                <w:sz w:val="20"/>
                <w:szCs w:val="20"/>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Loan — Term Loan Series 1</w:t>
            </w: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0"/>
              </w:rPr>
              <w:t>10.5%</w:t>
            </w:r>
          </w:p>
        </w:tc>
        <w:tc>
          <w:tcPr>
            <w:tcW w:w="4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Cash, Due 4/30</w:t>
            </w: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8,359,051</w:t>
            </w:r>
          </w:p>
        </w:tc>
        <w:tc>
          <w:tcPr>
            <w:tcW w:w="12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8,359,051</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8,359,051</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18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vMerge w:val="continue"/>
          </w:tcPr>
          <w:p>
            <w:pPr>
              <w:spacing w:after="0"/>
              <w:rPr>
                <w:sz w:val="20"/>
                <w:szCs w:val="20"/>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Loan — Term Loan Series 2</w:t>
            </w: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0"/>
              </w:rPr>
              <w:t>10.5%</w:t>
            </w:r>
          </w:p>
        </w:tc>
        <w:tc>
          <w:tcPr>
            <w:tcW w:w="4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Cash, Due 1/28</w:t>
            </w: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4,418,232</w:t>
            </w:r>
          </w:p>
        </w:tc>
        <w:tc>
          <w:tcPr>
            <w:tcW w:w="12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4,418,232</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4,418,232</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18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vMerge w:val="continue"/>
          </w:tcPr>
          <w:p>
            <w:pPr>
              <w:spacing w:after="0"/>
              <w:rPr>
                <w:sz w:val="17"/>
                <w:szCs w:val="17"/>
                <w:color w:val="auto"/>
              </w:rPr>
            </w:pPr>
          </w:p>
        </w:tc>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Initial Term Loan (First Lien)</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9"/>
              </w:rPr>
              <w:t>6.2% Cash, 1 month LIBOR(1.41%) + 4.75%; LIBOR Floor</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CCEEFF"/>
          </w:tcPr>
          <w:p>
            <w:pPr>
              <w:spacing w:after="0"/>
              <w:rPr>
                <w:sz w:val="5"/>
                <w:szCs w:val="5"/>
                <w:color w:val="auto"/>
              </w:rPr>
            </w:pPr>
          </w:p>
        </w:tc>
        <w:tc>
          <w:tcPr>
            <w:tcW w:w="4660" w:type="dxa"/>
            <w:vAlign w:val="bottom"/>
            <w:gridSpan w:val="2"/>
            <w:vMerge w:val="continue"/>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1.00%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9/23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997,475</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994,981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vMerge w:val="continue"/>
          </w:tcPr>
          <w:p>
            <w:pPr>
              <w:spacing w:after="0"/>
              <w:rPr>
                <w:sz w:val="17"/>
                <w:szCs w:val="17"/>
                <w:color w:val="auto"/>
              </w:rPr>
            </w:pPr>
          </w:p>
        </w:tc>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5"/>
              </w:rPr>
              <w:t>14.0% Cash, 3 month LIBOR(1.00%) + 13.00%; LIBOR Floor</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CCEEFF"/>
          </w:tcPr>
          <w:p>
            <w:pPr>
              <w:spacing w:after="0"/>
              <w:rPr>
                <w:sz w:val="5"/>
                <w:szCs w:val="5"/>
                <w:color w:val="auto"/>
              </w:rPr>
            </w:pPr>
          </w:p>
        </w:tc>
        <w:tc>
          <w:tcPr>
            <w:tcW w:w="4660" w:type="dxa"/>
            <w:vAlign w:val="bottom"/>
            <w:gridSpan w:val="2"/>
            <w:vMerge w:val="continue"/>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1.00%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12/19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994,351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vMerge w:val="continue"/>
          </w:tcPr>
          <w:p>
            <w:pPr>
              <w:spacing w:after="0"/>
              <w:rPr>
                <w:sz w:val="17"/>
                <w:szCs w:val="17"/>
                <w:color w:val="auto"/>
              </w:rPr>
            </w:pPr>
          </w:p>
        </w:tc>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 (2013)</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9"/>
              </w:rPr>
              <w:t>6.2% Cash, 3 month LIBOR(1.69%) + 4.50%; LIBOR Floor</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CCEEFF"/>
          </w:tcPr>
          <w:p>
            <w:pPr>
              <w:spacing w:after="0"/>
              <w:rPr>
                <w:sz w:val="5"/>
                <w:szCs w:val="5"/>
                <w:color w:val="auto"/>
              </w:rPr>
            </w:pPr>
          </w:p>
        </w:tc>
        <w:tc>
          <w:tcPr>
            <w:tcW w:w="4660" w:type="dxa"/>
            <w:vAlign w:val="bottom"/>
            <w:gridSpan w:val="2"/>
            <w:vMerge w:val="continue"/>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1.00%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11/21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694,662</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691,234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6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vMerge w:val="continue"/>
          </w:tcPr>
          <w:p>
            <w:pPr>
              <w:spacing w:after="0"/>
              <w:rPr>
                <w:sz w:val="17"/>
                <w:szCs w:val="17"/>
                <w:color w:val="auto"/>
              </w:rPr>
            </w:pPr>
          </w:p>
        </w:tc>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Initial Term Loan (Second Lien)</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7"/>
              </w:rPr>
              <w:t>10.5% Cash, 3 month LIBOR(1.48%) + 9.00%; LIBOR Floor</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CCEEFF"/>
          </w:tcPr>
          <w:p>
            <w:pPr>
              <w:spacing w:after="0"/>
              <w:rPr>
                <w:sz w:val="5"/>
                <w:szCs w:val="5"/>
                <w:color w:val="auto"/>
              </w:rPr>
            </w:pPr>
          </w:p>
        </w:tc>
        <w:tc>
          <w:tcPr>
            <w:tcW w:w="4660" w:type="dxa"/>
            <w:vAlign w:val="bottom"/>
            <w:gridSpan w:val="2"/>
            <w:vMerge w:val="continue"/>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1.00%</w:t>
            </w: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9/24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2,961,988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2,991,600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shd w:val="clear" w:color="auto" w:fill="CCEEFF"/>
              </w:rPr>
              <w:t>$ 126,110,659</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shd w:val="clear" w:color="auto" w:fill="CCEEFF"/>
              </w:rPr>
              <w:t>$ 125,179,470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shd w:val="clear" w:color="auto" w:fill="CCEEFF"/>
              </w:rPr>
              <w:t>$ 118,197,479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-290830</wp:posOffset>
            </wp:positionV>
            <wp:extent cx="724662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ectPr>
          <w:pgSz w:w="11900" w:h="16838" w:orient="portrait"/>
          <w:cols w:equalWidth="0" w:num="2">
            <w:col w:w="2980" w:space="360"/>
            <w:col w:w="8080"/>
          </w:cols>
          <w:pgMar w:left="240" w:top="904" w:right="23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Percentage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1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20"/>
                <w:szCs w:val="20"/>
                <w:color w:val="auto"/>
              </w:rPr>
            </w:pPr>
          </w:p>
        </w:tc>
        <w:tc>
          <w:tcPr>
            <w:tcW w:w="17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88"/>
              </w:rPr>
              <w:t>Ownership/Shares</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6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(8)(14)</w:t>
            </w:r>
          </w:p>
        </w:tc>
        <w:tc>
          <w:tcPr>
            <w:tcW w:w="100" w:type="dxa"/>
            <w:vAlign w:val="bottom"/>
            <w:tcBorders>
              <w:top w:val="single" w:sz="8" w:color="CCEEFF"/>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Aerospace and Defense</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Partnership Interests</w:t>
            </w:r>
          </w:p>
        </w:tc>
        <w:tc>
          <w:tcPr>
            <w:tcW w:w="190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1.2% $</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Aerospace and Defense</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Series A Preferred Interests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Services: Business</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Services: Business</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Membership Units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Equipment</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Shares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New Millennium Holdco, Inc. (Millennium Health,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Healthcare &amp; Pharmaceuticals</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1,953,299</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Hotel, Gaming &amp; Leisure</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Healthcare &amp; Pharmaceuticals</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Units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Stafford Logistics, Inc.(dba Custom Ecology, Inc.)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Environmental Industries</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Equity</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Stafford Logistics, Inc.(dba Custom Ecology, Inc.)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Environmental Industries</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B Units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(8)(10)(14)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Energy: Oil &amp; Gas</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Energy: Oil &amp; Gas</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Energy: Oil &amp; Gas</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1,680,161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Advanced Lighting Technologies, Inc,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 goods: Durable</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Advanced Lighting Technologies, Inc.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 goods: Durable</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Membership Interests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182,000</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 Investments</w:t>
            </w: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9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Incorporated)</w:t>
            </w:r>
            <w:r>
              <w:rPr>
                <w:rFonts w:ascii="Arial" w:cs="Arial" w:eastAsia="Arial" w:hAnsi="Arial"/>
                <w:sz w:val="29"/>
                <w:szCs w:val="29"/>
                <w:color w:val="auto"/>
                <w:vertAlign w:val="superscript"/>
              </w:rPr>
              <w:t>(8)(14)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Media: Advertising, Printing &amp; Publishing</w:t>
            </w: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Equity Securities</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 of net asset value at fair value)</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10,571,007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4,414,684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00" w:lineRule="exact"/>
        <w:rPr>
          <w:sz w:val="20"/>
          <w:szCs w:val="20"/>
          <w:color w:val="auto"/>
        </w:rPr>
      </w:pPr>
    </w:p>
    <w:p>
      <w:pPr>
        <w:spacing w:after="0" w:line="26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Portfolio Company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Grant Grove CLO, Ltd.</w:t>
      </w:r>
      <w:r>
        <w:rPr>
          <w:rFonts w:ascii="Arial" w:cs="Arial" w:eastAsia="Arial" w:hAnsi="Arial"/>
          <w:sz w:val="29"/>
          <w:szCs w:val="29"/>
          <w:color w:val="auto"/>
          <w:vertAlign w:val="superscript"/>
        </w:rPr>
        <w:t>(3)(12)(14)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Katonah III, Ltd.</w:t>
      </w:r>
      <w:r>
        <w:rPr>
          <w:rFonts w:ascii="Arial" w:cs="Arial" w:eastAsia="Arial" w:hAnsi="Arial"/>
          <w:sz w:val="30"/>
          <w:szCs w:val="30"/>
          <w:color w:val="auto"/>
          <w:vertAlign w:val="superscript"/>
        </w:rPr>
        <w:t>(3)(12)(14)</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Katonah 2007-I CLO Ltd.</w:t>
      </w:r>
      <w:r>
        <w:rPr>
          <w:rFonts w:ascii="Arial" w:cs="Arial" w:eastAsia="Arial" w:hAnsi="Arial"/>
          <w:sz w:val="24"/>
          <w:szCs w:val="24"/>
          <w:color w:val="auto"/>
          <w:vertAlign w:val="superscript"/>
        </w:rPr>
        <w:t>(3)(6)(12)(14)</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Trimaran CLO VII, Ltd.</w:t>
      </w:r>
      <w:r>
        <w:rPr>
          <w:rFonts w:ascii="Arial" w:cs="Arial" w:eastAsia="Arial" w:hAnsi="Arial"/>
          <w:sz w:val="26"/>
          <w:szCs w:val="26"/>
          <w:color w:val="auto"/>
          <w:vertAlign w:val="superscript"/>
        </w:rPr>
        <w:t>(3)(6)(12)(13)</w:t>
      </w:r>
    </w:p>
    <w:p>
      <w:pPr>
        <w:spacing w:after="0"/>
        <w:rPr>
          <w:sz w:val="20"/>
          <w:szCs w:val="20"/>
          <w:color w:val="auto"/>
        </w:rPr>
      </w:pPr>
      <w:r>
        <w:rPr>
          <w:rFonts w:ascii="Arial" w:cs="Arial" w:eastAsia="Arial" w:hAnsi="Arial"/>
          <w:sz w:val="15"/>
          <w:szCs w:val="15"/>
          <w:color w:val="auto"/>
        </w:rPr>
        <w:t>(14)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2012-1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Catamaran CLO 2013- 1 Ltd.</w:t>
      </w:r>
      <w:r>
        <w:rPr>
          <w:rFonts w:ascii="Arial" w:cs="Arial" w:eastAsia="Arial" w:hAnsi="Arial"/>
          <w:sz w:val="24"/>
          <w:szCs w:val="24"/>
          <w:color w:val="auto"/>
          <w:vertAlign w:val="superscript"/>
        </w:rPr>
        <w:t>(3)(6)(14)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2014-1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Dryden 30 Senior Loan Fund</w:t>
      </w:r>
      <w:r>
        <w:rPr>
          <w:rFonts w:ascii="Arial" w:cs="Arial" w:eastAsia="Arial" w:hAnsi="Arial"/>
          <w:sz w:val="27"/>
          <w:szCs w:val="27"/>
          <w:color w:val="auto"/>
          <w:vertAlign w:val="superscript"/>
        </w:rPr>
        <w:t>(3)(14)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2014-2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2015-1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2016-1 Ltd.</w:t>
      </w:r>
      <w:r>
        <w:rPr>
          <w:rFonts w:ascii="Arial" w:cs="Arial" w:eastAsia="Arial" w:hAnsi="Arial"/>
          <w:sz w:val="25"/>
          <w:szCs w:val="25"/>
          <w:color w:val="auto"/>
          <w:vertAlign w:val="superscript"/>
        </w:rPr>
        <w:t>(3)(6)(14)</w:t>
      </w:r>
    </w:p>
    <w:p>
      <w:pPr>
        <w:spacing w:after="0" w:line="200" w:lineRule="exact"/>
        <w:rPr>
          <w:sz w:val="20"/>
          <w:szCs w:val="20"/>
          <w:color w:val="auto"/>
        </w:rPr>
      </w:pPr>
    </w:p>
    <w:p>
      <w:pPr>
        <w:spacing w:after="0" w:line="221" w:lineRule="exact"/>
        <w:rPr>
          <w:sz w:val="20"/>
          <w:szCs w:val="20"/>
          <w:color w:val="auto"/>
        </w:rPr>
      </w:pPr>
    </w:p>
    <w:p>
      <w:pPr>
        <w:ind w:right="800"/>
        <w:spacing w:after="0" w:line="347" w:lineRule="auto"/>
        <w:rPr>
          <w:sz w:val="20"/>
          <w:szCs w:val="20"/>
          <w:color w:val="auto"/>
        </w:rPr>
      </w:pPr>
      <w:r>
        <w:rPr>
          <w:rFonts w:ascii="Arial" w:cs="Arial" w:eastAsia="Arial" w:hAnsi="Arial"/>
          <w:sz w:val="16"/>
          <w:szCs w:val="16"/>
          <w:b w:val="1"/>
          <w:bCs w:val="1"/>
          <w:color w:val="auto"/>
        </w:rPr>
        <w:t>Total Investment in CLO Subordinated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Rated-Note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80" w:type="dxa"/>
            <w:vAlign w:val="bottom"/>
            <w:gridSpan w:val="2"/>
            <w:vMerge w:val="restart"/>
          </w:tcPr>
          <w:p>
            <w:pPr>
              <w:ind w:left="144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(11)</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vMerge w:val="continue"/>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Amortized Cost</w:t>
            </w:r>
          </w:p>
        </w:tc>
        <w:tc>
          <w:tcPr>
            <w:tcW w:w="16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4"/>
        </w:trPr>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Subordinated Securities, effective interest N/M, 1/21</w:t>
            </w: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8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2,485,886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w w:val="97"/>
              </w:rPr>
              <w:t>Subordinated Securities, effective interest N/M, 5/15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1,287,155</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369,280</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w w:val="95"/>
              </w:rPr>
              <w:t>Subordinated Securities, effective interest 9.2%, 4/22</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20,524,908</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10,770,486</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w w:val="97"/>
              </w:rPr>
              <w:t>Subordinated Securities, effective interest N/M, 6/21</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379,830</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 15.5%,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gridSpan w:val="2"/>
          </w:tcPr>
          <w:p>
            <w:pPr>
              <w:spacing w:after="0"/>
              <w:rPr>
                <w:sz w:val="20"/>
                <w:szCs w:val="20"/>
                <w:color w:val="auto"/>
              </w:rPr>
            </w:pPr>
            <w:r>
              <w:rPr>
                <w:rFonts w:ascii="Arial" w:cs="Arial" w:eastAsia="Arial" w:hAnsi="Arial"/>
                <w:sz w:val="18"/>
                <w:szCs w:val="18"/>
                <w:color w:val="auto"/>
              </w:rPr>
              <w:t>12/23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5,847,802</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2,320,783</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w w:val="93"/>
              </w:rPr>
              <w:t>Subordinated Securities, effective interest 25.1%, 1/28</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5,017,307</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6,923,699</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w w:val="93"/>
              </w:rPr>
              <w:t>Subordinated Securities, effective interest 28.4%, 4/30</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9,858,073</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8,230,178</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 28.7%,</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gridSpan w:val="2"/>
          </w:tcPr>
          <w:p>
            <w:pPr>
              <w:spacing w:after="0"/>
              <w:rPr>
                <w:sz w:val="20"/>
                <w:szCs w:val="20"/>
                <w:color w:val="auto"/>
              </w:rPr>
            </w:pPr>
            <w:r>
              <w:rPr>
                <w:rFonts w:ascii="Arial" w:cs="Arial" w:eastAsia="Arial" w:hAnsi="Arial"/>
                <w:sz w:val="18"/>
                <w:szCs w:val="18"/>
                <w:color w:val="auto"/>
              </w:rPr>
              <w:t>12/29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1,353,852</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1,820,000</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 11.5%,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gridSpan w:val="2"/>
          </w:tcPr>
          <w:p>
            <w:pPr>
              <w:spacing w:after="0"/>
              <w:rPr>
                <w:sz w:val="20"/>
                <w:szCs w:val="20"/>
                <w:color w:val="auto"/>
              </w:rPr>
            </w:pPr>
            <w:r>
              <w:rPr>
                <w:rFonts w:ascii="Arial" w:cs="Arial" w:eastAsia="Arial" w:hAnsi="Arial"/>
                <w:sz w:val="18"/>
                <w:szCs w:val="18"/>
                <w:color w:val="auto"/>
              </w:rPr>
              <w:t>11/25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6,642,805</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4,500,962</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 11.8%,</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gridSpan w:val="2"/>
          </w:tcPr>
          <w:p>
            <w:pPr>
              <w:spacing w:after="0"/>
              <w:rPr>
                <w:sz w:val="20"/>
                <w:szCs w:val="20"/>
                <w:color w:val="auto"/>
              </w:rPr>
            </w:pPr>
            <w:r>
              <w:rPr>
                <w:rFonts w:ascii="Arial" w:cs="Arial" w:eastAsia="Arial" w:hAnsi="Arial"/>
                <w:sz w:val="18"/>
                <w:szCs w:val="18"/>
                <w:color w:val="auto"/>
              </w:rPr>
              <w:t>10/26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4,418,647</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3,569,600</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w w:val="95"/>
              </w:rPr>
              <w:t>Subordinated Securities, effective interest 9.6%, 4/27</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10,086,802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8,530,685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67,903,067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47,046,673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-3146425</wp:posOffset>
            </wp:positionV>
            <wp:extent cx="7246620" cy="30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-2546350</wp:posOffset>
            </wp:positionV>
            <wp:extent cx="7246620"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-1946275</wp:posOffset>
            </wp:positionV>
            <wp:extent cx="724662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-1345565</wp:posOffset>
            </wp:positionV>
            <wp:extent cx="724662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-745490</wp:posOffset>
            </wp:positionV>
            <wp:extent cx="724662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-290830</wp:posOffset>
            </wp:positionV>
            <wp:extent cx="7246620" cy="283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-3755390</wp:posOffset>
            </wp:positionV>
            <wp:extent cx="724662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2740" w:space="220"/>
            <w:col w:w="8460"/>
          </w:cols>
          <w:pgMar w:left="240" w:top="931" w:right="239" w:bottom="1440" w:gutter="0" w:footer="0" w:header="0"/>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ind w:left="660"/>
              <w:spacing w:after="0"/>
              <w:rPr>
                <w:sz w:val="20"/>
                <w:szCs w:val="20"/>
                <w:color w:val="auto"/>
              </w:rPr>
            </w:pPr>
            <w:r>
              <w:rPr>
                <w:rFonts w:ascii="Arial" w:cs="Arial" w:eastAsia="Arial" w:hAnsi="Arial"/>
                <w:sz w:val="18"/>
                <w:szCs w:val="18"/>
                <w:b w:val="1"/>
                <w:bCs w:val="1"/>
                <w:color w:val="auto"/>
              </w:rPr>
              <w:t>Portfolio Company</w:t>
            </w:r>
          </w:p>
        </w:tc>
        <w:tc>
          <w:tcPr>
            <w:tcW w:w="4080" w:type="dxa"/>
            <w:vAlign w:val="bottom"/>
            <w:gridSpan w:val="2"/>
          </w:tcPr>
          <w:p>
            <w:pPr>
              <w:ind w:left="156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w w:val="98"/>
              </w:rPr>
              <w:t>KCAP F3C Senior Funding LLC</w:t>
            </w:r>
            <w:r>
              <w:rPr>
                <w:rFonts w:ascii="Arial" w:cs="Arial" w:eastAsia="Arial" w:hAnsi="Arial"/>
                <w:sz w:val="27"/>
                <w:szCs w:val="27"/>
                <w:color w:val="auto"/>
                <w:w w:val="98"/>
                <w:vertAlign w:val="superscript"/>
              </w:rPr>
              <w:t>(3)(6)</w:t>
            </w:r>
          </w:p>
        </w:tc>
        <w:tc>
          <w:tcPr>
            <w:tcW w:w="120" w:type="dxa"/>
            <w:vAlign w:val="bottom"/>
            <w:tcBorders>
              <w:top w:val="single" w:sz="8" w:color="CCEEFF"/>
            </w:tcBorders>
            <w:shd w:val="clear" w:color="auto" w:fill="CCEEFF"/>
          </w:tcPr>
          <w:p>
            <w:pPr>
              <w:spacing w:after="0"/>
              <w:rPr>
                <w:sz w:val="20"/>
                <w:szCs w:val="20"/>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Class E Notes, 8.9% Cash, 3 month LIBOR (1.40%) +</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 Due 12/29</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4,435,965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 CLO Rated-Note</w:t>
            </w:r>
          </w:p>
        </w:tc>
        <w:tc>
          <w:tcPr>
            <w:tcW w:w="3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4,435,965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02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CLO Fund Securities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2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(28% of net asset value at fair value)</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72,339,032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51,678,673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Asset Manager Affiliates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Percentage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0" w:type="dxa"/>
            <w:vAlign w:val="bottom"/>
          </w:tcPr>
          <w:p>
            <w:pPr>
              <w:spacing w:after="0"/>
              <w:rPr>
                <w:sz w:val="1"/>
                <w:szCs w:val="1"/>
                <w:color w:val="auto"/>
              </w:rPr>
            </w:pPr>
          </w:p>
        </w:tc>
      </w:tr>
      <w:tr>
        <w:trPr>
          <w:trHeight w:val="234"/>
        </w:trPr>
        <w:tc>
          <w:tcPr>
            <w:tcW w:w="4620" w:type="dxa"/>
            <w:vAlign w:val="bottom"/>
            <w:gridSpan w:val="6"/>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60" w:type="dxa"/>
            <w:vAlign w:val="bottom"/>
            <w:gridSpan w:val="4"/>
          </w:tcPr>
          <w:p>
            <w:pPr>
              <w:spacing w:after="0"/>
              <w:rPr>
                <w:sz w:val="20"/>
                <w:szCs w:val="20"/>
                <w:color w:val="auto"/>
              </w:rPr>
            </w:pPr>
            <w:r>
              <w:rPr>
                <w:rFonts w:ascii="Arial" w:cs="Arial" w:eastAsia="Arial" w:hAnsi="Arial"/>
                <w:sz w:val="18"/>
                <w:szCs w:val="18"/>
                <w:b w:val="1"/>
                <w:bCs w:val="1"/>
                <w:color w:val="auto"/>
              </w:rPr>
              <w:t>Investment</w:t>
            </w: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Ownership</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5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76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w w:val="98"/>
              </w:rPr>
              <w:t>Asset Manager Affiliates</w:t>
            </w:r>
            <w:r>
              <w:rPr>
                <w:rFonts w:ascii="Arial" w:cs="Arial" w:eastAsia="Arial" w:hAnsi="Arial"/>
                <w:sz w:val="30"/>
                <w:szCs w:val="30"/>
                <w:color w:val="auto"/>
                <w:w w:val="98"/>
                <w:vertAlign w:val="superscript"/>
              </w:rPr>
              <w:t>(8)(9)(14)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00" w:type="dxa"/>
            <w:vAlign w:val="bottom"/>
            <w:shd w:val="clear" w:color="auto" w:fill="CCEEFF"/>
          </w:tcPr>
          <w:p>
            <w:pPr>
              <w:spacing w:after="0"/>
              <w:rPr>
                <w:sz w:val="22"/>
                <w:szCs w:val="22"/>
                <w:color w:val="auto"/>
              </w:rPr>
            </w:pPr>
          </w:p>
        </w:tc>
        <w:tc>
          <w:tcPr>
            <w:tcW w:w="150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52,591,230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38,849,000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0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Asset Manager Affiliates</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0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(21% of net asset value at fair value)</w:t>
            </w:r>
          </w:p>
        </w:tc>
        <w:tc>
          <w:tcPr>
            <w:tcW w:w="2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52,591,230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38,849,000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Joint Ventures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Percentage</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gridSpan w:val="6"/>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60" w:type="dxa"/>
            <w:vAlign w:val="bottom"/>
            <w:gridSpan w:val="4"/>
          </w:tcPr>
          <w:p>
            <w:pPr>
              <w:spacing w:after="0"/>
              <w:rPr>
                <w:sz w:val="20"/>
                <w:szCs w:val="20"/>
                <w:color w:val="auto"/>
              </w:rPr>
            </w:pPr>
            <w:r>
              <w:rPr>
                <w:rFonts w:ascii="Arial" w:cs="Arial" w:eastAsia="Arial" w:hAnsi="Arial"/>
                <w:sz w:val="18"/>
                <w:szCs w:val="18"/>
                <w:b w:val="1"/>
                <w:bCs w:val="1"/>
                <w:color w:val="auto"/>
              </w:rPr>
              <w:t>Investment</w:t>
            </w: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Ownership</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76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KCAP Freedom 3 LLC</w:t>
            </w:r>
            <w:r>
              <w:rPr>
                <w:rFonts w:ascii="Arial" w:cs="Arial" w:eastAsia="Arial" w:hAnsi="Arial"/>
                <w:sz w:val="30"/>
                <w:szCs w:val="30"/>
                <w:color w:val="auto"/>
                <w:vertAlign w:val="superscript"/>
              </w:rPr>
              <w:t>(14)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2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24,914,858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Total Investment in Joint Ventures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0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(12% of net asset value at fair value)</w:t>
            </w:r>
          </w:p>
        </w:tc>
        <w:tc>
          <w:tcPr>
            <w:tcW w:w="2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24,914,858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21,516,000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1840" w:type="dxa"/>
            <w:vAlign w:val="bottom"/>
            <w:gridSpan w:val="4"/>
          </w:tcPr>
          <w:p>
            <w:pPr>
              <w:ind w:left="100"/>
              <w:spacing w:after="0"/>
              <w:rPr>
                <w:sz w:val="20"/>
                <w:szCs w:val="20"/>
                <w:color w:val="auto"/>
              </w:rPr>
            </w:pPr>
            <w:r>
              <w:rPr>
                <w:rFonts w:ascii="Arial" w:cs="Arial" w:eastAsia="Arial" w:hAnsi="Arial"/>
                <w:sz w:val="18"/>
                <w:szCs w:val="18"/>
                <w:b w:val="1"/>
                <w:bCs w:val="1"/>
                <w:color w:val="auto"/>
              </w:rPr>
              <w:t>Investment</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Yield</w:t>
            </w:r>
          </w:p>
        </w:tc>
        <w:tc>
          <w:tcPr>
            <w:tcW w:w="1800" w:type="dxa"/>
            <w:vAlign w:val="bottom"/>
            <w:gridSpan w:val="4"/>
          </w:tcPr>
          <w:p>
            <w:pPr>
              <w:spacing w:after="0"/>
              <w:rPr>
                <w:sz w:val="20"/>
                <w:szCs w:val="20"/>
                <w:color w:val="auto"/>
              </w:rPr>
            </w:pPr>
            <w:r>
              <w:rPr>
                <w:rFonts w:ascii="Arial" w:cs="Arial" w:eastAsia="Arial" w:hAnsi="Arial"/>
                <w:sz w:val="18"/>
                <w:szCs w:val="18"/>
                <w:b w:val="1"/>
                <w:bCs w:val="1"/>
                <w:color w:val="auto"/>
              </w:rPr>
              <w:t>Par /Amortized Cost</w:t>
            </w:r>
          </w:p>
        </w:tc>
        <w:tc>
          <w:tcPr>
            <w:tcW w:w="1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276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US Bank Money Market Account</w:t>
            </w:r>
            <w:r>
              <w:rPr>
                <w:rFonts w:ascii="Arial" w:cs="Arial" w:eastAsia="Arial" w:hAnsi="Arial"/>
                <w:sz w:val="27"/>
                <w:szCs w:val="27"/>
                <w:color w:val="auto"/>
                <w:vertAlign w:val="superscript"/>
              </w:rPr>
              <w:t>(7)</w:t>
            </w:r>
          </w:p>
        </w:tc>
        <w:tc>
          <w:tcPr>
            <w:tcW w:w="100" w:type="dxa"/>
            <w:vAlign w:val="bottom"/>
            <w:vMerge w:val="restart"/>
            <w:shd w:val="clear" w:color="auto" w:fill="CCEEFF"/>
          </w:tcPr>
          <w:p>
            <w:pPr>
              <w:spacing w:after="0"/>
              <w:rPr>
                <w:sz w:val="20"/>
                <w:szCs w:val="20"/>
                <w:color w:val="auto"/>
              </w:rPr>
            </w:pPr>
          </w:p>
        </w:tc>
        <w:tc>
          <w:tcPr>
            <w:tcW w:w="17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w w:val="93"/>
              </w:rPr>
              <w:t>Money Market Account</w:t>
            </w: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0.20%</w:t>
            </w:r>
          </w:p>
        </w:tc>
        <w:tc>
          <w:tcPr>
            <w:tcW w:w="320" w:type="dxa"/>
            <w:vAlign w:val="bottom"/>
            <w:tcBorders>
              <w:left w:val="single" w:sz="8" w:color="CCEEFF"/>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52,293,570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52,293,570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(8)</w:t>
            </w:r>
          </w:p>
        </w:tc>
        <w:tc>
          <w:tcPr>
            <w:tcW w:w="100" w:type="dxa"/>
            <w:vAlign w:val="bottom"/>
            <w:vMerge w:val="continue"/>
            <w:shd w:val="clear" w:color="auto" w:fill="CCEEFF"/>
          </w:tcPr>
          <w:p>
            <w:pPr>
              <w:spacing w:after="0"/>
              <w:rPr>
                <w:sz w:val="18"/>
                <w:szCs w:val="18"/>
                <w:color w:val="auto"/>
              </w:rPr>
            </w:pPr>
          </w:p>
        </w:tc>
        <w:tc>
          <w:tcPr>
            <w:tcW w:w="1740" w:type="dxa"/>
            <w:vAlign w:val="bottom"/>
            <w:gridSpan w:val="3"/>
            <w:vMerge w:val="continue"/>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320" w:type="dxa"/>
            <w:vAlign w:val="bottom"/>
            <w:tcBorders>
              <w:left w:val="single" w:sz="8" w:color="CCEEFF"/>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U.S Treasury Bills - CUSIP:</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760" w:type="dxa"/>
            <w:vAlign w:val="bottom"/>
            <w:shd w:val="clear" w:color="auto" w:fill="CCEEFF"/>
          </w:tcPr>
          <w:p>
            <w:pPr>
              <w:spacing w:after="0" w:line="281" w:lineRule="exact"/>
              <w:rPr>
                <w:sz w:val="20"/>
                <w:szCs w:val="20"/>
                <w:color w:val="auto"/>
              </w:rPr>
            </w:pPr>
            <w:r>
              <w:rPr>
                <w:rFonts w:ascii="Arial" w:cs="Arial" w:eastAsia="Arial" w:hAnsi="Arial"/>
                <w:sz w:val="18"/>
                <w:szCs w:val="18"/>
                <w:color w:val="auto"/>
              </w:rPr>
              <w:t>912796MLO</w:t>
            </w:r>
            <w:r>
              <w:rPr>
                <w:rFonts w:ascii="Arial" w:cs="Arial" w:eastAsia="Arial" w:hAnsi="Arial"/>
                <w:sz w:val="30"/>
                <w:szCs w:val="30"/>
                <w:color w:val="auto"/>
                <w:vertAlign w:val="superscript"/>
              </w:rPr>
              <w:t>(8)</w:t>
            </w:r>
          </w:p>
        </w:tc>
        <w:tc>
          <w:tcPr>
            <w:tcW w:w="430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U.S. Government Obligation</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1.04%</w:t>
            </w:r>
          </w:p>
        </w:tc>
        <w:tc>
          <w:tcPr>
            <w:tcW w:w="320" w:type="dxa"/>
            <w:vAlign w:val="bottom"/>
            <w:tcBorders>
              <w:left w:val="single" w:sz="8" w:color="CCEEFF"/>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25,006,750</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25,006,750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Short-term Investments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0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(43% of net asset value at fair value)</w:t>
            </w:r>
          </w:p>
        </w:tc>
        <w:tc>
          <w:tcPr>
            <w:tcW w:w="2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77,300,320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77,300,320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60" w:type="dxa"/>
            <w:vAlign w:val="bottom"/>
          </w:tcPr>
          <w:p>
            <w:pPr>
              <w:spacing w:after="0" w:line="264" w:lineRule="exact"/>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b w:val="1"/>
                <w:bCs w:val="1"/>
                <w:color w:val="auto"/>
                <w:vertAlign w:val="superscript"/>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362,895,917</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311,956,156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 w:hanging="310"/>
        <w:spacing w:after="0" w:line="224"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March 31, 2018. As noted in the table above, 74% (based on par) of debt securities contain LIBOR floors which range between 1.00% and 3.0%.</w:t>
      </w:r>
    </w:p>
    <w:p>
      <w:pPr>
        <w:spacing w:after="0" w:line="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December 31, 2017, as determined by the Company’s Board of Directors.</w:t>
      </w:r>
    </w:p>
    <w:p>
      <w:pPr>
        <w:spacing w:after="0" w:line="8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202" w:lineRule="exact"/>
        <w:rPr>
          <w:sz w:val="20"/>
          <w:szCs w:val="20"/>
          <w:color w:val="auto"/>
        </w:rPr>
      </w:pPr>
    </w:p>
    <w:p>
      <w:pPr>
        <w:ind w:left="340" w:right="660" w:hanging="332"/>
        <w:spacing w:after="0" w:line="209"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$363 million. The aggregate gross unrealized appreciation is approximately $1.1 million, the aggregate gross unrealized depreciation is approximately $52.0 million, and the net unrealized depreciation is approximately $50.9 million.</w:t>
      </w:r>
    </w:p>
    <w:p>
      <w:pPr>
        <w:spacing w:after="0" w:line="8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Loan or debt security is on non-accrual status and therefore is considered non-income producing.</w:t>
      </w:r>
    </w:p>
    <w:p>
      <w:pPr>
        <w:spacing w:after="0" w:line="11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8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Money market account holding cash.</w:t>
      </w:r>
    </w:p>
    <w:p>
      <w:pPr>
        <w:spacing w:after="0" w:line="8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left="332" w:hanging="287"/>
        <w:spacing w:after="0" w:line="218" w:lineRule="auto"/>
        <w:tabs>
          <w:tab w:leader="none" w:pos="332"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Affiliates, including Trimaran Advisors L.L.C.,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88" w:lineRule="exact"/>
        <w:rPr>
          <w:sz w:val="20"/>
          <w:szCs w:val="20"/>
          <w:color w:val="auto"/>
        </w:rPr>
      </w:pPr>
    </w:p>
    <w:p>
      <w:pPr>
        <w:ind w:left="332" w:hanging="332"/>
        <w:spacing w:after="0"/>
        <w:tabs>
          <w:tab w:leader="none" w:pos="332"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Non-voting.</w:t>
      </w:r>
    </w:p>
    <w:p>
      <w:pPr>
        <w:spacing w:after="0" w:line="201" w:lineRule="exact"/>
        <w:rPr>
          <w:rFonts w:ascii="Arial" w:cs="Arial" w:eastAsia="Arial" w:hAnsi="Arial"/>
          <w:sz w:val="30"/>
          <w:szCs w:val="30"/>
          <w:color w:val="auto"/>
          <w:vertAlign w:val="superscript"/>
        </w:rPr>
      </w:pPr>
    </w:p>
    <w:p>
      <w:pPr>
        <w:jc w:val="both"/>
        <w:ind w:left="332" w:right="40" w:hanging="332"/>
        <w:spacing w:after="0" w:line="218" w:lineRule="auto"/>
        <w:tabs>
          <w:tab w:leader="none" w:pos="332"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88" w:lineRule="exact"/>
        <w:rPr>
          <w:rFonts w:ascii="Arial" w:cs="Arial" w:eastAsia="Arial" w:hAnsi="Arial"/>
          <w:sz w:val="30"/>
          <w:szCs w:val="30"/>
          <w:color w:val="auto"/>
          <w:vertAlign w:val="superscript"/>
        </w:rPr>
      </w:pPr>
    </w:p>
    <w:p>
      <w:pPr>
        <w:ind w:left="332" w:hanging="332"/>
        <w:spacing w:after="0"/>
        <w:tabs>
          <w:tab w:leader="none" w:pos="332"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Notice of redemption has been received for this security.</w:t>
      </w:r>
    </w:p>
    <w:p>
      <w:pPr>
        <w:spacing w:after="0" w:line="201" w:lineRule="exact"/>
        <w:rPr>
          <w:rFonts w:ascii="Arial" w:cs="Arial" w:eastAsia="Arial" w:hAnsi="Arial"/>
          <w:sz w:val="30"/>
          <w:szCs w:val="30"/>
          <w:color w:val="auto"/>
          <w:vertAlign w:val="superscript"/>
        </w:rPr>
      </w:pPr>
    </w:p>
    <w:p>
      <w:pPr>
        <w:ind w:left="332" w:right="3540" w:hanging="332"/>
        <w:spacing w:after="0" w:line="194" w:lineRule="auto"/>
        <w:tabs>
          <w:tab w:leader="none" w:pos="332"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Loan or security was on partial nonaccrual status, whereby we have recognized income on a portion of contractual PIK amounts due.</w:t>
      </w:r>
    </w:p>
    <w:p>
      <w:pPr>
        <w:spacing w:after="0" w:line="87" w:lineRule="exact"/>
        <w:rPr>
          <w:rFonts w:ascii="Arial" w:cs="Arial" w:eastAsia="Arial" w:hAnsi="Arial"/>
          <w:sz w:val="30"/>
          <w:szCs w:val="30"/>
          <w:color w:val="auto"/>
          <w:vertAlign w:val="superscript"/>
        </w:rPr>
      </w:pPr>
    </w:p>
    <w:p>
      <w:pPr>
        <w:ind w:left="332" w:hanging="332"/>
        <w:spacing w:after="0"/>
        <w:tabs>
          <w:tab w:leader="none" w:pos="332"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Fair value of this investment was determined using significant unobservable inputs.</w:t>
      </w:r>
    </w:p>
    <w:p>
      <w:pPr>
        <w:spacing w:after="0" w:line="22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52"/>
          </w:cols>
          <w:pgMar w:left="248" w:top="935" w:right="3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4.87</w:t>
            </w: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80" w:type="dxa"/>
            <w:vAlign w:val="bottom"/>
          </w:tcPr>
          <w:p>
            <w:pPr>
              <w:ind w:left="160"/>
              <w:spacing w:after="0" w:line="269" w:lineRule="exact"/>
              <w:rPr>
                <w:sz w:val="20"/>
                <w:szCs w:val="20"/>
                <w:color w:val="auto"/>
              </w:rPr>
            </w:pPr>
            <w:r>
              <w:rPr>
                <w:rFonts w:ascii="Arial" w:cs="Arial" w:eastAsia="Arial" w:hAnsi="Arial"/>
                <w:sz w:val="18"/>
                <w:szCs w:val="18"/>
                <w:color w:val="auto"/>
              </w:rPr>
              <w:t>Net change in unrealized appreciation (depreciation) on investments</w:t>
            </w:r>
            <w:r>
              <w:rPr>
                <w:rFonts w:ascii="Arial" w:cs="Arial" w:eastAsia="Arial" w:hAnsi="Arial"/>
                <w:sz w:val="30"/>
                <w:szCs w:val="30"/>
                <w:color w:val="auto"/>
                <w:vertAlign w:val="superscript"/>
              </w:rPr>
              <w:t>1</w:t>
            </w:r>
          </w:p>
        </w:tc>
        <w:tc>
          <w:tcPr>
            <w:tcW w:w="1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increase in net assets resulting from operations</w:t>
            </w:r>
          </w:p>
        </w:tc>
        <w:tc>
          <w:tcPr>
            <w:tcW w:w="1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increase in net assets relating to stock-based transactions: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based compensation expense</w:t>
            </w: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Net increase in net assets relating to stock-based transactions</w:t>
            </w:r>
          </w:p>
        </w:tc>
        <w:tc>
          <w:tcPr>
            <w:tcW w:w="1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end of period</w:t>
            </w:r>
          </w:p>
        </w:tc>
        <w:tc>
          <w:tcPr>
            <w:tcW w:w="16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Total net asset value return</w:t>
            </w:r>
            <w:r>
              <w:rPr>
                <w:rFonts w:ascii="Arial" w:cs="Arial" w:eastAsia="Arial" w:hAnsi="Arial"/>
                <w:sz w:val="24"/>
                <w:szCs w:val="24"/>
                <w:color w:val="auto"/>
                <w:vertAlign w:val="superscript"/>
              </w:rPr>
              <w:t>2</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Per share market value at beginning of period</w:t>
            </w: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3.41</w:t>
            </w: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1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37,354,479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37,209,649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181,002,087</w:t>
            </w: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191,429,890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6</w:t>
            </w:r>
          </w:p>
        </w:tc>
        <w:tc>
          <w:tcPr>
            <w:tcW w:w="1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Average par debt outstanding</w:t>
            </w: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106,795,129</w:t>
            </w: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180,880,925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Asset coverage ratio</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29"/>
                <w:szCs w:val="29"/>
                <w:color w:val="auto"/>
                <w:vertAlign w:val="superscript"/>
              </w:rPr>
              <w:t>5</w:t>
            </w:r>
          </w:p>
        </w:tc>
        <w:tc>
          <w:tcPr>
            <w:tcW w:w="1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ind w:left="340" w:hanging="332"/>
        <w:spacing w:after="0" w:line="180"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Total net asset value return (not annualized) equals the change in the net asset value per share over the beginning of period net asset value per share plus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divided by the beginning net asset value per share.</w:t>
      </w:r>
    </w:p>
    <w:p>
      <w:pPr>
        <w:ind w:left="340" w:hanging="332"/>
        <w:spacing w:after="0" w:line="186"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Total market return (not annualized) equals the change in the ending market price, over the beginning of period price per share plus distributions, divided</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the beginning market price.</w:t>
      </w:r>
    </w:p>
    <w:p>
      <w:pPr>
        <w:ind w:left="340" w:hanging="332"/>
        <w:spacing w:after="0" w:line="186"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Totals may not sum due to rounding.</w:t>
      </w:r>
    </w:p>
    <w:p>
      <w:pPr>
        <w:ind w:left="340" w:hanging="332"/>
        <w:spacing w:after="0" w:line="180"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6"/>
          <w:szCs w:val="16"/>
          <w:color w:val="auto"/>
        </w:rPr>
        <w:t>Annualized.</w:t>
      </w:r>
    </w:p>
    <w:p>
      <w:pPr>
        <w:spacing w:after="0" w:line="3" w:lineRule="exact"/>
        <w:rPr>
          <w:sz w:val="20"/>
          <w:szCs w:val="20"/>
          <w:color w:val="auto"/>
        </w:rPr>
      </w:pPr>
    </w:p>
    <w:p>
      <w:pPr>
        <w:ind w:left="3500" w:right="2560" w:hanging="3492"/>
        <w:spacing w:after="0" w:line="398" w:lineRule="auto"/>
        <w:tabs>
          <w:tab w:leader="none" w:pos="34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Portfolio turnover rate equals the year-to-date sales and paydowns over the average of the invested assets at fair value. See accompanying 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60" w:firstLine="270"/>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funds (“CLO Funds”) managed by Katonah Debt Advisors and two other asset managers.</w:t>
      </w:r>
    </w:p>
    <w:p>
      <w:pPr>
        <w:spacing w:after="0" w:line="179"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170"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On February 29, 2012, the Company purchased Trimaran Advisors, L.L.C. (“Trimaran Advisors”), an asset manager similar to Katonah Debt Advisors,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187"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170"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As of March 31, 2018, Katonah Debt Advisors and Trimaran Advisors, as well as affiliated management companies Katonah 2007-1 Management, L.L.C., Trimaran Advisors Management, L.L.C. and KCAP Management, L.L.C. (collectively the “Asset Manager Affiliates”), had approximately $2.8 billion of par value assets under management. Katonah Debt Advisors and Trimaran Advisors are registered under the Investment Advisers Act of 1940, as amended, and are each managed independently from the Company by a separate management team (however, certain of the Company’s executive officers also act in similar capacities for one or more of the Asset Manager Affiliates). The Asset Manager Affiliates provide investment management services to CLO Funds, making day-to-day investment decisions concerning the assets of the CLO Funds. The Asset Manager Affiliates, either directly or through their subsidiaries, may make investments in the CLO Funds they manage. In addition, the Company holds investments in a portion of the securities issued by the CLO Funds managed by the Asset Manager Affiliates.</w:t>
      </w:r>
    </w:p>
    <w:p>
      <w:pPr>
        <w:spacing w:after="0" w:line="179"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During the third quarter of 2017, the Company formed a joint venture with Freedom 3 Opportunities LLC (“Freedom 3 Opportunities”), an affiliate of Freedom 3 Capital LLC, to create KCAP Freedom 3 LLC (the "Joint Venture"). The Company and Freedom 3 Opportunities LLC contributed approximately $37 million and $25 million, respectively, in assets to the Joint Venture, which in turn used the assets to capitalize a new fund (KCAP F3C Senior Funding, L.L.C. or the "Fund") managed by KCAP Management, LLC, one of the Company's indirectly wholly-owned Asset Manager Affiliate subsidiaries.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6" w:name="page27"/>
    <w:bookmarkEnd w:id="26"/>
    <w:p>
      <w:pPr>
        <w:jc w:val="both"/>
        <w:ind w:right="140" w:firstLine="272"/>
        <w:spacing w:after="0" w:line="264"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180" w:firstLine="272"/>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225" w:lineRule="exact"/>
        <w:rPr>
          <w:sz w:val="20"/>
          <w:szCs w:val="20"/>
          <w:color w:val="auto"/>
        </w:rPr>
      </w:pPr>
    </w:p>
    <w:p>
      <w:pPr>
        <w:jc w:val="both"/>
        <w:ind w:right="40" w:firstLine="272"/>
        <w:spacing w:after="0" w:line="286" w:lineRule="auto"/>
        <w:rPr>
          <w:sz w:val="20"/>
          <w:szCs w:val="20"/>
          <w:color w:val="auto"/>
        </w:rPr>
      </w:pPr>
      <w:r>
        <w:rPr>
          <w:rFonts w:ascii="Arial" w:cs="Arial" w:eastAsia="Arial" w:hAnsi="Arial"/>
          <w:sz w:val="17"/>
          <w:szCs w:val="17"/>
          <w:color w:val="auto"/>
        </w:rPr>
        <w:t>Third, the Company invests in debt and subordinated securities issued by CLO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66" w:lineRule="exact"/>
        <w:rPr>
          <w:sz w:val="20"/>
          <w:szCs w:val="20"/>
          <w:color w:val="auto"/>
        </w:rPr>
      </w:pPr>
    </w:p>
    <w:p>
      <w:pPr>
        <w:ind w:right="560" w:firstLine="272"/>
        <w:spacing w:after="0" w:line="342" w:lineRule="auto"/>
        <w:rPr>
          <w:sz w:val="20"/>
          <w:szCs w:val="20"/>
          <w:color w:val="auto"/>
        </w:rPr>
      </w:pPr>
      <w:r>
        <w:rPr>
          <w:rFonts w:ascii="Arial" w:cs="Arial" w:eastAsia="Arial" w:hAnsi="Arial"/>
          <w:sz w:val="16"/>
          <w:szCs w:val="16"/>
          <w:color w:val="auto"/>
        </w:rPr>
        <w:t>The Company may also invest in other investments such as loans to publicly-traded companies, high-yield bonds, joint venture and distressed debt securities. The Company may also receive warrants or options to purchase common stock in connection with its debt investments.</w:t>
      </w:r>
    </w:p>
    <w:p>
      <w:pPr>
        <w:spacing w:after="0" w:line="124" w:lineRule="exact"/>
        <w:rPr>
          <w:sz w:val="20"/>
          <w:szCs w:val="20"/>
          <w:color w:val="auto"/>
        </w:rPr>
      </w:pPr>
    </w:p>
    <w:p>
      <w:pPr>
        <w:ind w:firstLine="272"/>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2017, as filed with the U.S. Securities and Exchange Commission (the “Commission” or the “SEC”).</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9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KCAP Senior Funding I Holdings, LLC and KCAP Funding I, LLC in its consolidated financial statements as they are operated solely for investment activities of the Company. The creditors of KCAP Funding I, LLC received security interests in the assets which owned by KCAP Funding I, LLC and such assets are not intended to be available to the creditors of the Company, or any other affiliate. All of the borrowings of KCAP Funding, Kolhberg Capital Funding LLC I, and KCAP Senior Funding I, LLC have been fully repaid.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ind w:right="12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Company’s required disclosures relating to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188" w:lineRule="exact"/>
        <w:rPr>
          <w:sz w:val="20"/>
          <w:szCs w:val="20"/>
          <w:color w:val="auto"/>
        </w:rPr>
      </w:pPr>
    </w:p>
    <w:p>
      <w:pPr>
        <w:ind w:right="80" w:firstLine="414"/>
        <w:spacing w:after="0" w:line="272" w:lineRule="auto"/>
        <w:rPr>
          <w:sz w:val="20"/>
          <w:szCs w:val="20"/>
          <w:color w:val="auto"/>
        </w:rPr>
      </w:pPr>
      <w:r>
        <w:rPr>
          <w:rFonts w:ascii="Arial" w:cs="Arial" w:eastAsia="Arial" w:hAnsi="Arial"/>
          <w:sz w:val="17"/>
          <w:szCs w:val="17"/>
          <w:color w:val="auto"/>
        </w:rPr>
        <w:t>On February 18, 2015, the Financial Accounting Standards Board (“FASB”) issued Accounting Standards Update 2015-2 (“ASU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The Asset Manager Affiliates adopted ASU 2015-2 in 2016 which resulted in the deconsolidation of the CLO Funds managed by them.</w:t>
      </w:r>
    </w:p>
    <w:p>
      <w:pPr>
        <w:spacing w:after="0" w:line="178" w:lineRule="exact"/>
        <w:rPr>
          <w:sz w:val="20"/>
          <w:szCs w:val="20"/>
          <w:color w:val="auto"/>
        </w:rPr>
      </w:pPr>
    </w:p>
    <w:p>
      <w:pPr>
        <w:ind w:right="280" w:firstLine="414"/>
        <w:spacing w:after="0" w:line="259" w:lineRule="auto"/>
        <w:rPr>
          <w:sz w:val="20"/>
          <w:szCs w:val="20"/>
          <w:color w:val="auto"/>
        </w:rPr>
      </w:pPr>
      <w:r>
        <w:rPr>
          <w:rFonts w:ascii="Arial" w:cs="Arial" w:eastAsia="Arial" w:hAnsi="Arial"/>
          <w:sz w:val="18"/>
          <w:szCs w:val="18"/>
          <w:color w:val="auto"/>
        </w:rPr>
        <w:t>In addition, in accordance with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is set forth in Note 5 to these consolidated financial statements.</w:t>
      </w:r>
    </w:p>
    <w:p>
      <w:pPr>
        <w:spacing w:after="0" w:line="187"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quarter ended March 31, 2018, the Company provided approximately $52 million to portfolio companies to support their growth objectives. None of this support was contractually obligated. See also Note 8 – Commitments and Contingencies. As of March 31, 2018, the Company held loans it has made to 49 investee companies with aggregate principal amounts of approximately $173.1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three months month period ended March 31, 2018, the Company did not engage in any such or similar activities.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Management has concluded that the majority of its revenues associated with the financial instruments are scoped out of ASC 606, and therefore, there was no material impact from adoption.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i w:val="1"/>
          <w:iCs w:val="1"/>
          <w:color w:val="auto"/>
        </w:rPr>
        <w:t>Pending accounting pronouncements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March 2017, the Financial Accounting Standards Board issued an Accounting Standards Update, ASU 2017-08, Receivables —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At this time, management is evaluating the implications of these changes on the financial statements.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60" w:firstLine="414"/>
        <w:spacing w:after="0" w:line="271"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179" w:lineRule="exact"/>
        <w:rPr>
          <w:sz w:val="20"/>
          <w:szCs w:val="20"/>
          <w:color w:val="auto"/>
        </w:rPr>
      </w:pPr>
    </w:p>
    <w:p>
      <w:pPr>
        <w:ind w:right="120" w:firstLine="41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right="200" w:firstLine="41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U.S.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340" w:firstLine="41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w:t>
      </w:r>
      <w:r>
        <w:rPr>
          <w:rFonts w:ascii="Arial" w:cs="Arial" w:eastAsia="Arial" w:hAnsi="Arial"/>
          <w:sz w:val="17"/>
          <w:szCs w:val="17"/>
          <w:i w:val="1"/>
          <w:iCs w:val="1"/>
          <w:color w:val="auto"/>
        </w:rPr>
        <w:t xml:space="preserve"> </w:t>
      </w:r>
      <w:r>
        <w:rPr>
          <w:rFonts w:ascii="Arial" w:cs="Arial" w:eastAsia="Arial" w:hAnsi="Arial"/>
          <w:sz w:val="17"/>
          <w:szCs w:val="17"/>
          <w:color w:val="auto"/>
        </w:rPr>
        <w:t>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9" w:name="page30"/>
    <w:bookmarkEnd w:id="29"/>
    <w:p>
      <w:pPr>
        <w:ind w:right="80" w:firstLine="41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w:t>
      </w:r>
    </w:p>
    <w:p>
      <w:pPr>
        <w:spacing w:after="0" w:line="175"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189"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right="180" w:firstLine="41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which is primarily determined utilizing the Discounted Cash Flow approach (as defined below),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w:t>
      </w:r>
    </w:p>
    <w:p>
      <w:pPr>
        <w:spacing w:after="0" w:line="193" w:lineRule="exact"/>
        <w:rPr>
          <w:sz w:val="20"/>
          <w:szCs w:val="20"/>
          <w:color w:val="auto"/>
        </w:rPr>
      </w:pPr>
    </w:p>
    <w:p>
      <w:pPr>
        <w:jc w:val="both"/>
        <w:ind w:right="80" w:firstLine="41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181" w:lineRule="exact"/>
        <w:rPr>
          <w:sz w:val="20"/>
          <w:szCs w:val="20"/>
          <w:color w:val="auto"/>
        </w:rPr>
      </w:pPr>
    </w:p>
    <w:p>
      <w:pPr>
        <w:ind w:right="80" w:firstLine="41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0" w:name="page31"/>
    <w:bookmarkEnd w:id="30"/>
    <w:p>
      <w:pPr>
        <w:ind w:firstLine="41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41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20" w:firstLine="414"/>
        <w:spacing w:after="0" w:line="277" w:lineRule="auto"/>
        <w:rPr>
          <w:sz w:val="20"/>
          <w:szCs w:val="20"/>
          <w:color w:val="auto"/>
        </w:rPr>
      </w:pPr>
      <w:r>
        <w:rPr>
          <w:rFonts w:ascii="Arial" w:cs="Arial" w:eastAsia="Arial" w:hAnsi="Arial"/>
          <w:sz w:val="18"/>
          <w:szCs w:val="18"/>
          <w:i w:val="1"/>
          <w:iCs w:val="1"/>
          <w:color w:val="auto"/>
        </w:rPr>
        <w:t>Joint Venture</w:t>
      </w:r>
      <w:r>
        <w:rPr>
          <w:rFonts w:ascii="Arial" w:cs="Arial" w:eastAsia="Arial" w:hAnsi="Arial"/>
          <w:sz w:val="18"/>
          <w:szCs w:val="18"/>
          <w:color w:val="auto"/>
        </w:rPr>
        <w:t>. The Company carries investments in joint ventures at fair value based upon the fair value of the investments held by the joint venture.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4 below, for more information regarding the Joint Venture.</w:t>
      </w:r>
    </w:p>
    <w:p>
      <w:pPr>
        <w:spacing w:after="0" w:line="170" w:lineRule="exact"/>
        <w:rPr>
          <w:sz w:val="20"/>
          <w:szCs w:val="20"/>
          <w:color w:val="auto"/>
        </w:rPr>
      </w:pPr>
    </w:p>
    <w:p>
      <w:pPr>
        <w:ind w:right="460" w:firstLine="41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540" w:firstLine="414"/>
        <w:spacing w:after="0" w:line="308" w:lineRule="auto"/>
        <w:rPr>
          <w:sz w:val="20"/>
          <w:szCs w:val="20"/>
          <w:color w:val="auto"/>
        </w:rPr>
      </w:pPr>
      <w:r>
        <w:rPr>
          <w:rFonts w:ascii="Arial" w:cs="Arial" w:eastAsia="Arial" w:hAnsi="Arial"/>
          <w:sz w:val="17"/>
          <w:szCs w:val="17"/>
          <w:i w:val="1"/>
          <w:iCs w:val="1"/>
          <w:color w:val="auto"/>
        </w:rPr>
        <w:t>Restricted Cash</w:t>
      </w:r>
      <w:r>
        <w:rPr>
          <w:rFonts w:ascii="Arial" w:cs="Arial" w:eastAsia="Arial" w:hAnsi="Arial"/>
          <w:sz w:val="17"/>
          <w:szCs w:val="17"/>
          <w:color w:val="auto"/>
        </w:rPr>
        <w:t>. Restricted cash and cash equivalents (e.g. money market funds) consists of cash held for reinvestment and quarterly interest and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distribution (if any) to holders of notes issued by KCAP Funding I, LLC and/or KCAP Senior Funding I, LLC.</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Short-term investments. </w:t>
      </w:r>
      <w:r>
        <w:rPr>
          <w:rFonts w:ascii="Arial" w:cs="Arial" w:eastAsia="Arial" w:hAnsi="Arial"/>
          <w:sz w:val="17"/>
          <w:szCs w:val="17"/>
          <w:color w:val="auto"/>
        </w:rPr>
        <w:t>Short-term investments are generally comprised of money market accounts, time deposits, and U.S. treasury bills.</w:t>
      </w:r>
    </w:p>
    <w:p>
      <w:pPr>
        <w:spacing w:after="0" w:line="237" w:lineRule="exact"/>
        <w:rPr>
          <w:sz w:val="20"/>
          <w:szCs w:val="20"/>
          <w:color w:val="auto"/>
        </w:rPr>
      </w:pPr>
    </w:p>
    <w:p>
      <w:pPr>
        <w:ind w:right="40" w:firstLine="414"/>
        <w:spacing w:after="0" w:line="253"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including the amortization of premium and accretion of discount and accrual of payment-in-kind (“PIK”)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2018, one of our investments was on non-accrual status, and two of our investments were on partial non-accrual status, whereby we have recognized income on a portion of contractual PIK amounts due.</w:t>
      </w:r>
    </w:p>
    <w:p>
      <w:pPr>
        <w:spacing w:after="0" w:line="197"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full-year.</w:t>
      </w:r>
    </w:p>
    <w:p>
      <w:pPr>
        <w:spacing w:after="0" w:line="189" w:lineRule="exact"/>
        <w:rPr>
          <w:sz w:val="20"/>
          <w:szCs w:val="20"/>
          <w:color w:val="auto"/>
        </w:rPr>
      </w:pPr>
    </w:p>
    <w:p>
      <w:pPr>
        <w:ind w:right="40" w:firstLine="414"/>
        <w:spacing w:after="0" w:line="293" w:lineRule="auto"/>
        <w:rPr>
          <w:sz w:val="20"/>
          <w:szCs w:val="20"/>
          <w:color w:val="auto"/>
        </w:rPr>
      </w:pPr>
      <w:r>
        <w:rPr>
          <w:rFonts w:ascii="Arial" w:cs="Arial" w:eastAsia="Arial" w:hAnsi="Arial"/>
          <w:sz w:val="16"/>
          <w:szCs w:val="16"/>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right="20" w:firstLine="41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180" w:firstLine="41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KCAP F3C Senior Funding, LLC, interest is earned at a fixed spread relative to the LIBOR index.</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 xml:space="preserve">Investment in Joint Venture. </w:t>
      </w:r>
      <w:r>
        <w:rPr>
          <w:rFonts w:ascii="Arial" w:cs="Arial" w:eastAsia="Arial" w:hAnsi="Arial"/>
          <w:sz w:val="16"/>
          <w:szCs w:val="16"/>
          <w:color w:val="auto"/>
        </w:rPr>
        <w:t>For the three months ended March 31, 2018, the Company recognized $700,000 in investment income from its investment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Joint Venture. As of March 31, 2018 and December 31, 2017, the fair value of the Company’s investment in the Joint venture was $21.8 and $21.5 million, respectively. For interim periods, the Company recognizes investment income on its investment in the Joint Venture based upon its share of the estimated tax-basis earnings and profits of the Joint Venture. Any distributions in excess of tax-basis earnings and profits are recognized as a return of capital (adjustment to the Company’s cost basis in the investment). The final determination of the tax attributes of distributions from the Joint Venture is made on an annual (full calendar year) basis at year-end based upon taxable income and distributions for the full year. Therefore, any estimate of tax attributes of distributions made on an interim basis may not be representative of the actual tax attributes of distributions for the full year.</w:t>
      </w:r>
    </w:p>
    <w:p>
      <w:pPr>
        <w:spacing w:after="0" w:line="167"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ind w:right="220" w:firstLine="414"/>
        <w:spacing w:after="0" w:line="277"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capitalized and amortized using the effective interest method over the expected term of the borrowing.</w:t>
      </w:r>
    </w:p>
    <w:p>
      <w:pPr>
        <w:spacing w:after="0" w:line="170" w:lineRule="exact"/>
        <w:rPr>
          <w:sz w:val="20"/>
          <w:szCs w:val="20"/>
          <w:color w:val="auto"/>
        </w:rPr>
      </w:pPr>
    </w:p>
    <w:p>
      <w:pPr>
        <w:ind w:right="60" w:firstLine="414"/>
        <w:spacing w:after="0" w:line="302" w:lineRule="auto"/>
        <w:rPr>
          <w:sz w:val="20"/>
          <w:szCs w:val="20"/>
          <w:color w:val="auto"/>
        </w:rPr>
      </w:pPr>
      <w:r>
        <w:rPr>
          <w:rFonts w:ascii="Arial" w:cs="Arial" w:eastAsia="Arial" w:hAnsi="Arial"/>
          <w:sz w:val="16"/>
          <w:szCs w:val="16"/>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54" w:lineRule="exact"/>
        <w:rPr>
          <w:sz w:val="20"/>
          <w:szCs w:val="20"/>
          <w:color w:val="auto"/>
        </w:rPr>
      </w:pPr>
    </w:p>
    <w:p>
      <w:pPr>
        <w:ind w:right="60" w:firstLine="41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800" w:firstLine="414"/>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of Directors each quarter.</w:t>
      </w:r>
    </w:p>
    <w:p>
      <w:pPr>
        <w:spacing w:after="0" w:line="170" w:lineRule="exact"/>
        <w:rPr>
          <w:sz w:val="20"/>
          <w:szCs w:val="20"/>
          <w:color w:val="auto"/>
        </w:rPr>
      </w:pPr>
    </w:p>
    <w:p>
      <w:pPr>
        <w:ind w:right="260" w:firstLine="414"/>
        <w:spacing w:after="0" w:line="264" w:lineRule="auto"/>
        <w:rPr>
          <w:sz w:val="20"/>
          <w:szCs w:val="20"/>
          <w:color w:val="auto"/>
        </w:rPr>
      </w:pPr>
      <w:r>
        <w:rPr>
          <w:rFonts w:ascii="Arial" w:cs="Arial" w:eastAsia="Arial" w:hAnsi="Arial"/>
          <w:sz w:val="18"/>
          <w:szCs w:val="18"/>
          <w:color w:val="auto"/>
        </w:rPr>
        <w:t>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(LOSSES) PER SHARE</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right="2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months ended March 31,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2,609,393</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increase in net assets allocated to unvested share awards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(20,773)</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available to common stockholders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2,588,620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Weighted average number of common and common stock equivalent shares outstanding for diluted shares</w:t>
            </w: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1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8120" w:type="dxa"/>
            <w:vAlign w:val="bottom"/>
            <w:gridSpan w:val="2"/>
          </w:tcPr>
          <w:p>
            <w:pPr>
              <w:spacing w:after="0"/>
              <w:rPr>
                <w:sz w:val="20"/>
                <w:szCs w:val="20"/>
                <w:color w:val="auto"/>
              </w:rPr>
            </w:pPr>
            <w:r>
              <w:rPr>
                <w:rFonts w:ascii="Arial" w:cs="Arial" w:eastAsia="Arial" w:hAnsi="Arial"/>
                <w:sz w:val="18"/>
                <w:szCs w:val="18"/>
                <w:color w:val="auto"/>
              </w:rPr>
              <w:t>computation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37,350,411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37,202,996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increase in net assets per basic common shares: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increase in net assets per diluted shares: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160" w:firstLine="414"/>
        <w:spacing w:after="0" w:line="342" w:lineRule="auto"/>
        <w:rPr>
          <w:sz w:val="20"/>
          <w:szCs w:val="20"/>
          <w:color w:val="auto"/>
        </w:rPr>
      </w:pPr>
      <w:r>
        <w:rPr>
          <w:rFonts w:ascii="Arial" w:cs="Arial" w:eastAsia="Arial" w:hAnsi="Arial"/>
          <w:sz w:val="16"/>
          <w:szCs w:val="16"/>
          <w:color w:val="auto"/>
        </w:rPr>
        <w:t>There were 35,000 and 50,000 options to purchase shares of common stock considered for the computation of the diluted per share information for the three months ended March 31, 2018 and 2017. Since the effects are anti-dilutive for both periods, the options were not included in the computation.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4. INVESTMENTS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60" w:type="dxa"/>
            <w:vAlign w:val="bottom"/>
            <w:gridSpan w:val="14"/>
          </w:tcPr>
          <w:p>
            <w:pPr>
              <w:ind w:left="340"/>
              <w:spacing w:after="0"/>
              <w:rPr>
                <w:sz w:val="20"/>
                <w:szCs w:val="20"/>
                <w:color w:val="auto"/>
              </w:rPr>
            </w:pPr>
            <w:r>
              <w:rPr>
                <w:rFonts w:ascii="Arial" w:cs="Arial" w:eastAsia="Arial" w:hAnsi="Arial"/>
                <w:sz w:val="18"/>
                <w:szCs w:val="18"/>
                <w:color w:val="auto"/>
                <w:w w:val="98"/>
              </w:rPr>
              <w:t>The following table shows the Company’s portfolio by security type at March 31, 2018 and December 31, 2017: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w w:val="94"/>
              </w:rPr>
              <w:t>March 31, 2018 (unaudited)</w:t>
            </w: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4"/>
              </w:rPr>
              <w:t>December 31, 2017</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investments²</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9,905,719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9,905,719</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77,300,320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77,300,320</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Senior Secured Loan</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56,195,353</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52,989,838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48,337,900</w:t>
            </w:r>
          </w:p>
        </w:tc>
        <w:tc>
          <w:tcPr>
            <w:tcW w:w="1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44,960,146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80,066,631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75,858,237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62,561,913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58,941,300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Senior Unsecured Loan</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35,777,283</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35,777,283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12,777,283</w:t>
            </w:r>
          </w:p>
        </w:tc>
        <w:tc>
          <w:tcPr>
            <w:tcW w:w="1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12,777,283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1,501,366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1,490,400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CLO Fund Securities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61,300,443</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40,768,620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72,339,032</w:t>
            </w:r>
          </w:p>
        </w:tc>
        <w:tc>
          <w:tcPr>
            <w:tcW w:w="1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51,678,673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10,571,007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4,478,280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10,571,007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Asset Manager Affiliates³</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52,091,230</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38,663,000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52,591,230</w:t>
            </w:r>
          </w:p>
        </w:tc>
        <w:tc>
          <w:tcPr>
            <w:tcW w:w="1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38,849,000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24,914,858</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21,767,376</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24,914,858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21,516,000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332,323,890</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281,698,753</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362,895,917</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311,956,156</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ind w:right="6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2018 and December 31, 2017,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4"/>
              </w:rPr>
              <w:t>March 31, 2018 (unaudited)</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December 31, 2017</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5,456,338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5,105,685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5,636,056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4,115,487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740" w:type="dxa"/>
            <w:vAlign w:val="bottom"/>
          </w:tcPr>
          <w:p>
            <w:pPr>
              <w:spacing w:after="0" w:line="256" w:lineRule="exact"/>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29"/>
                <w:szCs w:val="29"/>
                <w:b w:val="1"/>
                <w:bCs w:val="1"/>
                <w:color w:val="auto"/>
                <w:vertAlign w:val="superscript"/>
              </w:rPr>
              <w:t>2</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52,091,230</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38,663,000</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52,591,230</w:t>
            </w: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38,849,000</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Banking, Finance, Insurance &amp; Real Estate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4,453,138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4,416,070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4,458,962</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4,418,391</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7,487,881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7,341,860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7,496,438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7,435,050</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Capital Equipment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9,426,158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8,578,908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5,454,621</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4,680,821</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6,974,355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6,974,768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61,300,443</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40,768,620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72,339,032</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51,678,673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&amp; Building</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992,446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1,004,093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999,872</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Consumer goods: Durable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1,093,572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818,769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1,071,340</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805,607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639,105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642,071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691,234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694,662</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Energy: Oil &amp; Gas</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16,587,928</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12,209,953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14,932,542</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11,433,777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6,683,518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5,696,109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6,330,630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5,766,437</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1,560,055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1,600,960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1,558,556</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1,600,960</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38,784,872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33,947,402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30,367,449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25,512,654</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High Tech Industries</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17,247,240</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17,187,896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18,229,229</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18,260,577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Joint Venture</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24,914,858</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21,767,376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24,914,858</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21,516,000</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Media: Advertising, Printing &amp; Publishing</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3,327,363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3,308,863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3,371,086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3,318,296</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Related Party Loans</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35,777,283</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35,777,283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12,777,283</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12,777,283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4,562,406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3,369,648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3,563,574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2,366,400</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Telecommunications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6,454,680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6,444,649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6,455,489</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6,466,949</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Textiles and Leather</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10,186,553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10,179,298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7,950,994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7,947,940</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Money Market Accounts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9,905,719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9,905,719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52,293,570</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52,293,570</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Cargo</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4,000,834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4,000,400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4,000,901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4,010,000</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U.S. Government Obligations</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25,006,750</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25,006,750</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332,323,890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281,698,753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362,895,917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311,956,156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229" w:lineRule="exact"/>
        <w:rPr>
          <w:sz w:val="20"/>
          <w:szCs w:val="20"/>
          <w:color w:val="auto"/>
        </w:rPr>
      </w:pPr>
    </w:p>
    <w:p>
      <w:pPr>
        <w:jc w:val="both"/>
        <w:ind w:right="20" w:firstLine="414"/>
        <w:spacing w:after="0" w:line="264"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1"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At March 31, 2018 and December 31, 2017, the total amount of non-qualifying assets was approximately 22% and 23% of total assets, respectively. The majority of non-qualifying assets were foreign investments which were approximately 15% and 16%, respectively, of the Company’s total assets (including the Company’s investments in CLO Funds, which are typically domiciled outside the U.S. and represented approximately 14% and 16% of its total assets on such dates,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firstLine="41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6" w:lineRule="exact"/>
        <w:rPr>
          <w:sz w:val="20"/>
          <w:szCs w:val="20"/>
          <w:color w:val="auto"/>
        </w:rPr>
      </w:pPr>
    </w:p>
    <w:p>
      <w:pPr>
        <w:ind w:right="200" w:firstLine="41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June 2016, the Company sold $7.0 million par value of the Subordinated Notes of Catamaran 2015-1 for $4.2 million.</w:t>
      </w:r>
    </w:p>
    <w:p>
      <w:pPr>
        <w:spacing w:after="0" w:line="225"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In December 2016, the Company purchased $10.1 million of the par value of the Subordinated Notes of Catamaran 2016-1 CLO (“Catamaran 2016-1”) managed by Trimaran Advisors.</w:t>
      </w:r>
    </w:p>
    <w:p>
      <w:pPr>
        <w:spacing w:after="0" w:line="170"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On October 31, 2017, the Company purchased an additional $4.3 million of notional amount of Subordinated Notes issued by Catamaran CLO 2014-1 at a cost of $5.4 million.</w:t>
      </w:r>
    </w:p>
    <w:p>
      <w:pPr>
        <w:spacing w:after="0" w:line="170" w:lineRule="exact"/>
        <w:rPr>
          <w:sz w:val="20"/>
          <w:szCs w:val="20"/>
          <w:color w:val="auto"/>
        </w:rPr>
      </w:pPr>
    </w:p>
    <w:p>
      <w:pPr>
        <w:ind w:right="200" w:firstLine="414"/>
        <w:spacing w:after="0" w:line="277" w:lineRule="auto"/>
        <w:rPr>
          <w:sz w:val="20"/>
          <w:szCs w:val="20"/>
          <w:color w:val="auto"/>
        </w:rPr>
      </w:pPr>
      <w:r>
        <w:rPr>
          <w:rFonts w:ascii="Arial" w:cs="Arial" w:eastAsia="Arial" w:hAnsi="Arial"/>
          <w:sz w:val="18"/>
          <w:szCs w:val="18"/>
          <w:color w:val="auto"/>
        </w:rPr>
        <w:t>In December 2017, the Company purchased an additional $201,000 of notional amount of Subordinated Notes issued by Catamaran CLO 2013-1 at a cost of $201,000.</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December 2017, the Company sold $5.0 million par value of the Subordinated Notes of Catamaran CLO 2014-1 for $3.0 million.</w:t>
      </w:r>
    </w:p>
    <w:p>
      <w:pPr>
        <w:spacing w:after="0" w:line="225" w:lineRule="exact"/>
        <w:rPr>
          <w:sz w:val="20"/>
          <w:szCs w:val="20"/>
          <w:color w:val="auto"/>
        </w:rPr>
      </w:pPr>
    </w:p>
    <w:p>
      <w:pPr>
        <w:ind w:right="20" w:firstLine="414"/>
        <w:spacing w:after="0" w:line="286" w:lineRule="auto"/>
        <w:rPr>
          <w:sz w:val="20"/>
          <w:szCs w:val="20"/>
          <w:color w:val="auto"/>
        </w:rPr>
      </w:pPr>
      <w:r>
        <w:rPr>
          <w:rFonts w:ascii="Arial" w:cs="Arial" w:eastAsia="Arial" w:hAnsi="Arial"/>
          <w:sz w:val="17"/>
          <w:szCs w:val="17"/>
          <w:color w:val="auto"/>
        </w:rPr>
        <w:t>All CLO Funds managed by the Asset Manager Affiliates are currently making quarterly distributions to the Company with respect to its interests in the CLO Funds and are paying all senior and subordinate management fees to the Asset Manager Affiliates. With the exception of Katonah III, Ltd. and Grant Grove CLO, Ltd. (both of which have been called), the remaining third-party managed CLO Funds is making distributions to the Company.</w:t>
      </w:r>
    </w:p>
    <w:p>
      <w:pPr>
        <w:spacing w:after="0" w:line="166" w:lineRule="exact"/>
        <w:rPr>
          <w:sz w:val="20"/>
          <w:szCs w:val="20"/>
          <w:color w:val="auto"/>
        </w:rPr>
      </w:pPr>
    </w:p>
    <w:p>
      <w:pPr>
        <w:ind w:right="60" w:firstLine="414"/>
        <w:spacing w:after="0" w:line="272" w:lineRule="auto"/>
        <w:rPr>
          <w:sz w:val="20"/>
          <w:szCs w:val="20"/>
          <w:color w:val="auto"/>
        </w:rPr>
      </w:pPr>
      <w:r>
        <w:rPr>
          <w:rFonts w:ascii="Arial" w:cs="Arial" w:eastAsia="Arial" w:hAnsi="Arial"/>
          <w:sz w:val="17"/>
          <w:szCs w:val="17"/>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As of March 31, 2018, Katonah 2007-1 had paid off all of its outstanding indebtedness and had approximately $300,000 in total assets. It is expected that Katonah 2007-1 will be fully liquidated and dissolved in 2018. The Company received approximately $10.5 million on its investment in Katonah 2007-1 during the first quarter of 2018 in connection with the continuing liquidation of Katonah 2007-1. The Company expects to record a realized loss during 2018 of approximately $10 million on its investment in Katonah 2007-1 and a corresponding unrealized gain of the same amount in order to reverse the previously recorded unrealized depreciation with respect to the investment.</w:t>
      </w:r>
    </w:p>
    <w:p>
      <w:pPr>
        <w:spacing w:after="0" w:line="178" w:lineRule="exact"/>
        <w:rPr>
          <w:sz w:val="20"/>
          <w:szCs w:val="20"/>
          <w:color w:val="auto"/>
        </w:rPr>
      </w:pPr>
    </w:p>
    <w:p>
      <w:pPr>
        <w:ind w:right="300" w:firstLine="414"/>
        <w:spacing w:after="0" w:line="277" w:lineRule="auto"/>
        <w:rPr>
          <w:sz w:val="20"/>
          <w:szCs w:val="20"/>
          <w:color w:val="auto"/>
        </w:rPr>
      </w:pPr>
      <w:r>
        <w:rPr>
          <w:rFonts w:ascii="Arial" w:cs="Arial" w:eastAsia="Arial" w:hAnsi="Arial"/>
          <w:sz w:val="18"/>
          <w:szCs w:val="18"/>
          <w:color w:val="auto"/>
        </w:rPr>
        <w:t>In January 2018, the trustees of Catamaran CLO 2012-1, Ltd received notice that the holders of a majority of the income notes issued by Catamaran CLO 2012-1, Ltd had exercised their right of optional redemption.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Affiliate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investments in affiliates at March 31, 2018 (unaudited) and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Fair Value at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Purchases/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3"/>
              </w:rPr>
              <w:t>Transfers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(Sales) of</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6"/>
              </w:rPr>
              <w:t>Fair Value at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In/(Out)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7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Industry Classification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Advances/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of March 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(unaudited)</w:t>
            </w:r>
          </w:p>
        </w:tc>
        <w:tc>
          <w:tcPr>
            <w:tcW w:w="11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4"/>
              </w:rPr>
              <w:t>(Distributions)</w:t>
            </w:r>
          </w:p>
        </w:tc>
        <w:tc>
          <w:tcPr>
            <w:tcW w:w="4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Accretion</w:t>
            </w:r>
          </w:p>
        </w:tc>
        <w:tc>
          <w:tcPr>
            <w:tcW w:w="40" w:type="dxa"/>
            <w:vAlign w:val="bottom"/>
          </w:tcPr>
          <w:p>
            <w:pPr>
              <w:spacing w:after="0"/>
              <w:rPr>
                <w:sz w:val="14"/>
                <w:szCs w:val="14"/>
                <w:color w:val="auto"/>
              </w:rPr>
            </w:pPr>
          </w:p>
        </w:tc>
        <w:tc>
          <w:tcPr>
            <w:tcW w:w="8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Affiliates</w:t>
            </w:r>
          </w:p>
        </w:tc>
        <w:tc>
          <w:tcPr>
            <w:tcW w:w="40" w:type="dxa"/>
            <w:vAlign w:val="bottom"/>
          </w:tcPr>
          <w:p>
            <w:pPr>
              <w:spacing w:after="0"/>
              <w:rPr>
                <w:sz w:val="14"/>
                <w:szCs w:val="14"/>
                <w:color w:val="auto"/>
              </w:rPr>
            </w:pPr>
          </w:p>
        </w:tc>
        <w:tc>
          <w:tcPr>
            <w:tcW w:w="9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Gain/(Loss)</w:t>
            </w:r>
          </w:p>
        </w:tc>
        <w:tc>
          <w:tcPr>
            <w:tcW w:w="8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0"/>
              </w:rPr>
              <w:t>Gain/(Loss)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2018 (unaudited)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Income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Asset Manager</w:t>
            </w:r>
          </w:p>
        </w:tc>
        <w:tc>
          <w:tcPr>
            <w:tcW w:w="142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1"/>
              </w:rPr>
              <w:t>Asset Management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Affiliates</w:t>
            </w:r>
            <w:r>
              <w:rPr>
                <w:rFonts w:ascii="Arial" w:cs="Arial" w:eastAsia="Arial" w:hAnsi="Arial"/>
                <w:sz w:val="23"/>
                <w:szCs w:val="23"/>
                <w:color w:val="auto"/>
                <w:vertAlign w:val="superscript"/>
              </w:rPr>
              <w:t>(4)(5)(6)</w:t>
            </w:r>
          </w:p>
        </w:tc>
        <w:tc>
          <w:tcPr>
            <w:tcW w:w="14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3"/>
              </w:rPr>
              <w:t>Company</w:t>
            </w:r>
          </w:p>
        </w:tc>
        <w:tc>
          <w:tcPr>
            <w:tcW w:w="1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38,849,000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314,000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38,663,000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Trimaran Advisors,</w:t>
            </w:r>
          </w:p>
        </w:tc>
        <w:tc>
          <w:tcPr>
            <w:tcW w:w="1420" w:type="dxa"/>
            <w:vAlign w:val="bottom"/>
            <w:gridSpan w:val="2"/>
          </w:tcPr>
          <w:p>
            <w:pPr>
              <w:jc w:val="center"/>
              <w:ind w:right="20"/>
              <w:spacing w:after="0" w:line="130" w:lineRule="exact"/>
              <w:rPr>
                <w:sz w:val="20"/>
                <w:szCs w:val="20"/>
                <w:color w:val="auto"/>
              </w:rPr>
            </w:pPr>
            <w:r>
              <w:rPr>
                <w:rFonts w:ascii="Arial" w:cs="Arial" w:eastAsia="Arial" w:hAnsi="Arial"/>
                <w:sz w:val="14"/>
                <w:szCs w:val="14"/>
                <w:color w:val="auto"/>
                <w:w w:val="91"/>
              </w:rPr>
              <w:t>Related Party Loans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380" w:type="dxa"/>
            <w:vAlign w:val="bottom"/>
            <w:gridSpan w:val="2"/>
          </w:tcPr>
          <w:p>
            <w:pPr>
              <w:spacing w:after="0" w:line="159" w:lineRule="exact"/>
              <w:rPr>
                <w:sz w:val="20"/>
                <w:szCs w:val="20"/>
                <w:color w:val="auto"/>
              </w:rPr>
            </w:pPr>
            <w:r>
              <w:rPr>
                <w:rFonts w:ascii="Arial" w:cs="Arial" w:eastAsia="Arial" w:hAnsi="Arial"/>
                <w:sz w:val="14"/>
                <w:szCs w:val="14"/>
                <w:color w:val="auto"/>
              </w:rPr>
              <w:t>LLC Revolving</w:t>
            </w: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14"/>
                <w:szCs w:val="14"/>
                <w:color w:val="auto"/>
                <w:w w:val="98"/>
              </w:rPr>
              <w:t>Credit Facility</w:t>
            </w:r>
            <w:r>
              <w:rPr>
                <w:rFonts w:ascii="Arial" w:cs="Arial" w:eastAsia="Arial" w:hAnsi="Arial"/>
                <w:sz w:val="22"/>
                <w:szCs w:val="22"/>
                <w:color w:val="auto"/>
                <w:w w:val="98"/>
                <w:vertAlign w:val="superscript"/>
              </w:rPr>
              <w:t>(4)(5)(6)</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23,000,000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23,000,000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115,381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Trimaran Advisors,</w:t>
            </w:r>
          </w:p>
        </w:tc>
        <w:tc>
          <w:tcPr>
            <w:tcW w:w="1420" w:type="dxa"/>
            <w:vAlign w:val="bottom"/>
            <w:gridSpan w:val="2"/>
            <w:shd w:val="clear" w:color="auto" w:fill="CCEEFF"/>
          </w:tcPr>
          <w:p>
            <w:pPr>
              <w:jc w:val="center"/>
              <w:ind w:right="20"/>
              <w:spacing w:after="0" w:line="130" w:lineRule="exact"/>
              <w:rPr>
                <w:sz w:val="20"/>
                <w:szCs w:val="20"/>
                <w:color w:val="auto"/>
              </w:rPr>
            </w:pPr>
            <w:r>
              <w:rPr>
                <w:rFonts w:ascii="Arial" w:cs="Arial" w:eastAsia="Arial" w:hAnsi="Arial"/>
                <w:sz w:val="14"/>
                <w:szCs w:val="14"/>
                <w:color w:val="auto"/>
                <w:w w:val="91"/>
              </w:rPr>
              <w:t>Related Party Loans</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LLC Related Party</w:t>
            </w: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22"/>
                <w:szCs w:val="22"/>
                <w:color w:val="auto"/>
                <w:vertAlign w:val="subscript"/>
              </w:rPr>
              <w:t>Loan</w:t>
            </w:r>
            <w:r>
              <w:rPr>
                <w:rFonts w:ascii="Arial" w:cs="Arial" w:eastAsia="Arial" w:hAnsi="Arial"/>
                <w:sz w:val="10"/>
                <w:szCs w:val="10"/>
                <w:color w:val="auto"/>
              </w:rPr>
              <w:t xml:space="preserve"> (4)(5)(6)</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8,359,051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8,359,051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219,425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Trimaran Advisors,</w:t>
            </w:r>
          </w:p>
        </w:tc>
        <w:tc>
          <w:tcPr>
            <w:tcW w:w="1420" w:type="dxa"/>
            <w:vAlign w:val="bottom"/>
            <w:gridSpan w:val="2"/>
          </w:tcPr>
          <w:p>
            <w:pPr>
              <w:jc w:val="center"/>
              <w:ind w:right="20"/>
              <w:spacing w:after="0" w:line="130" w:lineRule="exact"/>
              <w:rPr>
                <w:sz w:val="20"/>
                <w:szCs w:val="20"/>
                <w:color w:val="auto"/>
              </w:rPr>
            </w:pPr>
            <w:r>
              <w:rPr>
                <w:rFonts w:ascii="Arial" w:cs="Arial" w:eastAsia="Arial" w:hAnsi="Arial"/>
                <w:sz w:val="14"/>
                <w:szCs w:val="14"/>
                <w:color w:val="auto"/>
                <w:w w:val="91"/>
              </w:rPr>
              <w:t>Related Party Loans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380" w:type="dxa"/>
            <w:vAlign w:val="bottom"/>
            <w:gridSpan w:val="2"/>
          </w:tcPr>
          <w:p>
            <w:pPr>
              <w:spacing w:after="0" w:line="159" w:lineRule="exact"/>
              <w:rPr>
                <w:sz w:val="20"/>
                <w:szCs w:val="20"/>
                <w:color w:val="auto"/>
              </w:rPr>
            </w:pPr>
            <w:r>
              <w:rPr>
                <w:rFonts w:ascii="Arial" w:cs="Arial" w:eastAsia="Arial" w:hAnsi="Arial"/>
                <w:sz w:val="14"/>
                <w:szCs w:val="14"/>
                <w:color w:val="auto"/>
              </w:rPr>
              <w:t>LLC Related Party</w:t>
            </w: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22"/>
                <w:szCs w:val="22"/>
                <w:color w:val="auto"/>
                <w:vertAlign w:val="subscript"/>
              </w:rPr>
              <w:t>Loan</w:t>
            </w:r>
            <w:r>
              <w:rPr>
                <w:rFonts w:ascii="Arial" w:cs="Arial" w:eastAsia="Arial" w:hAnsi="Arial"/>
                <w:sz w:val="10"/>
                <w:szCs w:val="10"/>
                <w:color w:val="auto"/>
              </w:rPr>
              <w:t xml:space="preserve"> (4)(5)(6)</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4,418,232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4,418,232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115,979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Katonah 2007-I CLO,</w:t>
            </w:r>
          </w:p>
        </w:tc>
        <w:tc>
          <w:tcPr>
            <w:tcW w:w="1420" w:type="dxa"/>
            <w:vAlign w:val="bottom"/>
            <w:gridSpan w:val="2"/>
            <w:shd w:val="clear" w:color="auto" w:fill="CCEEFF"/>
          </w:tcPr>
          <w:p>
            <w:pPr>
              <w:jc w:val="center"/>
              <w:ind w:right="40"/>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10"/>
                <w:szCs w:val="10"/>
                <w:color w:val="auto"/>
              </w:rPr>
              <w:t xml:space="preserve"> (1)(2)(3)(4)</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10,770,487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(10,487,427)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271,658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(254,718)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300,000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271,658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tcPr>
          <w:p>
            <w:pPr>
              <w:spacing w:after="0" w:line="140" w:lineRule="exact"/>
              <w:rPr>
                <w:sz w:val="20"/>
                <w:szCs w:val="20"/>
                <w:color w:val="auto"/>
              </w:rPr>
            </w:pPr>
            <w:r>
              <w:rPr>
                <w:rFonts w:ascii="Arial" w:cs="Arial" w:eastAsia="Arial" w:hAnsi="Arial"/>
                <w:sz w:val="14"/>
                <w:szCs w:val="14"/>
                <w:color w:val="auto"/>
              </w:rPr>
              <w:t>Trimaran CLO VII,</w:t>
            </w:r>
          </w:p>
        </w:tc>
        <w:tc>
          <w:tcPr>
            <w:tcW w:w="1420" w:type="dxa"/>
            <w:vAlign w:val="bottom"/>
            <w:gridSpan w:val="2"/>
          </w:tcPr>
          <w:p>
            <w:pPr>
              <w:jc w:val="center"/>
              <w:ind w:right="40"/>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10"/>
                <w:szCs w:val="10"/>
                <w:color w:val="auto"/>
              </w:rPr>
              <w:t xml:space="preserve"> (1)(2)(3)(4)</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shd w:val="clear" w:color="auto" w:fill="CCEEFF"/>
          </w:tcPr>
          <w:p>
            <w:pPr>
              <w:jc w:val="center"/>
              <w:ind w:right="40"/>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2012-1, Ltd. </w:t>
            </w:r>
            <w:r>
              <w:rPr>
                <w:rFonts w:ascii="Arial" w:cs="Arial" w:eastAsia="Arial" w:hAnsi="Arial"/>
                <w:sz w:val="21"/>
                <w:szCs w:val="21"/>
                <w:color w:val="auto"/>
                <w:vertAlign w:val="superscript"/>
              </w:rPr>
              <w:t>(1)(2)(3)</w:t>
            </w: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(4)</w:t>
            </w:r>
          </w:p>
        </w:tc>
        <w:tc>
          <w:tcPr>
            <w:tcW w:w="1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2,320,783</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(1,281,208)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141,307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93,061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1,273,943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141,037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tcPr>
          <w:p>
            <w:pPr>
              <w:jc w:val="center"/>
              <w:ind w:right="40"/>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2013-1, Ltd. </w:t>
            </w:r>
            <w:r>
              <w:rPr>
                <w:rFonts w:ascii="Arial" w:cs="Arial" w:eastAsia="Arial" w:hAnsi="Arial"/>
                <w:sz w:val="22"/>
                <w:szCs w:val="22"/>
                <w:color w:val="auto"/>
                <w:vertAlign w:val="superscript"/>
              </w:rPr>
              <w:t>(1)(2)(4)</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6,923,700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391,364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(783,786)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6,531,278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391,634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shd w:val="clear" w:color="auto" w:fill="CCEEFF"/>
          </w:tcPr>
          <w:p>
            <w:pPr>
              <w:jc w:val="center"/>
              <w:ind w:right="40"/>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2014-1, Ltd. </w:t>
            </w:r>
            <w:r>
              <w:rPr>
                <w:rFonts w:ascii="Arial" w:cs="Arial" w:eastAsia="Arial" w:hAnsi="Arial"/>
                <w:sz w:val="22"/>
                <w:szCs w:val="22"/>
                <w:color w:val="auto"/>
                <w:vertAlign w:val="superscript"/>
              </w:rPr>
              <w:t>(1)(2)(4)</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8,230,177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(310,486)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346,784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(783,786)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7,482,689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346,784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tcPr>
          <w:p>
            <w:pPr>
              <w:jc w:val="center"/>
              <w:ind w:right="40"/>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2014-2, Ltd. </w:t>
            </w:r>
            <w:r>
              <w:rPr>
                <w:rFonts w:ascii="Arial" w:cs="Arial" w:eastAsia="Arial" w:hAnsi="Arial"/>
                <w:sz w:val="22"/>
                <w:szCs w:val="22"/>
                <w:color w:val="auto"/>
                <w:vertAlign w:val="superscript"/>
              </w:rPr>
              <w:t>(1)(2)(4)</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4,500,962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(250,672)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188,341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(307,885)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4,130,746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188,341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shd w:val="clear" w:color="auto" w:fill="CCEEFF"/>
          </w:tcPr>
          <w:p>
            <w:pPr>
              <w:jc w:val="center"/>
              <w:ind w:right="40"/>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2015-1, Ltd. </w:t>
            </w:r>
            <w:r>
              <w:rPr>
                <w:rFonts w:ascii="Arial" w:cs="Arial" w:eastAsia="Arial" w:hAnsi="Arial"/>
                <w:sz w:val="22"/>
                <w:szCs w:val="22"/>
                <w:color w:val="auto"/>
                <w:vertAlign w:val="superscript"/>
              </w:rPr>
              <w:t>(1)(2)(4)</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3,569,603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(49,506)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130,794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(85,484)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3,565,407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130,794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tcPr>
          <w:p>
            <w:pPr>
              <w:jc w:val="center"/>
              <w:ind w:right="40"/>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2016-1, Ltd. </w:t>
            </w:r>
            <w:r>
              <w:rPr>
                <w:rFonts w:ascii="Arial" w:cs="Arial" w:eastAsia="Arial" w:hAnsi="Arial"/>
                <w:sz w:val="22"/>
                <w:szCs w:val="22"/>
                <w:color w:val="auto"/>
                <w:vertAlign w:val="superscript"/>
              </w:rPr>
              <w:t>(1)(2)(4)</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8,530,684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(336,068)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245,297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(331,843)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8,108,070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245,297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KCAP F3C Senior</w:t>
            </w:r>
          </w:p>
        </w:tc>
        <w:tc>
          <w:tcPr>
            <w:tcW w:w="1420" w:type="dxa"/>
            <w:vAlign w:val="bottom"/>
            <w:gridSpan w:val="2"/>
            <w:shd w:val="clear" w:color="auto" w:fill="CCEEFF"/>
          </w:tcPr>
          <w:p>
            <w:pPr>
              <w:jc w:val="center"/>
              <w:ind w:right="40"/>
              <w:spacing w:after="0" w:line="130" w:lineRule="exact"/>
              <w:rPr>
                <w:sz w:val="20"/>
                <w:szCs w:val="20"/>
                <w:color w:val="auto"/>
              </w:rPr>
            </w:pPr>
            <w:r>
              <w:rPr>
                <w:rFonts w:ascii="Arial" w:cs="Arial" w:eastAsia="Arial" w:hAnsi="Arial"/>
                <w:sz w:val="14"/>
                <w:szCs w:val="14"/>
                <w:color w:val="auto"/>
                <w:w w:val="93"/>
              </w:rPr>
              <w:t>CLO Fund Securities</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Funding Rated</w:t>
            </w: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22"/>
                <w:szCs w:val="22"/>
                <w:color w:val="auto"/>
                <w:vertAlign w:val="subscript"/>
              </w:rPr>
              <w:t>Notes</w:t>
            </w:r>
            <w:r>
              <w:rPr>
                <w:rFonts w:ascii="Arial" w:cs="Arial" w:eastAsia="Arial" w:hAnsi="Arial"/>
                <w:sz w:val="10"/>
                <w:szCs w:val="10"/>
                <w:color w:val="auto"/>
              </w:rPr>
              <w:t>(1)(2)(4)</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4,632,001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9,196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45,984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4,687,181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118,122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tcPr>
          <w:p>
            <w:pPr>
              <w:spacing w:after="0" w:line="140" w:lineRule="exact"/>
              <w:rPr>
                <w:sz w:val="20"/>
                <w:szCs w:val="20"/>
                <w:color w:val="auto"/>
              </w:rPr>
            </w:pPr>
            <w:r>
              <w:rPr>
                <w:rFonts w:ascii="Arial" w:cs="Arial" w:eastAsia="Arial" w:hAnsi="Arial"/>
                <w:sz w:val="14"/>
                <w:szCs w:val="14"/>
                <w:color w:val="auto"/>
              </w:rPr>
              <w:t>KCAP Freedom 3,</w:t>
            </w:r>
          </w:p>
        </w:tc>
        <w:tc>
          <w:tcPr>
            <w:tcW w:w="1420" w:type="dxa"/>
            <w:vAlign w:val="bottom"/>
            <w:gridSpan w:val="2"/>
          </w:tcPr>
          <w:p>
            <w:pPr>
              <w:jc w:val="center"/>
              <w:ind w:right="20"/>
              <w:spacing w:after="0" w:line="140" w:lineRule="exact"/>
              <w:rPr>
                <w:sz w:val="20"/>
                <w:szCs w:val="20"/>
                <w:color w:val="auto"/>
              </w:rPr>
            </w:pPr>
            <w:r>
              <w:rPr>
                <w:rFonts w:ascii="Arial" w:cs="Arial" w:eastAsia="Arial" w:hAnsi="Arial"/>
                <w:sz w:val="14"/>
                <w:szCs w:val="14"/>
                <w:color w:val="auto"/>
                <w:w w:val="92"/>
              </w:rPr>
              <w:t>Joint Venture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380" w:type="dxa"/>
            <w:vAlign w:val="bottom"/>
            <w:gridSpan w:val="2"/>
          </w:tcPr>
          <w:p>
            <w:pPr>
              <w:spacing w:after="0" w:line="211" w:lineRule="exact"/>
              <w:rPr>
                <w:sz w:val="20"/>
                <w:szCs w:val="20"/>
                <w:color w:val="auto"/>
              </w:rPr>
            </w:pPr>
            <w:r>
              <w:rPr>
                <w:rFonts w:ascii="Arial" w:cs="Arial" w:eastAsia="Arial" w:hAnsi="Arial"/>
                <w:sz w:val="14"/>
                <w:szCs w:val="14"/>
                <w:color w:val="auto"/>
              </w:rPr>
              <w:t xml:space="preserve">LLC </w:t>
            </w:r>
            <w:r>
              <w:rPr>
                <w:rFonts w:ascii="Arial" w:cs="Arial" w:eastAsia="Arial" w:hAnsi="Arial"/>
                <w:sz w:val="23"/>
                <w:szCs w:val="23"/>
                <w:color w:val="auto"/>
                <w:vertAlign w:val="superscript"/>
              </w:rPr>
              <w:t>(4)</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21,516,000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251,376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21,767,376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Total Affiliated</w:t>
            </w: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38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w w:val="92"/>
              </w:rPr>
              <w:t>122,630,680</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9,784,633</w:t>
            </w:r>
          </w:p>
        </w:tc>
        <w:tc>
          <w:tcPr>
            <w:tcW w:w="16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1,724,741</w:t>
            </w: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6"/>
                <w:szCs w:val="16"/>
                <w:color w:val="auto"/>
              </w:rPr>
            </w:pPr>
          </w:p>
        </w:tc>
        <w:tc>
          <w:tcPr>
            <w:tcW w:w="920" w:type="dxa"/>
            <w:vAlign w:val="bottom"/>
            <w:gridSpan w:val="5"/>
          </w:tcPr>
          <w:p>
            <w:pPr>
              <w:jc w:val="right"/>
              <w:ind w:right="80"/>
              <w:spacing w:after="0" w:line="194" w:lineRule="exact"/>
              <w:rPr>
                <w:sz w:val="20"/>
                <w:szCs w:val="20"/>
                <w:color w:val="auto"/>
              </w:rPr>
            </w:pPr>
            <w:r>
              <w:rPr>
                <w:rFonts w:ascii="Arial" w:cs="Arial" w:eastAsia="Arial" w:hAnsi="Arial"/>
                <w:sz w:val="12"/>
                <w:szCs w:val="12"/>
                <w:color w:val="auto"/>
              </w:rPr>
              <w:t>$ (1,843,081</w:t>
            </w:r>
            <w:r>
              <w:rPr>
                <w:rFonts w:ascii="Arial" w:cs="Arial" w:eastAsia="Arial" w:hAnsi="Arial"/>
                <w:sz w:val="22"/>
                <w:szCs w:val="22"/>
                <w:color w:val="auto"/>
                <w:vertAlign w:val="superscript"/>
              </w:rPr>
              <w:t>)</w:t>
            </w: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132,296,973</w:t>
            </w:r>
          </w:p>
        </w:tc>
        <w:tc>
          <w:tcPr>
            <w:tcW w:w="900" w:type="dxa"/>
            <w:vAlign w:val="bottom"/>
            <w:gridSpan w:val="5"/>
          </w:tcPr>
          <w:p>
            <w:pPr>
              <w:jc w:val="right"/>
              <w:ind w:right="100"/>
              <w:spacing w:after="0"/>
              <w:rPr>
                <w:sz w:val="20"/>
                <w:szCs w:val="20"/>
                <w:color w:val="auto"/>
              </w:rPr>
            </w:pPr>
            <w:r>
              <w:rPr>
                <w:rFonts w:ascii="Arial" w:cs="Arial" w:eastAsia="Arial" w:hAnsi="Arial"/>
                <w:sz w:val="14"/>
                <w:szCs w:val="14"/>
                <w:color w:val="auto"/>
              </w:rPr>
              <w:t>$ 2,284,452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1,020,000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Purchases/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Transfers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(Sales) of</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rPr>
              <w:t>In/(Out)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Realized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2"/>
                <w:szCs w:val="12"/>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Industry Classification</w:t>
            </w:r>
          </w:p>
        </w:tc>
        <w:tc>
          <w:tcPr>
            <w:tcW w:w="60" w:type="dxa"/>
            <w:vAlign w:val="bottom"/>
          </w:tcPr>
          <w:p>
            <w:pPr>
              <w:spacing w:after="0"/>
              <w:rPr>
                <w:sz w:val="12"/>
                <w:szCs w:val="12"/>
                <w:color w:val="auto"/>
              </w:rPr>
            </w:pPr>
          </w:p>
        </w:tc>
        <w:tc>
          <w:tcPr>
            <w:tcW w:w="9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or Advances/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of December</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(Distributions)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Accretion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Affiliates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3"/>
              </w:rPr>
              <w:t>Gain/(Loss)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5"/>
          </w:tcPr>
          <w:p>
            <w:pPr>
              <w:jc w:val="right"/>
              <w:ind w:right="88"/>
              <w:spacing w:after="0"/>
              <w:rPr>
                <w:sz w:val="20"/>
                <w:szCs w:val="20"/>
                <w:color w:val="auto"/>
              </w:rPr>
            </w:pPr>
            <w:r>
              <w:rPr>
                <w:rFonts w:ascii="Arial" w:cs="Arial" w:eastAsia="Arial" w:hAnsi="Arial"/>
                <w:sz w:val="14"/>
                <w:szCs w:val="14"/>
                <w:b w:val="1"/>
                <w:bCs w:val="1"/>
                <w:color w:val="auto"/>
                <w:w w:val="93"/>
              </w:rPr>
              <w:t>Gain/(Loss)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31, 2017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Asset Manager</w:t>
            </w:r>
          </w:p>
        </w:tc>
        <w:tc>
          <w:tcPr>
            <w:tcW w:w="14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Asset Management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Affiliates</w:t>
            </w:r>
            <w:r>
              <w:rPr>
                <w:rFonts w:ascii="Arial" w:cs="Arial" w:eastAsia="Arial" w:hAnsi="Arial"/>
                <w:sz w:val="23"/>
                <w:szCs w:val="23"/>
                <w:color w:val="auto"/>
                <w:vertAlign w:val="superscript"/>
              </w:rPr>
              <w:t>(4)(5)(6)</w:t>
            </w:r>
          </w:p>
        </w:tc>
        <w:tc>
          <w:tcPr>
            <w:tcW w:w="14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3"/>
              </w:rPr>
              <w:t>Company</w:t>
            </w: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40,198,000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(2,750,000)</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1,401,000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38,849,000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Trimaran Advisors,</w:t>
            </w:r>
          </w:p>
        </w:tc>
        <w:tc>
          <w:tcPr>
            <w:tcW w:w="14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2"/>
              </w:rPr>
              <w:t>Related Party Loans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380" w:type="dxa"/>
            <w:vAlign w:val="bottom"/>
            <w:gridSpan w:val="2"/>
          </w:tcPr>
          <w:p>
            <w:pPr>
              <w:spacing w:after="0" w:line="159" w:lineRule="exact"/>
              <w:rPr>
                <w:sz w:val="20"/>
                <w:szCs w:val="20"/>
                <w:color w:val="auto"/>
              </w:rPr>
            </w:pPr>
            <w:r>
              <w:rPr>
                <w:rFonts w:ascii="Arial" w:cs="Arial" w:eastAsia="Arial" w:hAnsi="Arial"/>
                <w:sz w:val="14"/>
                <w:szCs w:val="14"/>
                <w:color w:val="auto"/>
              </w:rPr>
              <w:t>LLC Revolving</w:t>
            </w: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14"/>
                <w:szCs w:val="14"/>
                <w:color w:val="auto"/>
                <w:w w:val="98"/>
              </w:rPr>
              <w:t>Credit Facility</w:t>
            </w:r>
            <w:r>
              <w:rPr>
                <w:rFonts w:ascii="Arial" w:cs="Arial" w:eastAsia="Arial" w:hAnsi="Arial"/>
                <w:sz w:val="22"/>
                <w:szCs w:val="22"/>
                <w:color w:val="auto"/>
                <w:w w:val="98"/>
                <w:vertAlign w:val="superscript"/>
              </w:rPr>
              <w:t>(4)(5)(6)</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916,765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Trimaran Advisors,</w:t>
            </w:r>
          </w:p>
        </w:tc>
        <w:tc>
          <w:tcPr>
            <w:tcW w:w="14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Related Party Loans</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LLC Related Party</w:t>
            </w: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22"/>
                <w:szCs w:val="22"/>
                <w:color w:val="auto"/>
                <w:vertAlign w:val="subscript"/>
              </w:rPr>
              <w:t>Loan</w:t>
            </w:r>
            <w:r>
              <w:rPr>
                <w:rFonts w:ascii="Arial" w:cs="Arial" w:eastAsia="Arial" w:hAnsi="Arial"/>
                <w:sz w:val="10"/>
                <w:szCs w:val="10"/>
                <w:color w:val="auto"/>
              </w:rPr>
              <w:t xml:space="preserve"> (4)(5)(6)</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8,359,051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8,359,051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148,721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Trimaran Advisors,</w:t>
            </w:r>
          </w:p>
        </w:tc>
        <w:tc>
          <w:tcPr>
            <w:tcW w:w="14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2"/>
              </w:rPr>
              <w:t>Related Party Loans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380" w:type="dxa"/>
            <w:vAlign w:val="bottom"/>
            <w:gridSpan w:val="2"/>
          </w:tcPr>
          <w:p>
            <w:pPr>
              <w:spacing w:after="0" w:line="159" w:lineRule="exact"/>
              <w:rPr>
                <w:sz w:val="20"/>
                <w:szCs w:val="20"/>
                <w:color w:val="auto"/>
              </w:rPr>
            </w:pPr>
            <w:r>
              <w:rPr>
                <w:rFonts w:ascii="Arial" w:cs="Arial" w:eastAsia="Arial" w:hAnsi="Arial"/>
                <w:sz w:val="14"/>
                <w:szCs w:val="14"/>
                <w:color w:val="auto"/>
              </w:rPr>
              <w:t>LLC Related Party</w:t>
            </w: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22"/>
                <w:szCs w:val="22"/>
                <w:color w:val="auto"/>
                <w:vertAlign w:val="subscript"/>
              </w:rPr>
              <w:t>Loan</w:t>
            </w:r>
            <w:r>
              <w:rPr>
                <w:rFonts w:ascii="Arial" w:cs="Arial" w:eastAsia="Arial" w:hAnsi="Arial"/>
                <w:sz w:val="10"/>
                <w:szCs w:val="10"/>
                <w:color w:val="auto"/>
              </w:rPr>
              <w:t xml:space="preserve"> (4)(5)(6)</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4,418,232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4,418,232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16,752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Katonah 2007-I CLO,</w:t>
            </w:r>
          </w:p>
        </w:tc>
        <w:tc>
          <w:tcPr>
            <w:tcW w:w="1420" w:type="dxa"/>
            <w:vAlign w:val="bottom"/>
            <w:gridSpan w:val="2"/>
            <w:shd w:val="clear" w:color="auto" w:fill="CCEEFF"/>
          </w:tcPr>
          <w:p>
            <w:pPr>
              <w:jc w:val="center"/>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10"/>
                <w:szCs w:val="10"/>
                <w:color w:val="auto"/>
              </w:rPr>
              <w:t xml:space="preserve"> (1)(2)(3)(4)</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20,453,099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(13,157,760)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5,660,026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97"/>
              </w:rPr>
              <w:t>(2,184,878)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10,770,486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5,660,026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tcPr>
          <w:p>
            <w:pPr>
              <w:spacing w:after="0" w:line="140" w:lineRule="exact"/>
              <w:rPr>
                <w:sz w:val="20"/>
                <w:szCs w:val="20"/>
                <w:color w:val="auto"/>
              </w:rPr>
            </w:pPr>
            <w:r>
              <w:rPr>
                <w:rFonts w:ascii="Arial" w:cs="Arial" w:eastAsia="Arial" w:hAnsi="Arial"/>
                <w:sz w:val="14"/>
                <w:szCs w:val="14"/>
                <w:color w:val="auto"/>
              </w:rPr>
              <w:t>Trimaran CLO VII,</w:t>
            </w:r>
          </w:p>
        </w:tc>
        <w:tc>
          <w:tcPr>
            <w:tcW w:w="1420" w:type="dxa"/>
            <w:vAlign w:val="bottom"/>
            <w:gridSpan w:val="2"/>
          </w:tcPr>
          <w:p>
            <w:pPr>
              <w:jc w:val="center"/>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10"/>
                <w:szCs w:val="10"/>
                <w:color w:val="auto"/>
              </w:rPr>
              <w:t xml:space="preserve"> (1)(2)(3)(4)</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1,195,152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(1,264,090)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78,938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shd w:val="clear" w:color="auto" w:fill="CCEEFF"/>
          </w:tcPr>
          <w:p>
            <w:pPr>
              <w:jc w:val="center"/>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2012-1, Ltd. </w:t>
            </w:r>
            <w:r>
              <w:rPr>
                <w:rFonts w:ascii="Arial" w:cs="Arial" w:eastAsia="Arial" w:hAnsi="Arial"/>
                <w:sz w:val="22"/>
                <w:szCs w:val="22"/>
                <w:color w:val="auto"/>
                <w:vertAlign w:val="superscript"/>
              </w:rPr>
              <w:t>(1)(2)(4)</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2,819,412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(771,743)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699,611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(426,497)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2,320,783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699,611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tcPr>
          <w:p>
            <w:pPr>
              <w:jc w:val="center"/>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2013-1, Ltd. </w:t>
            </w:r>
            <w:r>
              <w:rPr>
                <w:rFonts w:ascii="Arial" w:cs="Arial" w:eastAsia="Arial" w:hAnsi="Arial"/>
                <w:sz w:val="22"/>
                <w:szCs w:val="22"/>
                <w:color w:val="auto"/>
                <w:vertAlign w:val="superscript"/>
              </w:rPr>
              <w:t>(1)(2)(4)</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4,918,807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(1,054,362)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834,448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2,224,807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6,923,699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834,448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shd w:val="clear" w:color="auto" w:fill="CCEEFF"/>
          </w:tcPr>
          <w:p>
            <w:pPr>
              <w:jc w:val="center"/>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2014-1, Ltd. </w:t>
            </w:r>
            <w:r>
              <w:rPr>
                <w:rFonts w:ascii="Arial" w:cs="Arial" w:eastAsia="Arial" w:hAnsi="Arial"/>
                <w:sz w:val="22"/>
                <w:szCs w:val="22"/>
                <w:color w:val="auto"/>
                <w:vertAlign w:val="superscript"/>
              </w:rPr>
              <w:t>(1)(2)(4)</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4,546,682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2,319,047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1,079,850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1,643,907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6"/>
            <w:shd w:val="clear" w:color="auto" w:fill="CCEEFF"/>
          </w:tcPr>
          <w:p>
            <w:pPr>
              <w:jc w:val="right"/>
              <w:ind w:right="28"/>
              <w:spacing w:after="0"/>
              <w:rPr>
                <w:sz w:val="20"/>
                <w:szCs w:val="20"/>
                <w:color w:val="auto"/>
              </w:rPr>
            </w:pPr>
            <w:r>
              <w:rPr>
                <w:rFonts w:ascii="Arial" w:cs="Arial" w:eastAsia="Arial" w:hAnsi="Arial"/>
                <w:sz w:val="14"/>
                <w:szCs w:val="14"/>
                <w:color w:val="auto"/>
              </w:rPr>
              <w:t>(1,359,309)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8,230,178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1,079,850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tcPr>
          <w:p>
            <w:pPr>
              <w:jc w:val="center"/>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2014-2, Ltd. </w:t>
            </w:r>
            <w:r>
              <w:rPr>
                <w:rFonts w:ascii="Arial" w:cs="Arial" w:eastAsia="Arial" w:hAnsi="Arial"/>
                <w:sz w:val="22"/>
                <w:szCs w:val="22"/>
                <w:color w:val="auto"/>
                <w:vertAlign w:val="superscript"/>
              </w:rPr>
              <w:t>(1)(2)(4)</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5,092,087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(1,130,813)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806,058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(266,370)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4,500,962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806,058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shd w:val="clear" w:color="auto" w:fill="CCEEFF"/>
          </w:tcPr>
          <w:p>
            <w:pPr>
              <w:jc w:val="center"/>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2015-1, Ltd. </w:t>
            </w:r>
            <w:r>
              <w:rPr>
                <w:rFonts w:ascii="Arial" w:cs="Arial" w:eastAsia="Arial" w:hAnsi="Arial"/>
                <w:sz w:val="22"/>
                <w:szCs w:val="22"/>
                <w:color w:val="auto"/>
                <w:vertAlign w:val="superscript"/>
              </w:rPr>
              <w:t>(1)(2)(4)</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3,223,255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(571,562)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446,893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471,017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3,569,600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446,893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tcPr>
          <w:p>
            <w:pPr>
              <w:spacing w:after="0" w:line="140" w:lineRule="exact"/>
              <w:rPr>
                <w:sz w:val="20"/>
                <w:szCs w:val="20"/>
                <w:color w:val="auto"/>
              </w:rPr>
            </w:pPr>
            <w:r>
              <w:rPr>
                <w:rFonts w:ascii="Arial" w:cs="Arial" w:eastAsia="Arial" w:hAnsi="Arial"/>
                <w:sz w:val="14"/>
                <w:szCs w:val="14"/>
                <w:color w:val="auto"/>
              </w:rPr>
              <w:t>Catamaran CLO</w:t>
            </w:r>
          </w:p>
        </w:tc>
        <w:tc>
          <w:tcPr>
            <w:tcW w:w="1420" w:type="dxa"/>
            <w:vAlign w:val="bottom"/>
            <w:gridSpan w:val="2"/>
          </w:tcPr>
          <w:p>
            <w:pPr>
              <w:jc w:val="center"/>
              <w:spacing w:after="0" w:line="140" w:lineRule="exact"/>
              <w:rPr>
                <w:sz w:val="20"/>
                <w:szCs w:val="20"/>
                <w:color w:val="auto"/>
              </w:rPr>
            </w:pPr>
            <w:r>
              <w:rPr>
                <w:rFonts w:ascii="Arial" w:cs="Arial" w:eastAsia="Arial" w:hAnsi="Arial"/>
                <w:sz w:val="14"/>
                <w:szCs w:val="14"/>
                <w:color w:val="auto"/>
                <w:w w:val="93"/>
              </w:rPr>
              <w:t>CLO Fund Securities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2016-1, Ltd. </w:t>
            </w:r>
            <w:r>
              <w:rPr>
                <w:rFonts w:ascii="Arial" w:cs="Arial" w:eastAsia="Arial" w:hAnsi="Arial"/>
                <w:sz w:val="22"/>
                <w:szCs w:val="22"/>
                <w:color w:val="auto"/>
                <w:vertAlign w:val="superscript"/>
              </w:rPr>
              <w:t>(1)(2)(4)</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8,350,290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(1,146,242)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1,093,043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233,593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8,530,685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1,093,043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60" w:type="dxa"/>
            <w:vAlign w:val="bottom"/>
            <w:shd w:val="clear" w:color="auto" w:fill="CCEEFF"/>
          </w:tcPr>
          <w:p>
            <w:pPr>
              <w:spacing w:after="0" w:line="181" w:lineRule="exact"/>
              <w:rPr>
                <w:sz w:val="20"/>
                <w:szCs w:val="20"/>
                <w:color w:val="auto"/>
              </w:rPr>
            </w:pPr>
            <w:r>
              <w:rPr>
                <w:rFonts w:ascii="Arial" w:cs="Arial" w:eastAsia="Arial" w:hAnsi="Arial"/>
                <w:sz w:val="13"/>
                <w:szCs w:val="13"/>
                <w:color w:val="auto"/>
              </w:rPr>
              <w:t xml:space="preserve">CRMN 2014-1A </w:t>
            </w:r>
            <w:r>
              <w:rPr>
                <w:rFonts w:ascii="Arial" w:cs="Arial" w:eastAsia="Arial" w:hAnsi="Arial"/>
                <w:sz w:val="20"/>
                <w:szCs w:val="20"/>
                <w:color w:val="auto"/>
                <w:vertAlign w:val="superscript"/>
              </w:rPr>
              <w:t>(1)(2)</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CLO Fund Securities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(4)</w:t>
            </w:r>
          </w:p>
        </w:tc>
        <w:tc>
          <w:tcPr>
            <w:tcW w:w="1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1,310,000</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(1,545,506)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9,259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131,727</w:t>
            </w:r>
          </w:p>
        </w:tc>
        <w:tc>
          <w:tcPr>
            <w:tcW w:w="80" w:type="dxa"/>
            <w:vAlign w:val="bottom"/>
            <w:shd w:val="clear" w:color="auto" w:fill="CCEEFF"/>
          </w:tcPr>
          <w:p>
            <w:pPr>
              <w:spacing w:after="0"/>
              <w:rPr>
                <w:sz w:val="14"/>
                <w:szCs w:val="14"/>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94,520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97,885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tcPr>
          <w:p>
            <w:pPr>
              <w:spacing w:after="0" w:line="130" w:lineRule="exact"/>
              <w:rPr>
                <w:sz w:val="20"/>
                <w:szCs w:val="20"/>
                <w:color w:val="auto"/>
              </w:rPr>
            </w:pPr>
            <w:r>
              <w:rPr>
                <w:rFonts w:ascii="Arial" w:cs="Arial" w:eastAsia="Arial" w:hAnsi="Arial"/>
                <w:sz w:val="14"/>
                <w:szCs w:val="14"/>
                <w:color w:val="auto"/>
              </w:rPr>
              <w:t>KCAP F3C Senior</w:t>
            </w:r>
          </w:p>
        </w:tc>
        <w:tc>
          <w:tcPr>
            <w:tcW w:w="14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3"/>
              </w:rPr>
              <w:t>CLO Fund Securities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380" w:type="dxa"/>
            <w:vAlign w:val="bottom"/>
            <w:gridSpan w:val="2"/>
          </w:tcPr>
          <w:p>
            <w:pPr>
              <w:spacing w:after="0" w:line="159" w:lineRule="exact"/>
              <w:rPr>
                <w:sz w:val="20"/>
                <w:szCs w:val="20"/>
                <w:color w:val="auto"/>
              </w:rPr>
            </w:pPr>
            <w:r>
              <w:rPr>
                <w:rFonts w:ascii="Arial" w:cs="Arial" w:eastAsia="Arial" w:hAnsi="Arial"/>
                <w:sz w:val="14"/>
                <w:szCs w:val="14"/>
                <w:color w:val="auto"/>
              </w:rPr>
              <w:t>Funding Rated</w:t>
            </w: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Arial" w:cs="Arial" w:eastAsia="Arial" w:hAnsi="Arial"/>
                <w:sz w:val="22"/>
                <w:szCs w:val="22"/>
                <w:color w:val="auto"/>
                <w:vertAlign w:val="subscript"/>
              </w:rPr>
              <w:t>Notes</w:t>
            </w:r>
            <w:r>
              <w:rPr>
                <w:rFonts w:ascii="Arial" w:cs="Arial" w:eastAsia="Arial" w:hAnsi="Arial"/>
                <w:sz w:val="10"/>
                <w:szCs w:val="10"/>
                <w:color w:val="auto"/>
              </w:rPr>
              <w:t>(1)(2)(4)</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4,346,290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89,676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196,035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4,632,000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89,676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KCAP Freedom 3,</w:t>
            </w:r>
          </w:p>
        </w:tc>
        <w:tc>
          <w:tcPr>
            <w:tcW w:w="1420" w:type="dxa"/>
            <w:vAlign w:val="bottom"/>
            <w:gridSpan w:val="2"/>
            <w:shd w:val="clear" w:color="auto" w:fill="CCEEFF"/>
          </w:tcPr>
          <w:p>
            <w:pPr>
              <w:jc w:val="center"/>
              <w:ind w:right="20"/>
              <w:spacing w:after="0" w:line="140" w:lineRule="exact"/>
              <w:rPr>
                <w:sz w:val="20"/>
                <w:szCs w:val="20"/>
                <w:color w:val="auto"/>
              </w:rPr>
            </w:pPr>
            <w:r>
              <w:rPr>
                <w:rFonts w:ascii="Arial" w:cs="Arial" w:eastAsia="Arial" w:hAnsi="Arial"/>
                <w:sz w:val="14"/>
                <w:szCs w:val="14"/>
                <w:color w:val="auto"/>
                <w:w w:val="92"/>
              </w:rPr>
              <w:t>Joint Venture</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60" w:type="dxa"/>
            <w:vAlign w:val="bottom"/>
            <w:shd w:val="clear" w:color="auto" w:fill="CCEEFF"/>
          </w:tcPr>
          <w:p>
            <w:pPr>
              <w:spacing w:after="0" w:line="211" w:lineRule="exact"/>
              <w:rPr>
                <w:sz w:val="20"/>
                <w:szCs w:val="20"/>
                <w:color w:val="auto"/>
              </w:rPr>
            </w:pPr>
            <w:r>
              <w:rPr>
                <w:rFonts w:ascii="Arial" w:cs="Arial" w:eastAsia="Arial" w:hAnsi="Arial"/>
                <w:sz w:val="14"/>
                <w:szCs w:val="14"/>
                <w:color w:val="auto"/>
              </w:rPr>
              <w:t xml:space="preserve">LLC </w:t>
            </w:r>
            <w:r>
              <w:rPr>
                <w:rFonts w:ascii="Arial" w:cs="Arial" w:eastAsia="Arial" w:hAnsi="Arial"/>
                <w:sz w:val="23"/>
                <w:szCs w:val="23"/>
                <w:color w:val="auto"/>
                <w:vertAlign w:val="superscript"/>
              </w:rPr>
              <w:t>(4)</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24,914,858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97"/>
              </w:rPr>
              <w:t>(3,398,858)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21,516,000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949,037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Affiliated</w:t>
            </w:r>
          </w:p>
        </w:tc>
        <w:tc>
          <w:tcPr>
            <w:tcW w:w="1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92,106,784</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20,965,400</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4"/>
              </w:rPr>
              <w:t>10,718,864</w:t>
            </w:r>
          </w:p>
        </w:tc>
        <w:tc>
          <w:tcPr>
            <w:tcW w:w="620" w:type="dxa"/>
            <w:vAlign w:val="bottom"/>
            <w:gridSpan w:val="3"/>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104,421</w:t>
            </w:r>
          </w:p>
        </w:tc>
        <w:tc>
          <w:tcPr>
            <w:tcW w:w="80" w:type="dxa"/>
            <w:vAlign w:val="bottom"/>
            <w:shd w:val="clear" w:color="auto" w:fill="CCEEFF"/>
          </w:tcPr>
          <w:p>
            <w:pPr>
              <w:spacing w:after="0"/>
              <w:rPr>
                <w:sz w:val="16"/>
                <w:szCs w:val="16"/>
                <w:color w:val="auto"/>
              </w:rPr>
            </w:pPr>
          </w:p>
        </w:tc>
        <w:tc>
          <w:tcPr>
            <w:tcW w:w="940" w:type="dxa"/>
            <w:vAlign w:val="bottom"/>
            <w:gridSpan w:val="6"/>
            <w:shd w:val="clear" w:color="auto" w:fill="CCEEFF"/>
          </w:tcPr>
          <w:p>
            <w:pPr>
              <w:jc w:val="right"/>
              <w:ind w:right="28"/>
              <w:spacing w:after="0" w:line="194" w:lineRule="exact"/>
              <w:rPr>
                <w:sz w:val="20"/>
                <w:szCs w:val="20"/>
                <w:color w:val="auto"/>
              </w:rPr>
            </w:pPr>
            <w:r>
              <w:rPr>
                <w:rFonts w:ascii="Arial" w:cs="Arial" w:eastAsia="Arial" w:hAnsi="Arial"/>
                <w:sz w:val="12"/>
                <w:szCs w:val="12"/>
                <w:color w:val="auto"/>
              </w:rPr>
              <w:t>$ (1,264,789</w:t>
            </w:r>
            <w:r>
              <w:rPr>
                <w:rFonts w:ascii="Arial" w:cs="Arial" w:eastAsia="Arial" w:hAnsi="Arial"/>
                <w:sz w:val="22"/>
                <w:szCs w:val="22"/>
                <w:color w:val="auto"/>
                <w:vertAlign w:val="superscript"/>
              </w:rPr>
              <w: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122,630,676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w w:val="95"/>
              </w:rPr>
              <w:t>$ 11,889,728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1,409,037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ind w:left="340" w:hanging="332"/>
        <w:spacing w:after="0" w:line="180"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sectPr>
          <w:pgSz w:w="11900" w:h="16838" w:orient="portrait"/>
          <w:cols w:equalWidth="0" w:num="1">
            <w:col w:w="11420"/>
          </w:cols>
          <w:pgMar w:left="240" w:top="904" w:right="239" w:bottom="0" w:gutter="0" w:footer="0" w:header="0"/>
        </w:sectPr>
      </w:pPr>
    </w:p>
    <w:bookmarkStart w:id="37" w:name="page38"/>
    <w:bookmarkEnd w:id="37"/>
    <w:p>
      <w:pPr>
        <w:ind w:left="340" w:hanging="332"/>
        <w:spacing w:after="0"/>
        <w:tabs>
          <w:tab w:leader="none" w:pos="34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Notice of redemption has been received for this security.</w:t>
      </w:r>
    </w:p>
    <w:p>
      <w:pPr>
        <w:ind w:left="340" w:hanging="332"/>
        <w:spacing w:after="0" w:line="180"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6"/>
          <w:szCs w:val="16"/>
          <w:color w:val="auto"/>
        </w:rPr>
        <w:t>Fair value of this investment was determined using significant unobservable inputs.</w:t>
      </w:r>
    </w:p>
    <w:p>
      <w:pPr>
        <w:ind w:left="340" w:hanging="332"/>
        <w:spacing w:after="0" w:line="180"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sz w:val="20"/>
          <w:szCs w:val="20"/>
          <w:color w:val="auto"/>
        </w:rPr>
      </w:pPr>
    </w:p>
    <w:p>
      <w:pPr>
        <w:ind w:left="340" w:hanging="332"/>
        <w:spacing w:after="0" w:line="214" w:lineRule="auto"/>
        <w:tabs>
          <w:tab w:leader="none" w:pos="340" w:val="left"/>
        </w:tabs>
        <w:numPr>
          <w:ilvl w:val="0"/>
          <w:numId w:val="39"/>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Affiliates, including Trimaran Advisors,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199" w:lineRule="exact"/>
        <w:rPr>
          <w:rFonts w:ascii="Arial" w:cs="Arial" w:eastAsia="Arial" w:hAnsi="Arial"/>
          <w:sz w:val="30"/>
          <w:szCs w:val="30"/>
          <w:color w:val="auto"/>
          <w:vertAlign w:val="superscript"/>
        </w:rPr>
      </w:pPr>
    </w:p>
    <w:p>
      <w:pPr>
        <w:ind w:left="340"/>
        <w:spacing w:after="0"/>
        <w:rPr>
          <w:rFonts w:ascii="Arial" w:cs="Arial" w:eastAsia="Arial" w:hAnsi="Arial"/>
          <w:sz w:val="30"/>
          <w:szCs w:val="30"/>
          <w:color w:val="auto"/>
          <w:vertAlign w:val="superscript"/>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During the third quarter of 2017, the Company and Freedom 3 Opportunities entered into an agreement to create the Joint Venture. The Company and Freedom 3 Opportunities contributed approximately $37 million and $25 million, respectively, in assets to the Joint Venture, which in turn used the assets to capitalize the "Fund managed by KCAP Management, LLC, one of the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1" w:right="339" w:bottom="1440" w:gutter="0" w:footer="0" w:header="0"/>
        </w:sectPr>
      </w:pPr>
    </w:p>
    <w:bookmarkStart w:id="38" w:name="page39"/>
    <w:bookmarkEnd w:id="38"/>
    <w:p>
      <w:pPr>
        <w:ind w:right="40" w:firstLine="324"/>
        <w:spacing w:after="0" w:line="255"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The Company expects that approximately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93"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determined that the Joint Venture is an investment company under Accounting Standards Codification (“ASC”), Financial</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Financial Condition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March 31, 2018</w:t>
            </w: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Investment at fair value</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38,506,502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37,080,000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38,506,502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2,227,542</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1,221,916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30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36,278,960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35,859,801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38,506,502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Summarized Statement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three months</w:t>
            </w: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For the three months</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ended March 31, 2018</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5"/>
              </w:rPr>
              <w:t>ended March 31, 2017</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1,195,818</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3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21,763</w:t>
            </w:r>
          </w:p>
        </w:tc>
        <w:tc>
          <w:tcPr>
            <w:tcW w:w="8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1,174,055</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3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503,920</w:t>
            </w:r>
          </w:p>
        </w:tc>
        <w:tc>
          <w:tcPr>
            <w:tcW w:w="8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1,677,975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80" w:type="dxa"/>
            <w:vAlign w:val="bottom"/>
            <w:vMerge w:val="restart"/>
          </w:tcPr>
          <w:p>
            <w:pPr>
              <w:jc w:val="right"/>
              <w:ind w:right="1810"/>
              <w:spacing w:after="0"/>
              <w:rPr>
                <w:sz w:val="20"/>
                <w:szCs w:val="20"/>
                <w:color w:val="auto"/>
              </w:rPr>
            </w:pPr>
            <w:r>
              <w:rPr>
                <w:rFonts w:ascii="Arial" w:cs="Arial" w:eastAsia="Arial" w:hAnsi="Arial"/>
                <w:sz w:val="18"/>
                <w:szCs w:val="18"/>
                <w:color w:val="auto"/>
              </w:rPr>
              <w:t>39</w:t>
            </w: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vMerge w:val="continue"/>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KCAP Freedom 3 LLC</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Schedule of Investments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March 31, 2018</w:t>
            </w:r>
          </w:p>
        </w:tc>
        <w:tc>
          <w:tcPr>
            <w:tcW w:w="186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KCAP F3C Senior Funding, LLC</w:t>
            </w:r>
            <w:r>
              <w:rPr>
                <w:rFonts w:ascii="Arial" w:cs="Arial" w:eastAsia="Arial" w:hAnsi="Arial"/>
                <w:sz w:val="30"/>
                <w:szCs w:val="30"/>
                <w:color w:val="auto"/>
                <w:w w:val="92"/>
                <w:vertAlign w:val="superscript"/>
              </w:rPr>
              <w:t>(1)(2)</w:t>
            </w:r>
          </w:p>
        </w:tc>
        <w:tc>
          <w:tcPr>
            <w:tcW w:w="12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Subordinated Securities, effective interest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vMerge w:val="continue"/>
            <w:shd w:val="clear" w:color="auto" w:fill="CCEEFF"/>
          </w:tcPr>
          <w:p>
            <w:pPr>
              <w:spacing w:after="0"/>
              <w:rPr>
                <w:sz w:val="22"/>
                <w:szCs w:val="22"/>
                <w:color w:val="auto"/>
              </w:rPr>
            </w:pPr>
          </w:p>
        </w:tc>
        <w:tc>
          <w:tcPr>
            <w:tcW w:w="3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11.4%, 12/29 maturity</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43,065,835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38,506,502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43,065,835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38,506,502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8"/>
        <w:spacing w:after="0" w:line="254"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right="260" w:firstLine="8"/>
        <w:spacing w:after="0" w:line="261"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Schedule of Investments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 2017</w:t>
            </w:r>
          </w:p>
        </w:tc>
        <w:tc>
          <w:tcPr>
            <w:tcW w:w="186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KCAP F3C Senior Funding, LLC</w:t>
            </w:r>
            <w:r>
              <w:rPr>
                <w:rFonts w:ascii="Arial" w:cs="Arial" w:eastAsia="Arial" w:hAnsi="Arial"/>
                <w:sz w:val="30"/>
                <w:szCs w:val="30"/>
                <w:color w:val="auto"/>
                <w:w w:val="92"/>
                <w:vertAlign w:val="superscript"/>
              </w:rPr>
              <w:t>(1)(2)</w:t>
            </w:r>
          </w:p>
        </w:tc>
        <w:tc>
          <w:tcPr>
            <w:tcW w:w="12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Subordinated Securities, effective interest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vMerge w:val="continue"/>
            <w:shd w:val="clear" w:color="auto" w:fill="CCEEFF"/>
          </w:tcPr>
          <w:p>
            <w:pPr>
              <w:spacing w:after="0"/>
              <w:rPr>
                <w:sz w:val="22"/>
                <w:szCs w:val="22"/>
                <w:color w:val="auto"/>
              </w:rPr>
            </w:pPr>
          </w:p>
        </w:tc>
        <w:tc>
          <w:tcPr>
            <w:tcW w:w="3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12.1%, 12/29 maturity</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42,143,254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42,143,254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37,080,000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8"/>
        <w:spacing w:after="0" w:line="254"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a third party broker quote.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 w:firstLine="414"/>
        <w:spacing w:after="0" w:line="289"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right="12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420" w:right="180" w:firstLine="41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420" w:right="14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420" w:right="12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March 31, 2018 (unaudited)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3"/>
              </w:rPr>
              <w:t>As of March 31, 2018 (unaudited)</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7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Level I</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Level III</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9,905,719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9,905,719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Debt securities</w:t>
            </w:r>
          </w:p>
        </w:tc>
        <w:tc>
          <w:tcPr>
            <w:tcW w:w="118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68,461,949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97,653,809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166,115,758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40,768,620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40,768,620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Equity securities</w:t>
            </w:r>
          </w:p>
        </w:tc>
        <w:tc>
          <w:tcPr>
            <w:tcW w:w="118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4,478,280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4,478,280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38,663,000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38,663,000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Joint Venture</w:t>
            </w:r>
          </w:p>
        </w:tc>
        <w:tc>
          <w:tcPr>
            <w:tcW w:w="118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21,767,376</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21,767,376</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78,367,668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203,331,085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281,698,753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As of December 31, 2017</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Level I</w:t>
            </w:r>
          </w:p>
        </w:tc>
        <w:tc>
          <w:tcPr>
            <w:tcW w:w="26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Level III</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25,006,750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52,293,570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77,300,320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Debt securities</w:t>
            </w:r>
          </w:p>
        </w:tc>
        <w:tc>
          <w:tcPr>
            <w:tcW w:w="3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48,312,024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69,885,455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118,197,479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51,678,673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51,678,673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4,414,684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4,414,684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38,849,000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38,849,000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Joint Venture</w:t>
            </w:r>
          </w:p>
        </w:tc>
        <w:tc>
          <w:tcPr>
            <w:tcW w:w="3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21,516,000</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21,516,000</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25,006,750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100,605,594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186,343,812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311,956,156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187" w:lineRule="exact"/>
        <w:rPr>
          <w:sz w:val="20"/>
          <w:szCs w:val="20"/>
          <w:color w:val="auto"/>
        </w:rPr>
      </w:pPr>
    </w:p>
    <w:p>
      <w:pPr>
        <w:ind w:right="260" w:firstLine="414"/>
        <w:spacing w:after="0" w:line="276" w:lineRule="auto"/>
        <w:rPr>
          <w:sz w:val="20"/>
          <w:szCs w:val="20"/>
          <w:color w:val="auto"/>
        </w:rPr>
      </w:pPr>
      <w:r>
        <w:rPr>
          <w:rFonts w:ascii="Arial" w:cs="Arial" w:eastAsia="Arial" w:hAnsi="Arial"/>
          <w:sz w:val="17"/>
          <w:szCs w:val="17"/>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73" w:lineRule="exact"/>
        <w:rPr>
          <w:sz w:val="20"/>
          <w:szCs w:val="20"/>
          <w:color w:val="auto"/>
        </w:rPr>
      </w:pPr>
    </w:p>
    <w:p>
      <w:pPr>
        <w:ind w:right="60" w:firstLine="41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Year Ended March 31, 2018</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CLO Fund</w:t>
            </w:r>
          </w:p>
        </w:tc>
        <w:tc>
          <w:tcPr>
            <w:tcW w:w="180" w:type="dxa"/>
            <w:vAlign w:val="bottom"/>
          </w:tcPr>
          <w:p>
            <w:pPr>
              <w:spacing w:after="0"/>
              <w:rPr>
                <w:sz w:val="16"/>
                <w:szCs w:val="16"/>
                <w:color w:val="auto"/>
              </w:rPr>
            </w:pPr>
          </w:p>
        </w:tc>
        <w:tc>
          <w:tcPr>
            <w:tcW w:w="132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Equity</w:t>
            </w:r>
          </w:p>
        </w:tc>
        <w:tc>
          <w:tcPr>
            <w:tcW w:w="138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Asset Manager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Joint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4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Securities</w:t>
            </w:r>
          </w:p>
        </w:tc>
        <w:tc>
          <w:tcPr>
            <w:tcW w:w="18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Securities</w:t>
            </w:r>
          </w:p>
        </w:tc>
        <w:tc>
          <w:tcPr>
            <w:tcW w:w="2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Affiliate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Venture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69,885,455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51,678,673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38,849,000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21,516,000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186,343,812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(7,869,800)</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(7,869,800)</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III²</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30,562,413</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30,562,413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Net accretion</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27,015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1,757,001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1,784,016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8,775,136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8,775,136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5"/>
              </w:rPr>
              <w:t>Sales/Paydowns/Return of Capital</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(142,641)</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(12,795,590)</w:t>
            </w: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(13,438,231)</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realized loss included in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Change in unrealized gain (loss)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640" w:type="dxa"/>
            <w:vAlign w:val="bottom"/>
          </w:tcPr>
          <w:p>
            <w:pPr>
              <w:spacing w:after="0"/>
              <w:rPr>
                <w:sz w:val="20"/>
                <w:szCs w:val="20"/>
                <w:color w:val="auto"/>
              </w:rPr>
            </w:pPr>
            <w:r>
              <w:rPr>
                <w:rFonts w:ascii="Arial" w:cs="Arial" w:eastAsia="Arial" w:hAnsi="Arial"/>
                <w:sz w:val="18"/>
                <w:szCs w:val="18"/>
                <w:color w:val="auto"/>
              </w:rPr>
              <w:t>included in earnings</w:t>
            </w: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(3,583,453)</w:t>
            </w:r>
          </w:p>
        </w:tc>
        <w:tc>
          <w:tcPr>
            <w:tcW w:w="14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128,536</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63,596</w:t>
            </w:r>
          </w:p>
        </w:tc>
        <w:tc>
          <w:tcPr>
            <w:tcW w:w="2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314,000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251,376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(2,825,945)</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97,653,809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40,768,620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4,478,280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38,663,000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21,767,376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203,331,085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(losses) included in earnings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8"/>
              </w:rPr>
              <w:t>related to investments still held at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reporting date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255,940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128,536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63,596</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314,000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251,376</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1,013,448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¹Transfers out of Level III represent a transfer of $7,869,800 relating to debt securities for which pricing inputs, other than their quoted prices in active markets were observable as of March 31, 2018.</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²Transfers into Level III represent a transfer of $30,562,413 relating to debt securities for which pricing inputs, other than their quoted prices in active markets were unobservable as of March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w w:val="90"/>
              </w:rPr>
              <w:t>Year Ended December 31, 2017</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CLO Fund</w:t>
            </w:r>
          </w:p>
        </w:tc>
        <w:tc>
          <w:tcPr>
            <w:tcW w:w="100" w:type="dxa"/>
            <w:vAlign w:val="bottom"/>
          </w:tcPr>
          <w:p>
            <w:pPr>
              <w:spacing w:after="0"/>
              <w:rPr>
                <w:sz w:val="16"/>
                <w:szCs w:val="16"/>
                <w:color w:val="auto"/>
              </w:rPr>
            </w:pPr>
          </w:p>
        </w:tc>
        <w:tc>
          <w:tcPr>
            <w:tcW w:w="1400" w:type="dxa"/>
            <w:vAlign w:val="bottom"/>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Equity</w:t>
            </w:r>
          </w:p>
        </w:tc>
        <w:tc>
          <w:tcPr>
            <w:tcW w:w="138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Asset Manager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Joint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4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Securities</w:t>
            </w:r>
          </w:p>
        </w:tc>
        <w:tc>
          <w:tcPr>
            <w:tcW w:w="10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Securities</w:t>
            </w:r>
          </w:p>
        </w:tc>
        <w:tc>
          <w:tcPr>
            <w:tcW w:w="2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Affiliate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Venture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153,741,745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54,174,350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253,170,450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(3,867,400)</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(3,867,400)</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III²</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2,477,500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Net accretion</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246,238</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11,139,633</w:t>
            </w: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11,385,871</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53,219,762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11,211,368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36,738,873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101,352,003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5"/>
              </w:rPr>
              <w:t>Sales/Paydowns/Return of Capital</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(136,020,685)</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(25,598,497)</w:t>
            </w: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(2,750,000)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(11,824,015)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(176,193,197)</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realized gain included in</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(2,121,907)</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(1,264,789)</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(3,386,696)</w:t>
            </w: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Total unrealized gain (loss)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640" w:type="dxa"/>
            <w:vAlign w:val="bottom"/>
          </w:tcPr>
          <w:p>
            <w:pPr>
              <w:spacing w:after="0"/>
              <w:rPr>
                <w:sz w:val="20"/>
                <w:szCs w:val="20"/>
                <w:color w:val="auto"/>
              </w:rPr>
            </w:pPr>
            <w:r>
              <w:rPr>
                <w:rFonts w:ascii="Arial" w:cs="Arial" w:eastAsia="Arial" w:hAnsi="Arial"/>
                <w:sz w:val="18"/>
                <w:szCs w:val="18"/>
                <w:color w:val="auto"/>
              </w:rPr>
              <w:t>included in earnings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2,210,202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2,016,608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(823,671)</w:t>
            </w:r>
          </w:p>
        </w:tc>
        <w:tc>
          <w:tcPr>
            <w:tcW w:w="2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1,401,000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(3,398,858)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1,405,281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69,885,455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51,678,673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38,849,000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21,516,000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186,343,812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(losses) included in earnings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8"/>
              </w:rPr>
              <w:t>related to investments still held at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reporting date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(479,087)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2,016,608</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(823,671)</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1,401,000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(3,398,858)</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(1,284,008)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¹Transfers out of Level III represent a transfer of $3,867,400 relating to debt securities for which pricing inputs, other than their quoted prices in active markets were observable as of December 31, 2017.</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²Transfers into Level III represent a transfer of $2,477,500 relating to debt securities for which pricing inputs, other than their quoted prices in active markets were unobservable as of December 31, 2017.</w:t>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of March 31, 2018 and December 31, 2017,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w:t>
      </w: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portfolio investments was $78,367,668 and $100,605,594 as of March 31, 2018 and December 31, 2017, respectively.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As of March 31, 2018,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0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380" w:type="dxa"/>
            <w:vAlign w:val="bottom"/>
            <w:tcBorders>
              <w:top w:val="single" w:sz="8" w:color="auto"/>
            </w:tcBorders>
            <w:shd w:val="clear" w:color="auto" w:fill="DAEEF3"/>
          </w:tcPr>
          <w:p>
            <w:pPr>
              <w:spacing w:after="0"/>
              <w:rPr>
                <w:sz w:val="18"/>
                <w:szCs w:val="18"/>
                <w:color w:val="auto"/>
              </w:rPr>
            </w:pPr>
          </w:p>
        </w:tc>
        <w:tc>
          <w:tcPr>
            <w:tcW w:w="1320" w:type="dxa"/>
            <w:vAlign w:val="bottom"/>
            <w:tcBorders>
              <w:top w:val="single" w:sz="8" w:color="auto"/>
              <w:right w:val="single" w:sz="8" w:color="auto"/>
            </w:tcBorders>
            <w:vMerge w:val="restart"/>
            <w:shd w:val="clear" w:color="auto" w:fill="DAEEF3"/>
          </w:tcPr>
          <w:p>
            <w:pPr>
              <w:jc w:val="right"/>
              <w:ind w:right="350"/>
              <w:spacing w:after="0"/>
              <w:rPr>
                <w:sz w:val="20"/>
                <w:szCs w:val="20"/>
                <w:color w:val="auto"/>
              </w:rPr>
            </w:pPr>
            <w:r>
              <w:rPr>
                <w:rFonts w:ascii="Arial" w:cs="Arial" w:eastAsia="Arial" w:hAnsi="Arial"/>
                <w:sz w:val="18"/>
                <w:szCs w:val="18"/>
                <w:b w:val="1"/>
                <w:bCs w:val="1"/>
                <w:color w:val="auto"/>
                <w:w w:val="99"/>
              </w:rPr>
              <w:t>Fair Value</w:t>
            </w:r>
          </w:p>
        </w:tc>
        <w:tc>
          <w:tcPr>
            <w:tcW w:w="2200" w:type="dxa"/>
            <w:vAlign w:val="bottom"/>
            <w:tcBorders>
              <w:top w:val="single" w:sz="8" w:color="auto"/>
              <w:right w:val="single" w:sz="8" w:color="auto"/>
            </w:tcBorders>
            <w:shd w:val="clear" w:color="auto" w:fill="DAEEF3"/>
          </w:tcPr>
          <w:p>
            <w:pPr>
              <w:ind w:left="360"/>
              <w:spacing w:after="0"/>
              <w:rPr>
                <w:sz w:val="20"/>
                <w:szCs w:val="20"/>
                <w:color w:val="auto"/>
              </w:rPr>
            </w:pPr>
            <w:r>
              <w:rPr>
                <w:rFonts w:ascii="Arial" w:cs="Arial" w:eastAsia="Arial" w:hAnsi="Arial"/>
                <w:sz w:val="18"/>
                <w:szCs w:val="18"/>
                <w:b w:val="1"/>
                <w:bCs w:val="1"/>
                <w:color w:val="auto"/>
              </w:rPr>
              <w:t>Primary Valuation</w:t>
            </w:r>
          </w:p>
        </w:tc>
        <w:tc>
          <w:tcPr>
            <w:tcW w:w="2500" w:type="dxa"/>
            <w:vAlign w:val="bottom"/>
            <w:tcBorders>
              <w:top w:val="single" w:sz="8" w:color="auto"/>
              <w:right w:val="single" w:sz="8" w:color="auto"/>
            </w:tcBorders>
            <w:vMerge w:val="restart"/>
            <w:shd w:val="clear" w:color="auto" w:fill="DAEEF3"/>
          </w:tcPr>
          <w:p>
            <w:pPr>
              <w:ind w:left="440"/>
              <w:spacing w:after="0"/>
              <w:rPr>
                <w:sz w:val="20"/>
                <w:szCs w:val="20"/>
                <w:color w:val="auto"/>
              </w:rPr>
            </w:pPr>
            <w:r>
              <w:rPr>
                <w:rFonts w:ascii="Arial" w:cs="Arial" w:eastAsia="Arial" w:hAnsi="Arial"/>
                <w:sz w:val="18"/>
                <w:szCs w:val="18"/>
                <w:b w:val="1"/>
                <w:bCs w:val="1"/>
                <w:color w:val="auto"/>
              </w:rPr>
              <w:t>Unobservable Inputs</w:t>
            </w:r>
          </w:p>
        </w:tc>
        <w:tc>
          <w:tcPr>
            <w:tcW w:w="2240" w:type="dxa"/>
            <w:vAlign w:val="bottom"/>
            <w:tcBorders>
              <w:top w:val="single" w:sz="8" w:color="auto"/>
              <w:right w:val="single" w:sz="8" w:color="auto"/>
            </w:tcBorders>
            <w:shd w:val="clear" w:color="auto" w:fill="DAEEF3"/>
          </w:tcPr>
          <w:p>
            <w:pPr>
              <w:ind w:left="48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270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380" w:type="dxa"/>
            <w:vAlign w:val="bottom"/>
            <w:shd w:val="clear" w:color="auto" w:fill="DAEEF3"/>
          </w:tcPr>
          <w:p>
            <w:pPr>
              <w:spacing w:after="0"/>
              <w:rPr>
                <w:sz w:val="10"/>
                <w:szCs w:val="10"/>
                <w:color w:val="auto"/>
              </w:rPr>
            </w:pPr>
          </w:p>
        </w:tc>
        <w:tc>
          <w:tcPr>
            <w:tcW w:w="1320" w:type="dxa"/>
            <w:vAlign w:val="bottom"/>
            <w:tcBorders>
              <w:right w:val="single" w:sz="8" w:color="auto"/>
            </w:tcBorders>
            <w:vMerge w:val="continue"/>
            <w:shd w:val="clear" w:color="auto" w:fill="DAEEF3"/>
          </w:tcPr>
          <w:p>
            <w:pPr>
              <w:spacing w:after="0"/>
              <w:rPr>
                <w:sz w:val="10"/>
                <w:szCs w:val="10"/>
                <w:color w:val="auto"/>
              </w:rPr>
            </w:pPr>
          </w:p>
        </w:tc>
        <w:tc>
          <w:tcPr>
            <w:tcW w:w="2200" w:type="dxa"/>
            <w:vAlign w:val="bottom"/>
            <w:tcBorders>
              <w:right w:val="single" w:sz="8" w:color="auto"/>
            </w:tcBorders>
            <w:vMerge w:val="restart"/>
            <w:shd w:val="clear" w:color="auto" w:fill="DAEEF3"/>
          </w:tcPr>
          <w:p>
            <w:pPr>
              <w:ind w:left="580"/>
              <w:spacing w:after="0"/>
              <w:rPr>
                <w:sz w:val="20"/>
                <w:szCs w:val="20"/>
                <w:color w:val="auto"/>
              </w:rPr>
            </w:pPr>
            <w:r>
              <w:rPr>
                <w:rFonts w:ascii="Arial" w:cs="Arial" w:eastAsia="Arial" w:hAnsi="Arial"/>
                <w:sz w:val="18"/>
                <w:szCs w:val="18"/>
                <w:b w:val="1"/>
                <w:bCs w:val="1"/>
                <w:color w:val="auto"/>
              </w:rPr>
              <w:t>Methodology</w:t>
            </w:r>
          </w:p>
        </w:tc>
        <w:tc>
          <w:tcPr>
            <w:tcW w:w="2500" w:type="dxa"/>
            <w:vAlign w:val="bottom"/>
            <w:tcBorders>
              <w:right w:val="single" w:sz="8" w:color="auto"/>
            </w:tcBorders>
            <w:vMerge w:val="continue"/>
            <w:shd w:val="clear" w:color="auto" w:fill="DAEEF3"/>
          </w:tcPr>
          <w:p>
            <w:pPr>
              <w:spacing w:after="0"/>
              <w:rPr>
                <w:sz w:val="10"/>
                <w:szCs w:val="10"/>
                <w:color w:val="auto"/>
              </w:rPr>
            </w:pPr>
          </w:p>
        </w:tc>
        <w:tc>
          <w:tcPr>
            <w:tcW w:w="2240" w:type="dxa"/>
            <w:vAlign w:val="bottom"/>
            <w:tcBorders>
              <w:right w:val="single" w:sz="8" w:color="auto"/>
            </w:tcBorders>
            <w:vMerge w:val="restart"/>
            <w:shd w:val="clear" w:color="auto" w:fill="DAEEF3"/>
          </w:tcPr>
          <w:p>
            <w:pPr>
              <w:ind w:left="34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2700" w:type="dxa"/>
            <w:vAlign w:val="bottom"/>
            <w:tcBorders>
              <w:left w:val="single" w:sz="8" w:color="auto"/>
              <w:bottom w:val="single" w:sz="8" w:color="auto"/>
              <w:right w:val="single" w:sz="8" w:color="auto"/>
            </w:tcBorders>
            <w:shd w:val="clear" w:color="auto" w:fill="DAEEF3"/>
          </w:tcPr>
          <w:p>
            <w:pPr>
              <w:spacing w:after="0"/>
              <w:rPr>
                <w:sz w:val="9"/>
                <w:szCs w:val="9"/>
                <w:color w:val="auto"/>
              </w:rPr>
            </w:pPr>
          </w:p>
        </w:tc>
        <w:tc>
          <w:tcPr>
            <w:tcW w:w="380" w:type="dxa"/>
            <w:vAlign w:val="bottom"/>
            <w:tcBorders>
              <w:bottom w:val="single" w:sz="8" w:color="auto"/>
            </w:tcBorders>
            <w:shd w:val="clear" w:color="auto" w:fill="DAEEF3"/>
          </w:tcPr>
          <w:p>
            <w:pPr>
              <w:spacing w:after="0"/>
              <w:rPr>
                <w:sz w:val="9"/>
                <w:szCs w:val="9"/>
                <w:color w:val="auto"/>
              </w:rPr>
            </w:pPr>
          </w:p>
        </w:tc>
        <w:tc>
          <w:tcPr>
            <w:tcW w:w="1320" w:type="dxa"/>
            <w:vAlign w:val="bottom"/>
            <w:tcBorders>
              <w:bottom w:val="single" w:sz="8" w:color="auto"/>
              <w:right w:val="single" w:sz="8" w:color="auto"/>
            </w:tcBorders>
            <w:shd w:val="clear" w:color="auto" w:fill="DAEEF3"/>
          </w:tcPr>
          <w:p>
            <w:pPr>
              <w:spacing w:after="0"/>
              <w:rPr>
                <w:sz w:val="9"/>
                <w:szCs w:val="9"/>
                <w:color w:val="auto"/>
              </w:rPr>
            </w:pPr>
          </w:p>
        </w:tc>
        <w:tc>
          <w:tcPr>
            <w:tcW w:w="22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2500" w:type="dxa"/>
            <w:vAlign w:val="bottom"/>
            <w:tcBorders>
              <w:bottom w:val="single" w:sz="8" w:color="auto"/>
              <w:right w:val="single" w:sz="8" w:color="auto"/>
            </w:tcBorders>
            <w:shd w:val="clear" w:color="auto" w:fill="DAEEF3"/>
          </w:tcPr>
          <w:p>
            <w:pPr>
              <w:spacing w:after="0"/>
              <w:rPr>
                <w:sz w:val="9"/>
                <w:szCs w:val="9"/>
                <w:color w:val="auto"/>
              </w:rPr>
            </w:pPr>
          </w:p>
        </w:tc>
        <w:tc>
          <w:tcPr>
            <w:tcW w:w="224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Debt Securities</w:t>
            </w:r>
          </w:p>
        </w:tc>
        <w:tc>
          <w:tcPr>
            <w:tcW w:w="3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15,395,660</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25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Average EBITDA Multiple /</w:t>
            </w:r>
          </w:p>
        </w:tc>
        <w:tc>
          <w:tcPr>
            <w:tcW w:w="22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5.1x– 6.2x (5.2x) /</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right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WACC</w:t>
            </w: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15.2%-17.8 %( 16.9%)</w:t>
            </w:r>
          </w:p>
        </w:tc>
        <w:tc>
          <w:tcPr>
            <w:tcW w:w="0" w:type="dxa"/>
            <w:vAlign w:val="bottom"/>
          </w:tcPr>
          <w:p>
            <w:pPr>
              <w:spacing w:after="0"/>
              <w:rPr>
                <w:sz w:val="1"/>
                <w:szCs w:val="1"/>
                <w:color w:val="auto"/>
              </w:rPr>
            </w:pPr>
          </w:p>
        </w:tc>
      </w:tr>
      <w:tr>
        <w:trPr>
          <w:trHeight w:val="108"/>
        </w:trPr>
        <w:tc>
          <w:tcPr>
            <w:tcW w:w="270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82,258,149</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Income Approach</w:t>
            </w:r>
          </w:p>
        </w:tc>
        <w:tc>
          <w:tcPr>
            <w:tcW w:w="2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Implied Discount Rate</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6.6% – 24.4% (11.5)%</w:t>
            </w:r>
          </w:p>
        </w:tc>
        <w:tc>
          <w:tcPr>
            <w:tcW w:w="0" w:type="dxa"/>
            <w:vAlign w:val="bottom"/>
          </w:tcPr>
          <w:p>
            <w:pPr>
              <w:spacing w:after="0"/>
              <w:rPr>
                <w:sz w:val="1"/>
                <w:szCs w:val="1"/>
                <w:color w:val="auto"/>
              </w:rPr>
            </w:pPr>
          </w:p>
        </w:tc>
      </w:tr>
      <w:tr>
        <w:trPr>
          <w:trHeight w:val="195"/>
        </w:trPr>
        <w:tc>
          <w:tcPr>
            <w:tcW w:w="2700" w:type="dxa"/>
            <w:vAlign w:val="bottom"/>
            <w:tcBorders>
              <w:left w:val="single" w:sz="8" w:color="auto"/>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4,468,280</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25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Average EBITDA Multiple /</w:t>
            </w:r>
          </w:p>
        </w:tc>
        <w:tc>
          <w:tcPr>
            <w:tcW w:w="22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5.0x – 16.0x (9.8x) /</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380" w:type="dxa"/>
            <w:vAlign w:val="bottom"/>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WACC</w:t>
            </w: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12.0%-15.1% (13.4)</w:t>
            </w:r>
          </w:p>
        </w:tc>
        <w:tc>
          <w:tcPr>
            <w:tcW w:w="0" w:type="dxa"/>
            <w:vAlign w:val="bottom"/>
          </w:tcPr>
          <w:p>
            <w:pPr>
              <w:spacing w:after="0"/>
              <w:rPr>
                <w:sz w:val="1"/>
                <w:szCs w:val="1"/>
                <w:color w:val="auto"/>
              </w:rPr>
            </w:pPr>
          </w:p>
        </w:tc>
      </w:tr>
      <w:tr>
        <w:trPr>
          <w:trHeight w:val="108"/>
        </w:trPr>
        <w:tc>
          <w:tcPr>
            <w:tcW w:w="270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700" w:type="dxa"/>
            <w:vAlign w:val="bottom"/>
            <w:tcBorders>
              <w:left w:val="single" w:sz="8" w:color="auto"/>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25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 Rate</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10.3%-12.0% (11.80%)</w:t>
            </w: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38,814,668</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Discounted Cash Flow</w:t>
            </w:r>
          </w:p>
        </w:tc>
        <w:tc>
          <w:tcPr>
            <w:tcW w:w="2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Probability of Default</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380" w:type="dxa"/>
            <w:vAlign w:val="bottom"/>
          </w:tcPr>
          <w:p>
            <w:pPr>
              <w:spacing w:after="0"/>
              <w:rPr>
                <w:sz w:val="18"/>
                <w:szCs w:val="18"/>
                <w:color w:val="auto"/>
              </w:rPr>
            </w:pPr>
          </w:p>
        </w:tc>
        <w:tc>
          <w:tcPr>
            <w:tcW w:w="1320" w:type="dxa"/>
            <w:vAlign w:val="bottom"/>
            <w:tcBorders>
              <w:right w:val="single" w:sz="8" w:color="auto"/>
            </w:tcBorders>
            <w:vMerge w:val="continue"/>
          </w:tcPr>
          <w:p>
            <w:pPr>
              <w:spacing w:after="0"/>
              <w:rPr>
                <w:sz w:val="18"/>
                <w:szCs w:val="18"/>
                <w:color w:val="auto"/>
              </w:rPr>
            </w:pPr>
          </w:p>
        </w:tc>
        <w:tc>
          <w:tcPr>
            <w:tcW w:w="2200" w:type="dxa"/>
            <w:vAlign w:val="bottom"/>
            <w:tcBorders>
              <w:right w:val="single" w:sz="8" w:color="auto"/>
            </w:tcBorders>
            <w:vMerge w:val="continue"/>
          </w:tcPr>
          <w:p>
            <w:pPr>
              <w:spacing w:after="0"/>
              <w:rPr>
                <w:sz w:val="18"/>
                <w:szCs w:val="18"/>
                <w:color w:val="auto"/>
              </w:rPr>
            </w:pPr>
          </w:p>
        </w:tc>
        <w:tc>
          <w:tcPr>
            <w:tcW w:w="2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Loss Severity</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15"/>
        </w:trPr>
        <w:tc>
          <w:tcPr>
            <w:tcW w:w="2700" w:type="dxa"/>
            <w:vAlign w:val="bottom"/>
            <w:tcBorders>
              <w:left w:val="single" w:sz="8" w:color="auto"/>
              <w:right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Recovery Rate</w:t>
            </w:r>
          </w:p>
        </w:tc>
        <w:tc>
          <w:tcPr>
            <w:tcW w:w="2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00"/>
        </w:trPr>
        <w:tc>
          <w:tcPr>
            <w:tcW w:w="2700" w:type="dxa"/>
            <w:vAlign w:val="bottom"/>
            <w:tcBorders>
              <w:left w:val="single" w:sz="8" w:color="auto"/>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200" w:type="dxa"/>
            <w:vAlign w:val="bottom"/>
            <w:tcBorders>
              <w:right w:val="single" w:sz="8" w:color="auto"/>
            </w:tcBorders>
          </w:tcPr>
          <w:p>
            <w:pPr>
              <w:spacing w:after="0"/>
              <w:rPr>
                <w:sz w:val="8"/>
                <w:szCs w:val="8"/>
                <w:color w:val="auto"/>
              </w:rPr>
            </w:pPr>
          </w:p>
        </w:tc>
        <w:tc>
          <w:tcPr>
            <w:tcW w:w="2500" w:type="dxa"/>
            <w:vAlign w:val="bottom"/>
            <w:tcBorders>
              <w:bottom w:val="single" w:sz="8" w:color="auto"/>
              <w:right w:val="single" w:sz="8" w:color="auto"/>
            </w:tcBorders>
            <w:vMerge w:val="continue"/>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Prepayment Rate</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0"/>
        </w:trPr>
        <w:tc>
          <w:tcPr>
            <w:tcW w:w="2700" w:type="dxa"/>
            <w:vAlign w:val="bottom"/>
            <w:tcBorders>
              <w:left w:val="single" w:sz="8" w:color="auto"/>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1,953,952</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Liquidation Value</w:t>
            </w:r>
          </w:p>
        </w:tc>
        <w:tc>
          <w:tcPr>
            <w:tcW w:w="25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(2)</w:t>
            </w:r>
          </w:p>
        </w:tc>
        <w:tc>
          <w:tcPr>
            <w:tcW w:w="2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38,663,000</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Discounted Cash Flow</w:t>
            </w:r>
          </w:p>
        </w:tc>
        <w:tc>
          <w:tcPr>
            <w:tcW w:w="2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 Rate</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3.07% - 12.0% (6.89%)</w:t>
            </w:r>
          </w:p>
        </w:tc>
        <w:tc>
          <w:tcPr>
            <w:tcW w:w="0" w:type="dxa"/>
            <w:vAlign w:val="bottom"/>
          </w:tcPr>
          <w:p>
            <w:pPr>
              <w:spacing w:after="0"/>
              <w:rPr>
                <w:sz w:val="1"/>
                <w:szCs w:val="1"/>
                <w:color w:val="auto"/>
              </w:rPr>
            </w:pPr>
          </w:p>
        </w:tc>
      </w:tr>
      <w:tr>
        <w:trPr>
          <w:trHeight w:val="21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Joint Venture</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21,767,376</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Value</w:t>
            </w:r>
          </w:p>
        </w:tc>
        <w:tc>
          <w:tcPr>
            <w:tcW w:w="2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Underlying NAV of the CLO</w:t>
            </w: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2"/>
              </w:rPr>
              <w:t>Total Level III Investments</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203,331,085</w:t>
            </w:r>
          </w:p>
        </w:tc>
        <w:tc>
          <w:tcPr>
            <w:tcW w:w="2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6" w:lineRule="auto"/>
        <w:tabs>
          <w:tab w:leader="none" w:pos="9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KCAP’s analysis ascribes no residual value to a portfolio company’s equity, KCAP typically elects to mark its position at a nominal amount to account for the investment’s option value.</w:t>
      </w:r>
    </w:p>
    <w:p>
      <w:pPr>
        <w:spacing w:after="0"/>
        <w:rPr>
          <w:rFonts w:ascii="Arial" w:cs="Arial" w:eastAsia="Arial" w:hAnsi="Arial"/>
          <w:sz w:val="18"/>
          <w:szCs w:val="18"/>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The qualitative inputs used in the fair value measurements include the value of the pledged collateral.</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As of December 31, 2017,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6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85"/>
              </w:rPr>
              <w:t>Type</w:t>
            </w:r>
          </w:p>
        </w:tc>
        <w:tc>
          <w:tcPr>
            <w:tcW w:w="300" w:type="dxa"/>
            <w:vAlign w:val="bottom"/>
            <w:tcBorders>
              <w:top w:val="single" w:sz="8" w:color="auto"/>
            </w:tcBorders>
            <w:shd w:val="clear" w:color="auto" w:fill="DAEEF3"/>
          </w:tcPr>
          <w:p>
            <w:pPr>
              <w:spacing w:after="0"/>
              <w:rPr>
                <w:sz w:val="18"/>
                <w:szCs w:val="18"/>
                <w:color w:val="auto"/>
              </w:rPr>
            </w:pPr>
          </w:p>
        </w:tc>
        <w:tc>
          <w:tcPr>
            <w:tcW w:w="1400" w:type="dxa"/>
            <w:vAlign w:val="bottom"/>
            <w:tcBorders>
              <w:top w:val="single" w:sz="8" w:color="auto"/>
              <w:right w:val="single" w:sz="8" w:color="auto"/>
            </w:tcBorders>
            <w:vMerge w:val="restart"/>
            <w:shd w:val="clear" w:color="auto" w:fill="DAEEF3"/>
          </w:tcPr>
          <w:p>
            <w:pPr>
              <w:jc w:val="right"/>
              <w:ind w:right="370"/>
              <w:spacing w:after="0"/>
              <w:rPr>
                <w:sz w:val="20"/>
                <w:szCs w:val="20"/>
                <w:color w:val="auto"/>
              </w:rPr>
            </w:pPr>
            <w:r>
              <w:rPr>
                <w:rFonts w:ascii="Arial" w:cs="Arial" w:eastAsia="Arial" w:hAnsi="Arial"/>
                <w:sz w:val="18"/>
                <w:szCs w:val="18"/>
                <w:b w:val="1"/>
                <w:bCs w:val="1"/>
                <w:color w:val="auto"/>
              </w:rPr>
              <w:t>Fair Value</w:t>
            </w:r>
          </w:p>
        </w:tc>
        <w:tc>
          <w:tcPr>
            <w:tcW w:w="2200" w:type="dxa"/>
            <w:vAlign w:val="bottom"/>
            <w:tcBorders>
              <w:top w:val="single" w:sz="8" w:color="auto"/>
              <w:right w:val="single" w:sz="8" w:color="auto"/>
            </w:tcBorders>
            <w:shd w:val="clear" w:color="auto" w:fill="DAEEF3"/>
          </w:tcPr>
          <w:p>
            <w:pPr>
              <w:ind w:left="360"/>
              <w:spacing w:after="0"/>
              <w:rPr>
                <w:sz w:val="20"/>
                <w:szCs w:val="20"/>
                <w:color w:val="auto"/>
              </w:rPr>
            </w:pPr>
            <w:r>
              <w:rPr>
                <w:rFonts w:ascii="Arial" w:cs="Arial" w:eastAsia="Arial" w:hAnsi="Arial"/>
                <w:sz w:val="18"/>
                <w:szCs w:val="18"/>
                <w:b w:val="1"/>
                <w:bCs w:val="1"/>
                <w:color w:val="auto"/>
              </w:rPr>
              <w:t>Primary Valuation</w:t>
            </w:r>
          </w:p>
        </w:tc>
        <w:tc>
          <w:tcPr>
            <w:tcW w:w="2460" w:type="dxa"/>
            <w:vAlign w:val="bottom"/>
            <w:tcBorders>
              <w:top w:val="single" w:sz="8" w:color="auto"/>
              <w:right w:val="single" w:sz="8" w:color="auto"/>
            </w:tcBorders>
            <w:vMerge w:val="restart"/>
            <w:shd w:val="clear" w:color="auto" w:fill="DAEEF3"/>
          </w:tcPr>
          <w:p>
            <w:pPr>
              <w:ind w:left="420"/>
              <w:spacing w:after="0"/>
              <w:rPr>
                <w:sz w:val="20"/>
                <w:szCs w:val="20"/>
                <w:color w:val="auto"/>
              </w:rPr>
            </w:pPr>
            <w:r>
              <w:rPr>
                <w:rFonts w:ascii="Arial" w:cs="Arial" w:eastAsia="Arial" w:hAnsi="Arial"/>
                <w:sz w:val="18"/>
                <w:szCs w:val="18"/>
                <w:b w:val="1"/>
                <w:bCs w:val="1"/>
                <w:color w:val="auto"/>
              </w:rPr>
              <w:t>Unobservable Inputs</w:t>
            </w:r>
          </w:p>
        </w:tc>
        <w:tc>
          <w:tcPr>
            <w:tcW w:w="2220" w:type="dxa"/>
            <w:vAlign w:val="bottom"/>
            <w:tcBorders>
              <w:top w:val="single" w:sz="8" w:color="auto"/>
              <w:right w:val="single" w:sz="8" w:color="auto"/>
            </w:tcBorders>
            <w:shd w:val="clear" w:color="auto" w:fill="DAEEF3"/>
          </w:tcPr>
          <w:p>
            <w:pPr>
              <w:ind w:left="48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276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300" w:type="dxa"/>
            <w:vAlign w:val="bottom"/>
            <w:shd w:val="clear" w:color="auto" w:fill="DAEEF3"/>
          </w:tcPr>
          <w:p>
            <w:pPr>
              <w:spacing w:after="0"/>
              <w:rPr>
                <w:sz w:val="10"/>
                <w:szCs w:val="10"/>
                <w:color w:val="auto"/>
              </w:rPr>
            </w:pPr>
          </w:p>
        </w:tc>
        <w:tc>
          <w:tcPr>
            <w:tcW w:w="1400" w:type="dxa"/>
            <w:vAlign w:val="bottom"/>
            <w:tcBorders>
              <w:right w:val="single" w:sz="8" w:color="auto"/>
            </w:tcBorders>
            <w:vMerge w:val="continue"/>
            <w:shd w:val="clear" w:color="auto" w:fill="DAEEF3"/>
          </w:tcPr>
          <w:p>
            <w:pPr>
              <w:spacing w:after="0"/>
              <w:rPr>
                <w:sz w:val="10"/>
                <w:szCs w:val="10"/>
                <w:color w:val="auto"/>
              </w:rPr>
            </w:pPr>
          </w:p>
        </w:tc>
        <w:tc>
          <w:tcPr>
            <w:tcW w:w="2200" w:type="dxa"/>
            <w:vAlign w:val="bottom"/>
            <w:tcBorders>
              <w:right w:val="single" w:sz="8" w:color="auto"/>
            </w:tcBorders>
            <w:vMerge w:val="restart"/>
            <w:shd w:val="clear" w:color="auto" w:fill="DAEEF3"/>
          </w:tcPr>
          <w:p>
            <w:pPr>
              <w:ind w:left="580"/>
              <w:spacing w:after="0"/>
              <w:rPr>
                <w:sz w:val="20"/>
                <w:szCs w:val="20"/>
                <w:color w:val="auto"/>
              </w:rPr>
            </w:pPr>
            <w:r>
              <w:rPr>
                <w:rFonts w:ascii="Arial" w:cs="Arial" w:eastAsia="Arial" w:hAnsi="Arial"/>
                <w:sz w:val="18"/>
                <w:szCs w:val="18"/>
                <w:b w:val="1"/>
                <w:bCs w:val="1"/>
                <w:color w:val="auto"/>
              </w:rPr>
              <w:t>Methodology</w:t>
            </w:r>
          </w:p>
        </w:tc>
        <w:tc>
          <w:tcPr>
            <w:tcW w:w="2460" w:type="dxa"/>
            <w:vAlign w:val="bottom"/>
            <w:tcBorders>
              <w:right w:val="single" w:sz="8" w:color="auto"/>
            </w:tcBorders>
            <w:vMerge w:val="continue"/>
            <w:shd w:val="clear" w:color="auto" w:fill="DAEEF3"/>
          </w:tcPr>
          <w:p>
            <w:pPr>
              <w:spacing w:after="0"/>
              <w:rPr>
                <w:sz w:val="10"/>
                <w:szCs w:val="10"/>
                <w:color w:val="auto"/>
              </w:rPr>
            </w:pPr>
          </w:p>
        </w:tc>
        <w:tc>
          <w:tcPr>
            <w:tcW w:w="2220" w:type="dxa"/>
            <w:vAlign w:val="bottom"/>
            <w:tcBorders>
              <w:right w:val="single" w:sz="8" w:color="auto"/>
            </w:tcBorders>
            <w:vMerge w:val="restart"/>
            <w:shd w:val="clear" w:color="auto" w:fill="DAEEF3"/>
          </w:tcPr>
          <w:p>
            <w:pPr>
              <w:ind w:left="34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bottom w:val="single" w:sz="8" w:color="auto"/>
              <w:right w:val="single" w:sz="8" w:color="auto"/>
            </w:tcBorders>
            <w:shd w:val="clear" w:color="auto" w:fill="DAEEF3"/>
          </w:tcPr>
          <w:p>
            <w:pPr>
              <w:spacing w:after="0"/>
              <w:rPr>
                <w:sz w:val="9"/>
                <w:szCs w:val="9"/>
                <w:color w:val="auto"/>
              </w:rPr>
            </w:pPr>
          </w:p>
        </w:tc>
        <w:tc>
          <w:tcPr>
            <w:tcW w:w="300" w:type="dxa"/>
            <w:vAlign w:val="bottom"/>
            <w:tcBorders>
              <w:bottom w:val="single" w:sz="8" w:color="auto"/>
            </w:tcBorders>
            <w:shd w:val="clear" w:color="auto" w:fill="DAEEF3"/>
          </w:tcPr>
          <w:p>
            <w:pPr>
              <w:spacing w:after="0"/>
              <w:rPr>
                <w:sz w:val="9"/>
                <w:szCs w:val="9"/>
                <w:color w:val="auto"/>
              </w:rPr>
            </w:pPr>
          </w:p>
        </w:tc>
        <w:tc>
          <w:tcPr>
            <w:tcW w:w="1400" w:type="dxa"/>
            <w:vAlign w:val="bottom"/>
            <w:tcBorders>
              <w:bottom w:val="single" w:sz="8" w:color="auto"/>
              <w:right w:val="single" w:sz="8" w:color="auto"/>
            </w:tcBorders>
            <w:shd w:val="clear" w:color="auto" w:fill="DAEEF3"/>
          </w:tcPr>
          <w:p>
            <w:pPr>
              <w:spacing w:after="0"/>
              <w:rPr>
                <w:sz w:val="9"/>
                <w:szCs w:val="9"/>
                <w:color w:val="auto"/>
              </w:rPr>
            </w:pPr>
          </w:p>
        </w:tc>
        <w:tc>
          <w:tcPr>
            <w:tcW w:w="22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2460" w:type="dxa"/>
            <w:vAlign w:val="bottom"/>
            <w:tcBorders>
              <w:bottom w:val="single" w:sz="8" w:color="auto"/>
              <w:right w:val="single" w:sz="8" w:color="auto"/>
            </w:tcBorders>
            <w:shd w:val="clear" w:color="auto" w:fill="DAEEF3"/>
          </w:tcPr>
          <w:p>
            <w:pPr>
              <w:spacing w:after="0"/>
              <w:rPr>
                <w:sz w:val="9"/>
                <w:szCs w:val="9"/>
                <w:color w:val="auto"/>
              </w:rPr>
            </w:pPr>
          </w:p>
        </w:tc>
        <w:tc>
          <w:tcPr>
            <w:tcW w:w="222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14,059,524</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2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Average EBITDA Multiple /</w:t>
            </w:r>
          </w:p>
        </w:tc>
        <w:tc>
          <w:tcPr>
            <w:tcW w:w="22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5.1x - 6.1x (5.2x) /</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WACC</w:t>
            </w: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15.2% - 18.5% (17.4%)</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vMerge w:val="continue"/>
          </w:tcPr>
          <w:p>
            <w:pPr>
              <w:spacing w:after="0"/>
              <w:rPr>
                <w:sz w:val="9"/>
                <w:szCs w:val="9"/>
                <w:color w:val="auto"/>
              </w:rPr>
            </w:pPr>
          </w:p>
        </w:tc>
        <w:tc>
          <w:tcPr>
            <w:tcW w:w="22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55,825,931</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Income Approach</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Implied Discount Rate</w:t>
            </w: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6.4% - 23.5% (12.0%)</w:t>
            </w:r>
          </w:p>
        </w:tc>
        <w:tc>
          <w:tcPr>
            <w:tcW w:w="0" w:type="dxa"/>
            <w:vAlign w:val="bottom"/>
          </w:tcPr>
          <w:p>
            <w:pPr>
              <w:spacing w:after="0"/>
              <w:rPr>
                <w:sz w:val="1"/>
                <w:szCs w:val="1"/>
                <w:color w:val="auto"/>
              </w:rPr>
            </w:pPr>
          </w:p>
        </w:tc>
      </w:tr>
      <w:tr>
        <w:trPr>
          <w:trHeight w:val="195"/>
        </w:trPr>
        <w:tc>
          <w:tcPr>
            <w:tcW w:w="2760" w:type="dxa"/>
            <w:vAlign w:val="bottom"/>
            <w:tcBorders>
              <w:left w:val="single" w:sz="8" w:color="auto"/>
              <w:right w:val="single" w:sz="8" w:color="auto"/>
            </w:tcBorders>
          </w:tcPr>
          <w:p>
            <w:pPr>
              <w:spacing w:after="0"/>
              <w:rPr>
                <w:sz w:val="16"/>
                <w:szCs w:val="16"/>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4,405,684</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2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Average EBITDA Multiple /</w:t>
            </w:r>
          </w:p>
        </w:tc>
        <w:tc>
          <w:tcPr>
            <w:tcW w:w="22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4.5x – 15.2x (9.8x) /</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300" w:type="dxa"/>
            <w:vAlign w:val="bottom"/>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WACC</w:t>
            </w: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10.8% - 15.1% (12.2%)</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vMerge w:val="continue"/>
          </w:tcPr>
          <w:p>
            <w:pPr>
              <w:spacing w:after="0"/>
              <w:rPr>
                <w:sz w:val="9"/>
                <w:szCs w:val="9"/>
                <w:color w:val="auto"/>
              </w:rPr>
            </w:pPr>
          </w:p>
        </w:tc>
        <w:tc>
          <w:tcPr>
            <w:tcW w:w="22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9,000</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246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 Rate</w:t>
            </w: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18,922,030</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Discounted Cash Flow</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Probability of Default</w:t>
            </w: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300" w:type="dxa"/>
            <w:vAlign w:val="bottom"/>
          </w:tcPr>
          <w:p>
            <w:pPr>
              <w:spacing w:after="0"/>
              <w:rPr>
                <w:sz w:val="18"/>
                <w:szCs w:val="18"/>
                <w:color w:val="auto"/>
              </w:rPr>
            </w:pPr>
          </w:p>
        </w:tc>
        <w:tc>
          <w:tcPr>
            <w:tcW w:w="1400" w:type="dxa"/>
            <w:vAlign w:val="bottom"/>
            <w:tcBorders>
              <w:right w:val="single" w:sz="8" w:color="auto"/>
            </w:tcBorders>
            <w:vMerge w:val="continue"/>
          </w:tcPr>
          <w:p>
            <w:pPr>
              <w:spacing w:after="0"/>
              <w:rPr>
                <w:sz w:val="18"/>
                <w:szCs w:val="18"/>
                <w:color w:val="auto"/>
              </w:rPr>
            </w:pPr>
          </w:p>
        </w:tc>
        <w:tc>
          <w:tcPr>
            <w:tcW w:w="2200" w:type="dxa"/>
            <w:vAlign w:val="bottom"/>
            <w:tcBorders>
              <w:right w:val="single" w:sz="8" w:color="auto"/>
            </w:tcBorders>
            <w:vMerge w:val="continue"/>
          </w:tcPr>
          <w:p>
            <w:pPr>
              <w:spacing w:after="0"/>
              <w:rPr>
                <w:sz w:val="18"/>
                <w:szCs w:val="18"/>
                <w:color w:val="auto"/>
              </w:rPr>
            </w:pP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Loss Severity</w:t>
            </w: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15"/>
        </w:trPr>
        <w:tc>
          <w:tcPr>
            <w:tcW w:w="2760" w:type="dxa"/>
            <w:vAlign w:val="bottom"/>
            <w:tcBorders>
              <w:left w:val="single" w:sz="8" w:color="auto"/>
              <w:right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2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Recovery Rate</w:t>
            </w: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00"/>
        </w:trPr>
        <w:tc>
          <w:tcPr>
            <w:tcW w:w="2760" w:type="dxa"/>
            <w:vAlign w:val="bottom"/>
            <w:tcBorders>
              <w:left w:val="single" w:sz="8" w:color="auto"/>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2200" w:type="dxa"/>
            <w:vAlign w:val="bottom"/>
            <w:tcBorders>
              <w:right w:val="single" w:sz="8" w:color="auto"/>
            </w:tcBorders>
          </w:tcPr>
          <w:p>
            <w:pPr>
              <w:spacing w:after="0"/>
              <w:rPr>
                <w:sz w:val="8"/>
                <w:szCs w:val="8"/>
                <w:color w:val="auto"/>
              </w:rPr>
            </w:pPr>
          </w:p>
        </w:tc>
        <w:tc>
          <w:tcPr>
            <w:tcW w:w="2460" w:type="dxa"/>
            <w:vAlign w:val="bottom"/>
            <w:tcBorders>
              <w:bottom w:val="single" w:sz="8" w:color="auto"/>
              <w:right w:val="single" w:sz="8" w:color="auto"/>
            </w:tcBorders>
            <w:vMerge w:val="continue"/>
          </w:tcPr>
          <w:p>
            <w:pPr>
              <w:spacing w:after="0"/>
              <w:rPr>
                <w:sz w:val="8"/>
                <w:szCs w:val="8"/>
                <w:color w:val="auto"/>
              </w:rPr>
            </w:pPr>
          </w:p>
        </w:tc>
        <w:tc>
          <w:tcPr>
            <w:tcW w:w="22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Prepayment Rate</w:t>
            </w: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11,150,766</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Liquidation Value</w:t>
            </w:r>
          </w:p>
        </w:tc>
        <w:tc>
          <w:tcPr>
            <w:tcW w:w="246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(2)</w:t>
            </w:r>
          </w:p>
        </w:tc>
        <w:tc>
          <w:tcPr>
            <w:tcW w:w="2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21,605,877</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Market Approach</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Third Party Quote</w:t>
            </w: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56.0%-96.5% (69.7%)</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Asset Manager Affiliate</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38,849,000</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Discounted Cash Flow</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 Rate</w:t>
            </w: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2.66% - 12.0% (6.56%)</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Joint Venture</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21,516,000</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Market Approach</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Third Party Quote</w:t>
            </w: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3"/>
              </w:rPr>
              <w:t>Total Level III Investments</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186,343,812</w:t>
            </w:r>
          </w:p>
        </w:tc>
        <w:tc>
          <w:tcPr>
            <w:tcW w:w="2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8"/>
        <w:spacing w:after="0" w:line="256" w:lineRule="auto"/>
        <w:tabs>
          <w:tab w:leader="none" w:pos="9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KCAP’s analysis ascribes no residual value to a portfolio company’s equity, KCAP typically elects to mark its position at a nominal amount to account for the investment’s option value.</w:t>
      </w:r>
    </w:p>
    <w:p>
      <w:pPr>
        <w:spacing w:after="0"/>
        <w:rPr>
          <w:rFonts w:ascii="Arial" w:cs="Arial" w:eastAsia="Arial" w:hAnsi="Arial"/>
          <w:sz w:val="18"/>
          <w:szCs w:val="18"/>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The qualitative inputs used in the fair value measurements include the value of the pledged collateral.</w:t>
      </w:r>
    </w:p>
    <w:p>
      <w:pPr>
        <w:spacing w:after="0" w:line="113"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47"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6" w:name="page47"/>
    <w:bookmarkEnd w:id="46"/>
    <w:p>
      <w:pPr>
        <w:ind w:right="80" w:firstLine="324"/>
        <w:spacing w:after="0" w:line="293" w:lineRule="auto"/>
        <w:rPr>
          <w:sz w:val="20"/>
          <w:szCs w:val="20"/>
          <w:color w:val="auto"/>
        </w:rPr>
      </w:pPr>
      <w:r>
        <w:rPr>
          <w:rFonts w:ascii="Arial" w:cs="Arial" w:eastAsia="Arial" w:hAnsi="Arial"/>
          <w:sz w:val="16"/>
          <w:szCs w:val="16"/>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investment in the Joint Venture is carried at fair value based upon the fair value of the investments held by the Joint Venture.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March 31, 2018 and December 31, 2017, the Asset Manager Affiliates had approximately $2.8 billion and $3.0 billion of par value of assets under management, respectively, and the Company’s 100% equity interest in the Asset Manager Affiliates had a fair value of approximately $38.7 million and $38.8 million, respectively.</w:t>
      </w:r>
    </w:p>
    <w:p>
      <w:pPr>
        <w:spacing w:after="0" w:line="154"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During the first quarter of 2018, the Asset Manager Affiliates did not recognize any incentive fee revenue. During the first quarter of 2017, the Asset Manager Affiliates recognized $2.9 million of incentive fee revenue from Trimaran VII, which was called in January 2017. Currently, all CLO Funds managed by the Asset Manager Affiliates are paying both their senior and subordinated management fees on a current basis. As of March 31, 2018, none of the CLO Funds managed by the Asset Manager Affiliates were paying incentive fees.</w:t>
      </w:r>
    </w:p>
    <w:p>
      <w:pPr>
        <w:spacing w:after="0" w:line="182"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Certain investments, and the future management fees of certain managed CLO Funds, have been pledged by the Asset Manager Affiliates to third-party lenders under borrowing arrangements undertaken to satisfy the risk retention requirements of the Dodd-Frank Wall Street Reform and Consumer Protection Act (the “Dodd-Frank Act”) applicable to asset managers. In addition, certain of the Asset Manager Affiliates have provided a make-whole guaranty to these lenders in the event that the pledged assets and management fees are insufficient to satisfy the repayment of these borrowings. So long as the underlying managed CLO Funds’ rated notes are making regular quarterly distributions, the management fees are available to the Asset Manager Affiliates.</w:t>
      </w:r>
    </w:p>
    <w:p>
      <w:pPr>
        <w:spacing w:after="0" w:line="158"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For the three months ended March 31, 2018 and 2017, the Asset Manager Affiliates declared cash distributions of $820,000 and $650,000 to the Company, respectively. Any distributions from the Asset Manager Affiliates out of their estimated tax-basis earnings and profits are recorded as “Dividends from Asset Manager Affiliates” on the Company’s statement of operations. The Company recognized $320,000 and $0 of Dividends from Asset Manager Affiliates, as reflected in the Company’s in the statement of operations in the first quarter of 2018 and 2017, respectively. The difference between cash distributions received and the tax-basis earnings and profits of the distributing affiliate, are recorded as an adjustment to the cost basis in the Asset Manager Affiliate (i.e., tax-basis return of capital). For the quarters ended March 31, 2018 and 2017 the difference of $500,000 and $650,000, respectively,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7" w:name="page48"/>
    <w:bookmarkEnd w:id="47"/>
    <w:p>
      <w:pPr>
        <w:jc w:val="both"/>
        <w:ind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Rules 3-09, Rule 4-08(g) and 1-02 of Regulation S-X, additional financial information with respect to the Asset Manager Affiliates and with respect to one of the CLO Funds in which the Company has an investment, Katonah 2007-I CLO are required to be included in the Company’s SEC filings. The additional financial information regarding the Asset Manager Affiliates (pursuant to Rule 3-09) and Katonah 2007-I CLO (pursuant to Rule 4-08(g)) is set forth below. This additional financial information regarding the Asset Manager Affiliates and Katonah 2007-1 CLO does not directly impact the financial position, results of operations, or cash flows of the Company.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3"/>
              </w:rPr>
              <w:t>March 31, 2018</w:t>
            </w:r>
          </w:p>
        </w:tc>
        <w:tc>
          <w:tcPr>
            <w:tcW w:w="1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4,503,689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4,655,662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102,778,637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79,901,209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22,830,000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4,015,249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4,471,250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134,127,575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111,858,121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69,802,500</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69,802,500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Borrowings from related parties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35,792,218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12,792,218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5,889,022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6,789,433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111,483,740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89,384,151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22,643,835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22,473,970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134,127,575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111,858,121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jc w:val="center"/>
              <w:ind w:left="3110"/>
              <w:spacing w:after="0"/>
              <w:rPr>
                <w:sz w:val="20"/>
                <w:szCs w:val="20"/>
                <w:color w:val="auto"/>
              </w:rPr>
            </w:pPr>
            <w:r>
              <w:rPr>
                <w:rFonts w:ascii="Arial" w:cs="Arial" w:eastAsia="Arial" w:hAnsi="Arial"/>
                <w:sz w:val="18"/>
                <w:szCs w:val="18"/>
                <w:b w:val="1"/>
                <w:bCs w:val="1"/>
                <w:color w:val="auto"/>
                <w:w w:val="90"/>
              </w:rPr>
              <w:t>Asset Manager Affiliates</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jc w:val="center"/>
              <w:ind w:left="3130"/>
              <w:spacing w:after="0"/>
              <w:rPr>
                <w:sz w:val="20"/>
                <w:szCs w:val="20"/>
                <w:color w:val="auto"/>
              </w:rPr>
            </w:pPr>
            <w:r>
              <w:rPr>
                <w:rFonts w:ascii="Arial" w:cs="Arial" w:eastAsia="Arial" w:hAnsi="Arial"/>
                <w:sz w:val="18"/>
                <w:szCs w:val="18"/>
                <w:color w:val="auto"/>
                <w:w w:val="90"/>
              </w:rPr>
              <w:t>Summarized Statements of Operations Information (unaudited)</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7"/>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3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3,059,660</w:t>
            </w:r>
          </w:p>
        </w:tc>
        <w:tc>
          <w:tcPr>
            <w:tcW w:w="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686,586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3,746,246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5,886,371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2,526,085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2,761,453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1,177,518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3,703,603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3,277,845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Income before unrealized gains on investments and income taxes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42,643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2,608,526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investments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820,270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862,913</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2,608,526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(126,954</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989,867</w:t>
            </w:r>
          </w:p>
        </w:tc>
        <w:tc>
          <w:tcPr>
            <w:tcW w:w="2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80" w:type="dxa"/>
            <w:vAlign w:val="bottom"/>
            <w:vMerge w:val="restart"/>
          </w:tcPr>
          <w:p>
            <w:pPr>
              <w:jc w:val="center"/>
              <w:ind w:left="3150"/>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vMerge w:val="continue"/>
          </w:tcPr>
          <w:p>
            <w:pPr>
              <w:spacing w:after="0"/>
              <w:rPr>
                <w:sz w:val="24"/>
                <w:szCs w:val="24"/>
                <w:color w:val="auto"/>
              </w:rPr>
            </w:pPr>
          </w:p>
        </w:tc>
        <w:tc>
          <w:tcPr>
            <w:tcW w:w="81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6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7"/>
              </w:rPr>
              <w:t>As of</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4"/>
        </w:trPr>
        <w:tc>
          <w:tcPr>
            <w:tcW w:w="8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3"/>
              </w:rPr>
              <w:t>March 31, 2018</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89,606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Cash</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229,107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1,673,789</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8,750,934</w:t>
            </w: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318,713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11,203,551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CLO Debt at Fair Value</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10,854,495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237,426</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ind w:left="4700"/>
              <w:spacing w:after="0"/>
              <w:rPr>
                <w:sz w:val="20"/>
                <w:szCs w:val="20"/>
                <w:color w:val="auto"/>
              </w:rPr>
            </w:pPr>
            <w:r>
              <w:rPr>
                <w:rFonts w:ascii="Arial" w:cs="Arial" w:eastAsia="Arial" w:hAnsi="Arial"/>
                <w:sz w:val="18"/>
                <w:szCs w:val="18"/>
                <w:b w:val="1"/>
                <w:bCs w:val="1"/>
                <w:color w:val="auto"/>
              </w:rPr>
              <w:t>Katonah 2007-I CLO Ltd.</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3440"/>
              <w:spacing w:after="0"/>
              <w:rPr>
                <w:sz w:val="20"/>
                <w:szCs w:val="20"/>
                <w:color w:val="auto"/>
              </w:rPr>
            </w:pPr>
            <w:r>
              <w:rPr>
                <w:rFonts w:ascii="Arial" w:cs="Arial" w:eastAsia="Arial" w:hAnsi="Arial"/>
                <w:sz w:val="18"/>
                <w:szCs w:val="18"/>
                <w:color w:val="auto"/>
                <w:w w:val="94"/>
              </w:rPr>
              <w:t>Summarized Statements of Operations Information (unaudited)</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9"/>
              </w:rPr>
              <w:t>For the three months ended</w:t>
            </w:r>
          </w:p>
        </w:tc>
        <w:tc>
          <w:tcPr>
            <w:tcW w:w="0" w:type="dxa"/>
            <w:vAlign w:val="bottom"/>
          </w:tcPr>
          <w:p>
            <w:pPr>
              <w:spacing w:after="0"/>
              <w:rPr>
                <w:sz w:val="1"/>
                <w:szCs w:val="1"/>
                <w:color w:val="auto"/>
              </w:rPr>
            </w:pPr>
          </w:p>
        </w:tc>
      </w:tr>
      <w:tr>
        <w:trPr>
          <w:trHeight w:val="234"/>
        </w:trPr>
        <w:tc>
          <w:tcPr>
            <w:tcW w:w="8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left="690"/>
              <w:spacing w:after="0"/>
              <w:rPr>
                <w:sz w:val="20"/>
                <w:szCs w:val="20"/>
                <w:color w:val="auto"/>
              </w:rPr>
            </w:pPr>
            <w:r>
              <w:rPr>
                <w:rFonts w:ascii="Arial" w:cs="Arial" w:eastAsia="Arial" w:hAnsi="Arial"/>
                <w:sz w:val="18"/>
                <w:szCs w:val="18"/>
                <w:b w:val="1"/>
                <w:bCs w:val="1"/>
                <w:color w:val="auto"/>
                <w:w w:val="93"/>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3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Total 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1,843,333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10,487,425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1,526,307</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10,622,776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1,802,182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10,504,641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(628,014)</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111,630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(586,863)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14"/>
        <w:spacing w:after="0" w:line="254" w:lineRule="auto"/>
        <w:rPr>
          <w:sz w:val="20"/>
          <w:szCs w:val="20"/>
          <w:color w:val="auto"/>
        </w:rPr>
      </w:pPr>
      <w:r>
        <w:rPr>
          <w:rFonts w:ascii="Arial" w:cs="Arial" w:eastAsia="Arial" w:hAnsi="Arial"/>
          <w:sz w:val="18"/>
          <w:szCs w:val="18"/>
          <w:color w:val="auto"/>
        </w:rPr>
        <w:t>On December 19, 2017, the Company, in its capacity as the holder of all of the outstanding preferred shares of Katonah 2007-1, exercised its right to cause Katonah 2007-1 to redeem all of its outstanding indebtedness through the sale of its investments and otherwise wind up its business. As of December 31, 2017, Katonah 2007-1 had paid off all of its outstanding indebtedness and had approximately $10.8 million in total assets. It is expected that Katonah 2007-1 will be fully liquidated and dissolved in the first half of 2018. The Company received approximately $11.3 million on its investment in Katonah 2007-1 during the fourth quarter of 2017 in connection with the continuing liquidation of Katonah 2007-1 and expects to receive an additional $10.8 million in the first half of 2018. Accordingly, the Company expects to record a realized loss during the first half of 2018 of approximately $10 million on its investment in Katonah 2007-1 and a corresponding unrealized gain of the same amount in order to reverse the previously recorded unrealized depreciation with respect to the investment.</w:t>
      </w:r>
    </w:p>
    <w:p>
      <w:pPr>
        <w:spacing w:after="0" w:line="192"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right="120" w:firstLine="414"/>
        <w:spacing w:after="0" w:line="290" w:lineRule="auto"/>
        <w:rPr>
          <w:sz w:val="20"/>
          <w:szCs w:val="20"/>
          <w:color w:val="auto"/>
        </w:rPr>
      </w:pPr>
      <w:r>
        <w:rPr>
          <w:rFonts w:ascii="Arial" w:cs="Arial" w:eastAsia="Arial" w:hAnsi="Arial"/>
          <w:sz w:val="16"/>
          <w:szCs w:val="16"/>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both"/>
        <w:ind w:right="80" w:firstLine="324"/>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and tax-basis intangible assets of $15.7 million, both of which are being amortized for tax purposes on a straight-line basis over 15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40" w:firstLine="484"/>
        <w:spacing w:after="0" w:line="272"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which expired on November 20, 2017 and bore interest at an annual rate of 9.0%. On April 15, 2013, the Trimaran Credit Facility was amended and upsized from $20 million to $23 million. At March 31, 2018 there was a $23 million loan outstanding and at December 31, 2017, there were no loans outstanding under the Trimaran Credit Facility. For the three months ended March 31, 2018 and 2017, the Company recognized interest income of approximately $115,000 and $180,000, respectively, related to the Trimaran Credit Facility.</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October 30, 2017, the Company entered into a new term loan agreement with Trimaran Advisors, one of the Asset Manager Affiliates. Trimaran Advisors borrowed $8.4 million under this agreement, which bears interest at a rate of 10.5% annually, payable quarterly. The loan matures on April 30, 2030, can be repaid at any time, and must be repaid upon the occurrence of certain events.</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 LLC purchased $34.8 million notional amount of notes issued by Catamaran CLO 2014-1, Ltd. for aggregate consideration of $35.5 million.</w:t>
      </w:r>
    </w:p>
    <w:p>
      <w:pPr>
        <w:spacing w:after="0" w:line="171" w:lineRule="exact"/>
        <w:rPr>
          <w:sz w:val="20"/>
          <w:szCs w:val="20"/>
          <w:color w:val="auto"/>
        </w:rPr>
      </w:pPr>
    </w:p>
    <w:p>
      <w:pPr>
        <w:ind w:right="20" w:firstLine="484"/>
        <w:spacing w:after="0" w:line="264" w:lineRule="auto"/>
        <w:rPr>
          <w:sz w:val="20"/>
          <w:szCs w:val="20"/>
          <w:color w:val="auto"/>
        </w:rPr>
      </w:pPr>
      <w:r>
        <w:rPr>
          <w:rFonts w:ascii="Arial" w:cs="Arial" w:eastAsia="Arial" w:hAnsi="Arial"/>
          <w:sz w:val="18"/>
          <w:szCs w:val="18"/>
          <w:color w:val="auto"/>
        </w:rPr>
        <w:t>On December 21, 2017, the Company entered into another new term loan agreement with Trimaran Advisors. Trimaran Advisors borrowed $4.4 million, which also bears interest at a rate of 10.5% annually, payable quarterly. The loan matures on January 27, 2028, can be repaid at any time, and must be repaid upon the occurrence of certain events.</w:t>
      </w:r>
    </w:p>
    <w:p>
      <w:pPr>
        <w:spacing w:after="0" w:line="181" w:lineRule="exact"/>
        <w:rPr>
          <w:sz w:val="20"/>
          <w:szCs w:val="20"/>
          <w:color w:val="auto"/>
        </w:rPr>
      </w:pPr>
    </w:p>
    <w:p>
      <w:pPr>
        <w:ind w:right="160" w:firstLine="484"/>
        <w:spacing w:after="0" w:line="259" w:lineRule="auto"/>
        <w:rPr>
          <w:sz w:val="20"/>
          <w:szCs w:val="20"/>
          <w:color w:val="auto"/>
        </w:rPr>
      </w:pPr>
      <w:r>
        <w:rPr>
          <w:rFonts w:ascii="Arial" w:cs="Arial" w:eastAsia="Arial" w:hAnsi="Arial"/>
          <w:sz w:val="18"/>
          <w:szCs w:val="18"/>
          <w:color w:val="auto"/>
        </w:rPr>
        <w:t>On December 21, 2017, Trimaran Advisors contributed $4.4 million of equity capital to Trimaran Risk Retention Holdings, LLC. In turn, Trimaran Risk Retention Holdings contributed $4.4 under this agreement million of equity capital to Trimaran RR I. With this equity contribution and other borrowed funds, Trimaran RR I, LLC purchased $27.4 million notional amount of notes issued by Catamaran CLO 2013-1, Ltd. for aggregate consideration of $27.4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5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60" w:type="dxa"/>
            <w:vAlign w:val="bottom"/>
            <w:gridSpan w:val="2"/>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As of</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March 31, 2018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w w:val="89"/>
              </w:rPr>
              <w:t>6.125% Notes Due 2022</w:t>
            </w:r>
          </w:p>
        </w:tc>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offering costs of: 2018-$2,605,179; 2017 - $2,734,248)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74,802,021</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74,672,952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w w:val="89"/>
              </w:rPr>
              <w:t>7.375% Notes Due 2019</w:t>
            </w:r>
          </w:p>
        </w:tc>
        <w:tc>
          <w:tcPr>
            <w:tcW w:w="5780" w:type="dxa"/>
            <w:vAlign w:val="bottom"/>
          </w:tcPr>
          <w:p>
            <w:pPr>
              <w:ind w:left="20"/>
              <w:spacing w:after="0"/>
              <w:rPr>
                <w:sz w:val="20"/>
                <w:szCs w:val="20"/>
                <w:color w:val="auto"/>
              </w:rPr>
            </w:pPr>
            <w:r>
              <w:rPr>
                <w:rFonts w:ascii="Arial" w:cs="Arial" w:eastAsia="Arial" w:hAnsi="Arial"/>
                <w:sz w:val="18"/>
                <w:szCs w:val="18"/>
                <w:color w:val="auto"/>
              </w:rPr>
              <w:t>(net of offering costs of: 2018 - $49,743; 2017 - $259,635)</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6,950,257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26,740,365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KCAP Funding I, LLC Revolving Credit Facility (net of offering costs of: 2018 - $1,353,761)</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18,473,983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100,226,261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101,413,316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March 31, 2018 were 6.1% and 4.1 years, respectively, and as of December 31, 2017 were 6.4% and 3.9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188"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For the period ended March 31, 2017, interest expense, including the amortization of deferred debt issuance costs and the discount on the face amount of the notes was approximately $1.5 million, respectively consisting of stated interest expense of approximately $1.2 million, respectively, accreted discount of approximately $158,000, respectively, and amortization of deferred debt issuance costs of approximately $170,000, respectively</w:t>
      </w:r>
    </w:p>
    <w:p>
      <w:pPr>
        <w:spacing w:after="0" w:line="16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All of the KCAP Senior Funding I Class A, B, C and D notes were repaid in the third quarter of 2017. In connection therewith, the Company recorded a realized loss from the extinguishment of debt of approximately $4.0 million in the third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these Notes, after the payment of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March 31, 2018, the Company was in compliance with all of its debt covenants.</w:t>
      </w:r>
    </w:p>
    <w:p>
      <w:pPr>
        <w:spacing w:after="0" w:line="16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For the three months ended March 31, 2018 and 2017, interest expense related to the 7.375% Notes Due 2019 was approximately, $436,000 and $618,000,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ind w:right="6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$50,000 remains to be amortized, and is included on the consolidated balance sheets as a reduction in the related debt liability.</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During the second quarter of 2016, the Company repurchased approximately $2.4 million par value of the 7.375% Notes Due 2019 at a weighted average price of $25.23 per $25.00 note, resulting in a realized loss on extinguishment of $71,190. The Company subsequently surrendered these notes to the Trustee for cancellation.</w:t>
      </w:r>
    </w:p>
    <w:p>
      <w:pPr>
        <w:spacing w:after="0" w:line="18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During the third quarter of 2016, $5.0 million par value of the 7.375% Notes Due 2019 was redeemed by the Company, resulting in a realized loss on extinguishment of $88,015. The Company subsequently surrendered these notes to the Trustee for cancellation.</w:t>
      </w:r>
    </w:p>
    <w:p>
      <w:pPr>
        <w:spacing w:after="0" w:line="170"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During the fourth quarter of 2016, approximately $469,000 par value of the 7.375% Notes Due 2019 was redeemed by the Company, resulting in a realized loss on extinguishment of approximately $15,000. The Company subsequently surrendered these notes to the Trustee for cancellation.</w:t>
      </w:r>
    </w:p>
    <w:p>
      <w:pPr>
        <w:spacing w:after="0" w:line="124"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During the second quarter of 2017, approximately $6.5 million par value of the 7.375% Notes Due 2019 was redeemed by the Company, resulting in a realized loss on extinguishment of approximately $107,000. The Company subsequently surrendered these notes to the Trustee for cancellation.</w:t>
      </w:r>
    </w:p>
    <w:p>
      <w:pPr>
        <w:spacing w:after="0" w:line="124"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Fair Value of 7.375% Notes Due 2019. </w:t>
      </w:r>
      <w:r>
        <w:rPr>
          <w:rFonts w:ascii="Arial" w:cs="Arial" w:eastAsia="Arial" w:hAnsi="Arial"/>
          <w:sz w:val="18"/>
          <w:szCs w:val="18"/>
          <w:color w:val="auto"/>
        </w:rPr>
        <w:t>The 7.375% Notes Due 2019 were issued in a public offering on October 10, 2012 and are carried at cost.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and December 31, 2017, the fair value of the Company’s outstanding 7.375% Notes Due 2019 was approximately $7.1 million and $27.3 million, respectively. The fair value was determined based on the closing price on March 31, 2018 for the 7.375% Notes Due 2019. The 7.375% Notes Due 2019 are categorized as Level I under the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6.125% Notes Due 2022</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6.125% Notes Due 2022, the Company is limited in its ability to make distributions in certain circumstances. The indenture governing the 6.125% Notes Due 2022 contains certain restrictive covenants, including compliance with certain provisions of the 1940 Act relating to borrowing and dividends. At March 31, 2018, the Company was in compliance with all of its debt covenants.</w:t>
      </w:r>
    </w:p>
    <w:p>
      <w:pPr>
        <w:spacing w:after="0" w:line="16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the three months ended March 31, 2018 and 2017, interest expense related to the 6.125% Notes Due 2022 was approximately $1.2 million and $0, respectively.</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connection with the issuance of the 6.125% Notes Due 2022, the Company incurred approximately $2.9 million of debt offering costs which are being amortized over the expected term of the facility on an effective yield method, of which approximately $2.7 million remains to be amortized as of December 31, 2017, and is included on the consolidated balance sheets as a reduction in the related debt liability.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right="80" w:firstLine="324"/>
        <w:spacing w:after="0" w:line="279" w:lineRule="auto"/>
        <w:rPr>
          <w:sz w:val="20"/>
          <w:szCs w:val="20"/>
          <w:color w:val="auto"/>
        </w:rPr>
      </w:pPr>
      <w:r>
        <w:rPr>
          <w:rFonts w:ascii="Arial" w:cs="Arial" w:eastAsia="Arial" w:hAnsi="Arial"/>
          <w:sz w:val="17"/>
          <w:szCs w:val="17"/>
          <w:i w:val="1"/>
          <w:iCs w:val="1"/>
          <w:color w:val="auto"/>
        </w:rPr>
        <w:t xml:space="preserve">Fair Value of 6.125% Notes Due 2022. </w:t>
      </w:r>
      <w:r>
        <w:rPr>
          <w:rFonts w:ascii="Arial" w:cs="Arial" w:eastAsia="Arial" w:hAnsi="Arial"/>
          <w:sz w:val="17"/>
          <w:szCs w:val="17"/>
          <w:color w:val="auto"/>
        </w:rPr>
        <w:t>The 6.125% Notes Due 2022 were issued via public offering during the third quarter of 2017 and are carried at</w:t>
      </w:r>
      <w:r>
        <w:rPr>
          <w:rFonts w:ascii="Arial" w:cs="Arial" w:eastAsia="Arial" w:hAnsi="Arial"/>
          <w:sz w:val="17"/>
          <w:szCs w:val="17"/>
          <w:i w:val="1"/>
          <w:iCs w:val="1"/>
          <w:color w:val="auto"/>
        </w:rPr>
        <w:t xml:space="preserve"> </w:t>
      </w:r>
      <w:r>
        <w:rPr>
          <w:rFonts w:ascii="Arial" w:cs="Arial" w:eastAsia="Arial" w:hAnsi="Arial"/>
          <w:sz w:val="17"/>
          <w:szCs w:val="17"/>
          <w:color w:val="auto"/>
        </w:rPr>
        <w:t>cost, net of offering costs of $2.7 million at December 31, 2017. The fair value of the Company’s outstanding 6.125% Notes Due 2022 was approximately $77.9 million and $77.7 million at March 31, 2018 and December 31, 2017. The fair value was determined based on the closing price on March 31, 2018 for the 6.125% Notes Due 2022. The 6.125% Notes Due 2022 are categorized as Level I under the ASC 820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KCAP Funding I, LLC</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March 1, 2018, KCAP Funding I, LLC (“Funding”), a wholly 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maximum commitment amount of the Revolving Credit Facility is $50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w:t>
      </w:r>
    </w:p>
    <w:p>
      <w:pPr>
        <w:spacing w:after="0" w:line="17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14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maturity date is the earliest of: (a) March 1, 2022 and (b) the date upon which all loans shall become due and payable in full, whether by acceleration or otherwise.</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March 31, 2018, Funding was in compliance with all of its debt covenants.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first quarter of 2018, Funding borrowed $20 million under the Revolving Credit Facility. As of March 31, 2018, $19.8 million principal amount of borrowings was outstanding under the Revolving Credit Facility.</w:t>
      </w:r>
    </w:p>
    <w:p>
      <w:pPr>
        <w:spacing w:after="0" w:line="170"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Interest on borrowings under the Revolving Credit Facility is paid monthly. Borrowings under the Revolving Credit Facility are subject to redemption in whole or in part at any time or from time to time, at the option of the Funding. Concurrently with any termination of the Revolving Credit Facility before March 1, 2019 Funding will pay to agent an amount equal to 1% of the Revolver Commitments.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three months ended March 31, 2018, interest and fees expense related to the Revolving Credit Facility was approximately $0.1 million.</w:t>
      </w:r>
    </w:p>
    <w:p>
      <w:pPr>
        <w:spacing w:after="0" w:line="23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incurred approximately $1.4 million of debt offering costs in connection with the Revolving Credit Facility, which are being amortized over the expected term of the Revolving Credit Facility on an effective yield method, of which approximately $1.4 million remains to be amortized as of March 31, 2018, and is included on the consolidated balance sheets as a reduction in the related debt liability.</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Fair Value of the Revolving Credit Facility. </w:t>
      </w:r>
      <w:r>
        <w:rPr>
          <w:rFonts w:ascii="Arial" w:cs="Arial" w:eastAsia="Arial" w:hAnsi="Arial"/>
          <w:sz w:val="17"/>
          <w:szCs w:val="17"/>
          <w:color w:val="auto"/>
        </w:rPr>
        <w:t>Borrowings under the Revolving Credit Facility are carried at cost, net of unamortized debt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costs of $1.4 million at March 31, 2018. The fair value of the Revolving Credit Facility borrowings was approximately $19.8 million at March 31, 2018. The fair value was determined based on an analysis of the value of the pledged collateral and the amount of over-collateralization supporting the repayment of these borrowings. The Revolving Credit Facility borrowings are categorized as Level III under the ASC 820 Fair Value.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right="40" w:firstLine="41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2018).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 for the three months ended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(unaudited)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2,609,393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(314,624)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2,876,525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losses over capital gains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165,973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(787,949)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(850,932)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457,219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44,086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Taxable income before deductions for distributions</w:t>
            </w:r>
          </w:p>
        </w:tc>
        <w:tc>
          <w:tcPr>
            <w:tcW w:w="6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2,130,012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2,411,293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Taxable income before deductions for distributions per weighted average basic shares for the period</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w w:val="97"/>
              </w:rPr>
              <w:t>Taxable income before deductions for distributions per weighted average diluted shares for the period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14"/>
        <w:spacing w:after="0" w:line="271" w:lineRule="auto"/>
        <w:rPr>
          <w:sz w:val="20"/>
          <w:szCs w:val="20"/>
          <w:color w:val="auto"/>
        </w:rPr>
      </w:pPr>
      <w:r>
        <w:rPr>
          <w:rFonts w:ascii="Arial" w:cs="Arial" w:eastAsia="Arial" w:hAnsi="Arial"/>
          <w:sz w:val="17"/>
          <w:szCs w:val="17"/>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months ended March 31, 2018 and 2017, the Asset Manager Affiliates declared cash distributions of $820,000 and $650,000, respectively, to the Company. The Company recognized $320,000 and $0 of dividends from the Asset Manager Affiliates, as reflected in the Company’s statement of operations in the first quarter of 2018 and 2017, respectively. For the quarters ended March 31, 2018 and 2017 the difference of $500,000and $650,000, respectively, between cash distributions received and the tax-basis earnings and profits of the distributing affiliate, are recorded as an adjustment to the cost basis in the Asset Manager Affiliate (i.e. tax-basis return of capital).</w:t>
      </w:r>
    </w:p>
    <w:p>
      <w:pPr>
        <w:spacing w:after="0" w:line="179" w:lineRule="exact"/>
        <w:rPr>
          <w:sz w:val="20"/>
          <w:szCs w:val="20"/>
          <w:color w:val="auto"/>
        </w:rPr>
      </w:pPr>
    </w:p>
    <w:p>
      <w:pPr>
        <w:ind w:right="20" w:firstLine="414"/>
        <w:spacing w:after="0" w:line="302"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At March 31, 2018, the Company had a net capital loss carryforward of $88.8 million to offset net capital gains, to the extent provided by federal tax law. $13.5 million of net capital loss carryforward expired in 2017. $17.9 million of net capital loss carryforward is subject to expiration in 2018. $70.9 million of the net capital loss carryforward is not subject to expiration under the RIC Modernization Act of 2010.</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On March 20, 2018 the Company’s Board of Directors declared a distribution to shareholders of $0.10 per share for a total of $3.7 million. The record date was April 6, 2018 and the distribution was paid on April 27,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ind w:right="20" w:firstLine="648"/>
        <w:spacing w:after="0" w:line="270" w:lineRule="auto"/>
        <w:rPr>
          <w:sz w:val="20"/>
          <w:szCs w:val="20"/>
          <w:color w:val="auto"/>
        </w:rPr>
      </w:pPr>
      <w:r>
        <w:rPr>
          <w:rFonts w:ascii="Arial" w:cs="Arial" w:eastAsia="Arial" w:hAnsi="Arial"/>
          <w:sz w:val="17"/>
          <w:szCs w:val="17"/>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2018 and December 31, 2017, the Company had $5 million and $0 outstanding commitments,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During the three months ended March 31, 2018 and 2017, the Company issued 15,255 and 40,903 shares, respectively, of common stock under its dividend reinvestment plan. For the three months ended March 31, 2018, there were no grants of restricted stock, no shares were forfeited, and no shares vested. The total number of shares of the Company’s common stock outstanding as of March 31, 2018 and December 31, 2017 was 37,354,479 and 37,339,224,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COMPENSATION PLANS</w:t>
      </w:r>
    </w:p>
    <w:p>
      <w:pPr>
        <w:spacing w:after="0" w:line="229"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The Company has an equity incentive plan, established in 2006 and most recently amended, following approval by the Company’s Board of Directors and shareholders, on May 4, 2017 (the “Equity Incentive Plan”). The Company reserved 2,000,000 shares of common stock for issuance under the Equity Incentive Plan. Pursuant to the Equity Incentive Plan and in accordance with the terms of the exemptive relief granted to the Company in August 2008, the Company aims to provide officers and employees of the Company with additional incentives and align the interests of its employees with those of its shareholders. Restricted stock granted under the Equity Incentive Plan is granted at a price equal to the fair market value (market closing price) of the shares on the day such restricted stock is granted. Options granted under the Equity Incentive Plan are exercisable at a price equal to the fair market value (market closing price) of the shares on the day the option is granted. Restricted stock granted pursuant to the Equity Incentive Plan in 2013 vested in two equal installments of 50% on each of the third and the fourth anniversaries of the grant date. Restricted Stock granted pursuant to the Equity Incentive Plan in 2014 and 2015 vests in four equal installments of 25% on each of the first four anniversaries of the grant date. Restricted Stock granted pursuant to the Equity Incentive Plan in 2017 will vest in two equal installments of 50% on each of the third and the fourth anniversaries of the grant date.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6" w:name="page57"/>
    <w:bookmarkEnd w:id="56"/>
    <w:p>
      <w:pPr>
        <w:ind w:left="4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Pursuant to the Non-Employee Director Plan, the Company’s independent directors and other directors who are not officers or employees of the Company (“Non-Employee Directors”) may be issued restricted stock as a portion of their compensation for service on the Company’s Board of Directors in accordance with the terms of exemptive relief granted by the SEC in August 2008. Since implementation of the 2011 Plan, the Company is permitted to issue restricted stock, and is no longer permitted to issue any options for common stock, of the Company to Non-Employee Directors. Any options outstanding as of the date of the 2011 Annual Shareholder Meeting are governed in all respects by the terms of the 2008 Plan. Under the Non-Employee Director Plan, the Non-Employee Directors automatically receive 1,000 shares of restricted stock on the date of each annual meeting of shareholders during the term of the plan.</w:t>
      </w:r>
    </w:p>
    <w:p>
      <w:pPr>
        <w:spacing w:after="0" w:line="18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2017 through March 31, 2018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Weighted Average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6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6"/>
              </w:rPr>
              <w:t>Aggregate Intrinsic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right"/>
              <w:ind w:right="360"/>
              <w:spacing w:after="0" w:line="181" w:lineRule="exact"/>
              <w:rPr>
                <w:sz w:val="20"/>
                <w:szCs w:val="20"/>
                <w:color w:val="auto"/>
              </w:rPr>
            </w:pPr>
            <w:r>
              <w:rPr>
                <w:rFonts w:ascii="Arial" w:cs="Arial" w:eastAsia="Arial" w:hAnsi="Arial"/>
                <w:sz w:val="18"/>
                <w:szCs w:val="18"/>
                <w:b w:val="1"/>
                <w:bCs w:val="1"/>
                <w:color w:val="auto"/>
                <w:w w:val="91"/>
              </w:rPr>
              <w:t>Weighted Average</w:t>
            </w:r>
          </w:p>
        </w:tc>
        <w:tc>
          <w:tcPr>
            <w:tcW w:w="100" w:type="dxa"/>
            <w:vAlign w:val="bottom"/>
          </w:tcPr>
          <w:p>
            <w:pPr>
              <w:spacing w:after="0"/>
              <w:rPr>
                <w:sz w:val="15"/>
                <w:szCs w:val="15"/>
                <w:color w:val="auto"/>
              </w:rPr>
            </w:pPr>
          </w:p>
        </w:tc>
        <w:tc>
          <w:tcPr>
            <w:tcW w:w="160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2"/>
              </w:rPr>
              <w:t>Remaining Term</w:t>
            </w:r>
          </w:p>
        </w:tc>
        <w:tc>
          <w:tcPr>
            <w:tcW w:w="1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2000" w:type="dxa"/>
            <w:vAlign w:val="bottom"/>
            <w:gridSpan w:val="3"/>
          </w:tcPr>
          <w:p>
            <w:pPr>
              <w:spacing w:after="0"/>
              <w:rPr>
                <w:sz w:val="20"/>
                <w:szCs w:val="20"/>
                <w:color w:val="auto"/>
              </w:rPr>
            </w:pPr>
            <w:r>
              <w:rPr>
                <w:rFonts w:ascii="Arial" w:cs="Arial" w:eastAsia="Arial" w:hAnsi="Arial"/>
                <w:sz w:val="18"/>
                <w:szCs w:val="18"/>
                <w:b w:val="1"/>
                <w:bCs w:val="1"/>
                <w:color w:val="auto"/>
                <w:w w:val="93"/>
              </w:rPr>
              <w:t>Exercise Price per Share</w:t>
            </w:r>
          </w:p>
        </w:tc>
        <w:tc>
          <w:tcPr>
            <w:tcW w:w="100" w:type="dxa"/>
            <w:vAlign w:val="bottom"/>
          </w:tcPr>
          <w:p>
            <w:pPr>
              <w:spacing w:after="0"/>
              <w:rPr>
                <w:sz w:val="23"/>
                <w:szCs w:val="23"/>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300" w:type="dxa"/>
            <w:vAlign w:val="bottom"/>
          </w:tcPr>
          <w:p>
            <w:pPr>
              <w:spacing w:after="0"/>
              <w:rPr>
                <w:sz w:val="23"/>
                <w:szCs w:val="23"/>
                <w:color w:val="auto"/>
              </w:rPr>
            </w:pPr>
          </w:p>
        </w:tc>
        <w:tc>
          <w:tcPr>
            <w:tcW w:w="1300" w:type="dxa"/>
            <w:vAlign w:val="bottom"/>
            <w:gridSpan w:val="2"/>
          </w:tcPr>
          <w:p>
            <w:pPr>
              <w:ind w:left="200"/>
              <w:spacing w:after="0" w:line="269" w:lineRule="exact"/>
              <w:rPr>
                <w:sz w:val="20"/>
                <w:szCs w:val="20"/>
                <w:color w:val="auto"/>
              </w:rPr>
            </w:pPr>
            <w:r>
              <w:rPr>
                <w:rFonts w:ascii="Arial" w:cs="Arial" w:eastAsia="Arial" w:hAnsi="Arial"/>
                <w:sz w:val="18"/>
                <w:szCs w:val="18"/>
                <w:b w:val="1"/>
                <w:bCs w:val="1"/>
                <w:color w:val="auto"/>
              </w:rPr>
              <w:t>Value</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1700" w:type="dxa"/>
            <w:vAlign w:val="bottom"/>
            <w:tcBorders>
              <w:top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March 31, 2018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5.89</w:t>
            </w:r>
          </w:p>
        </w:tc>
        <w:tc>
          <w:tcPr>
            <w:tcW w:w="1700" w:type="dxa"/>
            <w:vAlign w:val="bottom"/>
            <w:tcBorders>
              <w:bottom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vested at March 31, 2018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35,000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on March 31, 2018 and the exercise price of the options.</w:t>
      </w:r>
    </w:p>
    <w:p>
      <w:pPr>
        <w:spacing w:after="0" w:line="202" w:lineRule="exact"/>
        <w:rPr>
          <w:sz w:val="20"/>
          <w:szCs w:val="20"/>
          <w:color w:val="auto"/>
        </w:rPr>
      </w:pPr>
    </w:p>
    <w:p>
      <w:pPr>
        <w:ind w:right="260" w:firstLine="41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 2018 and 2017, the Company did not recognize any non-cash compensation expense related to stock options. At March 31, 2018, the Company had no remaining compensation costs related to unvested stock 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540" w:hanging="208"/>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right="12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2016,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4, 2017, 6,000 shares of restricted stock were awarded to the Company’s Board of Directors.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June 16, 2015, the Company received exemptive relief to repurchase shares of its common stock from its employees in connection with certain equity compensation plan arrangements. During the years ended December 31, 2016 and 2015, the Company repurchased 67,654 and 36,348 shares, respectively, of common stock at an aggregate cost of approximately $248,000 and $220,000, respectively, in connection with the vesting of employee’s restricted stock, which is reflected as Treasury Stock at cost on the Consolidated Balance Sheet. These shares are not available to be reissued under the Company’s Equity Incentive Plan.</w:t>
      </w:r>
    </w:p>
    <w:p>
      <w:pPr>
        <w:spacing w:after="0" w:line="188"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Company’s Equity Incentive Plan.</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On September 19, 2017, the Company’s Board of Directors approved the grant of 133,620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2017 through March 31, 2018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Non-vested</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January 1, 2017</w:t>
            </w:r>
          </w:p>
        </w:tc>
        <w:tc>
          <w:tcPr>
            <w:tcW w:w="5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139,620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(242,918)</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6680" w:type="dxa"/>
            <w:vAlign w:val="bottom"/>
            <w:gridSpan w:val="3"/>
          </w:tcPr>
          <w:p>
            <w:pPr>
              <w:jc w:val="right"/>
              <w:ind w:right="40"/>
              <w:spacing w:after="0"/>
              <w:rPr>
                <w:sz w:val="20"/>
                <w:szCs w:val="20"/>
                <w:color w:val="auto"/>
              </w:rPr>
            </w:pPr>
            <w:r>
              <w:rPr>
                <w:rFonts w:ascii="Arial" w:cs="Arial" w:eastAsia="Arial" w:hAnsi="Arial"/>
                <w:sz w:val="18"/>
                <w:szCs w:val="18"/>
                <w:color w:val="auto"/>
              </w:rPr>
              <w:t>(10,982)</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2017</w:t>
            </w:r>
          </w:p>
        </w:tc>
        <w:tc>
          <w:tcPr>
            <w:tcW w:w="5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5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5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Outstanding at March 31, 2018</w:t>
            </w:r>
          </w:p>
        </w:tc>
        <w:tc>
          <w:tcPr>
            <w:tcW w:w="53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320" w:type="dxa"/>
            <w:vAlign w:val="bottom"/>
            <w:vMerge w:val="restart"/>
          </w:tcPr>
          <w:p>
            <w:pPr>
              <w:jc w:val="right"/>
              <w:ind w:right="4150"/>
              <w:spacing w:after="0"/>
              <w:rPr>
                <w:sz w:val="20"/>
                <w:szCs w:val="20"/>
                <w:color w:val="auto"/>
              </w:rPr>
            </w:pPr>
            <w:r>
              <w:rPr>
                <w:rFonts w:ascii="Arial" w:cs="Arial" w:eastAsia="Arial" w:hAnsi="Arial"/>
                <w:sz w:val="18"/>
                <w:szCs w:val="18"/>
                <w:color w:val="auto"/>
              </w:rPr>
              <w:t>57</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58" w:name="page59"/>
    <w:bookmarkEnd w:id="58"/>
    <w:p>
      <w:pPr>
        <w:ind w:right="160" w:firstLine="414"/>
        <w:spacing w:after="0" w:line="302" w:lineRule="auto"/>
        <w:rPr>
          <w:sz w:val="20"/>
          <w:szCs w:val="20"/>
          <w:color w:val="auto"/>
        </w:rPr>
      </w:pPr>
      <w:r>
        <w:rPr>
          <w:rFonts w:ascii="Arial" w:cs="Arial" w:eastAsia="Arial" w:hAnsi="Arial"/>
          <w:sz w:val="16"/>
          <w:szCs w:val="16"/>
          <w:color w:val="auto"/>
        </w:rPr>
        <w:t>For the three months ended March 31, 2018, non-cash compensation expense related to restricted stock was approximately $253,000; of this amount approximately $108,000 was expensed at the Company, and approximately was $145,000 a reimbursable expense allocated to the Asset Manager Affiliates. For the three months ended March 31, 2017, non-cash compensation expense related to restricted stock was approximately $389,000; of this amount approximately $159,000 was expensed at the Company and approximately $229,000 was a reimbursable expense allocated to the Asset Manager Affiliates.</w:t>
      </w:r>
    </w:p>
    <w:p>
      <w:pPr>
        <w:spacing w:after="0" w:line="154" w:lineRule="exact"/>
        <w:rPr>
          <w:sz w:val="20"/>
          <w:szCs w:val="20"/>
          <w:color w:val="auto"/>
        </w:rPr>
      </w:pPr>
    </w:p>
    <w:p>
      <w:pPr>
        <w:ind w:firstLine="414"/>
        <w:spacing w:after="0" w:line="276" w:lineRule="auto"/>
        <w:rPr>
          <w:sz w:val="20"/>
          <w:szCs w:val="20"/>
          <w:color w:val="auto"/>
        </w:rPr>
      </w:pPr>
      <w:r>
        <w:rPr>
          <w:rFonts w:ascii="Arial" w:cs="Arial" w:eastAsia="Arial" w:hAnsi="Arial"/>
          <w:sz w:val="17"/>
          <w:szCs w:val="17"/>
          <w:color w:val="auto"/>
        </w:rPr>
        <w:t>Distributions are paid on all outstanding shares of restricted stock, whether or not vested. In general, shares of unvested restricted stock are forfeited upon the recipient’s termination of employment. As of March 31, 2018, the Company had approximately $850,000 of total unrecognized compensation cost related to non-vested restricted share awards, respectively. That cost is expected to be recognized over the remaining weighted average period of 1.0 years. As of March 31, 2017, the Company had approximately $1.4 million of total unrecognized compensation cost related to non-vested restricted share awards, respectively. That cost is expected to be recognized over the remaining weighted average period of 1.2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$10,000 and $17,000 was expensed during the three months ended March 31, 2018 and 2017, respectively, related to the 401K Plan.</w:t>
      </w:r>
    </w:p>
    <w:p>
      <w:pPr>
        <w:spacing w:after="0" w:line="188"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$25,000 and $46,000 was expensed during the three months ended March 31, 2018 and 2017 for both periods, related to the Profit-Sharing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March 31, 2018 for items that should potentially be recognized or disclosed in these financial statements. Management has determined that there are no material subsequent events that would require adjustment to, or disclosure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9" w:name="page60"/>
    <w:bookmarkEnd w:id="5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20" w:firstLine="414"/>
        <w:spacing w:after="0" w:line="308" w:lineRule="auto"/>
        <w:rPr>
          <w:sz w:val="20"/>
          <w:szCs w:val="20"/>
          <w:color w:val="auto"/>
        </w:rPr>
      </w:pPr>
      <w:r>
        <w:rPr>
          <w:rFonts w:ascii="Arial" w:cs="Arial" w:eastAsia="Arial" w:hAnsi="Arial"/>
          <w:sz w:val="17"/>
          <w:szCs w:val="17"/>
          <w:color w:val="auto"/>
        </w:rPr>
        <w:t>In this Quarterly Report on Form 10-Q, “KCAP,” “Company,” “we,” “us,” and “our” refer to KCAP Financial, Inc., and its wholly-owned subsidiaries, KCAP Funding I, LLC, KCAP Senior Funding I, LLC and KCAP Senior Funding I Holdings, LLC, unless the context otherwise requires.</w:t>
      </w:r>
    </w:p>
    <w:p>
      <w:pPr>
        <w:spacing w:after="0" w:line="147"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2017,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0"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wholly-owned portfolio companies, including Katonah Debt Advisors, L.L.C. and Trimaran Advisors, L.L.C;</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including the Asset Manager Affiliates;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2017.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 as amended (the “1940 Act”). We have three principal areas of investments:</w:t>
      </w:r>
    </w:p>
    <w:p>
      <w:pPr>
        <w:spacing w:after="0" w:line="211"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Second, the Company has invested in our wholly owned asset management companies including Katonah Debt Advisors (“Katonah Debt Advisors”) and Trimaran Advisors L.L.C. (“Trimaran Advisors”), which manage collateralized loan obligation funds (“CLO Funds”).</w:t>
      </w:r>
    </w:p>
    <w:p>
      <w:pPr>
        <w:spacing w:after="0" w:line="170" w:lineRule="exact"/>
        <w:rPr>
          <w:sz w:val="20"/>
          <w:szCs w:val="20"/>
          <w:color w:val="auto"/>
        </w:rPr>
      </w:pPr>
    </w:p>
    <w:p>
      <w:pPr>
        <w:ind w:right="240" w:firstLine="270"/>
        <w:spacing w:after="0" w:line="257"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Katonah Debt Advisors and Trimaran Advisors, as well as affiliated management companies Katonah 2007-1 Management, L.L.C., Trimaran Advisors Management, L.L.C. and KCAP Management, LLC (collectively, the “Asset Manager Affiliates”), but from time-to-time the Company makes investments in CLO Fund Securities managed by other asset managers. The CLO Funds typically invest in broadly syndicated loans, high-yield bonds and other credit instruments.</w:t>
      </w:r>
    </w:p>
    <w:p>
      <w:pPr>
        <w:spacing w:after="0" w:line="188" w:lineRule="exact"/>
        <w:rPr>
          <w:sz w:val="20"/>
          <w:szCs w:val="20"/>
          <w:color w:val="auto"/>
        </w:rPr>
      </w:pPr>
    </w:p>
    <w:p>
      <w:pPr>
        <w:ind w:right="540" w:firstLine="272"/>
        <w:spacing w:after="0" w:line="342" w:lineRule="auto"/>
        <w:rPr>
          <w:sz w:val="20"/>
          <w:szCs w:val="20"/>
          <w:color w:val="auto"/>
        </w:rPr>
      </w:pPr>
      <w:r>
        <w:rPr>
          <w:rFonts w:ascii="Arial" w:cs="Arial" w:eastAsia="Arial" w:hAnsi="Arial"/>
          <w:sz w:val="16"/>
          <w:szCs w:val="16"/>
          <w:color w:val="auto"/>
        </w:rPr>
        <w:t>The Company may also invest in other investments such as loans to publicly-traded companies, high-yield bonds, joint venture and distressed debt securities. The Company may also receive warrants or options to purchase common stock in connection with its debt investments.</w:t>
      </w:r>
    </w:p>
    <w:p>
      <w:pPr>
        <w:spacing w:after="0" w:line="124"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private companies or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From our Asset Manager Affiliates investment, we expect to receive recurring cash distributions and to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Collectively, the Asset Manager Affiliates have approximately $2.8 billion of par value assets under management as of March 31, 2018. Katonah Debt Advisors and Trimaran Advisors are registered under the Investment Advisers Act of 1940, as amended, and are each managed independently from us by a separate management team. Certain of the Company’s executive officers also act in similar capacities for one or more of the Asset Manager Affiliates).</w:t>
      </w:r>
    </w:p>
    <w:p>
      <w:pPr>
        <w:spacing w:after="0" w:line="165" w:lineRule="exact"/>
        <w:rPr>
          <w:sz w:val="20"/>
          <w:szCs w:val="20"/>
          <w:color w:val="auto"/>
        </w:rPr>
      </w:pPr>
    </w:p>
    <w:p>
      <w:pPr>
        <w:ind w:right="280" w:firstLine="270"/>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our investment in the Asset Manager Affiliates.</w:t>
      </w:r>
    </w:p>
    <w:p>
      <w:pPr>
        <w:spacing w:after="0" w:line="181" w:lineRule="exact"/>
        <w:rPr>
          <w:sz w:val="20"/>
          <w:szCs w:val="20"/>
          <w:color w:val="auto"/>
        </w:rPr>
      </w:pPr>
    </w:p>
    <w:p>
      <w:pPr>
        <w:ind w:right="280" w:firstLine="270"/>
        <w:spacing w:after="0" w:line="279"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1" w:name="page62"/>
    <w:bookmarkEnd w:id="61"/>
    <w:p>
      <w:pPr>
        <w:ind w:right="80" w:firstLine="270"/>
        <w:spacing w:after="0" w:line="297" w:lineRule="auto"/>
        <w:rPr>
          <w:sz w:val="20"/>
          <w:szCs w:val="20"/>
          <w:color w:val="auto"/>
        </w:rPr>
      </w:pPr>
      <w:r>
        <w:rPr>
          <w:rFonts w:ascii="Arial" w:cs="Arial" w:eastAsia="Arial" w:hAnsi="Arial"/>
          <w:sz w:val="16"/>
          <w:szCs w:val="16"/>
          <w:color w:val="auto"/>
        </w:rPr>
        <w:t>We have elected to be treated for U.S. federal income tax purposes as a regulated investment company (“RIC”) under the Internal Revenue Code (the “Code”) and intend to operate in a manner to maintain our RIC tax treatment. Accordingly, we generally will not pay corporate-level U.S. federal income taxes on any net ordinary tax-basis taxable income or capital gains that we timely distribute to our shareholders as dividends. To maintain our RIC tax treatment, we must meet the specified source-of-income and asset diversification requirements and distribute to our stockholders annually at least 90% of our net ordinary tax-basis taxable income and realized net short-term capital gains in excess of realized net long-term capital losses, if any, for each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three months ended March 31, 2018 (unaudited) and for the year ended December 31, 2017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CLO Fund</w:t>
            </w:r>
          </w:p>
        </w:tc>
        <w:tc>
          <w:tcPr>
            <w:tcW w:w="1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Equity</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Asset Manager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4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Securities</w:t>
            </w:r>
          </w:p>
        </w:tc>
        <w:tc>
          <w:tcPr>
            <w:tcW w:w="18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Securities</w:t>
            </w: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Affiliates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Joint Venture</w:t>
            </w:r>
          </w:p>
        </w:tc>
        <w:tc>
          <w:tcPr>
            <w:tcW w:w="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Total Portfolio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2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Fair Value at December 31,</w:t>
            </w:r>
          </w:p>
        </w:tc>
        <w:tc>
          <w:tcPr>
            <w:tcW w:w="2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238,343,330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54,174,350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40,198,000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337,772,035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2017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Purchases / originations /draws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181,613,690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11,211,368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36,738,873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229,745,931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(300,625,104)</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(25,598,497)</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(2,750,000)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(11,824,015)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(340,797,616)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of interest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304,904</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11,139,633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11,444,537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Net realized losses</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(5,634,255)</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(1,264,789)</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(6,899,044)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Increase (decrease) in fair value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4,194,914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2,016,608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(823,671)</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1,401,000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(3,398,858)</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Fair Value at December 31,</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118,197,479</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51,678,673</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38,849,000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21,516,000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234,655,836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2018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Purchases / originations /draws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52,140,700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52,140,700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(3,912,399)</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(12,795,590)</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(17,207,989)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of interest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129,761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Net realized gains (losses)</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3,101</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Increase (decrease) in fair value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(442,884)</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128,536</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63,596</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314,000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251,376</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March 31, 2018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166,115,758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40,768,620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4,478,280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38,663,000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21,767,376</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271,793,034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March 31, 2018 and December 31,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2"/>
              </w:rPr>
              <w:t>March 31, 2018 (unaudited)</w:t>
            </w: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2017</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48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6"/>
              </w:rPr>
              <w:t>Cost/Amortized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6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5"/>
              </w:rPr>
              <w:t>Fair Value</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%¹</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investments²</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9,905,719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9,905,719</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77,300,320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77,300,320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56,195,353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52,989,838</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48,337,900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44,960,146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80,066,631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75,858,237</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62,561,913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58,941,300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Unsecured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35,777,283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35,777,283</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12,777,283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12,777,283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1,501,366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1,490,400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1,502,374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1,518,750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61,300,443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40,768,620</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72,339,032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51,678,673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10,571,007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4,478,280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10,571,007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4,414,684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Asset Manager Affiliates³</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52,091,230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38,663,000</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52,591,230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38,849,000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24,914,858</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21,767,376</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24,914,858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21,516,000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332,323,890</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281,698,753</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362,895,917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311,956,156</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11" w:lineRule="exact"/>
        <w:rPr>
          <w:sz w:val="20"/>
          <w:szCs w:val="20"/>
          <w:color w:val="auto"/>
        </w:rPr>
      </w:pPr>
    </w:p>
    <w:p>
      <w:pPr>
        <w:ind w:right="460" w:firstLine="415"/>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2018 and December 31, 2017,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800"/>
              <w:spacing w:after="0"/>
              <w:rPr>
                <w:sz w:val="20"/>
                <w:szCs w:val="20"/>
                <w:color w:val="auto"/>
              </w:rPr>
            </w:pPr>
            <w:r>
              <w:rPr>
                <w:rFonts w:ascii="Arial" w:cs="Arial" w:eastAsia="Arial" w:hAnsi="Arial"/>
                <w:sz w:val="18"/>
                <w:szCs w:val="18"/>
                <w:b w:val="1"/>
                <w:bCs w:val="1"/>
                <w:color w:val="auto"/>
                <w:w w:val="97"/>
              </w:rPr>
              <w:t>March 31, 2018 (unaudited)</w:t>
            </w: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6"/>
              </w:rPr>
              <w:t>December 31, 2017</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4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Cost/Amortized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6"/>
              </w:rPr>
              <w:t>Cost/Amortized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%¹</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5,456,338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5,105,685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5,636,056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4,115,487</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640" w:type="dxa"/>
            <w:vAlign w:val="bottom"/>
          </w:tcPr>
          <w:p>
            <w:pPr>
              <w:spacing w:after="0" w:line="256" w:lineRule="exact"/>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29"/>
                <w:szCs w:val="29"/>
                <w:b w:val="1"/>
                <w:bCs w:val="1"/>
                <w:color w:val="auto"/>
                <w:vertAlign w:val="superscript"/>
              </w:rPr>
              <w:t>2</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52,091,230</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38,663,000</w:t>
            </w: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52,591,230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38,849,000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2,007,500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Banking, Finance, Insurance &amp;</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4,453,138</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4,416,070</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4,458,962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4,418,391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7,487,881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7,341,860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7,496,438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7,435,050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Capital Equipment</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9,426,158</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8,578,908</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5,454,621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4,680,821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6,974,355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6,974,768</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61,300,443</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40,768,620</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72,339,032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51,678,673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Construction &amp; Building</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1,000,861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992,446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1,004,093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999,872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Consumer goods: Durable</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1,093,572</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818,769</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1,071,340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805,607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639,105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642,071</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691,234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694,662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Energy: Oil &amp; Gas</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16,587,928</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12,209,953</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14,932,542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11,433,777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6,683,518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5,696,109</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6,330,630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5,766,437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1,560,055</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1,600,960</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1,558,556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1,600,960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38,784,872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33,947,402</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30,367,449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25,512,654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High Tech Industries</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17,247,240</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17,187,896</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18,229,229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18,260,577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Joint Venture</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24,914,858</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21,767,376</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24,914,858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21,516,000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Media: Advertising, Printing &amp;</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3,327,363</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3,308,863</w:t>
            </w: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3,371,086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3,318,296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Related Party Loans</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35,777,283</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35,777,283</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12,777,283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12,777,283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4,562,406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3,369,648</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3,563,574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2,366,400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Telecommunications</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6,454,680</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6,444,649</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6,455,489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6,466,949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Textiles and Leather</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10,186,553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10,179,298</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7,950,994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7,947,940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Money Market Accounts</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9,905,719</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9,905,719</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52,293,570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52,293,570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Cargo</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4,000,834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4,000,400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4,000,901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4,010,000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U.S. Government Obligations</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25,006,750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25,006,750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332,323,890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281,698,753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362,895,917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311,956,156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At March 31, 2018 and December 31, 2017, our investments in income producing loans and debt securities, had a weighted average interest rate of approximately 9.8 % and 10.1% , respectively.</w:t>
      </w:r>
    </w:p>
    <w:p>
      <w:pPr>
        <w:spacing w:after="0" w:line="170"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CLO Fund Securities, and Joint Venture) at March 31, 2018 was spread across 22 different industries and 50 different entities with an average balance per entity of approximately $2.8 million. As of March 31, 2018, all but one of our portfolio companies were current on their debt service obligations.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4" w:name="page65"/>
    <w:bookmarkEnd w:id="64"/>
    <w:p>
      <w:pPr>
        <w:ind w:right="80" w:firstLine="324"/>
        <w:spacing w:after="0" w:line="255" w:lineRule="auto"/>
        <w:rPr>
          <w:sz w:val="20"/>
          <w:szCs w:val="20"/>
          <w:color w:val="auto"/>
        </w:rPr>
      </w:pPr>
      <w:r>
        <w:rPr>
          <w:rFonts w:ascii="Arial" w:cs="Arial" w:eastAsia="Arial" w:hAnsi="Arial"/>
          <w:sz w:val="18"/>
          <w:szCs w:val="18"/>
          <w:color w:val="auto"/>
        </w:rPr>
        <w:t>We may invest up to 30% of our investment portfolio in “non-qualifying” opportunistic investments such as high-yield bonds, debt and equity securities of CLO Funds, foreign investments, and distressed debt or equity securities of large cap public companies. At March 31, 2018 and December 31, 2017, the total amount of non-qualifying assets was approximately 22% and 23%, respectively. The majority of non-qualifying assets were foreign investments which were approximately 15% and 16%, respectively, of the Company’s total assets (including the Company’s investments in CLO Funds, which are typically domiciled outside the U.S. and represented approximately 14% and 16% of its total assets, respectively). The investments in our Debt Securities Portfolio are all or predominantly below investment grade, and therefore have speculative characteristics with respect to the issuer’s capacity to pay interest and repay principal.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March 31, 2018 and December 31, 2017, our Asset Manager Affiliates had approximately $2.8 billion and $3.0 billion, respectively, of par value of assets under management on which they earn management fees, and were valued at approximately $38.7 million and $38.8 million, respectively.</w:t>
      </w:r>
    </w:p>
    <w:p>
      <w:pPr>
        <w:spacing w:after="0" w:line="154" w:lineRule="exact"/>
        <w:rPr>
          <w:sz w:val="20"/>
          <w:szCs w:val="20"/>
          <w:color w:val="auto"/>
        </w:rPr>
      </w:pPr>
    </w:p>
    <w:p>
      <w:pPr>
        <w:ind w:right="180" w:firstLine="41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As of March 31, 2018 and December 31, 2017, none of the CLO Funds managed by the Asset Manager Affiliates were paying incentive fees.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March 31, 2018 and December 31, 2017, we had approximately $41 million and $52 million, respectively, invested in CLO Fund Securities, issued primarily by funds managed by our Asset Manager Affiliates.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34" w:lineRule="exact"/>
        <w:rPr>
          <w:sz w:val="20"/>
          <w:szCs w:val="20"/>
          <w:color w:val="auto"/>
        </w:rPr>
      </w:pPr>
    </w:p>
    <w:p>
      <w:pPr>
        <w:ind w:right="20" w:firstLine="414"/>
        <w:spacing w:after="0" w:line="286" w:lineRule="auto"/>
        <w:rPr>
          <w:sz w:val="20"/>
          <w:szCs w:val="20"/>
          <w:color w:val="auto"/>
        </w:rPr>
      </w:pPr>
      <w:r>
        <w:rPr>
          <w:rFonts w:ascii="Arial" w:cs="Arial" w:eastAsia="Arial" w:hAnsi="Arial"/>
          <w:sz w:val="16"/>
          <w:szCs w:val="16"/>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For a more detailed discussion of the risks related to our investments in CLO Funds, please see “Risk Factors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Risks Related to Our Investments — Our investments may be risky, and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left="420"/>
        <w:spacing w:after="0"/>
        <w:rPr>
          <w:sz w:val="20"/>
          <w:szCs w:val="20"/>
          <w:color w:val="auto"/>
        </w:rPr>
      </w:pPr>
      <w:r>
        <w:rPr>
          <w:rFonts w:ascii="Arial" w:cs="Arial" w:eastAsia="Arial" w:hAnsi="Arial"/>
          <w:sz w:val="18"/>
          <w:szCs w:val="18"/>
          <w:color w:val="auto"/>
        </w:rPr>
        <w:t>Our CLO Fund Securities as of March 31, 2018 and December 31, 2017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December 31, 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Amortized Cost</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Amortized Cost</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2,485,886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2,485,886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Income Notes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1,287,155</w:t>
            </w: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369,280</w:t>
            </w:r>
          </w:p>
        </w:tc>
        <w:tc>
          <w:tcPr>
            <w:tcW w:w="3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1,287,155</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369,280</w:t>
            </w: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2,3</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10,309,141</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20,524,908</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10,770,486</w:t>
            </w: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379,830</w:t>
            </w: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9,999</w:t>
            </w:r>
          </w:p>
        </w:tc>
        <w:tc>
          <w:tcPr>
            <w:tcW w:w="3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379,830</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89"/>
              </w:rPr>
              <w:t>Catamaran CLO 2012-1 Ltd.</w:t>
            </w:r>
            <w:r>
              <w:rPr>
                <w:rFonts w:ascii="Arial" w:cs="Arial" w:eastAsia="Arial" w:hAnsi="Arial"/>
                <w:sz w:val="29"/>
                <w:szCs w:val="29"/>
                <w:color w:val="auto"/>
                <w:w w:val="89"/>
                <w:vertAlign w:val="superscript"/>
              </w:rPr>
              <w:t>2,3</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4,707,631</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1,273,674</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5,847,802</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2,320,783</w:t>
            </w: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w w:val="93"/>
              </w:rPr>
              <w:t>Catamaran CLO 2013- 1 Ltd.</w:t>
            </w:r>
            <w:r>
              <w:rPr>
                <w:rFonts w:ascii="Arial" w:cs="Arial" w:eastAsia="Arial" w:hAnsi="Arial"/>
                <w:sz w:val="29"/>
                <w:szCs w:val="29"/>
                <w:color w:val="auto"/>
                <w:w w:val="93"/>
                <w:vertAlign w:val="superscript"/>
              </w:rPr>
              <w:t>2</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5,408,941</w:t>
            </w: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6,531,546</w:t>
            </w:r>
          </w:p>
        </w:tc>
        <w:tc>
          <w:tcPr>
            <w:tcW w:w="3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5,017,307</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6,923,699</w:t>
            </w: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5"/>
              </w:rPr>
              <w:t>Catamaran CLO 2014-1 Ltd.</w:t>
            </w:r>
            <w:r>
              <w:rPr>
                <w:rFonts w:ascii="Arial" w:cs="Arial" w:eastAsia="Arial" w:hAnsi="Arial"/>
                <w:sz w:val="29"/>
                <w:szCs w:val="29"/>
                <w:color w:val="auto"/>
                <w:w w:val="95"/>
                <w:vertAlign w:val="superscript"/>
              </w:rPr>
              <w:t>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9,894,371</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9,603,228</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9,858,073</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8,230,178</w:t>
            </w:r>
          </w:p>
        </w:tc>
        <w:tc>
          <w:tcPr>
            <w:tcW w:w="0" w:type="dxa"/>
            <w:vAlign w:val="bottom"/>
          </w:tcPr>
          <w:p>
            <w:pPr>
              <w:spacing w:after="0"/>
              <w:rPr>
                <w:sz w:val="1"/>
                <w:szCs w:val="1"/>
                <w:color w:val="auto"/>
              </w:rPr>
            </w:pPr>
          </w:p>
        </w:tc>
      </w:tr>
      <w:tr>
        <w:trPr>
          <w:trHeight w:val="205"/>
        </w:trPr>
        <w:tc>
          <w:tcPr>
            <w:tcW w:w="2300" w:type="dxa"/>
            <w:vAlign w:val="bottom"/>
          </w:tcPr>
          <w:p>
            <w:pPr>
              <w:spacing w:after="0" w:line="206" w:lineRule="exact"/>
              <w:rPr>
                <w:sz w:val="20"/>
                <w:szCs w:val="20"/>
                <w:color w:val="auto"/>
              </w:rPr>
            </w:pPr>
            <w:r>
              <w:rPr>
                <w:rFonts w:ascii="Arial" w:cs="Arial" w:eastAsia="Arial" w:hAnsi="Arial"/>
                <w:sz w:val="18"/>
                <w:szCs w:val="18"/>
                <w:color w:val="auto"/>
              </w:rPr>
              <w:t>KCAP F3C Senior Funding</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300" w:type="dxa"/>
            <w:vAlign w:val="bottom"/>
          </w:tcPr>
          <w:p>
            <w:pPr>
              <w:spacing w:after="0" w:line="266" w:lineRule="exact"/>
              <w:rPr>
                <w:sz w:val="20"/>
                <w:szCs w:val="20"/>
                <w:color w:val="auto"/>
              </w:rPr>
            </w:pPr>
            <w:r>
              <w:rPr>
                <w:rFonts w:ascii="Arial" w:cs="Arial" w:eastAsia="Arial" w:hAnsi="Arial"/>
                <w:sz w:val="18"/>
                <w:szCs w:val="18"/>
                <w:color w:val="auto"/>
              </w:rPr>
              <w:t>LLC</w:t>
            </w:r>
            <w:r>
              <w:rPr>
                <w:rFonts w:ascii="Arial" w:cs="Arial" w:eastAsia="Arial" w:hAnsi="Arial"/>
                <w:sz w:val="30"/>
                <w:szCs w:val="30"/>
                <w:color w:val="auto"/>
                <w:vertAlign w:val="superscript"/>
              </w:rPr>
              <w:t>2</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Class E Notes</w:t>
            </w: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4,378,060</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4,687,180</w:t>
            </w:r>
          </w:p>
        </w:tc>
        <w:tc>
          <w:tcPr>
            <w:tcW w:w="3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4,435,965</w:t>
            </w:r>
          </w:p>
        </w:tc>
        <w:tc>
          <w:tcPr>
            <w:tcW w:w="18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4,632,000</w:t>
            </w: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4"/>
              </w:rPr>
              <w:t>Dryden 30 Senior Loan Fund</w:t>
            </w:r>
            <w:r>
              <w:rPr>
                <w:rFonts w:ascii="Arial" w:cs="Arial" w:eastAsia="Arial" w:hAnsi="Arial"/>
                <w:sz w:val="29"/>
                <w:szCs w:val="29"/>
                <w:color w:val="auto"/>
                <w:w w:val="94"/>
                <w:vertAlign w:val="superscript"/>
              </w:rPr>
              <w:t>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1,372,988</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2,188,491</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1,353,852</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1,820,000</w:t>
            </w: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w w:val="95"/>
              </w:rPr>
              <w:t>Catamaran CLO 2014-2 Ltd.</w:t>
            </w:r>
            <w:r>
              <w:rPr>
                <w:rFonts w:ascii="Arial" w:cs="Arial" w:eastAsia="Arial" w:hAnsi="Arial"/>
                <w:sz w:val="29"/>
                <w:szCs w:val="29"/>
                <w:color w:val="auto"/>
                <w:w w:val="95"/>
                <w:vertAlign w:val="superscript"/>
              </w:rPr>
              <w:t>2</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6,580,474</w:t>
            </w: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4,130,745</w:t>
            </w:r>
          </w:p>
        </w:tc>
        <w:tc>
          <w:tcPr>
            <w:tcW w:w="3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6,642,805</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4,500,962</w:t>
            </w: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5"/>
              </w:rPr>
              <w:t>Catamaran CLO 2015-1 Ltd.</w:t>
            </w:r>
            <w:r>
              <w:rPr>
                <w:rFonts w:ascii="Arial" w:cs="Arial" w:eastAsia="Arial" w:hAnsi="Arial"/>
                <w:sz w:val="29"/>
                <w:szCs w:val="29"/>
                <w:color w:val="auto"/>
                <w:w w:val="95"/>
                <w:vertAlign w:val="superscript"/>
              </w:rPr>
              <w:t>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4,499,935</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3,565,406</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4,418,647</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3,569,600</w:t>
            </w:r>
          </w:p>
        </w:tc>
        <w:tc>
          <w:tcPr>
            <w:tcW w:w="0" w:type="dxa"/>
            <w:vAlign w:val="bottom"/>
          </w:tcPr>
          <w:p>
            <w:pPr>
              <w:spacing w:after="0"/>
              <w:rPr>
                <w:sz w:val="1"/>
                <w:szCs w:val="1"/>
                <w:color w:val="auto"/>
              </w:rPr>
            </w:pPr>
          </w:p>
        </w:tc>
      </w:tr>
      <w:tr>
        <w:trPr>
          <w:trHeight w:val="270"/>
        </w:trPr>
        <w:tc>
          <w:tcPr>
            <w:tcW w:w="2300" w:type="dxa"/>
            <w:vAlign w:val="bottom"/>
          </w:tcPr>
          <w:p>
            <w:pPr>
              <w:spacing w:after="0" w:line="269" w:lineRule="exact"/>
              <w:rPr>
                <w:sz w:val="20"/>
                <w:szCs w:val="20"/>
                <w:color w:val="auto"/>
              </w:rPr>
            </w:pPr>
            <w:r>
              <w:rPr>
                <w:rFonts w:ascii="Arial" w:cs="Arial" w:eastAsia="Arial" w:hAnsi="Arial"/>
                <w:sz w:val="18"/>
                <w:szCs w:val="18"/>
                <w:color w:val="auto"/>
                <w:w w:val="95"/>
              </w:rPr>
              <w:t>Catamaran CLO 2016-1 Ltd.</w:t>
            </w:r>
            <w:r>
              <w:rPr>
                <w:rFonts w:ascii="Arial" w:cs="Arial" w:eastAsia="Arial" w:hAnsi="Arial"/>
                <w:sz w:val="30"/>
                <w:szCs w:val="30"/>
                <w:color w:val="auto"/>
                <w:w w:val="95"/>
                <w:vertAlign w:val="superscript"/>
              </w:rPr>
              <w:t>2</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9,996,031</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8,108,071</w:t>
            </w:r>
          </w:p>
        </w:tc>
        <w:tc>
          <w:tcPr>
            <w:tcW w:w="3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10,086,802</w:t>
            </w:r>
          </w:p>
        </w:tc>
        <w:tc>
          <w:tcPr>
            <w:tcW w:w="18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8,530,685</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61,300,443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40,768,620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72,339,032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¹ Represents percentage of class held.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² A CLO Fund managed by an Asset Manager Affiliate.</w:t>
      </w:r>
    </w:p>
    <w:p>
      <w:pPr>
        <w:spacing w:after="0" w:line="9" w:lineRule="exact"/>
        <w:rPr>
          <w:sz w:val="20"/>
          <w:szCs w:val="20"/>
          <w:color w:val="auto"/>
        </w:rPr>
      </w:pPr>
    </w:p>
    <w:p>
      <w:pPr>
        <w:ind w:left="100" w:hanging="92"/>
        <w:spacing w:after="0"/>
        <w:tabs>
          <w:tab w:leader="none" w:pos="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of March 31, 2018 and December 31, 2017, this CLO Fund security was not providing a taxable distribution.</w:t>
      </w:r>
    </w:p>
    <w:p>
      <w:pPr>
        <w:spacing w:after="0" w:line="20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During the third quarter of 2017, the Company and Freedom 3 Opportunities entered into an agreement to create the Joint Venture. The Company and Freedom 3 Opportunities contributed approximately $37 million and $25 million, respectively, in assets to the Joint Venture, which in turn used the assets to capitalize the "Fund managed by KCAP Management, LLC, one of the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19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The Company expects that approximately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93"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340"/>
        <w:spacing w:after="0"/>
        <w:rPr>
          <w:sz w:val="20"/>
          <w:szCs w:val="20"/>
          <w:color w:val="auto"/>
        </w:rPr>
      </w:pPr>
      <w:r>
        <w:rPr>
          <w:rFonts w:ascii="Arial" w:cs="Arial" w:eastAsia="Arial" w:hAnsi="Arial"/>
          <w:sz w:val="17"/>
          <w:szCs w:val="17"/>
          <w:color w:val="auto"/>
        </w:rPr>
        <w:t>The Company has determined that the Joint Venture is an investment company under Accounting Standards Codification (“ASC”), Financial</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Financial Condition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March 31, 2018</w:t>
            </w: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Investment at fair value</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38,506,502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37,080,000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38,506,502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2,227,542</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1,221,916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30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36,278,960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35,859,801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38,506,502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900" w:type="dxa"/>
            <w:vAlign w:val="bottom"/>
            <w:gridSpan w:val="3"/>
          </w:tcPr>
          <w:p>
            <w:pPr>
              <w:ind w:left="40"/>
              <w:spacing w:after="0"/>
              <w:rPr>
                <w:sz w:val="20"/>
                <w:szCs w:val="20"/>
                <w:color w:val="auto"/>
              </w:rPr>
            </w:pPr>
            <w:r>
              <w:rPr>
                <w:rFonts w:ascii="Arial" w:cs="Arial" w:eastAsia="Arial" w:hAnsi="Arial"/>
                <w:sz w:val="18"/>
                <w:szCs w:val="18"/>
                <w:b w:val="1"/>
                <w:bCs w:val="1"/>
                <w:color w:val="auto"/>
              </w:rPr>
              <w:t>For the three months</w:t>
            </w: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For the three months</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ended March 31, 2018</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5"/>
              </w:rPr>
              <w:t>ended March 31, 2017</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1,195,818</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3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21,763</w:t>
            </w:r>
          </w:p>
        </w:tc>
        <w:tc>
          <w:tcPr>
            <w:tcW w:w="8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1,174,055</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3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503,920</w:t>
            </w:r>
          </w:p>
        </w:tc>
        <w:tc>
          <w:tcPr>
            <w:tcW w:w="8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1,677,975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80" w:type="dxa"/>
            <w:vAlign w:val="bottom"/>
            <w:vMerge w:val="restart"/>
          </w:tcPr>
          <w:p>
            <w:pPr>
              <w:jc w:val="right"/>
              <w:ind w:right="1810"/>
              <w:spacing w:after="0"/>
              <w:rPr>
                <w:sz w:val="20"/>
                <w:szCs w:val="20"/>
                <w:color w:val="auto"/>
              </w:rPr>
            </w:pPr>
            <w:r>
              <w:rPr>
                <w:rFonts w:ascii="Arial" w:cs="Arial" w:eastAsia="Arial" w:hAnsi="Arial"/>
                <w:sz w:val="18"/>
                <w:szCs w:val="18"/>
                <w:color w:val="auto"/>
              </w:rPr>
              <w:t>66</w:t>
            </w: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vMerge w:val="continue"/>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KCAP Freedom 3 LLC</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Schedule of Investments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March 31, 2018</w:t>
            </w:r>
          </w:p>
        </w:tc>
        <w:tc>
          <w:tcPr>
            <w:tcW w:w="186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KCAP F3C Senior Funding, LLC</w:t>
            </w:r>
            <w:r>
              <w:rPr>
                <w:rFonts w:ascii="Arial" w:cs="Arial" w:eastAsia="Arial" w:hAnsi="Arial"/>
                <w:sz w:val="30"/>
                <w:szCs w:val="30"/>
                <w:color w:val="auto"/>
                <w:w w:val="92"/>
                <w:vertAlign w:val="superscript"/>
              </w:rPr>
              <w:t>(1)(2)</w:t>
            </w:r>
          </w:p>
        </w:tc>
        <w:tc>
          <w:tcPr>
            <w:tcW w:w="12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Subordinated Securities, effective interest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vMerge w:val="continue"/>
            <w:shd w:val="clear" w:color="auto" w:fill="CCEEFF"/>
          </w:tcPr>
          <w:p>
            <w:pPr>
              <w:spacing w:after="0"/>
              <w:rPr>
                <w:sz w:val="22"/>
                <w:szCs w:val="22"/>
                <w:color w:val="auto"/>
              </w:rPr>
            </w:pPr>
          </w:p>
        </w:tc>
        <w:tc>
          <w:tcPr>
            <w:tcW w:w="3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11.4%, 12/29 maturity</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43,065,835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38,506,502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43,065,835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38,506,502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right="260" w:firstLine="8"/>
        <w:spacing w:after="0" w:line="261"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Schedule of Investments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 2017</w:t>
            </w:r>
          </w:p>
        </w:tc>
        <w:tc>
          <w:tcPr>
            <w:tcW w:w="186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KCAP F3C Senior Funding, LLC</w:t>
            </w:r>
            <w:r>
              <w:rPr>
                <w:rFonts w:ascii="Arial" w:cs="Arial" w:eastAsia="Arial" w:hAnsi="Arial"/>
                <w:sz w:val="30"/>
                <w:szCs w:val="30"/>
                <w:color w:val="auto"/>
                <w:w w:val="92"/>
                <w:vertAlign w:val="superscript"/>
              </w:rPr>
              <w:t>(1)(2)</w:t>
            </w:r>
          </w:p>
        </w:tc>
        <w:tc>
          <w:tcPr>
            <w:tcW w:w="12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Subordinated Securities, effective interest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vMerge w:val="continue"/>
            <w:shd w:val="clear" w:color="auto" w:fill="CCEEFF"/>
          </w:tcPr>
          <w:p>
            <w:pPr>
              <w:spacing w:after="0"/>
              <w:rPr>
                <w:sz w:val="22"/>
                <w:szCs w:val="22"/>
                <w:color w:val="auto"/>
              </w:rPr>
            </w:pPr>
          </w:p>
        </w:tc>
        <w:tc>
          <w:tcPr>
            <w:tcW w:w="3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12.1%, 12/29 maturity</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42,143,254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42,143,254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37,080,000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a third party broker quote.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months ended March 31, 2018 and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KCAP F3C Senior Funding, LLC, interest is earned at a fixed spread relative to the LIBOR index.</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 Affiliates, which are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future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three months ended March 31, 2018, the Asset Manager Affiliates did not receive any incentive fees.</w:t>
      </w:r>
    </w:p>
    <w:p>
      <w:pPr>
        <w:spacing w:after="0" w:line="183"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Certain investments, and the future management fees of certain managed CLO Funds, have been pledged by the Asset Manager Affiliates to third-party lenders under borrowing arrangements undertaken to satisfy the risk retention requirements of the Dodd-Frank Act applicable to asset managers. In addition, certain of the Asset Manager Affiliates have provided a make-whole guaranty to these lenders in the event that the pledged assets and management fees are insufficient to satisfy the repayment of these borrowings. So long as the underlying managed CLO Funds’ rated notes are making regular quarterly distributions, the management fees are available to the Asset Manager Affiliates.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9" w:name="page70"/>
    <w:bookmarkEnd w:id="69"/>
    <w:p>
      <w:pPr>
        <w:ind w:firstLine="324"/>
        <w:spacing w:after="0" w:line="285" w:lineRule="auto"/>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 which generally will be dependent upon the maintenance and growth in their assets under management and related management fees. As a result of tax-basis goodwill amortization and certain other tax-related adjustments, portions of distributions received may be deemed return of capital. As amortizing funds which are paying incentive fees are redeemed, we do not expect incentive fees available for distribution to be significant. The fair value of our investment in our Asset Manager Affiliates was approximately $38.7 million at March 31, 2018, with an unrealized appreciation for the period ending March 31, 2018 of approximately $314,000. For the three months ended March 31, 2018 and 2017, we recognized dividend income of 320,000 and $0 from the Asset Manager Affiliates, respectively, while cash distributions received were approximately $820,000 and $650,000 for the three months ended March 31, 2018 and 2017, respectively.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$2.8 billion and $3.0 billion as of March 31, 2018 and December 31, 2017, respectively.</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Investment in Joint Venture. </w:t>
      </w:r>
      <w:r>
        <w:rPr>
          <w:rFonts w:ascii="Arial" w:cs="Arial" w:eastAsia="Arial" w:hAnsi="Arial"/>
          <w:sz w:val="17"/>
          <w:szCs w:val="17"/>
          <w:color w:val="auto"/>
        </w:rPr>
        <w:t>For the three months ended March 31, 2018, the Company recognized $700,000 in investment income from its investment in</w:t>
      </w:r>
      <w:r>
        <w:rPr>
          <w:rFonts w:ascii="Arial" w:cs="Arial" w:eastAsia="Arial" w:hAnsi="Arial"/>
          <w:sz w:val="17"/>
          <w:szCs w:val="17"/>
          <w:i w:val="1"/>
          <w:iCs w:val="1"/>
          <w:color w:val="auto"/>
        </w:rPr>
        <w:t xml:space="preserve"> </w:t>
      </w:r>
      <w:r>
        <w:rPr>
          <w:rFonts w:ascii="Arial" w:cs="Arial" w:eastAsia="Arial" w:hAnsi="Arial"/>
          <w:sz w:val="17"/>
          <w:szCs w:val="17"/>
          <w:color w:val="auto"/>
        </w:rPr>
        <w:t>the Joint Venture. As of March 31, 2018 and December 31, 2017, the fair value of the Company’s investment in the Joint Venture was $21.8 and $21.5 million. For interim periods, the Company recognizes investment income on its investment in the Joint Venture based upon its share of the estimated tax-basis earnings and profits of the Joint Venture. Any distributions in excess of tax-basis earnings and profits are recognized as a return of capital (adjustment to the Company’s cost basis in the investment). The final determination of the tax attributes of distributions from the Joint Venture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7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Investment income for the three months ended March 31, 2018 and 2017 was approximately $6.8 million and $7.8 million, respectively. Of these amounts, approximately $3.8 million and $4.6 million was attributable to interest income on our Debt Securities Portfolio.</w:t>
      </w:r>
    </w:p>
    <w:p>
      <w:pPr>
        <w:spacing w:after="0" w:line="14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weighted average interest rate on our income producing Debt Securities Portfolio was 9.8% as of March 31, 2018 and 10.1% as of December 31, 2017.</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ind w:firstLine="324"/>
        <w:spacing w:after="0" w:line="290" w:lineRule="auto"/>
        <w:rPr>
          <w:sz w:val="20"/>
          <w:szCs w:val="20"/>
          <w:color w:val="auto"/>
        </w:rPr>
      </w:pPr>
      <w:r>
        <w:rPr>
          <w:rFonts w:ascii="Arial" w:cs="Arial" w:eastAsia="Arial" w:hAnsi="Arial"/>
          <w:sz w:val="16"/>
          <w:szCs w:val="16"/>
          <w:color w:val="auto"/>
        </w:rPr>
        <w:t>For the three months ended March 31, 2018 and 2017, approximately $1.9 million and $3.1 million, respectively, of investment income was attributable to investments in CLO Fund Securities. On a tax basis, the Company recognized $1.1 million and $2.2 million of taxable distributable income on distributions from our CLO Fund Securities during the three month periods ended March 31, 2018 and 2017,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expected term of the borrowing.</w:t>
      </w:r>
    </w:p>
    <w:p>
      <w:pPr>
        <w:spacing w:after="0" w:line="181"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Total expenses for the three months ended March 31, 2018 and 2017 were approximately $4.4 million and $4.6 million, respectively. Interest expense and amortization on debt issuance costs for the period was approximately $1.9 million and $2.2 million, respectively, on average debt outstanding of $107million and $181 million, respectively.</w:t>
      </w:r>
    </w:p>
    <w:p>
      <w:pPr>
        <w:spacing w:after="0" w:line="1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the three months ended March 31, 2018 and 2017, approximately $1.2 million and $1.2 million of expenses were attributable to employee compensation, including salaries, bonuses, employee benefits, payroll taxes and stock-based compensation expense, respectively. For the three months ended March 31, 2018 and 2017, respectively, professional fees and insurance expenses totaled approximately $792,000 and $644,000. Administrative costs, which include occupancy expense, technology and other office expenses, totaled approximately $502,000 and $505,000 for the three months ended March 31,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Net investment income and net realized gains (losses) represents the stockholder’s equity before net unrealized appreciation or depreciation on investments. For the three months ended March 31, 2018, net investment income and net realized gains were approximately $2.5 million, or $0.07 per share. For the three months ended March 31, 2017, net investment income and net realized losses were approximately $3.3 million gain, or $0.09 per share. Net investment income represents the income earned on our investments less operating and interest expense before net realized gains or losses and unrealized appreciation or depreciation on investments. 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example, 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 For the three months ended March 31, 2018, U.S. GAAP-basis net investment income was approximately $2.5 million or $0.07 per share, while tax-basis distributable income was approximately $2.1 million or $0.06 per share. For the three months ended March 31, 2017, U.S. GAAP-basis net investment income was approximately $3.2 million or $0.09 per basic share, while tax-basis distributable income was approximately $2.4 million or $0.06 per share.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During the three months ended March 31, 2018, our total investments had net unrealized appreciation of approximately $315,000. Included in the net unrealized gain in 2018 are unrealized appreciation on CLO Fund Securities of approximately $129,000, net unrealized appreciation on equity securities of approximately $64,000, and net unrealized appreciation of the Asset Manager Affiliates of $314,000, offset by unrealized depreciation on our debt securities of approximately $443,000. During the three months ended March 31, 2017, our total investments had net unrealized depreciation of approximately $2.9 million. Included in the net unrealized depreciation in 2017 are unrealized depreciation on CLO Fund Securities of approximately $1.3 million unrealized depreciation and on equity securities of approximately $154,000, as well as unrealized depreciation of the Asset Manager Affiliates of $2.6 million, and unrealized appreciation on our debt securities of $1.2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increase in stockholders’ equity resulting from operations for the three months ended March 31, 2018 was $2.6 million, or $0.07 per basic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stockholders’ equity resulting from operations for the three months ended March 31, 2017 was $386,000, or $0.01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60" w:firstLine="41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ind w:left="420"/>
              <w:spacing w:after="0"/>
              <w:rPr>
                <w:sz w:val="20"/>
                <w:szCs w:val="20"/>
                <w:color w:val="auto"/>
              </w:rPr>
            </w:pPr>
            <w:r>
              <w:rPr>
                <w:rFonts w:ascii="Arial" w:cs="Arial" w:eastAsia="Arial" w:hAnsi="Arial"/>
                <w:sz w:val="18"/>
                <w:szCs w:val="18"/>
                <w:color w:val="auto"/>
                <w:w w:val="97"/>
              </w:rPr>
              <w:t>As of March 31, 2018 and December 31, 2017 the fair value of investments and cash were as follows: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7"/>
          </w:tcPr>
          <w:p>
            <w:pPr>
              <w:ind w:left="260"/>
              <w:spacing w:after="0"/>
              <w:rPr>
                <w:sz w:val="20"/>
                <w:szCs w:val="20"/>
                <w:color w:val="auto"/>
              </w:rPr>
            </w:pPr>
            <w:r>
              <w:rPr>
                <w:rFonts w:ascii="Arial" w:cs="Arial" w:eastAsia="Arial" w:hAnsi="Arial"/>
                <w:sz w:val="18"/>
                <w:szCs w:val="18"/>
                <w:b w:val="1"/>
                <w:bCs w:val="1"/>
                <w:color w:val="auto"/>
              </w:rPr>
              <w:t>Investments at Fair Value</w:t>
            </w: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00" w:type="dxa"/>
            <w:vAlign w:val="bottom"/>
          </w:tcPr>
          <w:p>
            <w:pPr>
              <w:spacing w:after="0"/>
              <w:rPr>
                <w:sz w:val="19"/>
                <w:szCs w:val="19"/>
                <w:color w:val="auto"/>
              </w:rPr>
            </w:pPr>
          </w:p>
        </w:tc>
        <w:tc>
          <w:tcPr>
            <w:tcW w:w="14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March 31, 2018</w:t>
            </w:r>
          </w:p>
        </w:tc>
        <w:tc>
          <w:tcPr>
            <w:tcW w:w="14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December 31, 2017</w:t>
            </w:r>
          </w:p>
        </w:tc>
        <w:tc>
          <w:tcPr>
            <w:tcW w:w="100" w:type="dxa"/>
            <w:vAlign w:val="bottom"/>
            <w:gridSpan w:val="2"/>
          </w:tcPr>
          <w:p>
            <w:pPr>
              <w:spacing w:after="0"/>
              <w:rPr>
                <w:sz w:val="19"/>
                <w:szCs w:val="19"/>
                <w:color w:val="auto"/>
              </w:rPr>
            </w:pPr>
          </w:p>
        </w:tc>
      </w:tr>
      <w:tr>
        <w:trPr>
          <w:trHeight w:val="210"/>
        </w:trPr>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1,933,851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2,034,095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3,146,354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9,905,719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77,300,320</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Senior Secured Loan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52,989,838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44,960,146</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75,858,237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58,941,300</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Senior Unsecured Loan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35,777,283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12,777,283</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1,490,400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1,518,750</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CLO Fund Securities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40,768,620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51,678,673</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4,478,280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4,414,684</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Joint Venture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21,767,376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21,516,000</w:t>
            </w:r>
          </w:p>
        </w:tc>
        <w:tc>
          <w:tcPr>
            <w:tcW w:w="80" w:type="dxa"/>
            <w:vAlign w:val="bottom"/>
          </w:tcPr>
          <w:p>
            <w:pPr>
              <w:spacing w:after="0"/>
              <w:rPr>
                <w:sz w:val="18"/>
                <w:szCs w:val="18"/>
                <w:color w:val="auto"/>
              </w:rPr>
            </w:pPr>
          </w:p>
        </w:tc>
      </w:tr>
      <w:tr>
        <w:trPr>
          <w:trHeight w:val="23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38,663,000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38,849,000</w:t>
            </w:r>
          </w:p>
        </w:tc>
        <w:tc>
          <w:tcPr>
            <w:tcW w:w="80" w:type="dxa"/>
            <w:vAlign w:val="bottom"/>
            <w:shd w:val="clear" w:color="auto" w:fill="CCEEFF"/>
          </w:tcPr>
          <w:p>
            <w:pPr>
              <w:spacing w:after="0"/>
              <w:rPr>
                <w:sz w:val="19"/>
                <w:szCs w:val="19"/>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286,778,958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313,990,251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1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March 31, 2018, we had approximately $104 million of par value of outstanding borrowings and our asset coverage ratio of total assets to total borrowings was 270%, compliant with the minimum asset coverage level of 200% generally required for a BDC by the 1940 Act. We may also borrow amounts of up to 5% of the value of our total assets for temporary purposes.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ind w:firstLine="414"/>
        <w:spacing w:after="0" w:line="276" w:lineRule="auto"/>
        <w:rPr>
          <w:sz w:val="20"/>
          <w:szCs w:val="20"/>
          <w:color w:val="auto"/>
        </w:rPr>
      </w:pPr>
      <w:r>
        <w:rPr>
          <w:rFonts w:ascii="Arial" w:cs="Arial" w:eastAsia="Arial" w:hAnsi="Arial"/>
          <w:sz w:val="17"/>
          <w:szCs w:val="17"/>
          <w:color w:val="auto"/>
        </w:rPr>
        <w:t>The recently enacted Small Business Credit Availability Act (the “SBCA”) has modified the 1940 Act by allowing a BDC to increase the maximum amount of leverage it may incur from an asset coverage ratio of 200% to an asset coverage ratio of 150%, if certain requirements are met. On March 29, 2018, the Company’s Board of Directors, including a “required majority” (as such term is defined in Section 57(o) of the 1940 Act) of its Board of Directors, approved the modified asset coverage requirements set forth in Section 61(a)(2) of the 1940 Act, as amended by the SBCA. As a result, the Company’s asset coverage requirements for senior securities will be changed from 200% to 150%, effective as of March 29, 2019.</w:t>
      </w:r>
    </w:p>
    <w:p>
      <w:pPr>
        <w:spacing w:after="0" w:line="173"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asset coverage test currently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As a result, despite the SBCA, the Company will continue to be prohibited by the indenture governing the 7.375% Notes Due 2019 from making distributions on its common stock if its asset coverage, as defined in the 1940 Act, falls below 200%. March 31, 2018, the Company was in compliance with all of its debt covenants. The indenture governing the 7.375% Notes Due 2019 contains certain restrictive covenants, including compliance with certain provisions of the 1940 Act relating to borrowing and dividends. During the second quarter of 2016, the Company repurchased approximately $2.4 million par value of the 7.375% notes due</w:t>
      </w:r>
    </w:p>
    <w:p>
      <w:pPr>
        <w:spacing w:after="0" w:line="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2019 at a weighted average price of $25.23 per $25.00 note, resulting in a realized loss on extinguishment of $71,190. KCAP subsequently surrendered these notes to the Trustee for cancellation. During the third quarter of 2016, $5.0 million par value of the 7.375% notes due 2019 was redeemed by the Company, resulting in a realized loss on extinguishment of $88,015. During the fourth quarter of 2016, $469,000 par value of the 7.375% notes due 2019 was redeemed by the Company, resulting in a realized loss on extinguishment of $15,000. During the second quarter of 2017, the Company redeemed $6.5 million par value of the 7.375% Notes Due 2019 resulting in a realized loss on extinguishment of debt of $107,276. KCAP subsequently surrendered all of these Notes to the Trustee for cancellation. 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16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During the third quarter of 2017, the company issued $77.4 million aggregate principal amount of 6.125% Notes due 2022 (the “6.125% Notes Due 2022”). The net proceeds for the 6.125% Notes Due 2022, after the payment of underwriting expenses, were approximately $74.6 million. Interest on the</w:t>
      </w:r>
    </w:p>
    <w:p>
      <w:pPr>
        <w:ind w:right="180"/>
        <w:spacing w:after="0" w:line="281" w:lineRule="auto"/>
        <w:rPr>
          <w:sz w:val="20"/>
          <w:szCs w:val="20"/>
          <w:color w:val="auto"/>
        </w:rPr>
      </w:pPr>
      <w:r>
        <w:rPr>
          <w:rFonts w:ascii="Arial" w:cs="Arial" w:eastAsia="Arial" w:hAnsi="Arial"/>
          <w:sz w:val="16"/>
          <w:szCs w:val="16"/>
          <w:color w:val="auto"/>
        </w:rPr>
        <w:t>6.125% Notes Due 2022 is paid quarterly in arrears on March 30, June 30, September 30 and December 30, at a rate of 6.125% commencing September 30, 2017. The 6.125% Notes Due 2022 mature on September 30, 2022, and are senior unsecured obligations of the Company. In addition, due to the asset coverage requirement currently applicable to the Company as a BDC and a covenant that the Company agreed to in connection with the issuance of the</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6.125% Notes Due 2022, the Company is limited in its ability to make distributions if its asset coverage, as defined in the 1940 Act, is below 200% at the time of the declaration of the distribution. As a result, despite the SBCA, the Company will continue to be prohibited by the indenture governing the 6.125% Notes Due 2022 from making distributions on its common stock if its asset coverage, as defined in the 1940 Act, falls below 200%. At December 31, 2017, the Company was in compliance with all of its debt covenants. The indenture governing the 6.125% Notes Due 2022 contains certain restrictive covenants, including compliance with certain provisions of the 1940 Act relating to borrowing and dividends.</w:t>
      </w:r>
    </w:p>
    <w:p>
      <w:pPr>
        <w:spacing w:after="0" w:line="17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March 1, 2018, KCAP Funding I, LLC (“Funding”), a wholly 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 The maximum commitment amount of the Revolving Credit Facility is $50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 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ind w:right="40" w:firstLine="648"/>
        <w:spacing w:after="0" w:line="270" w:lineRule="auto"/>
        <w:rPr>
          <w:sz w:val="20"/>
          <w:szCs w:val="20"/>
          <w:color w:val="auto"/>
        </w:rPr>
      </w:pPr>
      <w:r>
        <w:rPr>
          <w:rFonts w:ascii="Arial" w:cs="Arial" w:eastAsia="Arial" w:hAnsi="Arial"/>
          <w:sz w:val="17"/>
          <w:szCs w:val="17"/>
          <w:color w:val="auto"/>
        </w:rPr>
        <w:t>The maturity date is the earliest of: (a) March 1, 2022 and (b) the date upon which all loans shall become due and payable in full, whether by acceleration or otherwise. 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March 31, 2018, Funding was in compliance with all of its debt covenants. During the first quarter of 2018, Funding borrowed $20 million under the Revolving Credit Facility. As of March 31, 2018, $19.8 million principal amount of borrowings was outstanding under the Revolving Credit Facility. Interest on borrowings under the Revolving Credit Facility is paid monthly. Borrowings under the Revolving Credit Facility are subject to redemption in whole or in part at any time or from time to time, at the option of the Funding. Concurrently with any termination of the Revolving Credit Facility before March 1, 2019 Funding will pay to agent an amount equal to 1% of the Revolver Commitments.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120" w:firstLine="484"/>
        <w:spacing w:after="0" w:line="273" w:lineRule="auto"/>
        <w:rPr>
          <w:sz w:val="20"/>
          <w:szCs w:val="20"/>
          <w:color w:val="auto"/>
        </w:rPr>
      </w:pPr>
      <w:r>
        <w:rPr>
          <w:rFonts w:ascii="Arial" w:cs="Arial" w:eastAsia="Arial" w:hAnsi="Arial"/>
          <w:sz w:val="17"/>
          <w:szCs w:val="17"/>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a new fund (the “Fund”) managed by KCAP Management, LLC, one of the Company’s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178" w:lineRule="exact"/>
        <w:rPr>
          <w:sz w:val="20"/>
          <w:szCs w:val="20"/>
          <w:color w:val="auto"/>
        </w:rPr>
      </w:pPr>
    </w:p>
    <w:p>
      <w:pPr>
        <w:jc w:val="both"/>
        <w:ind w:right="100" w:firstLine="484"/>
        <w:spacing w:after="0" w:line="264"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KCAP received a cash distribution of $12.6 million, $11.8 million of which was a return of capital.</w:t>
      </w:r>
    </w:p>
    <w:p>
      <w:pPr>
        <w:spacing w:after="0" w:line="181"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On July 20, 2017 $147.4 million par value of notes issued by KCAP Senior Funding were repaid in full, resulting in a realized loss on extinguishment of debt of $4.1 million.</w:t>
      </w:r>
    </w:p>
    <w:p>
      <w:pPr>
        <w:spacing w:after="0" w:line="170" w:lineRule="exact"/>
        <w:rPr>
          <w:sz w:val="20"/>
          <w:szCs w:val="20"/>
          <w:color w:val="auto"/>
        </w:rPr>
      </w:pPr>
    </w:p>
    <w:p>
      <w:pPr>
        <w:ind w:right="60" w:firstLine="414"/>
        <w:spacing w:after="0" w:line="254"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“Business — Regulation — Common Stock”.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70"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98.2% of our capital gains, if any, in excess of capital losses for the one-year period ending on October 31 of the calendar year; and</w:t>
      </w:r>
    </w:p>
    <w:p>
      <w:pPr>
        <w:spacing w:after="0" w:line="236"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70" w:lineRule="exact"/>
        <w:rPr>
          <w:sz w:val="20"/>
          <w:szCs w:val="20"/>
          <w:color w:val="auto"/>
        </w:rPr>
      </w:pPr>
    </w:p>
    <w:p>
      <w:pPr>
        <w:ind w:right="20" w:firstLine="41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70" w:lineRule="exact"/>
        <w:rPr>
          <w:sz w:val="20"/>
          <w:szCs w:val="20"/>
          <w:color w:val="auto"/>
        </w:rPr>
      </w:pPr>
    </w:p>
    <w:p>
      <w:pPr>
        <w:ind w:right="80" w:firstLine="41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our net investment income, distributable taxable income and the after-tax free cash flow from our Asset Manager Affiliates.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firstLine="414"/>
        <w:spacing w:after="0" w:line="291" w:lineRule="auto"/>
        <w:rPr>
          <w:sz w:val="20"/>
          <w:szCs w:val="20"/>
          <w:color w:val="auto"/>
        </w:rPr>
      </w:pPr>
      <w:r>
        <w:rPr>
          <w:rFonts w:ascii="Arial" w:cs="Arial" w:eastAsia="Arial" w:hAnsi="Arial"/>
          <w:sz w:val="16"/>
          <w:szCs w:val="16"/>
          <w:color w:val="auto"/>
        </w:rPr>
        <w:t>The recently enacted Small Business Credit Availability Act (the “SBCA”) has modified the 1940 Act by allowing a BDC to increase the maximum amount of leverage it may incur from an asset coverage ratio of 200% to an asset coverage ratio of 150%, if certain requirements are met. On March 29, 2018, our Board of Directors, including a “required majority” (as such term is defined in Section 57(o) of the 1940 Act) of our Board of Directors, approved the modified asset coverage requirements set forth in Section 61(a)(2) of the 1940 Act, as amended by the SBCA. As a result, our asset coverage requirements for senior securities will be changed from 200% to 150%, effective as of March 29, 2019. However, despite the SBCA, we will continue to be prohibited by the indentures governing our 7.375% Notes and 6.125% Notes from making distributions on our common stock if our asset coverage, as defined in the 1940 Act, falls below 200%. In any such event, we would be prohibited from making distributions required in order to maintain our status as a RIC.</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quarterly distributions declared by us since 2016.</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40" w:type="dxa"/>
            <w:vAlign w:val="bottom"/>
          </w:tcPr>
          <w:p>
            <w:pPr>
              <w:jc w:val="right"/>
              <w:ind w:right="351"/>
              <w:spacing w:after="0"/>
              <w:rPr>
                <w:sz w:val="20"/>
                <w:szCs w:val="20"/>
                <w:color w:val="auto"/>
              </w:rPr>
            </w:pPr>
            <w:r>
              <w:rPr>
                <w:rFonts w:ascii="Arial" w:cs="Arial" w:eastAsia="Arial" w:hAnsi="Arial"/>
                <w:sz w:val="18"/>
                <w:szCs w:val="18"/>
                <w:b w:val="1"/>
                <w:bCs w:val="1"/>
                <w:color w:val="auto"/>
              </w:rPr>
              <w:t>Record</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Distribution</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40" w:type="dxa"/>
            <w:vAlign w:val="bottom"/>
          </w:tcPr>
          <w:p>
            <w:pPr>
              <w:jc w:val="right"/>
              <w:ind w:right="451"/>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9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2140" w:type="dxa"/>
            <w:vAlign w:val="bottom"/>
            <w:gridSpan w:val="2"/>
          </w:tcPr>
          <w:p>
            <w:pPr>
              <w:jc w:val="right"/>
              <w:ind w:right="108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0.10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3/20/2018</w:t>
            </w:r>
          </w:p>
        </w:tc>
        <w:tc>
          <w:tcPr>
            <w:tcW w:w="1440" w:type="dxa"/>
            <w:vAlign w:val="bottom"/>
          </w:tcPr>
          <w:p>
            <w:pPr>
              <w:jc w:val="right"/>
              <w:spacing w:after="0"/>
              <w:rPr>
                <w:sz w:val="20"/>
                <w:szCs w:val="20"/>
                <w:color w:val="auto"/>
              </w:rPr>
            </w:pPr>
            <w:r>
              <w:rPr>
                <w:rFonts w:ascii="Arial" w:cs="Arial" w:eastAsia="Arial" w:hAnsi="Arial"/>
                <w:sz w:val="18"/>
                <w:szCs w:val="18"/>
                <w:color w:val="auto"/>
              </w:rPr>
              <w:t>4/6/2018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4/27/2018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2018</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140"/>
              <w:spacing w:after="0" w:line="149" w:lineRule="exact"/>
              <w:rPr>
                <w:sz w:val="20"/>
                <w:szCs w:val="20"/>
                <w:color w:val="auto"/>
              </w:rPr>
            </w:pPr>
            <w:r>
              <w:rPr>
                <w:rFonts w:ascii="Arial" w:cs="Arial" w:eastAsia="Arial" w:hAnsi="Arial"/>
                <w:sz w:val="17"/>
                <w:szCs w:val="17"/>
                <w:color w:val="auto"/>
              </w:rPr>
              <w:t>Fourth quarter</w:t>
            </w:r>
          </w:p>
        </w:tc>
        <w:tc>
          <w:tcPr>
            <w:tcW w:w="2140" w:type="dxa"/>
            <w:vAlign w:val="bottom"/>
            <w:gridSpan w:val="2"/>
          </w:tcPr>
          <w:p>
            <w:pPr>
              <w:jc w:val="right"/>
              <w:ind w:right="1081"/>
              <w:spacing w:after="0" w:line="149" w:lineRule="exact"/>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7"/>
                <w:szCs w:val="17"/>
                <w:color w:val="auto"/>
                <w:w w:val="90"/>
              </w:rPr>
              <w:t>0.10</w:t>
            </w: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12/13/2017</w:t>
            </w:r>
          </w:p>
        </w:tc>
        <w:tc>
          <w:tcPr>
            <w:tcW w:w="1440" w:type="dxa"/>
            <w:vAlign w:val="bottom"/>
          </w:tcPr>
          <w:p>
            <w:pPr>
              <w:jc w:val="right"/>
              <w:spacing w:after="0" w:line="149" w:lineRule="exact"/>
              <w:rPr>
                <w:sz w:val="20"/>
                <w:szCs w:val="20"/>
                <w:color w:val="auto"/>
              </w:rPr>
            </w:pPr>
            <w:r>
              <w:rPr>
                <w:rFonts w:ascii="Arial" w:cs="Arial" w:eastAsia="Arial" w:hAnsi="Arial"/>
                <w:sz w:val="17"/>
                <w:szCs w:val="17"/>
                <w:color w:val="auto"/>
              </w:rPr>
              <w:t>1/5/2018</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1</w:t>
            </w:r>
          </w:p>
        </w:tc>
        <w:tc>
          <w:tcPr>
            <w:tcW w:w="1440" w:type="dxa"/>
            <w:vAlign w:val="bottom"/>
          </w:tcPr>
          <w:p>
            <w:pPr>
              <w:jc w:val="right"/>
              <w:spacing w:after="0" w:line="149" w:lineRule="exact"/>
              <w:rPr>
                <w:sz w:val="20"/>
                <w:szCs w:val="20"/>
                <w:color w:val="auto"/>
              </w:rPr>
            </w:pPr>
            <w:r>
              <w:rPr>
                <w:rFonts w:ascii="Arial" w:cs="Arial" w:eastAsia="Arial" w:hAnsi="Arial"/>
                <w:sz w:val="17"/>
                <w:szCs w:val="17"/>
                <w:color w:val="auto"/>
              </w:rPr>
              <w:t>1/25/2018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0.12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9/22/2017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10/10/2017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0.12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6/20/2017</w:t>
            </w:r>
          </w:p>
        </w:tc>
        <w:tc>
          <w:tcPr>
            <w:tcW w:w="1440" w:type="dxa"/>
            <w:vAlign w:val="bottom"/>
          </w:tcPr>
          <w:p>
            <w:pPr>
              <w:jc w:val="right"/>
              <w:spacing w:after="0"/>
              <w:rPr>
                <w:sz w:val="20"/>
                <w:szCs w:val="20"/>
                <w:color w:val="auto"/>
              </w:rPr>
            </w:pPr>
            <w:r>
              <w:rPr>
                <w:rFonts w:ascii="Arial" w:cs="Arial" w:eastAsia="Arial" w:hAnsi="Arial"/>
                <w:sz w:val="18"/>
                <w:szCs w:val="18"/>
                <w:color w:val="auto"/>
              </w:rPr>
              <w:t>7/7/2017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2140" w:type="dxa"/>
            <w:vAlign w:val="bottom"/>
            <w:gridSpan w:val="2"/>
            <w:shd w:val="clear" w:color="auto" w:fill="CCEEFF"/>
          </w:tcPr>
          <w:p>
            <w:pPr>
              <w:jc w:val="right"/>
              <w:ind w:right="108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0.12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3/21/2017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4/7/2017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2016</w:t>
            </w:r>
          </w:p>
        </w:tc>
        <w:tc>
          <w:tcPr>
            <w:tcW w:w="9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8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0.46</w:t>
            </w:r>
          </w:p>
        </w:tc>
        <w:tc>
          <w:tcPr>
            <w:tcW w:w="2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2016:</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rPr>
              <w:t>Fourth quarter</w:t>
            </w:r>
          </w:p>
        </w:tc>
        <w:tc>
          <w:tcPr>
            <w:tcW w:w="2140" w:type="dxa"/>
            <w:vAlign w:val="bottom"/>
            <w:gridSpan w:val="2"/>
            <w:shd w:val="clear" w:color="auto" w:fill="CCEEFF"/>
          </w:tcPr>
          <w:p>
            <w:pPr>
              <w:jc w:val="right"/>
              <w:ind w:right="1081"/>
              <w:spacing w:after="0" w:line="14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7"/>
                <w:szCs w:val="17"/>
                <w:color w:val="auto"/>
                <w:w w:val="90"/>
              </w:rPr>
              <w:t>0.12</w:t>
            </w: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12/14/2016</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1/6/2017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1/27/2017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0.15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9/20/2016</w:t>
            </w:r>
          </w:p>
        </w:tc>
        <w:tc>
          <w:tcPr>
            <w:tcW w:w="1440" w:type="dxa"/>
            <w:vAlign w:val="bottom"/>
          </w:tcPr>
          <w:p>
            <w:pPr>
              <w:jc w:val="right"/>
              <w:spacing w:after="0"/>
              <w:rPr>
                <w:sz w:val="20"/>
                <w:szCs w:val="20"/>
                <w:color w:val="auto"/>
              </w:rPr>
            </w:pPr>
            <w:r>
              <w:rPr>
                <w:rFonts w:ascii="Arial" w:cs="Arial" w:eastAsia="Arial" w:hAnsi="Arial"/>
                <w:sz w:val="18"/>
                <w:szCs w:val="18"/>
                <w:color w:val="auto"/>
              </w:rPr>
              <w:t>10/14/2016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10/27/2016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0.15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6/21/2016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2140" w:type="dxa"/>
            <w:vAlign w:val="bottom"/>
            <w:gridSpan w:val="2"/>
          </w:tcPr>
          <w:p>
            <w:pPr>
              <w:jc w:val="right"/>
              <w:ind w:right="108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0.15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3/18/2016</w:t>
            </w:r>
          </w:p>
        </w:tc>
        <w:tc>
          <w:tcPr>
            <w:tcW w:w="1440" w:type="dxa"/>
            <w:vAlign w:val="bottom"/>
          </w:tcPr>
          <w:p>
            <w:pPr>
              <w:jc w:val="right"/>
              <w:spacing w:after="0"/>
              <w:rPr>
                <w:sz w:val="20"/>
                <w:szCs w:val="20"/>
                <w:color w:val="auto"/>
              </w:rPr>
            </w:pPr>
            <w:r>
              <w:rPr>
                <w:rFonts w:ascii="Arial" w:cs="Arial" w:eastAsia="Arial" w:hAnsi="Arial"/>
                <w:sz w:val="18"/>
                <w:szCs w:val="18"/>
                <w:color w:val="auto"/>
              </w:rPr>
              <w:t>4/7/2016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4/28/2016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2016</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98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Since the record date of this distribution is subsequent to year-end, it is a subsequent year tax event.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2018 and December 31, 2017, the Company had approximately $5 million and $0 commitments to fund investments,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March 31,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b w:val="1"/>
                <w:bCs w:val="1"/>
                <w:color w:val="auto"/>
                <w:w w:val="97"/>
              </w:rPr>
              <w:t>Payments Due by Period</w:t>
            </w: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4"/>
          </w:tcPr>
          <w:p>
            <w:pPr>
              <w:jc w:val="center"/>
              <w:ind w:right="385"/>
              <w:spacing w:after="0" w:line="191" w:lineRule="exact"/>
              <w:rPr>
                <w:sz w:val="20"/>
                <w:szCs w:val="20"/>
                <w:color w:val="auto"/>
              </w:rPr>
            </w:pPr>
            <w:r>
              <w:rPr>
                <w:rFonts w:ascii="Arial" w:cs="Arial" w:eastAsia="Arial" w:hAnsi="Arial"/>
                <w:sz w:val="18"/>
                <w:szCs w:val="18"/>
                <w:b w:val="1"/>
                <w:bCs w:val="1"/>
                <w:color w:val="auto"/>
                <w:w w:val="87"/>
              </w:rPr>
              <w:t>Less than one</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940" w:type="dxa"/>
            <w:vAlign w:val="bottom"/>
          </w:tcPr>
          <w:p>
            <w:pPr>
              <w:jc w:val="center"/>
              <w:ind w:left="235"/>
              <w:spacing w:after="0"/>
              <w:rPr>
                <w:sz w:val="20"/>
                <w:szCs w:val="20"/>
                <w:color w:val="auto"/>
              </w:rPr>
            </w:pPr>
            <w:r>
              <w:rPr>
                <w:rFonts w:ascii="Arial" w:cs="Arial" w:eastAsia="Arial" w:hAnsi="Arial"/>
                <w:sz w:val="18"/>
                <w:szCs w:val="18"/>
                <w:b w:val="1"/>
                <w:bCs w:val="1"/>
                <w:color w:val="auto"/>
                <w:w w:val="91"/>
              </w:rPr>
              <w:t>year</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3 - 5 years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104,234,944</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97,234,944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207"/>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r>
        <w:rPr>
          <w:rFonts w:ascii="Arial" w:cs="Arial" w:eastAsia="Arial" w:hAnsi="Arial"/>
          <w:sz w:val="17"/>
          <w:szCs w:val="17"/>
          <w:i w:val="1"/>
          <w:iCs w:val="1"/>
          <w:color w:val="auto"/>
        </w:rPr>
        <w: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20" w:firstLine="207"/>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320" w:firstLine="270"/>
        <w:spacing w:after="0" w:line="312" w:lineRule="auto"/>
        <w:rPr>
          <w:sz w:val="20"/>
          <w:szCs w:val="20"/>
          <w:color w:val="auto"/>
        </w:rPr>
      </w:pPr>
      <w:r>
        <w:rPr>
          <w:rFonts w:ascii="Arial" w:cs="Arial" w:eastAsia="Arial" w:hAnsi="Arial"/>
          <w:sz w:val="16"/>
          <w:szCs w:val="16"/>
          <w:color w:val="auto"/>
        </w:rPr>
        <w:t>Pursuant to the AICPA Guide,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47"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right="120" w:firstLine="270"/>
        <w:spacing w:after="0" w:line="287" w:lineRule="auto"/>
        <w:rPr>
          <w:sz w:val="20"/>
          <w:szCs w:val="20"/>
          <w:color w:val="auto"/>
        </w:rPr>
      </w:pPr>
      <w:r>
        <w:rPr>
          <w:rFonts w:ascii="Arial" w:cs="Arial" w:eastAsia="Arial" w:hAnsi="Arial"/>
          <w:sz w:val="16"/>
          <w:szCs w:val="16"/>
          <w:color w:val="auto"/>
        </w:rPr>
        <w:t>The Company follows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73" w:lineRule="exact"/>
        <w:rPr>
          <w:sz w:val="20"/>
          <w:szCs w:val="20"/>
          <w:color w:val="auto"/>
        </w:rPr>
      </w:pPr>
    </w:p>
    <w:p>
      <w:pPr>
        <w:ind w:right="14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6" w:name="page77"/>
    <w:bookmarkEnd w:id="76"/>
    <w:p>
      <w:pPr>
        <w:ind w:left="740" w:right="140" w:hanging="327"/>
        <w:spacing w:after="0" w:line="312" w:lineRule="auto"/>
        <w:tabs>
          <w:tab w:leader="none" w:pos="7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6" w:lineRule="exact"/>
        <w:rPr>
          <w:rFonts w:ascii="Arial" w:cs="Arial" w:eastAsia="Arial" w:hAnsi="Arial"/>
          <w:sz w:val="16"/>
          <w:szCs w:val="16"/>
          <w:color w:val="auto"/>
        </w:rPr>
      </w:pPr>
    </w:p>
    <w:p>
      <w:pPr>
        <w:ind w:left="740" w:right="60" w:hanging="327"/>
        <w:spacing w:after="0" w:line="276" w:lineRule="auto"/>
        <w:tabs>
          <w:tab w:leader="none" w:pos="7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2" w:lineRule="exact"/>
        <w:rPr>
          <w:rFonts w:ascii="Arial" w:cs="Arial" w:eastAsia="Arial" w:hAnsi="Arial"/>
          <w:sz w:val="17"/>
          <w:szCs w:val="17"/>
          <w:color w:val="auto"/>
        </w:rPr>
      </w:pPr>
    </w:p>
    <w:p>
      <w:pPr>
        <w:ind w:left="740" w:hanging="327"/>
        <w:spacing w:after="0" w:line="293" w:lineRule="auto"/>
        <w:tabs>
          <w:tab w:leader="none" w:pos="7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ind w:right="40" w:firstLine="41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41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40" w:firstLine="41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ind w:left="280"/>
        <w:spacing w:after="0"/>
        <w:rPr>
          <w:sz w:val="20"/>
          <w:szCs w:val="20"/>
          <w:color w:val="auto"/>
        </w:rPr>
      </w:pPr>
      <w:r>
        <w:rPr>
          <w:rFonts w:ascii="Arial" w:cs="Arial" w:eastAsia="Arial" w:hAnsi="Arial"/>
          <w:sz w:val="18"/>
          <w:szCs w:val="18"/>
          <w:color w:val="auto"/>
        </w:rPr>
        <w:t>The Company carries investments in joint ventures at fair value based upon the fair value of the investments held by the joint venture.</w:t>
      </w:r>
    </w:p>
    <w:p>
      <w:pPr>
        <w:spacing w:after="0" w:line="225"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80" w:firstLine="270"/>
        <w:spacing w:after="0" w:line="271" w:lineRule="auto"/>
        <w:rPr>
          <w:sz w:val="20"/>
          <w:szCs w:val="20"/>
          <w:color w:val="auto"/>
        </w:rPr>
      </w:pPr>
      <w:r>
        <w:rPr>
          <w:rFonts w:ascii="Arial" w:cs="Arial" w:eastAsia="Arial" w:hAnsi="Arial"/>
          <w:sz w:val="17"/>
          <w:szCs w:val="17"/>
          <w:color w:val="auto"/>
        </w:rPr>
        <w:t>Interest income, including amortization of premium and accretion of discount and accrual of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2018, one of our investments was on non-accrual status, and two of our investments were on partial non-accrual status, whereby we have recognized income on a portion of contractual PIK amounts due.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22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 basis investment income and from the cash distributions actually received by the Company during the period.</w:t>
      </w:r>
    </w:p>
    <w:p>
      <w:pPr>
        <w:spacing w:after="0" w:line="178" w:lineRule="exact"/>
        <w:rPr>
          <w:sz w:val="20"/>
          <w:szCs w:val="20"/>
          <w:color w:val="auto"/>
        </w:rPr>
      </w:pPr>
    </w:p>
    <w:p>
      <w:pPr>
        <w:ind w:right="180" w:firstLine="207"/>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KCAP F3C Senior Funding, L.L.C., interest is earned at a fixed spread relative to the LIBOR index.</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ind w:right="220" w:firstLine="41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ind w:right="40" w:firstLine="41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9" w:name="page80"/>
    <w:bookmarkEnd w:id="79"/>
    <w:p>
      <w:pPr>
        <w:ind w:left="22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60" w:firstLine="414"/>
        <w:spacing w:after="0" w:line="264"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net investment income, distributable taxable income and the after-tax free cash flow from our Asset Manager Affiliates. The following table sets forth the quarterly distributions declared by us for the 2018, 2017 and 2016 calendar years.</w:t>
      </w:r>
    </w:p>
    <w:p>
      <w:pPr>
        <w:spacing w:after="0" w:line="19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Distribution</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Declaration Date</w:t>
            </w:r>
          </w:p>
        </w:tc>
        <w:tc>
          <w:tcPr>
            <w:tcW w:w="1440" w:type="dxa"/>
            <w:vAlign w:val="bottom"/>
          </w:tcPr>
          <w:p>
            <w:pPr>
              <w:jc w:val="right"/>
              <w:ind w:right="151"/>
              <w:spacing w:after="0"/>
              <w:rPr>
                <w:sz w:val="20"/>
                <w:szCs w:val="20"/>
                <w:color w:val="auto"/>
              </w:rPr>
            </w:pPr>
            <w:r>
              <w:rPr>
                <w:rFonts w:ascii="Arial" w:cs="Arial" w:eastAsia="Arial" w:hAnsi="Arial"/>
                <w:sz w:val="18"/>
                <w:szCs w:val="18"/>
                <w:b w:val="1"/>
                <w:bCs w:val="1"/>
                <w:color w:val="auto"/>
              </w:rPr>
              <w:t>Record Date</w:t>
            </w:r>
          </w:p>
        </w:tc>
        <w:tc>
          <w:tcPr>
            <w:tcW w:w="100" w:type="dxa"/>
            <w:vAlign w:val="bottom"/>
          </w:tcPr>
          <w:p>
            <w:pPr>
              <w:spacing w:after="0"/>
              <w:rPr>
                <w:sz w:val="20"/>
                <w:szCs w:val="20"/>
                <w:color w:val="auto"/>
              </w:rPr>
            </w:pP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9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2140" w:type="dxa"/>
            <w:vAlign w:val="bottom"/>
            <w:gridSpan w:val="2"/>
          </w:tcPr>
          <w:p>
            <w:pPr>
              <w:jc w:val="right"/>
              <w:ind w:right="108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0.10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3/20/2018</w:t>
            </w:r>
          </w:p>
        </w:tc>
        <w:tc>
          <w:tcPr>
            <w:tcW w:w="1440" w:type="dxa"/>
            <w:vAlign w:val="bottom"/>
          </w:tcPr>
          <w:p>
            <w:pPr>
              <w:jc w:val="right"/>
              <w:spacing w:after="0"/>
              <w:rPr>
                <w:sz w:val="20"/>
                <w:szCs w:val="20"/>
                <w:color w:val="auto"/>
              </w:rPr>
            </w:pPr>
            <w:r>
              <w:rPr>
                <w:rFonts w:ascii="Arial" w:cs="Arial" w:eastAsia="Arial" w:hAnsi="Arial"/>
                <w:sz w:val="18"/>
                <w:szCs w:val="18"/>
                <w:color w:val="auto"/>
              </w:rPr>
              <w:t>4/6/2018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4/27/2018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2018</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140"/>
              <w:spacing w:after="0" w:line="149" w:lineRule="exact"/>
              <w:rPr>
                <w:sz w:val="20"/>
                <w:szCs w:val="20"/>
                <w:color w:val="auto"/>
              </w:rPr>
            </w:pPr>
            <w:r>
              <w:rPr>
                <w:rFonts w:ascii="Arial" w:cs="Arial" w:eastAsia="Arial" w:hAnsi="Arial"/>
                <w:sz w:val="17"/>
                <w:szCs w:val="17"/>
                <w:color w:val="auto"/>
              </w:rPr>
              <w:t>Fourth quarter</w:t>
            </w:r>
          </w:p>
        </w:tc>
        <w:tc>
          <w:tcPr>
            <w:tcW w:w="2140" w:type="dxa"/>
            <w:vAlign w:val="bottom"/>
            <w:gridSpan w:val="2"/>
          </w:tcPr>
          <w:p>
            <w:pPr>
              <w:jc w:val="right"/>
              <w:ind w:right="1081"/>
              <w:spacing w:after="0" w:line="149" w:lineRule="exact"/>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7"/>
                <w:szCs w:val="17"/>
                <w:color w:val="auto"/>
                <w:w w:val="90"/>
              </w:rPr>
              <w:t>0.10</w:t>
            </w: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12/13/2017</w:t>
            </w:r>
          </w:p>
        </w:tc>
        <w:tc>
          <w:tcPr>
            <w:tcW w:w="1440" w:type="dxa"/>
            <w:vAlign w:val="bottom"/>
          </w:tcPr>
          <w:p>
            <w:pPr>
              <w:jc w:val="right"/>
              <w:spacing w:after="0" w:line="149" w:lineRule="exact"/>
              <w:rPr>
                <w:sz w:val="20"/>
                <w:szCs w:val="20"/>
                <w:color w:val="auto"/>
              </w:rPr>
            </w:pPr>
            <w:r>
              <w:rPr>
                <w:rFonts w:ascii="Arial" w:cs="Arial" w:eastAsia="Arial" w:hAnsi="Arial"/>
                <w:sz w:val="17"/>
                <w:szCs w:val="17"/>
                <w:color w:val="auto"/>
              </w:rPr>
              <w:t>1/5/2018</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1</w:t>
            </w:r>
          </w:p>
        </w:tc>
        <w:tc>
          <w:tcPr>
            <w:tcW w:w="1440" w:type="dxa"/>
            <w:vAlign w:val="bottom"/>
          </w:tcPr>
          <w:p>
            <w:pPr>
              <w:jc w:val="right"/>
              <w:spacing w:after="0" w:line="149" w:lineRule="exact"/>
              <w:rPr>
                <w:sz w:val="20"/>
                <w:szCs w:val="20"/>
                <w:color w:val="auto"/>
              </w:rPr>
            </w:pPr>
            <w:r>
              <w:rPr>
                <w:rFonts w:ascii="Arial" w:cs="Arial" w:eastAsia="Arial" w:hAnsi="Arial"/>
                <w:sz w:val="17"/>
                <w:szCs w:val="17"/>
                <w:color w:val="auto"/>
              </w:rPr>
              <w:t>1/25/2018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0.12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9/22/2017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10/10/2017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0.12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6/20/2017</w:t>
            </w:r>
          </w:p>
        </w:tc>
        <w:tc>
          <w:tcPr>
            <w:tcW w:w="1440" w:type="dxa"/>
            <w:vAlign w:val="bottom"/>
          </w:tcPr>
          <w:p>
            <w:pPr>
              <w:jc w:val="right"/>
              <w:spacing w:after="0"/>
              <w:rPr>
                <w:sz w:val="20"/>
                <w:szCs w:val="20"/>
                <w:color w:val="auto"/>
              </w:rPr>
            </w:pPr>
            <w:r>
              <w:rPr>
                <w:rFonts w:ascii="Arial" w:cs="Arial" w:eastAsia="Arial" w:hAnsi="Arial"/>
                <w:sz w:val="18"/>
                <w:szCs w:val="18"/>
                <w:color w:val="auto"/>
              </w:rPr>
              <w:t>7/7/2017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2140" w:type="dxa"/>
            <w:vAlign w:val="bottom"/>
            <w:gridSpan w:val="2"/>
            <w:shd w:val="clear" w:color="auto" w:fill="CCEEFF"/>
          </w:tcPr>
          <w:p>
            <w:pPr>
              <w:jc w:val="right"/>
              <w:ind w:right="108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0.12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3/21/2017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4/7/2017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2016</w:t>
            </w:r>
          </w:p>
        </w:tc>
        <w:tc>
          <w:tcPr>
            <w:tcW w:w="9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8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0.46</w:t>
            </w:r>
          </w:p>
        </w:tc>
        <w:tc>
          <w:tcPr>
            <w:tcW w:w="2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2016:</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rPr>
              <w:t>Fourth quarter</w:t>
            </w:r>
          </w:p>
        </w:tc>
        <w:tc>
          <w:tcPr>
            <w:tcW w:w="2140" w:type="dxa"/>
            <w:vAlign w:val="bottom"/>
            <w:gridSpan w:val="2"/>
            <w:shd w:val="clear" w:color="auto" w:fill="CCEEFF"/>
          </w:tcPr>
          <w:p>
            <w:pPr>
              <w:jc w:val="right"/>
              <w:ind w:right="1081"/>
              <w:spacing w:after="0" w:line="14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7"/>
                <w:szCs w:val="17"/>
                <w:color w:val="auto"/>
                <w:w w:val="90"/>
              </w:rPr>
              <w:t>0.12</w:t>
            </w: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12/14/2016</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1/6/2017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1/27/2017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0.15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9/20/2016</w:t>
            </w:r>
          </w:p>
        </w:tc>
        <w:tc>
          <w:tcPr>
            <w:tcW w:w="1440" w:type="dxa"/>
            <w:vAlign w:val="bottom"/>
          </w:tcPr>
          <w:p>
            <w:pPr>
              <w:jc w:val="right"/>
              <w:spacing w:after="0"/>
              <w:rPr>
                <w:sz w:val="20"/>
                <w:szCs w:val="20"/>
                <w:color w:val="auto"/>
              </w:rPr>
            </w:pPr>
            <w:r>
              <w:rPr>
                <w:rFonts w:ascii="Arial" w:cs="Arial" w:eastAsia="Arial" w:hAnsi="Arial"/>
                <w:sz w:val="18"/>
                <w:szCs w:val="18"/>
                <w:color w:val="auto"/>
              </w:rPr>
              <w:t>10/14/2016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10/27/2016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0.15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6/21/2016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2140" w:type="dxa"/>
            <w:vAlign w:val="bottom"/>
            <w:gridSpan w:val="2"/>
          </w:tcPr>
          <w:p>
            <w:pPr>
              <w:jc w:val="right"/>
              <w:ind w:right="108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0.15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3/18/2016</w:t>
            </w:r>
          </w:p>
        </w:tc>
        <w:tc>
          <w:tcPr>
            <w:tcW w:w="1440" w:type="dxa"/>
            <w:vAlign w:val="bottom"/>
          </w:tcPr>
          <w:p>
            <w:pPr>
              <w:jc w:val="right"/>
              <w:spacing w:after="0"/>
              <w:rPr>
                <w:sz w:val="20"/>
                <w:szCs w:val="20"/>
                <w:color w:val="auto"/>
              </w:rPr>
            </w:pPr>
            <w:r>
              <w:rPr>
                <w:rFonts w:ascii="Arial" w:cs="Arial" w:eastAsia="Arial" w:hAnsi="Arial"/>
                <w:sz w:val="18"/>
                <w:szCs w:val="18"/>
                <w:color w:val="auto"/>
              </w:rPr>
              <w:t>4/7/2016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4/28/2016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2016</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¹ Since the record date of this distribution is subsequent to year-end, it is a subsequent year tax event.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207"/>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20" w:firstLine="414"/>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March 31, 2018, approximately 84% of our Debt Securities Portfolio were either fixed rate or floating rate with a spread to an interest rate index such as LIBOR or the prime rate. Most of these floating rate loans contain LIBOR floors ranging between 1.00% and 3.0%. We generally expect that future portfolio investments will predominately be floating rate investments. As of March 31, 2018, we had $104.2 million (par value) of borrowings outstanding at a current weighted average rate of 6.1%.</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0" w:name="page81"/>
    <w:bookmarkEnd w:id="80"/>
    <w:p>
      <w:pPr>
        <w:ind w:right="200" w:firstLine="414"/>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7.375% Notes Due 2019 and 6.125% Notes Due 2022 would remain the same, given that this debt is at a fixed rate, while the interest rate on borrowings under the KCAP Funding I, LLC Revolving Credit Facility would fluctuate with changes in interest rates.</w:t>
      </w:r>
    </w:p>
    <w:p>
      <w:pPr>
        <w:spacing w:after="0" w:line="187" w:lineRule="exact"/>
        <w:rPr>
          <w:sz w:val="20"/>
          <w:szCs w:val="20"/>
          <w:color w:val="auto"/>
        </w:rPr>
      </w:pPr>
    </w:p>
    <w:p>
      <w:pPr>
        <w:jc w:val="both"/>
        <w:ind w:right="200" w:firstLine="41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March 31, 2018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5260" w:type="dxa"/>
            <w:vAlign w:val="bottom"/>
            <w:gridSpan w:val="10"/>
          </w:tcPr>
          <w:p>
            <w:pPr>
              <w:spacing w:after="0"/>
              <w:rPr>
                <w:sz w:val="20"/>
                <w:szCs w:val="20"/>
                <w:color w:val="auto"/>
              </w:rPr>
            </w:pPr>
            <w:r>
              <w:rPr>
                <w:rFonts w:ascii="Arial" w:cs="Arial" w:eastAsia="Arial" w:hAnsi="Arial"/>
                <w:sz w:val="18"/>
                <w:szCs w:val="18"/>
                <w:b w:val="1"/>
                <w:bCs w:val="1"/>
                <w:color w:val="auto"/>
                <w:w w:val="90"/>
              </w:rPr>
              <w:t>Impact on net investment income from a change in interest rates at: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w:t>
            </w:r>
          </w:p>
        </w:tc>
        <w:tc>
          <w:tcPr>
            <w:tcW w:w="2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2,209,900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(739,406)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(705,567)</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(712,589)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14"/>
        <w:spacing w:after="0" w:line="302" w:lineRule="auto"/>
        <w:rPr>
          <w:sz w:val="20"/>
          <w:szCs w:val="20"/>
          <w:color w:val="auto"/>
        </w:rPr>
      </w:pPr>
      <w:r>
        <w:rPr>
          <w:rFonts w:ascii="Arial" w:cs="Arial" w:eastAsia="Arial" w:hAnsi="Arial"/>
          <w:sz w:val="16"/>
          <w:szCs w:val="16"/>
          <w:color w:val="auto"/>
        </w:rPr>
        <w:t>As shown above, net investment income assuming a 1% increase in interest rates would increase by approximately $1,268,000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$2.2 million and $3.2 million, respectively.</w:t>
      </w:r>
    </w:p>
    <w:p>
      <w:pPr>
        <w:spacing w:after="0" w:line="154"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March 31, 2018.</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right="20" w:firstLine="207"/>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160" w:firstLine="207"/>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414"/>
        <w:spacing w:after="0" w:line="302" w:lineRule="auto"/>
        <w:rPr>
          <w:sz w:val="20"/>
          <w:szCs w:val="20"/>
          <w:color w:val="auto"/>
        </w:rPr>
      </w:pPr>
      <w:r>
        <w:rPr>
          <w:rFonts w:ascii="Arial" w:cs="Arial" w:eastAsia="Arial" w:hAnsi="Arial"/>
          <w:sz w:val="16"/>
          <w:szCs w:val="16"/>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00" w:firstLine="414"/>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since our last Annual Report filed on Form 10-K for the period ended December 31, 2017 that have materially affected, or are reasonably likely to materially affect, our internal control over financial reporting.</w:t>
      </w: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2017,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legislation may allow us to incur additional leverage.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1940 Act generally prohibits us from incurring indebtedness unless immediately after such borrowing we have an asset coverage for total borrowings of at least 200% (i.e., the amount of debt may not exceed 50% of the value of our assets). However, recent legislation has modified the 1940 Act by allowing a BDC to increase the maximum amount of leverage it may incur from an asset coverage ratio of 200% to an asset coverage ratio of 150%, if certain requirements are met. Under the legislation, we are allowed to increase our leverage capacity if shareholders representing at least a majority of the votes cast, when quorum is met, approve a proposal to do so. If we receive shareholder approval, we would be allowed to increase our leverage capacity on the first day after such approval. Alternatively, the legislation allows the “required majority” of our independent directors, as defined in Section 57(o) of the 1940 Act, to approve an increase in our leverage capacity, and such approval would become effective after one year. In either case, we would be required to make certain disclosures on our website and in SEC filings regarding, among other things, the receipt of approval to increase our leverage, our leverage capacity and usage, and risks related to leverage.</w:t>
      </w:r>
    </w:p>
    <w:p>
      <w:pPr>
        <w:spacing w:after="0" w:line="18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a result of this legislation, we may be able to increase our leverage up to an amount that reduces our asset coverage ratio from 200% to 150%. In accordance with the legislation, on March 29, 2018, our Board of Directors, including a “required majority,” approved the modified asset coverage requirements set forth in Section 61(a)(2) of the 1940 Act. As a result, our asset coverage requirements for senior securities will be changed from 200% to 150%, effective as of March 29, 2019.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140" w:firstLine="41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March 31, 2018, we issued a total of 15,255 shares of common stock under our dividend reinvestment plan (“DRIP”). This issuance was not subject to the registration requirements of the Securities Act of 1933. For the three months ended March 31, 2018, the aggregate value of the shares of our common stock issued under our DRIP was approximately $52,000.</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83" w:name="page84"/>
    <w:bookmarkEnd w:id="83"/>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6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904" w:right="6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KCAP FINANCIAL,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2, 2018</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Dayl W. Pearson</w:t>
            </w: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0"/>
              </w:rPr>
              <w:t>Dayl W. Pearson</w:t>
            </w:r>
          </w:p>
        </w:tc>
      </w:t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2, 2018</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28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spacing w:after="0" w:line="185" w:lineRule="auto"/>
        <w:framePr w:w="580" w:h="160" w:wrap="auto" w:vAnchor="page" w:hAnchor="page" w:x="200" w:y="9987"/>
        <w:rPr>
          <w:rFonts w:ascii="Arial" w:cs="Arial" w:eastAsia="Arial" w:hAnsi="Arial"/>
          <w:sz w:val="18"/>
          <w:szCs w:val="18"/>
          <w:u w:val="single" w:color="auto"/>
          <w:color w:val="0000EE"/>
        </w:rPr>
      </w:pPr>
      <w:r>
        <w:rPr>
          <w:rFonts w:ascii="Arial" w:cs="Arial" w:eastAsia="Arial" w:hAnsi="Arial"/>
          <w:sz w:val="18"/>
          <w:szCs w:val="18"/>
          <w:u w:val="single" w:color="auto"/>
          <w:color w:val="0000EE"/>
        </w:rPr>
        <w:t>32.2**</w:t>
      </w:r>
    </w:p>
    <w:p>
      <w:pPr>
        <w:spacing w:after="0" w:line="185" w:lineRule="auto"/>
        <w:framePr w:w="580" w:h="160" w:wrap="auto" w:vAnchor="page" w:hAnchor="page" w:x="200" w:y="9339"/>
        <w:rPr>
          <w:rFonts w:ascii="Arial" w:cs="Arial" w:eastAsia="Arial" w:hAnsi="Arial"/>
          <w:sz w:val="18"/>
          <w:szCs w:val="18"/>
          <w:u w:val="single" w:color="auto"/>
          <w:color w:val="0000EE"/>
        </w:rPr>
      </w:pPr>
      <w:r>
        <w:rPr>
          <w:rFonts w:ascii="Arial" w:cs="Arial" w:eastAsia="Arial" w:hAnsi="Arial"/>
          <w:sz w:val="18"/>
          <w:szCs w:val="18"/>
          <w:u w:val="single" w:color="auto"/>
          <w:color w:val="0000EE"/>
        </w:rPr>
        <w:t>32.1**</w:t>
      </w:r>
    </w:p>
    <w:p>
      <w:pPr>
        <w:spacing w:after="0" w:line="185" w:lineRule="auto"/>
        <w:framePr w:w="580" w:h="160" w:wrap="auto" w:vAnchor="page" w:hAnchor="page" w:x="200" w:y="8690"/>
        <w:rPr>
          <w:rFonts w:ascii="Arial" w:cs="Arial" w:eastAsia="Arial" w:hAnsi="Arial"/>
          <w:sz w:val="18"/>
          <w:szCs w:val="18"/>
          <w:u w:val="single" w:color="auto"/>
          <w:color w:val="0000EE"/>
        </w:rPr>
      </w:pPr>
      <w:r>
        <w:rPr>
          <w:rFonts w:ascii="Arial" w:cs="Arial" w:eastAsia="Arial" w:hAnsi="Arial"/>
          <w:sz w:val="18"/>
          <w:szCs w:val="18"/>
          <w:u w:val="single" w:color="auto"/>
          <w:color w:val="0000EE"/>
        </w:rPr>
        <w:t>31.2**</w:t>
      </w:r>
    </w:p>
    <w:p>
      <w:pPr>
        <w:spacing w:after="0" w:line="209" w:lineRule="auto"/>
        <w:framePr w:w="400" w:h="160" w:wrap="auto" w:vAnchor="page" w:hAnchor="page" w:x="200" w:y="761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11.1</w:t>
        </w:r>
      </w:hyperlink>
    </w:p>
    <w:p>
      <w:pPr>
        <w:spacing w:after="0" w:line="185" w:lineRule="auto"/>
        <w:framePr w:w="580" w:h="160" w:wrap="auto" w:vAnchor="page" w:hAnchor="page" w:x="200" w:y="8042"/>
        <w:rPr>
          <w:rFonts w:ascii="Arial" w:cs="Arial" w:eastAsia="Arial" w:hAnsi="Arial"/>
          <w:sz w:val="18"/>
          <w:szCs w:val="18"/>
          <w:u w:val="single" w:color="auto"/>
          <w:color w:val="0000EE"/>
        </w:rPr>
      </w:pPr>
      <w:r>
        <w:rPr>
          <w:rFonts w:ascii="Arial" w:cs="Arial" w:eastAsia="Arial" w:hAnsi="Arial"/>
          <w:sz w:val="18"/>
          <w:szCs w:val="18"/>
          <w:u w:val="single" w:color="auto"/>
          <w:color w:val="0000EE"/>
        </w:rPr>
        <w:t>31.1**</w:t>
      </w:r>
    </w:p>
    <w:p>
      <w:pPr>
        <w:spacing w:after="0" w:line="196" w:lineRule="auto"/>
        <w:framePr w:w="320" w:h="160" w:wrap="auto" w:vAnchor="page" w:hAnchor="page" w:x="200" w:y="5503"/>
        <w:rPr>
          <w:rFonts w:ascii="Arial" w:cs="Arial" w:eastAsia="Arial" w:hAnsi="Arial"/>
          <w:sz w:val="17"/>
          <w:szCs w:val="17"/>
          <w:u w:val="single" w:color="auto"/>
          <w:color w:val="0000EE"/>
        </w:rPr>
      </w:pPr>
      <w:hyperlink r:id="rId130">
        <w:r>
          <w:rPr>
            <w:rFonts w:ascii="Arial" w:cs="Arial" w:eastAsia="Arial" w:hAnsi="Arial"/>
            <w:sz w:val="17"/>
            <w:szCs w:val="17"/>
            <w:u w:val="single" w:color="auto"/>
            <w:color w:val="0000EE"/>
          </w:rPr>
          <w:t>4.4</w:t>
        </w:r>
      </w:hyperlink>
    </w:p>
    <w:p>
      <w:pPr>
        <w:spacing w:after="0" w:line="196" w:lineRule="auto"/>
        <w:framePr w:w="320" w:h="160" w:wrap="auto" w:vAnchor="page" w:hAnchor="page" w:x="200" w:y="5976"/>
        <w:rPr>
          <w:rFonts w:ascii="Arial" w:cs="Arial" w:eastAsia="Arial" w:hAnsi="Arial"/>
          <w:sz w:val="17"/>
          <w:szCs w:val="17"/>
          <w:u w:val="single" w:color="auto"/>
          <w:color w:val="0000EE"/>
        </w:rPr>
      </w:pPr>
      <w:hyperlink r:id="rId131">
        <w:r>
          <w:rPr>
            <w:rFonts w:ascii="Arial" w:cs="Arial" w:eastAsia="Arial" w:hAnsi="Arial"/>
            <w:sz w:val="17"/>
            <w:szCs w:val="17"/>
            <w:u w:val="single" w:color="auto"/>
            <w:color w:val="0000EE"/>
          </w:rPr>
          <w:t>4.5</w:t>
        </w:r>
      </w:hyperlink>
    </w:p>
    <w:p>
      <w:pPr>
        <w:spacing w:after="0" w:line="196" w:lineRule="auto"/>
        <w:framePr w:w="320" w:h="160" w:wrap="auto" w:vAnchor="page" w:hAnchor="page" w:x="200" w:y="6449"/>
        <w:rPr>
          <w:rFonts w:ascii="Arial" w:cs="Arial" w:eastAsia="Arial" w:hAnsi="Arial"/>
          <w:sz w:val="17"/>
          <w:szCs w:val="17"/>
          <w:u w:val="single" w:color="auto"/>
          <w:color w:val="0000EE"/>
        </w:rPr>
      </w:pPr>
      <w:hyperlink r:id="rId131">
        <w:r>
          <w:rPr>
            <w:rFonts w:ascii="Arial" w:cs="Arial" w:eastAsia="Arial" w:hAnsi="Arial"/>
            <w:sz w:val="17"/>
            <w:szCs w:val="17"/>
            <w:u w:val="single" w:color="auto"/>
            <w:color w:val="0000EE"/>
          </w:rPr>
          <w:t>4.6</w:t>
        </w:r>
      </w:hyperlink>
    </w:p>
    <w:p>
      <w:pPr>
        <w:spacing w:after="0" w:line="209" w:lineRule="auto"/>
        <w:framePr w:w="400" w:h="160" w:wrap="auto" w:vAnchor="page" w:hAnchor="page" w:x="200" w:y="6921"/>
        <w:rPr>
          <w:rFonts w:ascii="Arial" w:cs="Arial" w:eastAsia="Arial" w:hAnsi="Arial"/>
          <w:sz w:val="16"/>
          <w:szCs w:val="16"/>
          <w:u w:val="single" w:color="auto"/>
          <w:color w:val="0000EE"/>
        </w:rPr>
      </w:pPr>
      <w:hyperlink r:id="rId132">
        <w:r>
          <w:rPr>
            <w:rFonts w:ascii="Arial" w:cs="Arial" w:eastAsia="Arial" w:hAnsi="Arial"/>
            <w:sz w:val="16"/>
            <w:szCs w:val="16"/>
            <w:u w:val="single" w:color="auto"/>
            <w:color w:val="0000EE"/>
          </w:rPr>
          <w:t>10.1</w:t>
        </w:r>
      </w:hyperlink>
    </w:p>
    <w:p>
      <w:pPr>
        <w:spacing w:after="0" w:line="196" w:lineRule="auto"/>
        <w:framePr w:w="660" w:h="160" w:wrap="auto" w:vAnchor="page" w:hAnchor="page" w:x="200" w:y="1357"/>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t>Exhibit</w:t>
      </w:r>
    </w:p>
    <w:p>
      <w:pPr>
        <w:spacing w:after="0" w:line="395" w:lineRule="auto"/>
        <w:framePr w:w="720" w:h="606" w:wrap="auto" w:vAnchor="page" w:hAnchor="page" w:x="200" w:y="1573"/>
        <w:rPr>
          <w:rFonts w:ascii="Arial" w:cs="Arial" w:eastAsia="Arial" w:hAnsi="Arial"/>
          <w:sz w:val="16"/>
          <w:szCs w:val="16"/>
          <w:u w:val="single" w:color="auto"/>
          <w:color w:val="0000EE"/>
        </w:rPr>
      </w:pPr>
      <w:r>
        <w:rPr>
          <w:rFonts w:ascii="Arial" w:cs="Arial" w:eastAsia="Arial" w:hAnsi="Arial"/>
          <w:sz w:val="16"/>
          <w:szCs w:val="16"/>
          <w:b w:val="1"/>
          <w:bCs w:val="1"/>
          <w:u w:val="single" w:color="auto"/>
          <w:color w:val="0000EE"/>
        </w:rPr>
        <w:t xml:space="preserve">Number </w:t>
      </w:r>
      <w:hyperlink r:id="rId133">
        <w:r>
          <w:rPr>
            <w:rFonts w:ascii="Arial" w:cs="Arial" w:eastAsia="Arial" w:hAnsi="Arial"/>
            <w:sz w:val="16"/>
            <w:szCs w:val="16"/>
            <w:u w:val="single" w:color="auto"/>
            <w:color w:val="0000EE"/>
          </w:rPr>
          <w:t>2.1</w:t>
        </w:r>
      </w:hyperlink>
    </w:p>
    <w:p>
      <w:pPr>
        <w:spacing w:after="0" w:line="196" w:lineRule="auto"/>
        <w:framePr w:w="320" w:h="160" w:wrap="auto" w:vAnchor="page" w:hAnchor="page" w:x="200" w:y="2924"/>
        <w:rPr>
          <w:rFonts w:ascii="Arial" w:cs="Arial" w:eastAsia="Arial" w:hAnsi="Arial"/>
          <w:sz w:val="17"/>
          <w:szCs w:val="17"/>
          <w:u w:val="single" w:color="auto"/>
          <w:color w:val="0000EE"/>
        </w:rPr>
      </w:pPr>
      <w:hyperlink r:id="rId134">
        <w:r>
          <w:rPr>
            <w:rFonts w:ascii="Arial" w:cs="Arial" w:eastAsia="Arial" w:hAnsi="Arial"/>
            <w:sz w:val="17"/>
            <w:szCs w:val="17"/>
            <w:u w:val="single" w:color="auto"/>
            <w:color w:val="0000EE"/>
          </w:rPr>
          <w:t>3.1</w:t>
        </w:r>
      </w:hyperlink>
    </w:p>
    <w:p>
      <w:pPr>
        <w:spacing w:after="0" w:line="196" w:lineRule="auto"/>
        <w:framePr w:w="320" w:h="160" w:wrap="auto" w:vAnchor="page" w:hAnchor="page" w:x="200" w:y="3396"/>
        <w:rPr>
          <w:rFonts w:ascii="Arial" w:cs="Arial" w:eastAsia="Arial" w:hAnsi="Arial"/>
          <w:sz w:val="17"/>
          <w:szCs w:val="17"/>
          <w:u w:val="single" w:color="auto"/>
          <w:color w:val="0000EE"/>
        </w:rPr>
      </w:pPr>
      <w:hyperlink r:id="rId135">
        <w:r>
          <w:rPr>
            <w:rFonts w:ascii="Arial" w:cs="Arial" w:eastAsia="Arial" w:hAnsi="Arial"/>
            <w:sz w:val="17"/>
            <w:szCs w:val="17"/>
            <w:u w:val="single" w:color="auto"/>
            <w:color w:val="0000EE"/>
          </w:rPr>
          <w:t>3.2</w:t>
        </w:r>
      </w:hyperlink>
    </w:p>
    <w:p>
      <w:pPr>
        <w:spacing w:after="0" w:line="196" w:lineRule="auto"/>
        <w:framePr w:w="320" w:h="160" w:wrap="auto" w:vAnchor="page" w:hAnchor="page" w:x="200" w:y="3869"/>
        <w:rPr>
          <w:rFonts w:ascii="Arial" w:cs="Arial" w:eastAsia="Arial" w:hAnsi="Arial"/>
          <w:sz w:val="17"/>
          <w:szCs w:val="17"/>
          <w:u w:val="single" w:color="auto"/>
          <w:color w:val="0000EE"/>
        </w:rPr>
      </w:pPr>
      <w:hyperlink r:id="rId136">
        <w:r>
          <w:rPr>
            <w:rFonts w:ascii="Arial" w:cs="Arial" w:eastAsia="Arial" w:hAnsi="Arial"/>
            <w:sz w:val="17"/>
            <w:szCs w:val="17"/>
            <w:u w:val="single" w:color="auto"/>
            <w:color w:val="0000EE"/>
          </w:rPr>
          <w:t>4.1</w:t>
        </w:r>
      </w:hyperlink>
    </w:p>
    <w:p>
      <w:pPr>
        <w:spacing w:after="0" w:line="196" w:lineRule="auto"/>
        <w:framePr w:w="320" w:h="160" w:wrap="auto" w:vAnchor="page" w:hAnchor="page" w:x="200" w:y="4342"/>
        <w:rPr>
          <w:rFonts w:ascii="Arial" w:cs="Arial" w:eastAsia="Arial" w:hAnsi="Arial"/>
          <w:sz w:val="17"/>
          <w:szCs w:val="17"/>
          <w:u w:val="single" w:color="auto"/>
          <w:color w:val="0000EE"/>
        </w:rPr>
      </w:pPr>
      <w:hyperlink r:id="rId137">
        <w:r>
          <w:rPr>
            <w:rFonts w:ascii="Arial" w:cs="Arial" w:eastAsia="Arial" w:hAnsi="Arial"/>
            <w:sz w:val="17"/>
            <w:szCs w:val="17"/>
            <w:u w:val="single" w:color="auto"/>
            <w:color w:val="0000EE"/>
          </w:rPr>
          <w:t>4.2</w:t>
        </w:r>
      </w:hyperlink>
    </w:p>
    <w:p>
      <w:pPr>
        <w:spacing w:after="0" w:line="196" w:lineRule="auto"/>
        <w:framePr w:w="320" w:h="160" w:wrap="auto" w:vAnchor="page" w:hAnchor="page" w:x="200" w:y="4814"/>
        <w:rPr>
          <w:rFonts w:ascii="Arial" w:cs="Arial" w:eastAsia="Arial" w:hAnsi="Arial"/>
          <w:sz w:val="17"/>
          <w:szCs w:val="17"/>
          <w:u w:val="single" w:color="auto"/>
          <w:color w:val="0000EE"/>
        </w:rPr>
      </w:pPr>
      <w:hyperlink r:id="rId130">
        <w:r>
          <w:rPr>
            <w:rFonts w:ascii="Arial" w:cs="Arial" w:eastAsia="Arial" w:hAnsi="Arial"/>
            <w:sz w:val="17"/>
            <w:szCs w:val="17"/>
            <w:u w:val="single" w:color="auto"/>
            <w:color w:val="0000EE"/>
          </w:rPr>
          <w:t>4.3</w:t>
        </w:r>
      </w:hyperlink>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rFonts w:ascii="Arial" w:cs="Arial" w:eastAsia="Arial" w:hAnsi="Arial"/>
          <w:sz w:val="17"/>
          <w:szCs w:val="17"/>
          <w:u w:val="single" w:color="auto"/>
          <w:color w:val="0000EE"/>
        </w:rPr>
      </w:pPr>
    </w:p>
    <w:p>
      <w:pPr>
        <w:spacing w:after="0" w:line="241" w:lineRule="exact"/>
        <w:rPr>
          <w:rFonts w:ascii="Arial" w:cs="Arial" w:eastAsia="Arial" w:hAnsi="Arial"/>
          <w:sz w:val="17"/>
          <w:szCs w:val="17"/>
          <w:u w:val="single" w:color="auto"/>
          <w:color w:val="0000EE"/>
        </w:rPr>
      </w:pPr>
    </w:p>
    <w:p>
      <w:pPr>
        <w:jc w:val="center"/>
        <w:ind w:right="20"/>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rFonts w:ascii="Arial" w:cs="Arial" w:eastAsia="Arial" w:hAnsi="Arial"/>
          <w:sz w:val="17"/>
          <w:szCs w:val="17"/>
          <w:u w:val="single" w:color="auto"/>
          <w:color w:val="0000EE"/>
        </w:rPr>
      </w:pPr>
    </w:p>
    <w:p>
      <w:pPr>
        <w:ind w:left="1300" w:right="340"/>
        <w:spacing w:after="0" w:line="269" w:lineRule="auto"/>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Purchase and Sale Agreement, dated February 29, 2012, by and among Kohlberg Capital Corporation (the “Company”), Commodore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Holdings, L.L.C., Trimaran Advisors, L.L.C., HBK Caravelle, L.L.C., Trimaran Fund Management, L.L.C., Jay R. Bloom, and Dean C.</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Kehler.</w:t>
        </w:r>
        <w:r>
          <w:rPr>
            <w:rFonts w:ascii="Arial" w:cs="Arial" w:eastAsia="Arial" w:hAnsi="Arial"/>
            <w:sz w:val="30"/>
            <w:szCs w:val="30"/>
            <w:u w:val="single" w:color="auto"/>
            <w:color w:val="0000EE"/>
            <w:vertAlign w:val="superscript"/>
          </w:rPr>
          <w:t>(1)</w:t>
        </w:r>
      </w:hyperlink>
    </w:p>
    <w:p>
      <w:pPr>
        <w:spacing w:after="0" w:line="58" w:lineRule="exact"/>
        <w:rPr>
          <w:rFonts w:ascii="Arial" w:cs="Arial" w:eastAsia="Arial" w:hAnsi="Arial"/>
          <w:sz w:val="18"/>
          <w:szCs w:val="18"/>
          <w:u w:val="single" w:color="auto"/>
          <w:color w:val="0000EE"/>
        </w:rPr>
      </w:pPr>
    </w:p>
    <w:p>
      <w:pPr>
        <w:ind w:left="1300"/>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Form of Certificate of Incorporation of the Company.</w:t>
        </w:r>
      </w:hyperlink>
      <w:r>
        <w:rPr>
          <w:rFonts w:ascii="Arial" w:cs="Arial" w:eastAsia="Arial" w:hAnsi="Arial"/>
          <w:sz w:val="30"/>
          <w:szCs w:val="30"/>
          <w:u w:val="single" w:color="auto"/>
          <w:color w:val="0000EE"/>
          <w:vertAlign w:val="superscript"/>
        </w:rPr>
        <w:t>(2)</w:t>
      </w:r>
    </w:p>
    <w:p>
      <w:pPr>
        <w:spacing w:after="0" w:line="128" w:lineRule="exact"/>
        <w:rPr>
          <w:rFonts w:ascii="Arial" w:cs="Arial" w:eastAsia="Arial" w:hAnsi="Arial"/>
          <w:sz w:val="18"/>
          <w:szCs w:val="18"/>
          <w:u w:val="single" w:color="auto"/>
          <w:color w:val="0000EE"/>
        </w:rPr>
      </w:pPr>
    </w:p>
    <w:p>
      <w:pPr>
        <w:ind w:left="1300"/>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Form of Bylaws of the Company, as amended and restated effective February 29, 2012.</w:t>
        </w:r>
      </w:hyperlink>
      <w:r>
        <w:rPr>
          <w:rFonts w:ascii="Arial" w:cs="Arial" w:eastAsia="Arial" w:hAnsi="Arial"/>
          <w:sz w:val="30"/>
          <w:szCs w:val="30"/>
          <w:u w:val="single" w:color="auto"/>
          <w:color w:val="0000EE"/>
          <w:vertAlign w:val="superscript"/>
        </w:rPr>
        <w:t>(3)</w:t>
      </w:r>
    </w:p>
    <w:p>
      <w:pPr>
        <w:spacing w:after="0" w:line="128" w:lineRule="exact"/>
        <w:rPr>
          <w:rFonts w:ascii="Arial" w:cs="Arial" w:eastAsia="Arial" w:hAnsi="Arial"/>
          <w:sz w:val="18"/>
          <w:szCs w:val="18"/>
          <w:u w:val="single" w:color="auto"/>
          <w:color w:val="0000EE"/>
        </w:rPr>
      </w:pPr>
    </w:p>
    <w:p>
      <w:pPr>
        <w:ind w:left="1300"/>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Form of Dividend Reinvestment Plan.</w:t>
        </w:r>
      </w:hyperlink>
      <w:r>
        <w:rPr>
          <w:rFonts w:ascii="Arial" w:cs="Arial" w:eastAsia="Arial" w:hAnsi="Arial"/>
          <w:sz w:val="30"/>
          <w:szCs w:val="30"/>
          <w:u w:val="single" w:color="auto"/>
          <w:color w:val="0000EE"/>
          <w:vertAlign w:val="superscript"/>
        </w:rPr>
        <w:t>(4)</w:t>
      </w:r>
    </w:p>
    <w:p>
      <w:pPr>
        <w:spacing w:after="0" w:line="128" w:lineRule="exact"/>
        <w:rPr>
          <w:rFonts w:ascii="Arial" w:cs="Arial" w:eastAsia="Arial" w:hAnsi="Arial"/>
          <w:sz w:val="18"/>
          <w:szCs w:val="18"/>
          <w:u w:val="single" w:color="auto"/>
          <w:color w:val="0000EE"/>
        </w:rPr>
      </w:pPr>
    </w:p>
    <w:p>
      <w:pPr>
        <w:ind w:left="1300"/>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Form of Base Indenture between the Company, as Issuer, and U.S. Bank National Association, as Trustee</w:t>
        </w:r>
      </w:hyperlink>
      <w:r>
        <w:rPr>
          <w:rFonts w:ascii="Arial" w:cs="Arial" w:eastAsia="Arial" w:hAnsi="Arial"/>
          <w:sz w:val="30"/>
          <w:szCs w:val="30"/>
          <w:u w:val="single" w:color="auto"/>
          <w:color w:val="0000EE"/>
          <w:vertAlign w:val="superscript"/>
        </w:rPr>
        <w:t>(5)</w:t>
      </w:r>
    </w:p>
    <w:p>
      <w:pPr>
        <w:spacing w:after="0" w:line="124" w:lineRule="exact"/>
        <w:rPr>
          <w:rFonts w:ascii="Arial" w:cs="Arial" w:eastAsia="Arial" w:hAnsi="Arial"/>
          <w:sz w:val="18"/>
          <w:szCs w:val="18"/>
          <w:u w:val="single" w:color="auto"/>
          <w:color w:val="0000EE"/>
        </w:rPr>
      </w:pPr>
    </w:p>
    <w:p>
      <w:pPr>
        <w:ind w:left="1300" w:right="120"/>
        <w:spacing w:after="0" w:line="280" w:lineRule="auto"/>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Form of First Supplemental Indenture between the Company and U.S. Bank National Association relating to the 7.375% Senior Notes Due</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2019</w:t>
        </w:r>
        <w:r>
          <w:rPr>
            <w:rFonts w:ascii="Arial" w:cs="Arial" w:eastAsia="Arial" w:hAnsi="Arial"/>
            <w:sz w:val="30"/>
            <w:szCs w:val="30"/>
            <w:u w:val="single" w:color="auto"/>
            <w:color w:val="0000EE"/>
            <w:vertAlign w:val="superscript"/>
          </w:rPr>
          <w:t>(5)</w:t>
        </w:r>
      </w:hyperlink>
    </w:p>
    <w:p>
      <w:pPr>
        <w:spacing w:after="0" w:line="49" w:lineRule="exact"/>
        <w:rPr>
          <w:sz w:val="20"/>
          <w:szCs w:val="20"/>
          <w:color w:val="auto"/>
        </w:rPr>
      </w:pPr>
    </w:p>
    <w:p>
      <w:pPr>
        <w:ind w:left="1300"/>
        <w:spacing w:after="0"/>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Form of Note relating to the 7.375% Senior Notes Due 2019 (included as part of Exhibit 4.3)</w:t>
        </w:r>
      </w:hyperlink>
      <w:r>
        <w:rPr>
          <w:rFonts w:ascii="Arial" w:cs="Arial" w:eastAsia="Arial" w:hAnsi="Arial"/>
          <w:sz w:val="30"/>
          <w:szCs w:val="30"/>
          <w:u w:val="single" w:color="auto"/>
          <w:color w:val="0000EE"/>
          <w:vertAlign w:val="superscript"/>
        </w:rPr>
        <w:t>(5)</w:t>
      </w:r>
    </w:p>
    <w:p>
      <w:pPr>
        <w:spacing w:after="0" w:line="128" w:lineRule="exact"/>
        <w:rPr>
          <w:sz w:val="20"/>
          <w:szCs w:val="20"/>
          <w:color w:val="auto"/>
        </w:rPr>
      </w:pPr>
    </w:p>
    <w:p>
      <w:pPr>
        <w:ind w:left="1300"/>
        <w:spacing w:after="0"/>
        <w:rPr>
          <w:rFonts w:ascii="Arial" w:cs="Arial" w:eastAsia="Arial" w:hAnsi="Arial"/>
          <w:sz w:val="17"/>
          <w:szCs w:val="17"/>
          <w:u w:val="single" w:color="auto"/>
          <w:color w:val="0000EE"/>
        </w:rPr>
      </w:pPr>
      <w:hyperlink r:id="rId131">
        <w:r>
          <w:rPr>
            <w:rFonts w:ascii="Arial" w:cs="Arial" w:eastAsia="Arial" w:hAnsi="Arial"/>
            <w:sz w:val="17"/>
            <w:szCs w:val="17"/>
            <w:u w:val="single" w:color="auto"/>
            <w:color w:val="0000EE"/>
          </w:rPr>
          <w:t>Second Supplemental Indenture between the Company and U.S. Bank National Association relating to the 6.125% Notes Due 2022</w:t>
        </w:r>
      </w:hyperlink>
      <w:r>
        <w:rPr>
          <w:rFonts w:ascii="Arial" w:cs="Arial" w:eastAsia="Arial" w:hAnsi="Arial"/>
          <w:sz w:val="28"/>
          <w:szCs w:val="28"/>
          <w:u w:val="single" w:color="auto"/>
          <w:color w:val="0000EE"/>
          <w:vertAlign w:val="superscript"/>
        </w:rPr>
        <w:t>(6)</w:t>
      </w:r>
    </w:p>
    <w:p>
      <w:pPr>
        <w:spacing w:after="0" w:line="151" w:lineRule="exact"/>
        <w:rPr>
          <w:sz w:val="20"/>
          <w:szCs w:val="20"/>
          <w:color w:val="auto"/>
        </w:rPr>
      </w:pPr>
    </w:p>
    <w:p>
      <w:pPr>
        <w:ind w:left="1300"/>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Form of 6.125% Notes Due 2022 (included as part of Exhibit 4.5).</w:t>
        </w:r>
      </w:hyperlink>
      <w:r>
        <w:rPr>
          <w:rFonts w:ascii="Arial" w:cs="Arial" w:eastAsia="Arial" w:hAnsi="Arial"/>
          <w:sz w:val="30"/>
          <w:szCs w:val="30"/>
          <w:u w:val="single" w:color="auto"/>
          <w:color w:val="0000EE"/>
          <w:vertAlign w:val="superscript"/>
        </w:rPr>
        <w:t>(6)</w:t>
      </w:r>
    </w:p>
    <w:p>
      <w:pPr>
        <w:spacing w:after="0" w:line="124" w:lineRule="exact"/>
        <w:rPr>
          <w:sz w:val="20"/>
          <w:szCs w:val="20"/>
          <w:color w:val="auto"/>
        </w:rPr>
      </w:pPr>
    </w:p>
    <w:p>
      <w:pPr>
        <w:ind w:left="1300" w:right="540"/>
        <w:spacing w:after="0" w:line="308" w:lineRule="auto"/>
        <w:rPr>
          <w:rFonts w:ascii="Arial" w:cs="Arial" w:eastAsia="Arial" w:hAnsi="Arial"/>
          <w:sz w:val="17"/>
          <w:szCs w:val="17"/>
          <w:u w:val="single" w:color="auto"/>
          <w:color w:val="0000EE"/>
        </w:rPr>
      </w:pPr>
      <w:hyperlink r:id="rId132">
        <w:r>
          <w:rPr>
            <w:rFonts w:ascii="Arial" w:cs="Arial" w:eastAsia="Arial" w:hAnsi="Arial"/>
            <w:sz w:val="17"/>
            <w:szCs w:val="17"/>
            <w:u w:val="single" w:color="auto"/>
            <w:color w:val="0000EE"/>
          </w:rPr>
          <w:t>Loan and Security Agreement, dated as of March 1, 2018, by and among KCAP Funding I, LLC, KCAP Financial, Inc., the financial</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institutions party to the Agreement from time to time as lenders, State Bank and Trust Company, CIBC Bank USA</w:t>
        </w:r>
        <w:r>
          <w:rPr>
            <w:rFonts w:ascii="Arial" w:cs="Arial" w:eastAsia="Arial" w:hAnsi="Arial"/>
            <w:sz w:val="28"/>
            <w:szCs w:val="28"/>
            <w:u w:val="single" w:color="auto"/>
            <w:color w:val="0000EE"/>
            <w:vertAlign w:val="superscript"/>
          </w:rPr>
          <w:t>(7)</w:t>
        </w:r>
      </w:hyperlink>
    </w:p>
    <w:p>
      <w:pPr>
        <w:spacing w:after="0" w:line="25" w:lineRule="exact"/>
        <w:rPr>
          <w:sz w:val="20"/>
          <w:szCs w:val="20"/>
          <w:color w:val="auto"/>
        </w:rPr>
      </w:pPr>
    </w:p>
    <w:p>
      <w:pPr>
        <w:ind w:left="13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Computation of Per Share Earnings (included in the notes to the unaudited financial statements contained in this report).</w:t>
        </w:r>
      </w:hyperlink>
    </w:p>
    <w:p>
      <w:pPr>
        <w:spacing w:after="0" w:line="225" w:lineRule="exact"/>
        <w:rPr>
          <w:sz w:val="20"/>
          <w:szCs w:val="20"/>
          <w:color w:val="auto"/>
        </w:rPr>
      </w:pPr>
    </w:p>
    <w:p>
      <w:pPr>
        <w:ind w:left="1300" w:right="420"/>
        <w:spacing w:after="0" w:line="277" w:lineRule="auto"/>
        <w:rPr>
          <w:sz w:val="20"/>
          <w:szCs w:val="20"/>
          <w:color w:val="auto"/>
        </w:rPr>
      </w:pPr>
      <w:r>
        <w:rPr>
          <w:rFonts w:ascii="Arial" w:cs="Arial" w:eastAsia="Arial" w:hAnsi="Arial"/>
          <w:sz w:val="18"/>
          <w:szCs w:val="18"/>
          <w:u w:val="single" w:color="auto"/>
          <w:color w:val="0000EE"/>
        </w:rPr>
        <w:t>Certification of Chief Executive Officer Pursuant to Rule 13a-14(a) under the Securities Exchange Act of 1934, as adopted pursuant to Section 302 of the Sarbanes-Oxley Act of 2002.</w:t>
      </w:r>
    </w:p>
    <w:p>
      <w:pPr>
        <w:spacing w:after="0" w:line="170" w:lineRule="exact"/>
        <w:rPr>
          <w:sz w:val="20"/>
          <w:szCs w:val="20"/>
          <w:color w:val="auto"/>
        </w:rPr>
      </w:pPr>
    </w:p>
    <w:p>
      <w:pPr>
        <w:ind w:left="1300" w:right="480"/>
        <w:spacing w:after="0" w:line="277" w:lineRule="auto"/>
        <w:rPr>
          <w:sz w:val="20"/>
          <w:szCs w:val="20"/>
          <w:color w:val="auto"/>
        </w:rPr>
      </w:pPr>
      <w:r>
        <w:rPr>
          <w:rFonts w:ascii="Arial" w:cs="Arial" w:eastAsia="Arial" w:hAnsi="Arial"/>
          <w:sz w:val="18"/>
          <w:szCs w:val="18"/>
          <w:u w:val="single" w:color="auto"/>
          <w:color w:val="0000EE"/>
        </w:rPr>
        <w:t>Certification of Chief Financial Officer Pursuant to Rule 13a-14(a) under the Securities Exchange Act of 1934, as adopted pursuant to Section 302 of the Sarbanes-Oxley Act of 2002.</w:t>
      </w:r>
    </w:p>
    <w:p>
      <w:pPr>
        <w:spacing w:after="0" w:line="170" w:lineRule="exact"/>
        <w:rPr>
          <w:sz w:val="20"/>
          <w:szCs w:val="20"/>
          <w:color w:val="auto"/>
        </w:rPr>
      </w:pPr>
    </w:p>
    <w:p>
      <w:pPr>
        <w:ind w:left="1300" w:right="380"/>
        <w:spacing w:after="0" w:line="277" w:lineRule="auto"/>
        <w:rPr>
          <w:sz w:val="20"/>
          <w:szCs w:val="20"/>
          <w:color w:val="auto"/>
        </w:rPr>
      </w:pPr>
      <w:r>
        <w:rPr>
          <w:rFonts w:ascii="Arial" w:cs="Arial" w:eastAsia="Arial" w:hAnsi="Arial"/>
          <w:sz w:val="18"/>
          <w:szCs w:val="18"/>
          <w:u w:val="single" w:color="auto"/>
          <w:color w:val="0000EE"/>
        </w:rPr>
        <w:t>Certification of Chief Executive Officer Pursuant to 18 U. S. C. 1350, as adopted pursuant to Section 906 of the Sarbanes-Oxley Act of 2002.</w:t>
      </w:r>
    </w:p>
    <w:p>
      <w:pPr>
        <w:spacing w:after="0" w:line="170" w:lineRule="exact"/>
        <w:rPr>
          <w:sz w:val="20"/>
          <w:szCs w:val="20"/>
          <w:color w:val="auto"/>
        </w:rPr>
      </w:pPr>
    </w:p>
    <w:p>
      <w:pPr>
        <w:ind w:left="1300" w:right="440"/>
        <w:spacing w:after="0" w:line="277" w:lineRule="auto"/>
        <w:rPr>
          <w:sz w:val="20"/>
          <w:szCs w:val="20"/>
          <w:color w:val="auto"/>
        </w:rPr>
      </w:pPr>
      <w:r>
        <w:rPr>
          <w:rFonts w:ascii="Arial" w:cs="Arial" w:eastAsia="Arial" w:hAnsi="Arial"/>
          <w:sz w:val="18"/>
          <w:szCs w:val="18"/>
          <w:u w:val="single" w:color="auto"/>
          <w:color w:val="0000EE"/>
        </w:rPr>
        <w:t>Certification of Chief Financial Officer Pursuant to 18 U. S. C. 1350, as adopted pursuant to Section 906 of the Sarbanes-Oxley Act of 2002.</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herewith</w:t>
      </w:r>
    </w:p>
    <w:p>
      <w:pPr>
        <w:spacing w:after="0" w:line="225"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Exhibit 2.1 of the Current Report on Form 8-K, as filed on March 1, 2012 (File No. 814-00735).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Incorporated by reference to the exhibit included in Pre-Effective Amendment No. 1 on Form N-2, as filed on October 6, 2006 (File No. 333-136714).</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Exhibit 3.1 of the Current Report on Form 8-K, as filed on March 1, 2012 (File No. 814-00735).</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2 on Form N-2, as filed on November 20, 2006 (File No. 333-136714).</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exhibit included in the Registration Statement in Form N-2, as filed on October 3, 2012 (File No. 333-183032).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Incorporated by reference to the exhibit included in Post-Effective Amendment No. 1 on Form N-2, as filed on August 14, 2017 (File No. 333-218596).</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Exhibit 10.9 to the Annual Report on Form 10-K, as filed on March 7, 2018 (File No. 814-00735).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26"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2018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800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D</w:t>
      </w:r>
      <w:r>
        <w:rPr>
          <w:rFonts w:ascii="Arial" w:cs="Arial" w:eastAsia="Arial" w:hAnsi="Arial"/>
          <w:sz w:val="11"/>
          <w:szCs w:val="11"/>
          <w:color w:val="auto"/>
        </w:rPr>
        <w:t>AYL</w:t>
      </w:r>
      <w:r>
        <w:rPr>
          <w:rFonts w:ascii="Arial" w:cs="Arial" w:eastAsia="Arial" w:hAnsi="Arial"/>
          <w:sz w:val="16"/>
          <w:szCs w:val="16"/>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2018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22"/>
        <w:spacing w:after="0" w:line="277" w:lineRule="auto"/>
        <w:tabs>
          <w:tab w:leader="none" w:pos="594"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2"/>
        <w:spacing w:after="0" w:line="264" w:lineRule="auto"/>
        <w:tabs>
          <w:tab w:leader="none" w:pos="59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98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2018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800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D</w:t>
      </w:r>
      <w:r>
        <w:rPr>
          <w:rFonts w:ascii="Arial" w:cs="Arial" w:eastAsia="Arial" w:hAnsi="Arial"/>
          <w:sz w:val="11"/>
          <w:szCs w:val="11"/>
          <w:color w:val="auto"/>
        </w:rPr>
        <w:t>AYL</w:t>
      </w:r>
      <w:r>
        <w:rPr>
          <w:rFonts w:ascii="Arial" w:cs="Arial" w:eastAsia="Arial" w:hAnsi="Arial"/>
          <w:sz w:val="16"/>
          <w:szCs w:val="16"/>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2018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798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bullet"/>
      <w:start w:val="1"/>
    </w:lvl>
  </w:abstractNum>
  <w:abstractNum w:abstractNumId="3">
    <w:nsid w:val="3804823E"/>
    <w:multiLevelType w:val="hybridMultilevel"/>
    <w:lvl w:ilvl="0">
      <w:lvlJc w:val="left"/>
      <w:lvlText w:val="2"/>
      <w:numFmt w:val="bullet"/>
      <w:start w:val="1"/>
    </w:lvl>
  </w:abstractNum>
  <w:abstractNum w:abstractNumId="4">
    <w:nsid w:val="77465F01"/>
    <w:multiLevelType w:val="hybridMultilevel"/>
    <w:lvl w:ilvl="0">
      <w:lvlJc w:val="left"/>
      <w:lvlText w:val="3"/>
      <w:numFmt w:val="bullet"/>
      <w:start w:val="1"/>
    </w:lvl>
  </w:abstractNum>
  <w:abstractNum w:abstractNumId="5">
    <w:nsid w:val="7724C67E"/>
    <w:multiLevelType w:val="hybridMultilevel"/>
    <w:lvl w:ilvl="0">
      <w:lvlJc w:val="left"/>
      <w:lvlText w:val="4"/>
      <w:numFmt w:val="bullet"/>
      <w:start w:val="1"/>
    </w:lvl>
  </w:abstractNum>
  <w:abstractNum w:abstractNumId="6">
    <w:nsid w:val="5C482A97"/>
    <w:multiLevelType w:val="hybridMultilevel"/>
    <w:lvl w:ilvl="0">
      <w:lvlJc w:val="left"/>
      <w:lvlText w:val="5"/>
      <w:numFmt w:val="bullet"/>
      <w:start w:val="1"/>
    </w:lvl>
  </w:abstractNum>
  <w:abstractNum w:abstractNumId="7">
    <w:nsid w:val="2463B9EA"/>
    <w:multiLevelType w:val="hybridMultilevel"/>
    <w:lvl w:ilvl="0">
      <w:lvlJc w:val="left"/>
      <w:lvlText w:val="6"/>
      <w:numFmt w:val="bullet"/>
      <w:start w:val="1"/>
    </w:lvl>
  </w:abstractNum>
  <w:abstractNum w:abstractNumId="8">
    <w:nsid w:val="5E884ADC"/>
    <w:multiLevelType w:val="hybridMultilevel"/>
    <w:lvl w:ilvl="0">
      <w:lvlJc w:val="left"/>
      <w:lvlText w:val="7"/>
      <w:numFmt w:val="bullet"/>
      <w:start w:val="1"/>
    </w:lvl>
  </w:abstractNum>
  <w:abstractNum w:abstractNumId="9">
    <w:nsid w:val="51EAD36B"/>
    <w:multiLevelType w:val="hybridMultilevel"/>
    <w:lvl w:ilvl="0">
      <w:lvlJc w:val="left"/>
      <w:lvlText w:val="8"/>
      <w:numFmt w:val="bullet"/>
      <w:start w:val="1"/>
    </w:lvl>
  </w:abstractNum>
  <w:abstractNum w:abstractNumId="10">
    <w:nsid w:val="2D517796"/>
    <w:multiLevelType w:val="hybridMultilevel"/>
    <w:lvl w:ilvl="0">
      <w:lvlJc w:val="left"/>
      <w:lvlText w:val="9"/>
      <w:numFmt w:val="bullet"/>
      <w:start w:val="1"/>
    </w:lvl>
  </w:abstractNum>
  <w:abstractNum w:abstractNumId="11">
    <w:nsid w:val="580BD78F"/>
    <w:multiLevelType w:val="hybridMultilevel"/>
    <w:lvl w:ilvl="0">
      <w:lvlJc w:val="left"/>
      <w:lvlText w:val="%1"/>
      <w:numFmt w:val="decimal"/>
      <w:start w:val="10"/>
    </w:lvl>
  </w:abstractNum>
  <w:abstractNum w:abstractNumId="12">
    <w:nsid w:val="153EA438"/>
    <w:multiLevelType w:val="hybridMultilevel"/>
    <w:lvl w:ilvl="0">
      <w:lvlJc w:val="left"/>
      <w:lvlText w:val="1"/>
      <w:numFmt w:val="bullet"/>
      <w:start w:val="1"/>
    </w:lvl>
  </w:abstractNum>
  <w:abstractNum w:abstractNumId="13">
    <w:nsid w:val="3855585C"/>
    <w:multiLevelType w:val="hybridMultilevel"/>
    <w:lvl w:ilvl="0">
      <w:lvlJc w:val="left"/>
      <w:lvlText w:val="2"/>
      <w:numFmt w:val="bullet"/>
      <w:start w:val="1"/>
    </w:lvl>
  </w:abstractNum>
  <w:abstractNum w:abstractNumId="14">
    <w:nsid w:val="70A64E2A"/>
    <w:multiLevelType w:val="hybridMultilevel"/>
    <w:lvl w:ilvl="0">
      <w:lvlJc w:val="left"/>
      <w:lvlText w:val="3"/>
      <w:numFmt w:val="bullet"/>
      <w:start w:val="1"/>
    </w:lvl>
  </w:abstractNum>
  <w:abstractNum w:abstractNumId="15">
    <w:nsid w:val="6A2342EC"/>
    <w:multiLevelType w:val="hybridMultilevel"/>
    <w:lvl w:ilvl="0">
      <w:lvlJc w:val="left"/>
      <w:lvlText w:val="4"/>
      <w:numFmt w:val="bullet"/>
      <w:start w:val="1"/>
    </w:lvl>
  </w:abstractNum>
  <w:abstractNum w:abstractNumId="16">
    <w:nsid w:val="2A487CB0"/>
    <w:multiLevelType w:val="hybridMultilevel"/>
    <w:lvl w:ilvl="0">
      <w:lvlJc w:val="left"/>
      <w:lvlText w:val="5"/>
      <w:numFmt w:val="bullet"/>
      <w:start w:val="1"/>
    </w:lvl>
  </w:abstractNum>
  <w:abstractNum w:abstractNumId="17">
    <w:nsid w:val="1D4ED43B"/>
    <w:multiLevelType w:val="hybridMultilevel"/>
    <w:lvl w:ilvl="0">
      <w:lvlJc w:val="left"/>
      <w:lvlText w:val="6"/>
      <w:numFmt w:val="bullet"/>
      <w:start w:val="1"/>
    </w:lvl>
  </w:abstractNum>
  <w:abstractNum w:abstractNumId="18">
    <w:nsid w:val="725A06FB"/>
    <w:multiLevelType w:val="hybridMultilevel"/>
    <w:lvl w:ilvl="0">
      <w:lvlJc w:val="left"/>
      <w:lvlText w:val="7"/>
      <w:numFmt w:val="bullet"/>
      <w:start w:val="1"/>
    </w:lvl>
  </w:abstractNum>
  <w:abstractNum w:abstractNumId="19">
    <w:nsid w:val="2CD89A32"/>
    <w:multiLevelType w:val="hybridMultilevel"/>
    <w:lvl w:ilvl="0">
      <w:lvlJc w:val="left"/>
      <w:lvlText w:val="8"/>
      <w:numFmt w:val="bullet"/>
      <w:start w:val="1"/>
    </w:lvl>
  </w:abstractNum>
  <w:abstractNum w:abstractNumId="20">
    <w:nsid w:val="57E4CCAF"/>
    <w:multiLevelType w:val="hybridMultilevel"/>
    <w:lvl w:ilvl="0">
      <w:lvlJc w:val="left"/>
      <w:lvlText w:val="9"/>
      <w:numFmt w:val="bullet"/>
      <w:start w:val="1"/>
    </w:lvl>
  </w:abstractNum>
  <w:abstractNum w:abstractNumId="21">
    <w:nsid w:val="7A6D8D3C"/>
    <w:multiLevelType w:val="hybridMultilevel"/>
    <w:lvl w:ilvl="0">
      <w:lvlJc w:val="left"/>
      <w:lvlText w:val="%1"/>
      <w:numFmt w:val="decimal"/>
      <w:start w:val="10"/>
    </w:lvl>
  </w:abstractNum>
  <w:abstractNum w:abstractNumId="22">
    <w:nsid w:val="4B588F54"/>
    <w:multiLevelType w:val="hybridMultilevel"/>
    <w:lvl w:ilvl="0">
      <w:lvlJc w:val="left"/>
      <w:lvlText w:val="1"/>
      <w:numFmt w:val="bullet"/>
      <w:start w:val="1"/>
    </w:lvl>
  </w:abstractNum>
  <w:abstractNum w:abstractNumId="23">
    <w:nsid w:val="542289EC"/>
    <w:multiLevelType w:val="hybridMultilevel"/>
    <w:lvl w:ilvl="0">
      <w:lvlJc w:val="left"/>
      <w:lvlText w:val="2"/>
      <w:numFmt w:val="bullet"/>
      <w:start w:val="1"/>
    </w:lvl>
  </w:abstractNum>
  <w:abstractNum w:abstractNumId="24">
    <w:nsid w:val="6DE91B18"/>
    <w:multiLevelType w:val="hybridMultilevel"/>
    <w:lvl w:ilvl="0">
      <w:lvlJc w:val="left"/>
      <w:lvlText w:val="3"/>
      <w:numFmt w:val="bullet"/>
      <w:start w:val="1"/>
    </w:lvl>
  </w:abstractNum>
  <w:abstractNum w:abstractNumId="25">
    <w:nsid w:val="38437FDB"/>
    <w:multiLevelType w:val="hybridMultilevel"/>
    <w:lvl w:ilvl="0">
      <w:lvlJc w:val="left"/>
      <w:lvlText w:val="4"/>
      <w:numFmt w:val="bullet"/>
      <w:start w:val="1"/>
    </w:lvl>
  </w:abstractNum>
  <w:abstractNum w:abstractNumId="26">
    <w:nsid w:val="7644A45C"/>
    <w:multiLevelType w:val="hybridMultilevel"/>
    <w:lvl w:ilvl="0">
      <w:lvlJc w:val="left"/>
      <w:lvlText w:val="5"/>
      <w:numFmt w:val="bullet"/>
      <w:start w:val="1"/>
    </w:lvl>
  </w:abstractNum>
  <w:abstractNum w:abstractNumId="27">
    <w:nsid w:val="32FFF902"/>
    <w:multiLevelType w:val="hybridMultilevel"/>
    <w:lvl w:ilvl="0">
      <w:lvlJc w:val="left"/>
      <w:lvlText w:val="6"/>
      <w:numFmt w:val="bullet"/>
      <w:start w:val="1"/>
    </w:lvl>
  </w:abstractNum>
  <w:abstractNum w:abstractNumId="28">
    <w:nsid w:val="684A481A"/>
    <w:multiLevelType w:val="hybridMultilevel"/>
    <w:lvl w:ilvl="0">
      <w:lvlJc w:val="left"/>
      <w:lvlText w:val="¹"/>
      <w:numFmt w:val="bullet"/>
      <w:start w:val="1"/>
    </w:lvl>
  </w:abstractNum>
  <w:abstractNum w:abstractNumId="29">
    <w:nsid w:val="579478FE"/>
    <w:multiLevelType w:val="hybridMultilevel"/>
    <w:lvl w:ilvl="0">
      <w:lvlJc w:val="left"/>
      <w:lvlText w:val="²"/>
      <w:numFmt w:val="bullet"/>
      <w:start w:val="1"/>
    </w:lvl>
  </w:abstractNum>
  <w:abstractNum w:abstractNumId="30">
    <w:nsid w:val="749ABB43"/>
    <w:multiLevelType w:val="hybridMultilevel"/>
    <w:lvl w:ilvl="0">
      <w:lvlJc w:val="left"/>
      <w:lvlText w:val="³"/>
      <w:numFmt w:val="bullet"/>
      <w:start w:val="1"/>
    </w:lvl>
  </w:abstractNum>
  <w:abstractNum w:abstractNumId="31">
    <w:nsid w:val="3DC240FB"/>
    <w:multiLevelType w:val="hybridMultilevel"/>
    <w:lvl w:ilvl="0">
      <w:lvlJc w:val="left"/>
      <w:lvlText w:val="1"/>
      <w:numFmt w:val="bullet"/>
      <w:start w:val="1"/>
    </w:lvl>
  </w:abstractNum>
  <w:abstractNum w:abstractNumId="32">
    <w:nsid w:val="1BA026FA"/>
    <w:multiLevelType w:val="hybridMultilevel"/>
    <w:lvl w:ilvl="0">
      <w:lvlJc w:val="left"/>
      <w:lvlText w:val="2"/>
      <w:numFmt w:val="bullet"/>
      <w:start w:val="1"/>
    </w:lvl>
  </w:abstractNum>
  <w:abstractNum w:abstractNumId="33">
    <w:nsid w:val="79A1DEAA"/>
    <w:multiLevelType w:val="hybridMultilevel"/>
    <w:lvl w:ilvl="0">
      <w:lvlJc w:val="left"/>
      <w:lvlText w:val="1"/>
      <w:numFmt w:val="bullet"/>
      <w:start w:val="1"/>
    </w:lvl>
  </w:abstractNum>
  <w:abstractNum w:abstractNumId="34">
    <w:nsid w:val="75C6C33A"/>
    <w:multiLevelType w:val="hybridMultilevel"/>
    <w:lvl w:ilvl="0">
      <w:lvlJc w:val="left"/>
      <w:lvlText w:val="2"/>
      <w:numFmt w:val="bullet"/>
      <w:start w:val="1"/>
    </w:lvl>
  </w:abstractNum>
  <w:abstractNum w:abstractNumId="35">
    <w:nsid w:val="12E685FB"/>
    <w:multiLevelType w:val="hybridMultilevel"/>
    <w:lvl w:ilvl="0">
      <w:lvlJc w:val="left"/>
      <w:lvlText w:val="3"/>
      <w:numFmt w:val="bullet"/>
      <w:start w:val="1"/>
    </w:lvl>
  </w:abstractNum>
  <w:abstractNum w:abstractNumId="36">
    <w:nsid w:val="70C6A529"/>
    <w:multiLevelType w:val="hybridMultilevel"/>
    <w:lvl w:ilvl="0">
      <w:lvlJc w:val="left"/>
      <w:lvlText w:val="4"/>
      <w:numFmt w:val="bullet"/>
      <w:start w:val="1"/>
    </w:lvl>
  </w:abstractNum>
  <w:abstractNum w:abstractNumId="37">
    <w:nsid w:val="520EEDD1"/>
    <w:multiLevelType w:val="hybridMultilevel"/>
    <w:lvl w:ilvl="0">
      <w:lvlJc w:val="left"/>
      <w:lvlText w:val="5"/>
      <w:numFmt w:val="bullet"/>
      <w:start w:val="1"/>
    </w:lvl>
  </w:abstractNum>
  <w:abstractNum w:abstractNumId="38">
    <w:nsid w:val="374A3FE6"/>
    <w:multiLevelType w:val="hybridMultilevel"/>
    <w:lvl w:ilvl="0">
      <w:lvlJc w:val="left"/>
      <w:lvlText w:val="6"/>
      <w:numFmt w:val="bullet"/>
      <w:start w:val="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upperLetter"/>
      <w:start w:val="35"/>
    </w:lvl>
  </w:abstractNum>
  <w:abstractNum w:abstractNumId="42">
    <w:nsid w:val="275AC794"/>
    <w:multiLevelType w:val="hybridMultilevel"/>
    <w:lvl w:ilvl="0">
      <w:lvlJc w:val="left"/>
      <w:lvlText w:val="¹"/>
      <w:numFmt w:val="bullet"/>
      <w:start w:val="1"/>
    </w:lvl>
  </w:abstractNum>
  <w:abstractNum w:abstractNumId="43">
    <w:nsid w:val="39386575"/>
    <w:multiLevelType w:val="hybridMultilevel"/>
    <w:lvl w:ilvl="0">
      <w:lvlJc w:val="left"/>
      <w:lvlText w:val="¹"/>
      <w:numFmt w:val="bullet"/>
      <w:start w:val="1"/>
    </w:lvl>
  </w:abstractNum>
  <w:abstractNum w:abstractNumId="44">
    <w:nsid w:val="1CF10FD8"/>
    <w:multiLevelType w:val="hybridMultilevel"/>
    <w:lvl w:ilvl="0">
      <w:lvlJc w:val="left"/>
      <w:lvlText w:val="1"/>
      <w:numFmt w:val="bullet"/>
      <w:start w:val="1"/>
    </w:lvl>
  </w:abstractNum>
  <w:abstractNum w:abstractNumId="45">
    <w:nsid w:val="180115BE"/>
    <w:multiLevelType w:val="hybridMultilevel"/>
    <w:lvl w:ilvl="0">
      <w:lvlJc w:val="left"/>
      <w:lvlText w:val="(%1)"/>
      <w:numFmt w:val="lowerRoman"/>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¹"/>
      <w:numFmt w:val="bullet"/>
      <w:start w:val="1"/>
    </w:lvl>
  </w:abstractNum>
  <w:abstractNum w:abstractNumId="48">
    <w:nsid w:val="354FE9F9"/>
    <w:multiLevelType w:val="hybridMultilevel"/>
    <w:lvl w:ilvl="0">
      <w:lvlJc w:val="left"/>
      <w:lvlText w:val="²"/>
      <w:numFmt w:val="bullet"/>
      <w:start w:val="1"/>
    </w:lvl>
  </w:abstractNum>
  <w:abstractNum w:abstractNumId="49">
    <w:nsid w:val="15B5AF5C"/>
    <w:multiLevelType w:val="hybridMultilevel"/>
    <w:lvl w:ilvl="0">
      <w:lvlJc w:val="left"/>
      <w:lvlText w:val="³"/>
      <w:numFmt w:val="bullet"/>
      <w:start w:val="1"/>
    </w:lvl>
  </w:abstractNum>
  <w:abstractNum w:abstractNumId="50">
    <w:nsid w:val="741226BB"/>
    <w:multiLevelType w:val="hybridMultilevel"/>
    <w:lvl w:ilvl="0">
      <w:lvlJc w:val="left"/>
      <w:lvlText w:val="1"/>
      <w:numFmt w:val="bullet"/>
      <w:start w:val="1"/>
    </w:lvl>
  </w:abstractNum>
  <w:abstractNum w:abstractNumId="51">
    <w:nsid w:val="D34B6A8"/>
    <w:multiLevelType w:val="hybridMultilevel"/>
    <w:lvl w:ilvl="0">
      <w:lvlJc w:val="left"/>
      <w:lvlText w:val="2"/>
      <w:numFmt w:val="bullet"/>
      <w:start w:val="1"/>
    </w:lvl>
  </w:abstractNum>
  <w:abstractNum w:abstractNumId="52">
    <w:nsid w:val="10233C99"/>
    <w:multiLevelType w:val="hybridMultilevel"/>
    <w:lvl w:ilvl="0">
      <w:lvlJc w:val="left"/>
      <w:lvlText w:val="\emdash "/>
      <w:numFmt w:val="bullet"/>
      <w:start w:val="1"/>
    </w:lvl>
  </w:abstractNum>
  <w:abstractNum w:abstractNumId="53">
    <w:nsid w:val="3F6AB60F"/>
    <w:multiLevelType w:val="hybridMultilevel"/>
    <w:lvl w:ilvl="0">
      <w:lvlJc w:val="left"/>
      <w:lvlText w:val="³"/>
      <w:numFmt w:val="bullet"/>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decimal"/>
      <w:start w:val="5"/>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5"/>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30" Type="http://schemas.openxmlformats.org/officeDocument/2006/relationships/hyperlink" Target="http://www.sec.gov/Archives/edgar/data/1372807/000114420412054349/v323537_ex99d5.htm" TargetMode="External"/><Relationship Id="rId131" Type="http://schemas.openxmlformats.org/officeDocument/2006/relationships/hyperlink" Target="http://www.sec.gov/Archives/edgar/data/1372807/000114420417042730/v473026_ex99-d6.htm" TargetMode="External"/><Relationship Id="rId132" Type="http://schemas.openxmlformats.org/officeDocument/2006/relationships/hyperlink" Target="http://www.sec.gov/Archives/edgar/data/1372807/000114420418013345/tv486663_ex10-9.htm" TargetMode="External"/><Relationship Id="rId133" Type="http://schemas.openxmlformats.org/officeDocument/2006/relationships/hyperlink" Target="http://www.sec.gov/Archives/edgar/data/1372807/000114420412012240/v304412_ex2-1.htm" TargetMode="External"/><Relationship Id="rId134" Type="http://schemas.openxmlformats.org/officeDocument/2006/relationships/hyperlink" Target="http://www.sec.gov/Archives/edgar/data/1372807/000119312506204545/dex99a.htm" TargetMode="External"/><Relationship Id="rId135" Type="http://schemas.openxmlformats.org/officeDocument/2006/relationships/hyperlink" Target="http://www.sec.gov/Archives/edgar/data/1372807/000114420412012240/v304412_ex3-1.htm" TargetMode="External"/><Relationship Id="rId136" Type="http://schemas.openxmlformats.org/officeDocument/2006/relationships/hyperlink" Target="http://www.sec.gov/Archives/edgar/data/1372807/000119312506238694/dex99e.htm" TargetMode="External"/><Relationship Id="rId137" Type="http://schemas.openxmlformats.org/officeDocument/2006/relationships/hyperlink" Target="http://www.sec.gov/Archives/edgar/data/1372807/000114420412054349/v323537_ex99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2019-12-07T06:14:39Z</dcterms:created>
  <dcterms:modified xsi:type="dcterms:W3CDTF">2019-12-07T06:14:39Z</dcterms:modified>
</cp:coreProperties>
</file>