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Portman Ridge Finance Corporation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73688F201</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April 11, 2022</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5"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X </w:t>
      </w:r>
      <w:r>
        <w:rPr>
          <w:rFonts w:ascii="Times New Roman" w:cs="Times New Roman" w:eastAsia="Times New Roman" w:hAnsi="Times New Roman"/>
          <w:sz w:val="20"/>
          <w:szCs w:val="20"/>
          <w:color w:val="auto"/>
        </w:rPr>
        <w:t>]    Rule 13d-1(b)</w:t>
      </w:r>
    </w:p>
    <w:p>
      <w:pPr>
        <w:spacing w:after="0" w:line="229" w:lineRule="exact"/>
        <w:rPr>
          <w:rFonts w:ascii="Times New Roman" w:cs="Times New Roman" w:eastAsia="Times New Roman" w:hAnsi="Times New Roman"/>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X </w:t>
      </w:r>
      <w:r>
        <w:rPr>
          <w:rFonts w:ascii="Times New Roman" w:cs="Times New Roman" w:eastAsia="Times New Roman" w:hAnsi="Times New Roman"/>
          <w:sz w:val="20"/>
          <w:szCs w:val="20"/>
          <w:color w:val="auto"/>
        </w:rPr>
        <w:t>]    Rule 13d-1(c)</w:t>
      </w:r>
    </w:p>
    <w:p>
      <w:pPr>
        <w:spacing w:after="0" w:line="233" w:lineRule="exact"/>
        <w:rPr>
          <w:sz w:val="24"/>
          <w:szCs w:val="24"/>
          <w:color w:val="auto"/>
        </w:rPr>
      </w:pPr>
    </w:p>
    <w:p>
      <w:pPr>
        <w:ind w:left="780" w:hanging="124"/>
        <w:spacing w:after="0"/>
        <w:tabs>
          <w:tab w:leader="none" w:pos="7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29"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3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Repertoire Partners LP (f/k/a Sarpa Management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1,077,731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11.1%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3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Repertoire Holdings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1,077,731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11.1%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34"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Repertoire Partners GP LLC (f/k/a Sarpa Management GP LLC)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1,077,731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11.1%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34"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Repertoire Master Fund LP (f/k/a Sarpa Partners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1,077,731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11.1%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3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Deepak Sarpangal</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X</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U.S.A.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line="20" w:lineRule="exact"/>
              <w:rPr>
                <w:sz w:val="1"/>
                <w:szCs w:val="1"/>
                <w:color w:val="auto"/>
              </w:rPr>
            </w:pPr>
          </w:p>
        </w:tc>
        <w:tc>
          <w:tcPr>
            <w:tcW w:w="8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160" w:type="dxa"/>
            <w:vAlign w:val="bottom"/>
            <w:vMerge w:val="continue"/>
          </w:tcPr>
          <w:p>
            <w:pPr>
              <w:spacing w:after="0"/>
              <w:rPr>
                <w:sz w:val="16"/>
                <w:szCs w:val="16"/>
                <w:color w:val="auto"/>
              </w:rPr>
            </w:pPr>
          </w:p>
        </w:tc>
        <w:tc>
          <w:tcPr>
            <w:tcW w:w="260" w:type="dxa"/>
            <w:vAlign w:val="bottom"/>
          </w:tcPr>
          <w:p>
            <w:pPr>
              <w:jc w:val="right"/>
              <w:spacing w:after="0" w:line="186" w:lineRule="exact"/>
              <w:rPr>
                <w:sz w:val="20"/>
                <w:szCs w:val="20"/>
                <w:color w:val="auto"/>
              </w:rPr>
            </w:pPr>
            <w:r>
              <w:rPr>
                <w:rFonts w:ascii="Times New Roman" w:cs="Times New Roman" w:eastAsia="Times New Roman" w:hAnsi="Times New Roman"/>
                <w:sz w:val="20"/>
                <w:szCs w:val="20"/>
                <w:color w:val="auto"/>
              </w:rPr>
              <w:t>6.</w:t>
            </w:r>
          </w:p>
        </w:tc>
        <w:tc>
          <w:tcPr>
            <w:tcW w:w="882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160" w:type="dxa"/>
            <w:vAlign w:val="bottom"/>
            <w:vMerge w:val="continue"/>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173"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5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1,077,731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1,077,731</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11.1%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w:t>
      </w:r>
    </w:p>
    <w:p>
      <w:pPr>
        <w:spacing w:after="0" w:line="207"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Portman Ridge Finance Corporation</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650 Madison Avenue, 23rd Floor, New York, NY 10022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The names of the persons filing this statement 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Repertoire Partners LP (“Repertoire”)</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Repertoire Holdings LLC (the “General Partner”)</w:t>
      </w:r>
    </w:p>
    <w:p>
      <w:pPr>
        <w:ind w:left="1300"/>
        <w:spacing w:after="0"/>
        <w:rPr>
          <w:sz w:val="20"/>
          <w:szCs w:val="20"/>
          <w:color w:val="auto"/>
        </w:rPr>
      </w:pPr>
      <w:r>
        <w:rPr>
          <w:rFonts w:ascii="Times New Roman" w:cs="Times New Roman" w:eastAsia="Times New Roman" w:hAnsi="Times New Roman"/>
          <w:sz w:val="20"/>
          <w:szCs w:val="20"/>
          <w:b w:val="1"/>
          <w:bCs w:val="1"/>
          <w:color w:val="auto"/>
        </w:rPr>
        <w:t>Repertoire Partners GP LLC (“Repertoire GP”)</w:t>
      </w:r>
    </w:p>
    <w:p>
      <w:pPr>
        <w:ind w:left="1300"/>
        <w:spacing w:after="0"/>
        <w:rPr>
          <w:sz w:val="20"/>
          <w:szCs w:val="20"/>
          <w:color w:val="auto"/>
        </w:rPr>
      </w:pPr>
      <w:r>
        <w:rPr>
          <w:rFonts w:ascii="Times New Roman" w:cs="Times New Roman" w:eastAsia="Times New Roman" w:hAnsi="Times New Roman"/>
          <w:sz w:val="20"/>
          <w:szCs w:val="20"/>
          <w:b w:val="1"/>
          <w:bCs w:val="1"/>
          <w:color w:val="auto"/>
        </w:rPr>
        <w:t>Repertoire Master Fund LP (the “Master Fund”)</w:t>
      </w:r>
    </w:p>
    <w:p>
      <w:pPr>
        <w:ind w:left="1300"/>
        <w:spacing w:after="0"/>
        <w:rPr>
          <w:sz w:val="20"/>
          <w:szCs w:val="20"/>
          <w:color w:val="auto"/>
        </w:rPr>
      </w:pPr>
      <w:r>
        <w:rPr>
          <w:rFonts w:ascii="Times New Roman" w:cs="Times New Roman" w:eastAsia="Times New Roman" w:hAnsi="Times New Roman"/>
          <w:sz w:val="20"/>
          <w:szCs w:val="20"/>
          <w:b w:val="1"/>
          <w:bCs w:val="1"/>
          <w:color w:val="auto"/>
        </w:rPr>
        <w:t>Deepak Sarpangal</w:t>
      </w:r>
    </w:p>
    <w:p>
      <w:pPr>
        <w:ind w:left="1300"/>
        <w:spacing w:after="0"/>
        <w:rPr>
          <w:sz w:val="20"/>
          <w:szCs w:val="20"/>
          <w:color w:val="auto"/>
        </w:rPr>
      </w:pPr>
      <w:r>
        <w:rPr>
          <w:rFonts w:ascii="Times New Roman" w:cs="Times New Roman" w:eastAsia="Times New Roman" w:hAnsi="Times New Roman"/>
          <w:sz w:val="20"/>
          <w:szCs w:val="20"/>
          <w:color w:val="auto"/>
        </w:rPr>
        <w:t>(collectively, the “Filers”).</w:t>
      </w:r>
    </w:p>
    <w:p>
      <w:pPr>
        <w:spacing w:after="0" w:line="207" w:lineRule="exact"/>
        <w:rPr>
          <w:sz w:val="20"/>
          <w:szCs w:val="20"/>
          <w:color w:val="auto"/>
        </w:rPr>
      </w:pPr>
    </w:p>
    <w:p>
      <w:pPr>
        <w:ind w:left="1300"/>
        <w:spacing w:after="0" w:line="244" w:lineRule="auto"/>
        <w:rPr>
          <w:sz w:val="20"/>
          <w:szCs w:val="20"/>
          <w:color w:val="auto"/>
        </w:rPr>
      </w:pPr>
      <w:r>
        <w:rPr>
          <w:rFonts w:ascii="Times New Roman" w:cs="Times New Roman" w:eastAsia="Times New Roman" w:hAnsi="Times New Roman"/>
          <w:sz w:val="20"/>
          <w:szCs w:val="20"/>
          <w:color w:val="auto"/>
        </w:rPr>
        <w:t>Repertoire is the investment adviser to investment funds, including the Master Fund, and the General Partner is the general partner of one or more of those funds. Repertoire GP is the general partner of Repertoire. Mr. Sarpangal is the control person of Repertoire, Repertoire GP and the General Partner. The Filers are filing this Schedule 13G jointly, but not as members of a group, and each disclaims membership in a group. Each Filer also disclaims beneficial ownership of the Stock except to the extent of that person’s pecuniary interest therein. Further, filing this Schedule 13G on behalf of the Master Fund should not be construed as an admission that it is, and it disclaims that it is, a beneficial owner, as defined in Rule 13d-3 under the Act, of any of the Stock covered by this Schedule 13G.</w:t>
      </w:r>
    </w:p>
    <w:p>
      <w:pPr>
        <w:spacing w:after="0" w:line="19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31 Hudson Yards, 11th Floor, Suite 43, New York, NY 10001</w:t>
      </w:r>
    </w:p>
    <w:p>
      <w:pPr>
        <w:spacing w:after="0" w:line="200" w:lineRule="exact"/>
        <w:rPr>
          <w:rFonts w:ascii="Times New Roman" w:cs="Times New Roman" w:eastAsia="Times New Roman" w:hAnsi="Times New Roman"/>
          <w:sz w:val="20"/>
          <w:szCs w:val="20"/>
          <w:color w:val="auto"/>
        </w:rPr>
      </w:pPr>
    </w:p>
    <w:p>
      <w:pPr>
        <w:spacing w:after="0" w:line="26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statement relates to the Issuer’s Common Stock, par value $0.01 per share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number of the Issuer is: 73688F201</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ectPr>
          <w:pgSz w:w="11900" w:h="16838" w:orient="portrait"/>
          <w:cols w:equalWidth="0" w:num="1">
            <w:col w:w="11220"/>
          </w:cols>
          <w:pgMar w:left="320" w:top="229" w:right="359" w:bottom="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(e)</w:t>
      </w:r>
      <w:r>
        <w:rPr>
          <w:sz w:val="20"/>
          <w:szCs w:val="20"/>
          <w:color w:val="auto"/>
        </w:rPr>
        <w:tab/>
      </w:r>
      <w:r>
        <w:rPr>
          <w:rFonts w:ascii="Times New Roman" w:cs="Times New Roman" w:eastAsia="Times New Roman" w:hAnsi="Times New Roman"/>
          <w:sz w:val="19"/>
          <w:szCs w:val="19"/>
          <w:color w:val="auto"/>
        </w:rPr>
        <w:t>[ x ] An investment adviser in accordance with section 240.13d-1(b)(1)(ii)(E).</w:t>
      </w:r>
    </w:p>
    <w:p>
      <w:pPr>
        <w:sectPr>
          <w:pgSz w:w="11900" w:h="16838" w:orient="portrait"/>
          <w:cols w:equalWidth="0" w:num="1">
            <w:col w:w="11220"/>
          </w:cols>
          <w:pgMar w:left="320" w:top="229" w:right="359" w:bottom="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An employee benefit plan or endowment fund in accordance with section 240.13d-1(b)(1)(ii)(F).</w:t>
      </w:r>
    </w:p>
    <w:p>
      <w:pPr>
        <w:spacing w:after="0" w:line="211"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(g)</w:t>
      </w:r>
      <w:r>
        <w:rPr>
          <w:sz w:val="20"/>
          <w:szCs w:val="20"/>
          <w:color w:val="auto"/>
        </w:rPr>
        <w:tab/>
      </w:r>
      <w:r>
        <w:rPr>
          <w:rFonts w:ascii="Times New Roman" w:cs="Times New Roman" w:eastAsia="Times New Roman" w:hAnsi="Times New Roman"/>
          <w:sz w:val="19"/>
          <w:szCs w:val="19"/>
          <w:color w:val="auto"/>
        </w:rPr>
        <w:t>[ x ] A parent holding company or control person in accordance with 240.13d-1(b)(1)(ii)(G).</w:t>
      </w:r>
    </w:p>
    <w:p>
      <w:pPr>
        <w:sectPr>
          <w:pgSz w:w="11900" w:h="16838" w:orient="portrait"/>
          <w:cols w:equalWidth="0" w:num="1">
            <w:col w:w="11220"/>
          </w:cols>
          <w:pgMar w:left="320" w:top="229" w:right="359" w:bottom="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3"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 A non-U.S. institution in accordance with §240.13d-1(b)(ii)(J).</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260"/>
          </w:cols>
          <w:pgMar w:left="320" w:top="229" w:right="359" w:bottom="0" w:gutter="0" w:footer="0" w:header="0"/>
          <w:type w:val="continuous"/>
        </w:sectPr>
      </w:pPr>
    </w:p>
    <w:p>
      <w:pPr>
        <w:spacing w:after="0" w:line="41" w:lineRule="exact"/>
        <w:rPr>
          <w:sz w:val="20"/>
          <w:szCs w:val="20"/>
          <w:color w:val="auto"/>
        </w:rPr>
      </w:pPr>
    </w:p>
    <w:p>
      <w:pPr>
        <w:ind w:left="660" w:right="162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220"/>
          </w:cols>
          <w:pgMar w:left="320" w:top="229" w:right="359"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00" w:space="700"/>
            <w:col w:w="9920"/>
          </w:cols>
          <w:pgMar w:left="320" w:top="229" w:right="35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percentages reported in this Schedule 13G are based on 9,699,695 shares of Common Stock outstanding as of March 8, 2022, as reported in the Issuer’s Form 10-K filed on March 10, 2022.</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Repertoire is the investment adviser to investment funds, including the Master Fund, and the General Partner is the general partner of one or more of those funds. The funds hold the Stock for the benefit of their investors and have the right to receive or the power to direct the receipt of dividends from, or the proceeds from the sale of, the Stock. Other than the Master Fund, no individual fund’s holdings of the Stock are more than five percent of the outstanding Stock.</w:t>
      </w:r>
    </w:p>
    <w:p>
      <w:pPr>
        <w:spacing w:after="0" w:line="189" w:lineRule="exact"/>
        <w:rPr>
          <w:sz w:val="20"/>
          <w:szCs w:val="20"/>
          <w:color w:val="auto"/>
        </w:rPr>
      </w:pPr>
    </w:p>
    <w:p>
      <w:pPr>
        <w:ind w:left="1300" w:right="36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Material to Be Filed as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Regarding Joint Filing of Statement on Schedule 13D or 13G.</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Repertoire, Repertoire GP, the General Partner and Mr. Sarpangal</w:t>
      </w:r>
    </w:p>
    <w:p>
      <w:pPr>
        <w:spacing w:after="0" w:line="233"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w:t>
      </w:r>
    </w:p>
    <w:p>
      <w:pPr>
        <w:sectPr>
          <w:pgSz w:w="11900" w:h="16838" w:orient="portrait"/>
          <w:cols w:equalWidth="0" w:num="1">
            <w:col w:w="11220"/>
          </w:cols>
          <w:pgMar w:left="320" w:top="229" w:right="359" w:bottom="0" w:gutter="0" w:footer="0" w:header="0"/>
          <w:type w:val="continuous"/>
        </w:sectPr>
      </w:pPr>
    </w:p>
    <w:bookmarkStart w:id="8" w:name="page9"/>
    <w:bookmarkEnd w:id="8"/>
    <w:p>
      <w:pPr>
        <w:ind w:right="100"/>
        <w:spacing w:after="0" w:line="268" w:lineRule="auto"/>
        <w:rPr>
          <w:sz w:val="20"/>
          <w:szCs w:val="20"/>
          <w:color w:val="auto"/>
        </w:rPr>
      </w:pPr>
      <w:r>
        <w:rPr>
          <w:rFonts w:ascii="Times New Roman" w:cs="Times New Roman" w:eastAsia="Times New Roman" w:hAnsi="Times New Roman"/>
          <w:sz w:val="20"/>
          <w:szCs w:val="20"/>
          <w:color w:val="auto"/>
        </w:rPr>
        <w:t>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the Master Fund</w:t>
      </w:r>
    </w:p>
    <w:p>
      <w:pPr>
        <w:spacing w:after="0" w:line="2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320" w:top="118"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w:t>
      </w:r>
    </w:p>
    <w:p>
      <w:pPr>
        <w:ind w:right="60"/>
        <w:spacing w:after="0" w:line="246"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Dated: April 22, 2022</w:t>
            </w:r>
          </w:p>
        </w:tc>
        <w:tc>
          <w:tcPr>
            <w:tcW w:w="9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59"/>
        </w:trPr>
        <w:tc>
          <w:tcPr>
            <w:tcW w:w="644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Partners LP</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Master Fund LP</w:t>
            </w:r>
          </w:p>
        </w:tc>
      </w:tr>
      <w:tr>
        <w:trPr>
          <w:trHeight w:val="430"/>
        </w:trPr>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59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Repertoire Partners GP LLC,</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By:  Repertoire Holdings LLC,</w:t>
            </w:r>
          </w:p>
        </w:tc>
      </w:tr>
      <w:tr>
        <w:trPr>
          <w:trHeight w:val="258"/>
        </w:trPr>
        <w:tc>
          <w:tcPr>
            <w:tcW w:w="500" w:type="dxa"/>
            <w:vAlign w:val="bottom"/>
          </w:tcPr>
          <w:p>
            <w:pPr>
              <w:spacing w:after="0"/>
              <w:rPr>
                <w:sz w:val="22"/>
                <w:szCs w:val="22"/>
                <w:color w:val="auto"/>
              </w:rPr>
            </w:pPr>
          </w:p>
        </w:tc>
        <w:tc>
          <w:tcPr>
            <w:tcW w:w="59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48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683"/>
        </w:trPr>
        <w:tc>
          <w:tcPr>
            <w:tcW w:w="500" w:type="dxa"/>
            <w:vAlign w:val="bottom"/>
          </w:tcPr>
          <w:p>
            <w:pPr>
              <w:spacing w:after="0"/>
              <w:rPr>
                <w:sz w:val="24"/>
                <w:szCs w:val="24"/>
                <w:color w:val="auto"/>
              </w:rPr>
            </w:pPr>
          </w:p>
        </w:tc>
        <w:tc>
          <w:tcPr>
            <w:tcW w:w="594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Deepak Sarpangal</w:t>
            </w:r>
          </w:p>
        </w:tc>
        <w:tc>
          <w:tcPr>
            <w:tcW w:w="48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Deepak Sarpangal</w:t>
            </w:r>
          </w:p>
        </w:tc>
      </w:tr>
      <w:tr>
        <w:trPr>
          <w:trHeight w:val="200"/>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Borders>
              <w:top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Deepak Sarpangal</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tcBorders>
              <w:top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Deepak Sarpangal</w:t>
            </w:r>
          </w:p>
        </w:tc>
        <w:tc>
          <w:tcPr>
            <w:tcW w:w="100" w:type="dxa"/>
            <w:vAlign w:val="bottom"/>
          </w:tcPr>
          <w:p>
            <w:pPr>
              <w:spacing w:after="0"/>
              <w:rPr>
                <w:sz w:val="17"/>
                <w:szCs w:val="17"/>
                <w:color w:val="auto"/>
              </w:rPr>
            </w:pPr>
          </w:p>
        </w:tc>
      </w:tr>
      <w:tr>
        <w:trPr>
          <w:trHeight w:val="258"/>
        </w:trPr>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Managing Member</w:t>
            </w:r>
          </w:p>
        </w:tc>
        <w:tc>
          <w:tcPr>
            <w:tcW w:w="980" w:type="dxa"/>
            <w:vAlign w:val="bottom"/>
          </w:tcPr>
          <w:p>
            <w:pPr>
              <w:spacing w:after="0"/>
              <w:rPr>
                <w:sz w:val="22"/>
                <w:szCs w:val="22"/>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459"/>
        </w:trPr>
        <w:tc>
          <w:tcPr>
            <w:tcW w:w="6440" w:type="dxa"/>
            <w:vAlign w:val="bottom"/>
            <w:gridSpan w:val="5"/>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Holdings LLC</w:t>
            </w: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3"/>
        </w:trPr>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5940" w:type="dxa"/>
            <w:vAlign w:val="bottom"/>
            <w:gridSpan w:val="4"/>
          </w:tcPr>
          <w:p>
            <w:pPr>
              <w:ind w:left="100"/>
              <w:spacing w:after="0"/>
              <w:rPr>
                <w:sz w:val="20"/>
                <w:szCs w:val="20"/>
                <w:color w:val="auto"/>
              </w:rPr>
            </w:pPr>
            <w:r>
              <w:rPr>
                <w:rFonts w:ascii="Times New Roman" w:cs="Times New Roman" w:eastAsia="Times New Roman" w:hAnsi="Times New Roman"/>
                <w:sz w:val="20"/>
                <w:szCs w:val="20"/>
                <w:i w:val="1"/>
                <w:iCs w:val="1"/>
                <w:color w:val="auto"/>
              </w:rPr>
              <w:t>/s/ Deepak Sarpangal</w:t>
            </w: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20"/>
                <w:szCs w:val="20"/>
                <w:i w:val="1"/>
                <w:iCs w:val="1"/>
                <w:color w:val="auto"/>
              </w:rPr>
              <w:t>/s/ Deepak Sarpangal</w:t>
            </w:r>
          </w:p>
        </w:tc>
      </w:tr>
      <w:tr>
        <w:trPr>
          <w:trHeight w:val="256"/>
        </w:trPr>
        <w:tc>
          <w:tcPr>
            <w:tcW w:w="500" w:type="dxa"/>
            <w:vAlign w:val="bottom"/>
          </w:tcPr>
          <w:p>
            <w:pPr>
              <w:spacing w:after="0"/>
              <w:rPr>
                <w:sz w:val="22"/>
                <w:szCs w:val="22"/>
                <w:color w:val="auto"/>
              </w:rPr>
            </w:pPr>
          </w:p>
        </w:tc>
        <w:tc>
          <w:tcPr>
            <w:tcW w:w="5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Deepak Sarpangal</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Deepak Sarpangal</w:t>
            </w:r>
          </w:p>
        </w:tc>
      </w:tr>
    </w:tbl>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Repertoire Partners GP LLC</w:t>
      </w:r>
    </w:p>
    <w:p>
      <w:pPr>
        <w:spacing w:after="0" w:line="200" w:lineRule="exact"/>
        <w:rPr>
          <w:sz w:val="20"/>
          <w:szCs w:val="20"/>
          <w:color w:val="auto"/>
        </w:rPr>
      </w:pPr>
    </w:p>
    <w:p>
      <w:pPr>
        <w:spacing w:after="0" w:line="259" w:lineRule="exact"/>
        <w:rPr>
          <w:sz w:val="20"/>
          <w:szCs w:val="20"/>
          <w:color w:val="auto"/>
        </w:rPr>
      </w:pPr>
    </w:p>
    <w:p>
      <w:pPr>
        <w:ind w:left="100"/>
        <w:spacing w:after="0"/>
        <w:tabs>
          <w:tab w:leader="none" w:pos="5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i w:val="1"/>
          <w:iCs w:val="1"/>
          <w:color w:val="auto"/>
        </w:rPr>
        <w:t>/s/ Deepak Sarpangal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16510</wp:posOffset>
            </wp:positionV>
            <wp:extent cx="3617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Deepak Sarpangal</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CUSIP No. 73688F201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2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each of Repertoire Partners LP, a Delaware limited partnership, and Repertoire Master Fund LP, a Delaware limited partnership, as their true and lawful agents and attorneys-in-fact,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2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Dated: April 22, 2022</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59"/>
        </w:trPr>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Partners LP</w:t>
            </w:r>
          </w:p>
        </w:tc>
        <w:tc>
          <w:tcPr>
            <w:tcW w:w="240" w:type="dxa"/>
            <w:vAlign w:val="bottom"/>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Master Fund LP</w:t>
            </w:r>
          </w:p>
        </w:tc>
      </w:tr>
      <w:tr>
        <w:trPr>
          <w:trHeight w:val="430"/>
        </w:trPr>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Repertoire Partners GP LLC,</w:t>
            </w:r>
          </w:p>
        </w:tc>
        <w:tc>
          <w:tcPr>
            <w:tcW w:w="240" w:type="dxa"/>
            <w:vAlign w:val="bottom"/>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By:  Repertoire Holdings LLC,</w:t>
            </w:r>
          </w:p>
        </w:tc>
      </w:tr>
      <w:tr>
        <w:trPr>
          <w:trHeight w:val="258"/>
        </w:trPr>
        <w:tc>
          <w:tcPr>
            <w:tcW w:w="500" w:type="dxa"/>
            <w:vAlign w:val="bottom"/>
          </w:tcPr>
          <w:p>
            <w:pPr>
              <w:spacing w:after="0"/>
              <w:rPr>
                <w:sz w:val="22"/>
                <w:szCs w:val="22"/>
                <w:color w:val="auto"/>
              </w:rPr>
            </w:pPr>
          </w:p>
        </w:tc>
        <w:tc>
          <w:tcPr>
            <w:tcW w:w="57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General Partner</w:t>
            </w:r>
          </w:p>
        </w:tc>
        <w:tc>
          <w:tcPr>
            <w:tcW w:w="240" w:type="dxa"/>
            <w:vAlign w:val="bottom"/>
          </w:tcPr>
          <w:p>
            <w:pPr>
              <w:spacing w:after="0"/>
              <w:rPr>
                <w:sz w:val="22"/>
                <w:szCs w:val="22"/>
                <w:color w:val="auto"/>
              </w:rPr>
            </w:pPr>
          </w:p>
        </w:tc>
        <w:tc>
          <w:tcPr>
            <w:tcW w:w="48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General Partner</w:t>
            </w:r>
          </w:p>
        </w:tc>
      </w:tr>
      <w:tr>
        <w:trPr>
          <w:trHeight w:val="683"/>
        </w:trPr>
        <w:tc>
          <w:tcPr>
            <w:tcW w:w="500" w:type="dxa"/>
            <w:vAlign w:val="bottom"/>
          </w:tcPr>
          <w:p>
            <w:pPr>
              <w:spacing w:after="0"/>
              <w:rPr>
                <w:sz w:val="24"/>
                <w:szCs w:val="24"/>
                <w:color w:val="auto"/>
              </w:rPr>
            </w:pPr>
          </w:p>
        </w:tc>
        <w:tc>
          <w:tcPr>
            <w:tcW w:w="57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Deepak Sarpangal</w:t>
            </w:r>
          </w:p>
        </w:tc>
        <w:tc>
          <w:tcPr>
            <w:tcW w:w="240" w:type="dxa"/>
            <w:vAlign w:val="bottom"/>
          </w:tcPr>
          <w:p>
            <w:pPr>
              <w:spacing w:after="0"/>
              <w:rPr>
                <w:sz w:val="24"/>
                <w:szCs w:val="24"/>
                <w:color w:val="auto"/>
              </w:rPr>
            </w:pPr>
          </w:p>
        </w:tc>
        <w:tc>
          <w:tcPr>
            <w:tcW w:w="480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 Deepak Sarpangal</w:t>
            </w:r>
          </w:p>
        </w:tc>
      </w:tr>
      <w:tr>
        <w:trPr>
          <w:trHeight w:val="200"/>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20" w:type="dxa"/>
            <w:vAlign w:val="bottom"/>
            <w:tcBorders>
              <w:top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Deepak Sarpangal</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tcBorders>
              <w:top w:val="single" w:sz="8" w:color="auto"/>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Deepak Sarpangal</w:t>
            </w:r>
          </w:p>
        </w:tc>
        <w:tc>
          <w:tcPr>
            <w:tcW w:w="100" w:type="dxa"/>
            <w:vAlign w:val="bottom"/>
          </w:tcPr>
          <w:p>
            <w:pPr>
              <w:spacing w:after="0"/>
              <w:rPr>
                <w:sz w:val="17"/>
                <w:szCs w:val="17"/>
                <w:color w:val="auto"/>
              </w:rPr>
            </w:pPr>
          </w:p>
        </w:tc>
      </w:tr>
      <w:tr>
        <w:trPr>
          <w:trHeight w:val="258"/>
        </w:trPr>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Managing Member</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Managing Member</w:t>
            </w:r>
          </w:p>
        </w:tc>
      </w:tr>
      <w:tr>
        <w:trPr>
          <w:trHeight w:val="459"/>
        </w:trPr>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Holdings LLC</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3"/>
        </w:trPr>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gridSpan w:val="3"/>
          </w:tcPr>
          <w:p>
            <w:pPr>
              <w:ind w:left="100"/>
              <w:spacing w:after="0"/>
              <w:rPr>
                <w:sz w:val="20"/>
                <w:szCs w:val="20"/>
                <w:color w:val="auto"/>
              </w:rPr>
            </w:pPr>
            <w:r>
              <w:rPr>
                <w:rFonts w:ascii="Times New Roman" w:cs="Times New Roman" w:eastAsia="Times New Roman" w:hAnsi="Times New Roman"/>
                <w:sz w:val="20"/>
                <w:szCs w:val="20"/>
                <w:i w:val="1"/>
                <w:iCs w:val="1"/>
                <w:color w:val="auto"/>
              </w:rPr>
              <w:t>/s/ Deepak Sarpangal</w:t>
            </w:r>
          </w:p>
        </w:tc>
        <w:tc>
          <w:tcPr>
            <w:tcW w:w="240" w:type="dxa"/>
            <w:vAlign w:val="bottom"/>
          </w:tcPr>
          <w:p>
            <w:pPr>
              <w:spacing w:after="0"/>
              <w:rPr>
                <w:sz w:val="24"/>
                <w:szCs w:val="24"/>
                <w:color w:val="auto"/>
              </w:rPr>
            </w:pPr>
          </w:p>
        </w:tc>
        <w:tc>
          <w:tcPr>
            <w:tcW w:w="4800" w:type="dxa"/>
            <w:vAlign w:val="bottom"/>
            <w:gridSpan w:val="3"/>
          </w:tcPr>
          <w:p>
            <w:pPr>
              <w:ind w:left="100"/>
              <w:spacing w:after="0"/>
              <w:rPr>
                <w:sz w:val="20"/>
                <w:szCs w:val="20"/>
                <w:color w:val="auto"/>
              </w:rPr>
            </w:pPr>
            <w:r>
              <w:rPr>
                <w:rFonts w:ascii="Times New Roman" w:cs="Times New Roman" w:eastAsia="Times New Roman" w:hAnsi="Times New Roman"/>
                <w:sz w:val="20"/>
                <w:szCs w:val="20"/>
                <w:i w:val="1"/>
                <w:iCs w:val="1"/>
                <w:color w:val="auto"/>
              </w:rPr>
              <w:t>/s/ Deepak Sarpangal</w:t>
            </w:r>
          </w:p>
        </w:tc>
      </w:tr>
      <w:tr>
        <w:trPr>
          <w:trHeight w:val="256"/>
        </w:trPr>
        <w:tc>
          <w:tcPr>
            <w:tcW w:w="500" w:type="dxa"/>
            <w:vAlign w:val="bottom"/>
          </w:tcPr>
          <w:p>
            <w:pPr>
              <w:spacing w:after="0"/>
              <w:rPr>
                <w:sz w:val="22"/>
                <w:szCs w:val="22"/>
                <w:color w:val="auto"/>
              </w:rPr>
            </w:pPr>
          </w:p>
        </w:tc>
        <w:tc>
          <w:tcPr>
            <w:tcW w:w="5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20"/>
                <w:szCs w:val="20"/>
                <w:color w:val="auto"/>
              </w:rPr>
              <w:t>Deepak Sarpangal</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Deepak Sarpangal</w:t>
            </w:r>
          </w:p>
        </w:tc>
      </w:tr>
      <w:tr>
        <w:trPr>
          <w:trHeight w:val="432"/>
        </w:trPr>
        <w:tc>
          <w:tcPr>
            <w:tcW w:w="6200" w:type="dxa"/>
            <w:vAlign w:val="bottom"/>
            <w:gridSpan w:val="4"/>
          </w:tcPr>
          <w:p>
            <w:pPr>
              <w:ind w:left="100"/>
              <w:spacing w:after="0"/>
              <w:rPr>
                <w:sz w:val="20"/>
                <w:szCs w:val="20"/>
                <w:color w:val="auto"/>
              </w:rPr>
            </w:pPr>
            <w:r>
              <w:rPr>
                <w:rFonts w:ascii="Times New Roman" w:cs="Times New Roman" w:eastAsia="Times New Roman" w:hAnsi="Times New Roman"/>
                <w:sz w:val="20"/>
                <w:szCs w:val="20"/>
                <w:b w:val="1"/>
                <w:bCs w:val="1"/>
                <w:color w:val="auto"/>
              </w:rPr>
              <w:t>Repertoire Partners GP LLC</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3"/>
        </w:trPr>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i w:val="1"/>
                <w:iCs w:val="1"/>
                <w:color w:val="auto"/>
              </w:rPr>
              <w:t>/s/ Deepak Sarpangal</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500" w:type="dxa"/>
            <w:vAlign w:val="bottom"/>
          </w:tcPr>
          <w:p>
            <w:pPr>
              <w:spacing w:after="0"/>
              <w:rPr>
                <w:sz w:val="17"/>
                <w:szCs w:val="17"/>
                <w:color w:val="auto"/>
              </w:rPr>
            </w:pPr>
          </w:p>
        </w:tc>
        <w:tc>
          <w:tcPr>
            <w:tcW w:w="5700" w:type="dxa"/>
            <w:vAlign w:val="bottom"/>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Deepak Sarpangal</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500" w:type="dxa"/>
            <w:vAlign w:val="bottom"/>
          </w:tcPr>
          <w:p>
            <w:pPr>
              <w:spacing w:after="0"/>
              <w:rPr>
                <w:sz w:val="22"/>
                <w:szCs w:val="22"/>
                <w:color w:val="auto"/>
              </w:rPr>
            </w:pPr>
          </w:p>
        </w:tc>
        <w:tc>
          <w:tcPr>
            <w:tcW w:w="57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Managing Member</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9"/>
    </w:lvl>
  </w:abstractNum>
  <w:abstractNum w:abstractNumId="4">
    <w:nsid w:val="12200854"/>
    <w:multiLevelType w:val="hybridMultilevel"/>
    <w:lvl w:ilvl="0">
      <w:lvlJc w:val="left"/>
      <w:lvlText w:val="%1."/>
      <w:numFmt w:val="decimal"/>
      <w:start w:val="1"/>
    </w:lvl>
    <w:lvl w:ilvl="1">
      <w:lvlJc w:val="left"/>
      <w:lvlText w:val="(%2)"/>
      <w:numFmt w:val="lowerLetter"/>
      <w:start w:val="1"/>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
    </w:lvl>
    <w:lvl w:ilvl="1">
      <w:lvlJc w:val="left"/>
      <w:lvlText w:val="(%2)"/>
      <w:numFmt w:val="lowerLetter"/>
      <w:start w:val="1"/>
    </w:lvl>
  </w:abstractNum>
  <w:abstractNum w:abstractNumId="7">
    <w:nsid w:val="1F16E9E8"/>
    <w:multiLevelType w:val="hybridMultilevel"/>
    <w:lvl w:ilvl="0">
      <w:lvlJc w:val="left"/>
      <w:lvlText w:val="%1."/>
      <w:numFmt w:val="decimal"/>
      <w:start w:val="9"/>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9"/>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2022-04-25T17:13:03Z</dcterms:created>
  <dcterms:modified xsi:type="dcterms:W3CDTF">2022-04-25T17:13:03Z</dcterms:modified>
</cp:coreProperties>
</file>