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320"/>
        <w:spacing w:after="0"/>
        <w:rPr>
          <w:sz w:val="20"/>
          <w:szCs w:val="20"/>
          <w:color w:val="auto"/>
        </w:rPr>
      </w:pPr>
      <w:r>
        <w:rPr>
          <w:rFonts w:ascii="Times New Roman" w:cs="Times New Roman" w:eastAsia="Times New Roman" w:hAnsi="Times New Roman"/>
          <w:sz w:val="14"/>
          <w:szCs w:val="14"/>
          <w:color w:val="auto"/>
        </w:rPr>
        <w:t>1900 K Street, NW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8700"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0" cy="351155"/>
                    </a:xfrm>
                    <a:prstGeom prst="rect">
                      <a:avLst/>
                    </a:prstGeom>
                    <a:noFill/>
                  </pic:spPr>
                </pic:pic>
              </a:graphicData>
            </a:graphic>
          </wp:anchor>
        </w:drawing>
      </w:r>
    </w:p>
    <w:p>
      <w:pPr>
        <w:ind w:left="7320"/>
        <w:spacing w:after="0" w:line="226" w:lineRule="auto"/>
        <w:rPr>
          <w:sz w:val="20"/>
          <w:szCs w:val="20"/>
          <w:color w:val="auto"/>
        </w:rPr>
      </w:pPr>
      <w:r>
        <w:rPr>
          <w:rFonts w:ascii="Times New Roman" w:cs="Times New Roman" w:eastAsia="Times New Roman" w:hAnsi="Times New Roman"/>
          <w:sz w:val="14"/>
          <w:szCs w:val="14"/>
          <w:color w:val="auto"/>
        </w:rPr>
        <w:t>Washington, DC 20006-1110</w:t>
      </w:r>
    </w:p>
    <w:p>
      <w:pPr>
        <w:ind w:left="7320"/>
        <w:spacing w:after="0" w:line="222" w:lineRule="auto"/>
        <w:rPr>
          <w:sz w:val="20"/>
          <w:szCs w:val="20"/>
          <w:color w:val="auto"/>
        </w:rPr>
      </w:pPr>
      <w:r>
        <w:rPr>
          <w:rFonts w:ascii="Times New Roman" w:cs="Times New Roman" w:eastAsia="Times New Roman" w:hAnsi="Times New Roman"/>
          <w:sz w:val="14"/>
          <w:szCs w:val="14"/>
          <w:color w:val="auto"/>
        </w:rPr>
        <w:t>+1 202 261 3300 Main</w:t>
      </w:r>
    </w:p>
    <w:p>
      <w:pPr>
        <w:ind w:left="7320"/>
        <w:spacing w:after="0" w:line="221" w:lineRule="auto"/>
        <w:rPr>
          <w:sz w:val="20"/>
          <w:szCs w:val="20"/>
          <w:color w:val="auto"/>
        </w:rPr>
      </w:pPr>
      <w:r>
        <w:rPr>
          <w:rFonts w:ascii="Times New Roman" w:cs="Times New Roman" w:eastAsia="Times New Roman" w:hAnsi="Times New Roman"/>
          <w:sz w:val="14"/>
          <w:szCs w:val="14"/>
          <w:color w:val="auto"/>
        </w:rPr>
        <w:t>+1 202 261 3333 Fax</w:t>
      </w:r>
    </w:p>
    <w:p>
      <w:pPr>
        <w:ind w:left="7320"/>
        <w:spacing w:after="0"/>
        <w:rPr>
          <w:sz w:val="20"/>
          <w:szCs w:val="20"/>
          <w:color w:val="auto"/>
        </w:rPr>
      </w:pPr>
      <w:r>
        <w:rPr>
          <w:rFonts w:ascii="Times New Roman" w:cs="Times New Roman" w:eastAsia="Times New Roman" w:hAnsi="Times New Roman"/>
          <w:sz w:val="14"/>
          <w:szCs w:val="14"/>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4642485</wp:posOffset>
            </wp:positionH>
            <wp:positionV relativeFrom="paragraph">
              <wp:posOffset>90805</wp:posOffset>
            </wp:positionV>
            <wp:extent cx="2494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74"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4"/>
          <w:szCs w:val="14"/>
          <w:b w:val="1"/>
          <w:bCs w:val="1"/>
          <w:color w:val="auto"/>
        </w:rPr>
        <w:t>ALEXANDER C. KARAMPATSOS</w:t>
      </w:r>
    </w:p>
    <w:p>
      <w:pPr>
        <w:spacing w:after="0" w:line="233"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4"/>
          <w:szCs w:val="14"/>
          <w:color w:val="auto"/>
        </w:rPr>
        <w:t>alexander.karampatsos@dechert.com</w:t>
      </w:r>
    </w:p>
    <w:p>
      <w:pPr>
        <w:spacing w:after="0" w:line="4"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4"/>
          <w:szCs w:val="14"/>
          <w:color w:val="auto"/>
        </w:rPr>
        <w:t>+1 202 261 3402 Direct</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February 5, 2025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David Manion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20549-0504</w:t>
      </w:r>
    </w:p>
    <w:p>
      <w:pPr>
        <w:spacing w:after="0" w:line="112"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tab/>
        <w:t>Portman Ridge Finance Corporation</w:t>
      </w:r>
    </w:p>
    <w:p>
      <w:pPr>
        <w:spacing w:after="0" w:line="2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Registration Statement of Form N-2 (File No. 333-283443)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Manion:</w:t>
      </w:r>
    </w:p>
    <w:p>
      <w:pPr>
        <w:spacing w:after="0" w:line="117" w:lineRule="exact"/>
        <w:rPr>
          <w:sz w:val="24"/>
          <w:szCs w:val="24"/>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On behalf of Portman Ridge Finance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we hereby respond to the comments you provided to me and Brendan Powell of Dechert LLP during a telephonic discussion on December 13, 2024 with respect to your review of the Company’s registration statement of Form N-2 (the “</w:t>
      </w:r>
      <w:r>
        <w:rPr>
          <w:rFonts w:ascii="Times New Roman" w:cs="Times New Roman" w:eastAsia="Times New Roman" w:hAnsi="Times New Roman"/>
          <w:sz w:val="18"/>
          <w:szCs w:val="18"/>
          <w:u w:val="single" w:color="auto"/>
          <w:color w:val="auto"/>
        </w:rPr>
        <w:t>N-2 Registration Statement</w:t>
      </w:r>
      <w:r>
        <w:rPr>
          <w:rFonts w:ascii="Times New Roman" w:cs="Times New Roman" w:eastAsia="Times New Roman" w:hAnsi="Times New Roman"/>
          <w:sz w:val="18"/>
          <w:szCs w:val="18"/>
          <w:color w:val="auto"/>
        </w:rPr>
        <w:t>”),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25, 2024. The Company has considered your comments and has authorized us, on its behalf, to make the responses discussed below.</w:t>
      </w:r>
    </w:p>
    <w:p>
      <w:pPr>
        <w:spacing w:after="0" w:line="180" w:lineRule="exact"/>
        <w:rPr>
          <w:sz w:val="24"/>
          <w:szCs w:val="24"/>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Set forth below are the comments of the SEC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along with our responses to, or any supplemental explanations of, such comments, as requested. To the extent not otherwise defined herein, capitalized terms have the meanings attributed to such terms in the N-2 Registration Statement.</w:t>
      </w:r>
    </w:p>
    <w:p>
      <w:pPr>
        <w:spacing w:after="0" w:line="63" w:lineRule="exact"/>
        <w:rPr>
          <w:sz w:val="24"/>
          <w:szCs w:val="24"/>
          <w:color w:val="auto"/>
        </w:rPr>
      </w:pPr>
    </w:p>
    <w:p>
      <w:pPr>
        <w:ind w:left="460" w:right="380" w:hanging="452"/>
        <w:spacing w:after="0" w:line="268" w:lineRule="auto"/>
        <w:tabs>
          <w:tab w:leader="none" w:pos="4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Comment: </w:t>
      </w:r>
      <w:r>
        <w:rPr>
          <w:rFonts w:ascii="Times New Roman" w:cs="Times New Roman" w:eastAsia="Times New Roman" w:hAnsi="Times New Roman"/>
          <w:sz w:val="18"/>
          <w:szCs w:val="18"/>
          <w:color w:val="auto"/>
        </w:rPr>
        <w:t>In “Prospectus Summary” section of the N-2 Registration Statement, the disclosure indicates that the Company is “non-diversified.”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comments by the Staff and acknowledged by the Fund in a response letter dated October 21, 2024, please revise to indicate that the Company is operating as a diversified fund.</w:t>
      </w:r>
    </w:p>
    <w:p>
      <w:pPr>
        <w:spacing w:after="0" w:line="62" w:lineRule="exact"/>
        <w:rPr>
          <w:rFonts w:ascii="Times New Roman" w:cs="Times New Roman" w:eastAsia="Times New Roman" w:hAnsi="Times New Roman"/>
          <w:sz w:val="18"/>
          <w:szCs w:val="18"/>
          <w:b w:val="1"/>
          <w:bCs w:val="1"/>
          <w:color w:val="auto"/>
        </w:rPr>
      </w:pPr>
    </w:p>
    <w:p>
      <w:pPr>
        <w:ind w:left="460" w:right="20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confirms that it has received approval to operate as a non-diversified company, as defined by the 1940 Act. Accordingly,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respectfully declines to make any changes in response to this comment.</w:t>
      </w:r>
    </w:p>
    <w:p>
      <w:pPr>
        <w:sectPr>
          <w:pgSz w:w="11900" w:h="16838" w:orient="portrait"/>
          <w:cols w:equalWidth="0" w:num="1">
            <w:col w:w="11220"/>
          </w:cols>
          <w:pgMar w:left="320" w:top="225" w:right="359" w:bottom="1440" w:gutter="0" w:footer="0" w:header="0"/>
        </w:sectPr>
      </w:pPr>
    </w:p>
    <w:bookmarkStart w:id="1" w:name="page2"/>
    <w:bookmarkEnd w:id="1"/>
    <w:p>
      <w:pPr>
        <w:ind w:left="73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February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28700"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0" cy="3511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Page 2</w:t>
      </w:r>
    </w:p>
    <w:p>
      <w:pPr>
        <w:spacing w:after="0" w:line="351" w:lineRule="exact"/>
        <w:rPr>
          <w:sz w:val="20"/>
          <w:szCs w:val="20"/>
          <w:color w:val="auto"/>
        </w:rPr>
      </w:pPr>
    </w:p>
    <w:p>
      <w:pPr>
        <w:ind w:left="460" w:hanging="452"/>
        <w:spacing w:after="0" w:line="286" w:lineRule="auto"/>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Comment: </w:t>
      </w:r>
      <w:r>
        <w:rPr>
          <w:rFonts w:ascii="Times New Roman" w:cs="Times New Roman" w:eastAsia="Times New Roman" w:hAnsi="Times New Roman"/>
          <w:sz w:val="18"/>
          <w:szCs w:val="18"/>
          <w:color w:val="auto"/>
        </w:rPr>
        <w:t>For any information that is incorporated by reference into the N-2 Registration Statement from another filing on EDGAR, please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active hyperlink to the EDGAR filing in accordance with Rule 411 under the Securities Act of 1933.</w:t>
      </w:r>
    </w:p>
    <w:p>
      <w:pPr>
        <w:spacing w:after="0" w:line="46"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will revise the disclosure accordingly.</w:t>
      </w:r>
    </w:p>
    <w:p>
      <w:pPr>
        <w:spacing w:after="0" w:line="130" w:lineRule="exact"/>
        <w:rPr>
          <w:rFonts w:ascii="Times New Roman" w:cs="Times New Roman" w:eastAsia="Times New Roman" w:hAnsi="Times New Roman"/>
          <w:sz w:val="18"/>
          <w:szCs w:val="18"/>
          <w:b w:val="1"/>
          <w:bCs w:val="1"/>
          <w:color w:val="auto"/>
        </w:rPr>
      </w:pPr>
    </w:p>
    <w:p>
      <w:pPr>
        <w:ind w:left="460" w:right="80" w:hanging="452"/>
        <w:spacing w:after="0" w:line="268" w:lineRule="auto"/>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Comment</w:t>
      </w:r>
      <w:r>
        <w:rPr>
          <w:rFonts w:ascii="Times New Roman" w:cs="Times New Roman" w:eastAsia="Times New Roman" w:hAnsi="Times New Roman"/>
          <w:sz w:val="18"/>
          <w:szCs w:val="18"/>
          <w:color w:val="auto"/>
        </w:rPr>
        <w:t>: In fee table in the “Fees and Expenses” section of the N-2 Registration Statement, the interest expense ratio Fee Table (11.5%) is higher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the expense in the Form 10-Q for the quarter ended September 30, 2024 (10.71%). Please supplementally explain this difference and confirm that the difference is not material or include an updated fee table.</w:t>
      </w:r>
    </w:p>
    <w:p>
      <w:pPr>
        <w:spacing w:after="0" w:line="6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has revised the disclosure to include an updated fee table.</w:t>
      </w:r>
    </w:p>
    <w:p>
      <w:pPr>
        <w:spacing w:after="0" w:line="130" w:lineRule="exact"/>
        <w:rPr>
          <w:rFonts w:ascii="Times New Roman" w:cs="Times New Roman" w:eastAsia="Times New Roman" w:hAnsi="Times New Roman"/>
          <w:sz w:val="18"/>
          <w:szCs w:val="18"/>
          <w:b w:val="1"/>
          <w:bCs w:val="1"/>
          <w:color w:val="auto"/>
        </w:rPr>
      </w:pPr>
    </w:p>
    <w:p>
      <w:pPr>
        <w:ind w:left="460" w:right="320" w:hanging="452"/>
        <w:spacing w:after="0" w:line="262" w:lineRule="auto"/>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Comment: </w:t>
      </w:r>
      <w:r>
        <w:rPr>
          <w:rFonts w:ascii="Times New Roman" w:cs="Times New Roman" w:eastAsia="Times New Roman" w:hAnsi="Times New Roman"/>
          <w:sz w:val="18"/>
          <w:szCs w:val="18"/>
          <w:color w:val="auto"/>
        </w:rPr>
        <w:t>On Page 29 of the N-2 Registration Statement, Footnote 4 under “Portfolio Companies” states the following: “The aggregate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for federal income tax purposes is approximately $514.2 million. The aggregate gross unrealized appreciation is approximately $32.2 million, the aggregate gross unrealized depreciation is approximately $2.8 million, and the net unrealized depreciation is approximately $29.4 million.” Please revise disclose to indicate there is a net unrealized appreciation.</w:t>
      </w:r>
    </w:p>
    <w:p>
      <w:pPr>
        <w:spacing w:after="0" w:line="68" w:lineRule="exact"/>
        <w:rPr>
          <w:rFonts w:ascii="Times New Roman" w:cs="Times New Roman" w:eastAsia="Times New Roman" w:hAnsi="Times New Roman"/>
          <w:sz w:val="18"/>
          <w:szCs w:val="18"/>
          <w:b w:val="1"/>
          <w:bCs w:val="1"/>
          <w:color w:val="auto"/>
        </w:rPr>
      </w:pPr>
    </w:p>
    <w:p>
      <w:pPr>
        <w:ind w:left="460" w:right="6100"/>
        <w:spacing w:after="0" w:line="4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will revise the disclosure accordingly.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    *    *</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you have any questions regarding this letter, please contact me at (202) 261-3402.</w:t>
      </w:r>
    </w:p>
    <w:p>
      <w:pPr>
        <w:spacing w:after="0" w:line="22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u w:val="single" w:color="auto"/>
          <w:color w:val="auto"/>
        </w:rPr>
        <w:t>/s/ Alexander C. Karampatsos</w:t>
      </w:r>
    </w:p>
    <w:p>
      <w:pPr>
        <w:spacing w:after="0" w:line="2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Alexander C. Karampatsos</w:t>
      </w:r>
    </w:p>
    <w:sectPr>
      <w:pgSz w:w="11900" w:h="16838" w:orient="portrait"/>
      <w:cols w:equalWidth="0" w:num="1">
        <w:col w:w="11160"/>
      </w:cols>
      <w:pgMar w:left="32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2025-03-12T23:13:03Z</dcterms:created>
  <dcterms:modified xsi:type="dcterms:W3CDTF">2025-03-12T23:13:03Z</dcterms:modified>
</cp:coreProperties>
</file>