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9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58420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51" w:lineRule="exact"/>
        <w:rPr>
          <w:sz w:val="24"/>
          <w:szCs w:val="24"/>
          <w:color w:val="auto"/>
        </w:rPr>
      </w:pPr>
    </w:p>
    <w:p>
      <w:pPr>
        <w:ind w:left="660" w:right="1520" w:hanging="652"/>
        <w:spacing w:after="0" w:line="50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2014</w:t>
      </w:r>
    </w:p>
    <w:p>
      <w:pPr>
        <w:ind w:left="660" w:hanging="652"/>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660"/>
        <w:spacing w:after="0"/>
        <w:tabs>
          <w:tab w:leader="none" w:pos="3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No. 814-00735</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KCAP Financial,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320"/>
          </w:cols>
          <w:pgMar w:left="240" w:top="531" w:right="339" w:bottom="1440" w:gutter="0" w:footer="0" w:header="0"/>
        </w:sectPr>
      </w:pPr>
    </w:p>
    <w:p>
      <w:pPr>
        <w:spacing w:after="0" w:line="246"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4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20-5951150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6960" w:space="720"/>
            <w:col w:w="3640"/>
          </w:cols>
          <w:pgMar w:left="240" w:top="531" w:right="339" w:bottom="1440" w:gutter="0" w:footer="0" w:header="0"/>
          <w:type w:val="continuous"/>
        </w:sectPr>
      </w:pP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295 Madison Avenue, 6th Floor</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320"/>
          </w:cols>
          <w:pgMar w:left="240" w:top="531" w:right="339" w:bottom="1440" w:gutter="0" w:footer="0" w:header="0"/>
          <w:type w:val="continuous"/>
        </w:sectPr>
      </w:pP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(212) 455-8300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40"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320"/>
          </w:cols>
          <w:pgMar w:left="240" w:top="531" w:right="339" w:bottom="1440" w:gutter="0" w:footer="0" w:header="0"/>
          <w:type w:val="continuous"/>
        </w:sectPr>
      </w:pP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193" w:lineRule="exact"/>
        <w:rPr>
          <w:sz w:val="24"/>
          <w:szCs w:val="24"/>
          <w:color w:val="auto"/>
        </w:rPr>
      </w:pPr>
    </w:p>
    <w:p>
      <w:pPr>
        <w:sectPr>
          <w:pgSz w:w="11900" w:h="16838" w:orient="portrait"/>
          <w:cols w:equalWidth="0" w:num="4">
            <w:col w:w="1800" w:space="720"/>
            <w:col w:w="4540" w:space="720"/>
            <w:col w:w="2120" w:space="720"/>
            <w:col w:w="700"/>
          </w:cols>
          <w:pgMar w:left="240" w:top="531" w:right="3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800" w:space="720"/>
            <w:col w:w="160" w:space="300"/>
            <w:col w:w="4080" w:space="720"/>
            <w:col w:w="2120" w:space="720"/>
            <w:col w:w="700"/>
          </w:cols>
          <w:pgMar w:left="240" w:top="531" w:right="339" w:bottom="1440" w:gutter="0" w:footer="0" w:header="0"/>
          <w:type w:val="continuous"/>
        </w:sectPr>
      </w:pPr>
    </w:p>
    <w:p>
      <w:pPr>
        <w:spacing w:after="0" w:line="16"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7"/>
          <w:szCs w:val="17"/>
          <w:color w:val="auto"/>
        </w:rPr>
        <w:t>The number of outstanding shares of common stock of the registrant as of October 31, 2014 was 36,753,672.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3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80" w:type="dxa"/>
            <w:vAlign w:val="bottom"/>
            <w:gridSpan w:val="13"/>
          </w:tcPr>
          <w:p>
            <w:pPr>
              <w:jc w:val="center"/>
              <w:ind w:right="354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20" w:type="dxa"/>
            <w:vAlign w:val="bottom"/>
            <w:gridSpan w:val="15"/>
            <w:shd w:val="clear" w:color="auto" w:fill="CCEEFF"/>
          </w:tcPr>
          <w:p>
            <w:pPr>
              <w:jc w:val="center"/>
              <w:ind w:right="2500"/>
              <w:spacing w:after="0" w:line="176" w:lineRule="exact"/>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September 30, 2014 (unaudited) and December 31, 2013</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2"/>
            <w:shd w:val="clear" w:color="auto" w:fill="CCEEFF"/>
          </w:tcPr>
          <w:p>
            <w:pPr>
              <w:spacing w:after="0" w:line="176"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Consolidated Statements of Operations (unaudited) for the three and nine months ended September 30, 2014 and 2013</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2"/>
            <w:shd w:val="clear" w:color="auto" w:fill="CCEEFF"/>
          </w:tcPr>
          <w:p>
            <w:pPr>
              <w:spacing w:after="0" w:line="17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Consolidated Statements of Changes in Net Assets (unaudited) for the nine months ended September 30, 2014 and 2013</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(unaudited) for the nine months ended September 30, 2014 and 2013</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Schedules of Investments as of September 30, 2014 (unaudited) and December 31, 2013</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Consolidated Financial Highlights (unaudited) for the nine months ended September 30, 2014 and 2013</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Notes to Consolidated Financial Statements (unaudited)</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Management’s Discussion and Analysis of Financial Condition and Results of Operations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Quantitative and Qualitative Disclosures About Market Risk</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Controls and Procedures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580" w:type="dxa"/>
            <w:vAlign w:val="bottom"/>
            <w:gridSpan w:val="13"/>
            <w:shd w:val="clear" w:color="auto" w:fill="CCEEFF"/>
          </w:tcPr>
          <w:p>
            <w:pPr>
              <w:jc w:val="center"/>
              <w:ind w:right="3520"/>
              <w:spacing w:after="0" w:line="176" w:lineRule="exact"/>
              <w:rPr>
                <w:rFonts w:ascii="Arial" w:cs="Arial" w:eastAsia="Arial" w:hAnsi="Arial"/>
                <w:sz w:val="18"/>
                <w:szCs w:val="18"/>
                <w:b w:val="1"/>
                <w:bCs w:val="1"/>
                <w:color w:val="0000EE"/>
                <w:w w:val="97"/>
              </w:rPr>
            </w:pPr>
            <w:hyperlink w:anchor="page73">
              <w:r>
                <w:rPr>
                  <w:rFonts w:ascii="Arial" w:cs="Arial" w:eastAsia="Arial" w:hAnsi="Arial"/>
                  <w:sz w:val="18"/>
                  <w:szCs w:val="18"/>
                  <w:b w:val="1"/>
                  <w:bCs w:val="1"/>
                  <w:color w:val="0000EE"/>
                  <w:w w:val="97"/>
                </w:rPr>
                <w:t>Part II. Other Information</w:t>
              </w:r>
            </w:hyperlink>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Legal Proceedings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Risk Factors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Unregistered Sales of Equity Securities and Use of Proceeds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Defaults Upon Senior Securities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Mine Safety Disclosures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Other Information</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Exhibits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80" w:type="dxa"/>
            <w:vAlign w:val="bottom"/>
          </w:tcPr>
          <w:p>
            <w:pPr>
              <w:ind w:left="4140"/>
              <w:spacing w:after="0"/>
              <w:rPr>
                <w:sz w:val="20"/>
                <w:szCs w:val="20"/>
                <w:color w:val="auto"/>
              </w:rPr>
            </w:pPr>
            <w:r>
              <w:rPr>
                <w:rFonts w:ascii="Arial" w:cs="Arial" w:eastAsia="Arial" w:hAnsi="Arial"/>
                <w:sz w:val="18"/>
                <w:szCs w:val="18"/>
                <w:b w:val="1"/>
                <w:bCs w:val="1"/>
                <w:color w:val="auto"/>
              </w:rPr>
              <w:t>CONSOLIDATED BALANCE SHEETS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As of</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176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91"/>
              </w:rPr>
              <w:t>September 30, 2014</w:t>
            </w:r>
          </w:p>
        </w:tc>
        <w:tc>
          <w:tcPr>
            <w:tcW w:w="1560" w:type="dxa"/>
            <w:vAlign w:val="bottom"/>
            <w:gridSpan w:val="5"/>
          </w:tcPr>
          <w:p>
            <w:pPr>
              <w:spacing w:after="0"/>
              <w:rPr>
                <w:sz w:val="20"/>
                <w:szCs w:val="20"/>
                <w:color w:val="auto"/>
              </w:rPr>
            </w:pPr>
            <w:r>
              <w:rPr>
                <w:rFonts w:ascii="Arial" w:cs="Arial" w:eastAsia="Arial" w:hAnsi="Arial"/>
                <w:sz w:val="18"/>
                <w:szCs w:val="18"/>
                <w:b w:val="1"/>
                <w:bCs w:val="1"/>
                <w:color w:val="auto"/>
                <w:w w:val="94"/>
              </w:rPr>
              <w:t>December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accounts (cost: 2014 - $341,694; 2013 - $7,112,949)</w:t>
            </w:r>
          </w:p>
        </w:tc>
        <w:tc>
          <w:tcPr>
            <w:tcW w:w="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341,694</w:t>
            </w: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7,112,949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Debt securities (cost: 2014 - $265,277,525; 2013 - $275,213,594)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264,813,932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266,830,427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 Fund securities managed by affiliates (cost: 2014 - $110,317,772; 2013 - $88,979,585)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83,487,288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75,100,306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CLO Fund securities managed by non-affiliates (cost: 2014 - $9,135,310; 2013 - $12,717,365)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3,894,965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4,351,914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securities (cost: 2014 - $17,454,438; 2013 - $18,755,684)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11,140,167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11,006,398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Asset Manager Affiliates (cost: 2014 - $83,924,720; 2013 - $83,378,741)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78,737,000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76,148,000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at Fair Value (cost: 2014 - $486,451,459; 2013 - $486,157,918)</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442,415,046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440,549,994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Cash</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3,935,484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3,433,675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5,443,575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4,078,939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Interest receivable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2,108,845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2,032,559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Due from affiliates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3,149,940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3,125,259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Other assets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5,632,707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5,951,962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462,685,597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459,172,388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Convertible Notes</w:t>
            </w: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49,008,000</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49,008,000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7.375% Notes Due 2019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41,400,000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9"/>
              </w:rPr>
              <w:t>Notes issued by KCAP Senior Funding I, LLC (net of discount: 2014 - $2,736,789; 2013 - $3,065,627)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102,513,211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102,184,373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Payable for open trades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8,262,000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2,475,312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3,897,291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Shareholder distribution payable</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8,333,031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203,658,523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208,802,695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Common stock, par value $0.01 per share, 100,000,000 common shares authorized; 33,753,672 and 33,332,123</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w w:val="99"/>
              </w:rPr>
              <w:t>common shares issued and outstanding at September 30, 2014 and December 31, 2013, respectively</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337,537</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333,472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372,255,639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370,929,615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Accumulated undistributed (excess distribution) net investment income</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1,550,569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(6,102,017)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Accumulated net realized losses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(70,559,495)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(68,662,689)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(44,557,176)</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(46,128,688)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259,027,074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250,369,693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462,685,597</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459,172,388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vMerge w:val="restart"/>
          </w:tcPr>
          <w:p>
            <w:pPr>
              <w:spacing w:after="0"/>
              <w:rPr>
                <w:sz w:val="20"/>
                <w:szCs w:val="20"/>
                <w:color w:val="auto"/>
              </w:rPr>
            </w:pPr>
            <w:r>
              <w:rPr>
                <w:rFonts w:ascii="Arial" w:cs="Arial" w:eastAsia="Arial" w:hAnsi="Arial"/>
                <w:sz w:val="18"/>
                <w:szCs w:val="18"/>
                <w:color w:val="auto"/>
              </w:rPr>
              <w:t>NET ASSET VALUE PER COMMON SHARE</w:t>
            </w:r>
          </w:p>
        </w:tc>
        <w:tc>
          <w:tcPr>
            <w:tcW w:w="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8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7.67</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7.51</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8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from investments in debt securities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5,391,997</w:t>
            </w: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3,716,675</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15,812,747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9,191,940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from cash and time deposits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12,183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ind w:left="160"/>
              <w:spacing w:after="0" w:line="201" w:lineRule="exact"/>
              <w:rPr>
                <w:sz w:val="20"/>
                <w:szCs w:val="20"/>
                <w:color w:val="auto"/>
              </w:rPr>
            </w:pPr>
            <w:r>
              <w:rPr>
                <w:rFonts w:ascii="Arial" w:cs="Arial" w:eastAsia="Arial" w:hAnsi="Arial"/>
                <w:sz w:val="18"/>
                <w:szCs w:val="18"/>
                <w:color w:val="auto"/>
              </w:rPr>
              <w:t>Distributions from investments in CLO Fund securities managed by</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affiliates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4,474,881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5,109,417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13,562,745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15,147,600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Distributions from investments in CLO Fund securities managed by non-</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affiliates</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296,908</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281,571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1,037,212</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1,029,236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Distributions from Asset Manager Affiliates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3,325,000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9,100,000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9,625,000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structuring service fees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412,772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200,185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764,971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259,512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investment income</w:t>
            </w: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13,677,389</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12,645,031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40,280,016</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35,273,208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and amortization of debt issuance costs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2,891,724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2,902,486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8,775,697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7,412,795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1,431,825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1,205,864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3,921,913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3,225,986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566,320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391,735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1,783,443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1,686,707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Insurance</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112,109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140,647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359,576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395,995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Administrative and other</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315,769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433,594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1,183,367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1,453,150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5,317,747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5,074,326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16,023,996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14,174,633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8,359,642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7,570,705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24,256,020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21,098,575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Gains (Losses) On Investments: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realized losses from investment transactions</w:t>
            </w:r>
          </w:p>
        </w:tc>
        <w:tc>
          <w:tcPr>
            <w:tcW w:w="2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(2,141,591)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(10,387,242)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(1,896,806)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(12,032,708)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unrealized appreciation (depreciation) on:</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Debt securities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7,420,256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10,547,127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7,919,575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12,958,119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1,215,992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85,773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1,435,014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1,084,715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CLO Fund securities managed by affiliates</w:t>
            </w:r>
          </w:p>
        </w:tc>
        <w:tc>
          <w:tcPr>
            <w:tcW w:w="2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(13,086,650)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(2,529,499)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(12,951,204)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(10,876,896)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CLO Fund securities managed by non-affiliates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3,033,824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(239,837)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3,125,106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(1,428,072)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Asset Manager Affiliates investments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3,435,000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(4,806,105)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2,043,021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5,179,293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net unrealized appreciation</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2,018,422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3,057,459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1,571,512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6,917,159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realized and unrealized depreciation on investments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(123,169</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(7,329,783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(325,294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(5,115,549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losses on extinguishments of debt</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(333,701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(333,701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00" w:type="dxa"/>
            <w:vAlign w:val="bottom"/>
          </w:tcPr>
          <w:p>
            <w:pPr>
              <w:spacing w:after="0" w:line="178" w:lineRule="exact"/>
              <w:rPr>
                <w:sz w:val="20"/>
                <w:szCs w:val="20"/>
                <w:color w:val="auto"/>
              </w:rPr>
            </w:pPr>
            <w:r>
              <w:rPr>
                <w:rFonts w:ascii="Arial" w:cs="Arial" w:eastAsia="Arial" w:hAnsi="Arial"/>
                <w:sz w:val="18"/>
                <w:szCs w:val="18"/>
                <w:b w:val="1"/>
                <w:bCs w:val="1"/>
                <w:color w:val="auto"/>
              </w:rPr>
              <w:t>Net Increase (Decrease) In Stockholders’ Equity Resulting From</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1"/>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Operations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8,236,473</w:t>
            </w:r>
          </w:p>
        </w:tc>
        <w:tc>
          <w:tcPr>
            <w:tcW w:w="160" w:type="dxa"/>
            <w:vAlign w:val="bottom"/>
          </w:tcPr>
          <w:p>
            <w:pPr>
              <w:spacing w:after="0"/>
              <w:rPr>
                <w:sz w:val="24"/>
                <w:szCs w:val="24"/>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(92,779)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23,930,726</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15,649,325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00" w:type="dxa"/>
            <w:vAlign w:val="bottom"/>
            <w:tcBorders>
              <w:top w:val="single" w:sz="8" w:color="CCEEFF"/>
            </w:tcBorders>
            <w:shd w:val="clear" w:color="auto" w:fill="CCEEFF"/>
          </w:tcPr>
          <w:p>
            <w:pPr>
              <w:ind w:left="160"/>
              <w:spacing w:after="0" w:line="156" w:lineRule="exact"/>
              <w:rPr>
                <w:sz w:val="20"/>
                <w:szCs w:val="20"/>
                <w:color w:val="auto"/>
              </w:rPr>
            </w:pPr>
            <w:r>
              <w:rPr>
                <w:rFonts w:ascii="Arial" w:cs="Arial" w:eastAsia="Arial" w:hAnsi="Arial"/>
                <w:sz w:val="18"/>
                <w:szCs w:val="18"/>
                <w:color w:val="auto"/>
              </w:rPr>
              <w:t>Net Increase In Stockholders' Equity Resulting from Operations per</w:t>
            </w:r>
          </w:p>
        </w:tc>
        <w:tc>
          <w:tcPr>
            <w:tcW w:w="2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0.24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0.71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0.68</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Investment Income Per Common Share:</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0.23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0.22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0.69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Shares of Common Stock Outstanding—Basic</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33,746,159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33,312,328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33,497,934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31,887,711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Weighted Average Shares of Common Stock Outstanding—Diluted</w:t>
            </w:r>
          </w:p>
        </w:tc>
        <w:tc>
          <w:tcPr>
            <w:tcW w:w="24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40,125,660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33,326,934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39,877,326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31,903,230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investment income</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24,256,020</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21,098,575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 from investment transactions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(1,896,806)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(12,032,708)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Realized losses from extinguishments of debt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(333,701)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 in unrealized appreciation on investments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1,571,512</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6,917,159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23,930,726</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15,649,325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distributions: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Distribution of net investment income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(15,896,379)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(13,527,870)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Return of capital</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(707,055)</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(5,007,078)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decrease in net assets resulting from stockholder distributions</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(16,603,434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(18,534,948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Issuance of common stock for: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reinvestment plan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561,662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564,022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Conversion of Convertible Notes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8,786,000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Common Stock</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50,404,286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Amortization of stock based compensation</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768,427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338,387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increase in net assets resulting from capital transactions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1,330,089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60,092,695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assets at beginning of period</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250,369,693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207,875,659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4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1"/>
              </w:rPr>
              <w:t>Net assets at end of period (including undistributed net investment income of $1,550,569 in 2014 and $2,667,111 in</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259,027,074</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265,082,729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Net asset value per common share</w:t>
            </w:r>
          </w:p>
        </w:tc>
        <w:tc>
          <w:tcPr>
            <w:tcW w:w="1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7.67</w:t>
            </w:r>
          </w:p>
        </w:tc>
        <w:tc>
          <w:tcPr>
            <w:tcW w:w="1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7.96</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Common shares outstanding at end of period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33,753,672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33,314,779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Net increase in stockholder's equity resulting from operations</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23,930,726</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15,649,325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Adjustments to reconcile net increase in stockholder’s equity resulting from operations to net cash provided by</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(used in) in operating activities:</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Net realized losses on investment transactions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1,896,806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12,032,708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unrealized appreciation on investments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(1,571,512)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(6,917,159)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Net accretion of discount on debt securities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(445,677)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(58,083)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original issue discount on indebtedness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328,838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838,726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718,473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Realized losses on extinguishments of debt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Payment-in-kind interest income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(132,622)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768,427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investments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(165,876,071)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(214,359,224)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Proceeds from sales and redemptions of investments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164,264,021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78,920,697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payable for open trades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4,282,000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7,974,944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Increase in interest and dividends receivable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(76,286)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(1,377,331)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accounts receivable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(1,114,185)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Decrease in time deposit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1,942,834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other assets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(519,467)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(3,889,800)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Increase in due from affiliates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(24,681)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 accounts payable and accrued expenses</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(1,421,978)</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(144,403)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26,241,250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(109,796,512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50,404,236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stockholders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(24,374,804)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(25,374,261)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Proceeds from issuance of debt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101,954,525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Convertible Notes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Increase in restricted cash</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(1,364,637)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(5,999,041)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(25,739,441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118,779,459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CHANGE IN CASH</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501,809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8,982,947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3,433,675</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738,756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END OF PERIOD</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3,935,484</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9,721,704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Information:</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Interest paid during the period</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8,547,252</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7,188,062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during the period under the dividend reinvestment plan</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561,662</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564,022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80" w:type="dxa"/>
            <w:vAlign w:val="bottom"/>
            <w:gridSpan w:val="2"/>
          </w:tcPr>
          <w:p>
            <w:pPr>
              <w:ind w:left="600"/>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Debt Securities Portfolio</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020" w:type="dxa"/>
            <w:vAlign w:val="bottom"/>
            <w:gridSpan w:val="4"/>
          </w:tcPr>
          <w:p>
            <w:pPr>
              <w:ind w:left="120"/>
              <w:spacing w:after="0"/>
              <w:rPr>
                <w:sz w:val="20"/>
                <w:szCs w:val="20"/>
                <w:color w:val="auto"/>
              </w:rPr>
            </w:pPr>
            <w:r>
              <w:rPr>
                <w:rFonts w:ascii="Arial" w:cs="Arial" w:eastAsia="Arial" w:hAnsi="Arial"/>
                <w:sz w:val="18"/>
                <w:szCs w:val="18"/>
                <w:b w:val="1"/>
                <w:bCs w:val="1"/>
                <w:color w:val="auto"/>
              </w:rPr>
              <w:t>Investment</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4020" w:type="dxa"/>
            <w:vAlign w:val="bottom"/>
            <w:gridSpan w:val="4"/>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Principal</w:t>
            </w:r>
          </w:p>
        </w:tc>
        <w:tc>
          <w:tcPr>
            <w:tcW w:w="1020" w:type="dxa"/>
            <w:vAlign w:val="bottom"/>
            <w:gridSpan w:val="2"/>
          </w:tcPr>
          <w:p>
            <w:pPr>
              <w:ind w:left="28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4L Technologies Inc. (fka Clover Holdings, Inc.)</w:t>
            </w:r>
            <w:r>
              <w:rPr>
                <w:rFonts w:ascii="Arial" w:cs="Arial" w:eastAsia="Arial" w:hAnsi="Arial"/>
                <w:sz w:val="22"/>
                <w:szCs w:val="22"/>
                <w:color w:val="auto"/>
                <w:vertAlign w:val="superscript"/>
              </w:rPr>
              <w:t>9, 11</w:t>
            </w:r>
          </w:p>
        </w:tc>
        <w:tc>
          <w:tcPr>
            <w:tcW w:w="120" w:type="dxa"/>
            <w:vAlign w:val="bottom"/>
            <w:tcBorders>
              <w:top w:val="single" w:sz="8" w:color="CCEEFF"/>
            </w:tcBorders>
            <w:shd w:val="clear" w:color="auto" w:fill="CCEEFF"/>
          </w:tcPr>
          <w:p>
            <w:pPr>
              <w:spacing w:after="0"/>
              <w:rPr>
                <w:sz w:val="17"/>
                <w:szCs w:val="17"/>
                <w:color w:val="auto"/>
              </w:rPr>
            </w:pPr>
          </w:p>
        </w:tc>
        <w:tc>
          <w:tcPr>
            <w:tcW w:w="37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Senior Secured Loan — Term Loan</w:t>
            </w: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Consumer goods: Non-durable</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5.5%</w:t>
            </w: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1.0% Libor Floor, Due 5/20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2,800,000</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$ 2,773,817</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$ 2,791,838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Advanced Lighting Technologies, Inc.</w:t>
            </w:r>
            <w:r>
              <w:rPr>
                <w:rFonts w:ascii="Arial" w:cs="Arial" w:eastAsia="Arial" w:hAnsi="Arial"/>
                <w:sz w:val="23"/>
                <w:szCs w:val="23"/>
                <w:color w:val="auto"/>
                <w:vertAlign w:val="superscript"/>
              </w:rPr>
              <w:t>9, 11</w:t>
            </w:r>
          </w:p>
        </w:tc>
        <w:tc>
          <w:tcPr>
            <w:tcW w:w="4020" w:type="dxa"/>
            <w:vAlign w:val="bottom"/>
            <w:gridSpan w:val="4"/>
            <w:shd w:val="clear" w:color="auto" w:fill="CCEEFF"/>
          </w:tcPr>
          <w:p>
            <w:pPr>
              <w:ind w:left="120"/>
              <w:spacing w:after="0" w:line="202" w:lineRule="exact"/>
              <w:rPr>
                <w:sz w:val="20"/>
                <w:szCs w:val="20"/>
                <w:color w:val="auto"/>
              </w:rPr>
            </w:pPr>
            <w:r>
              <w:rPr>
                <w:rFonts w:ascii="Arial" w:cs="Arial" w:eastAsia="Arial" w:hAnsi="Arial"/>
                <w:sz w:val="18"/>
                <w:szCs w:val="18"/>
                <w:color w:val="auto"/>
              </w:rPr>
              <w:t>First Lien Bond —</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Consumer goods: Non-durable</w:t>
            </w:r>
          </w:p>
        </w:tc>
        <w:tc>
          <w:tcPr>
            <w:tcW w:w="40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10.5% Cash, Due 6/19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2,957,441</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2,553,899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Advantage Sales &amp; Marketing Inc.</w:t>
            </w:r>
            <w:r>
              <w:rPr>
                <w:rFonts w:ascii="Arial" w:cs="Arial" w:eastAsia="Arial" w:hAnsi="Arial"/>
                <w:sz w:val="23"/>
                <w:szCs w:val="23"/>
                <w:color w:val="auto"/>
                <w:vertAlign w:val="superscript"/>
              </w:rPr>
              <w:t>9</w:t>
            </w:r>
          </w:p>
        </w:tc>
        <w:tc>
          <w:tcPr>
            <w:tcW w:w="4020" w:type="dxa"/>
            <w:vAlign w:val="bottom"/>
            <w:gridSpan w:val="4"/>
            <w:shd w:val="clear" w:color="auto" w:fill="CCEEFF"/>
          </w:tcPr>
          <w:p>
            <w:pPr>
              <w:ind w:left="120"/>
              <w:spacing w:after="0" w:line="202" w:lineRule="exact"/>
              <w:rPr>
                <w:sz w:val="20"/>
                <w:szCs w:val="20"/>
                <w:color w:val="auto"/>
              </w:rPr>
            </w:pPr>
            <w:r>
              <w:rPr>
                <w:rFonts w:ascii="Arial" w:cs="Arial" w:eastAsia="Arial" w:hAnsi="Arial"/>
                <w:sz w:val="18"/>
                <w:szCs w:val="18"/>
                <w:color w:val="auto"/>
                <w:w w:val="97"/>
              </w:rPr>
              <w:t>Junior Secured Loan — Term Loan (Second Lien)</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7.5%</w:t>
            </w: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1.0% Libor Floor, Due 7/22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1,002,464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988,395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Alaska Communications Systems Holdings, Inc.</w:t>
            </w:r>
            <w:r>
              <w:rPr>
                <w:rFonts w:ascii="Arial" w:cs="Arial" w:eastAsia="Arial" w:hAnsi="Arial"/>
                <w:sz w:val="23"/>
                <w:szCs w:val="23"/>
                <w:color w:val="auto"/>
                <w:vertAlign w:val="superscript"/>
              </w:rPr>
              <w:t>9, 11</w:t>
            </w:r>
          </w:p>
        </w:tc>
        <w:tc>
          <w:tcPr>
            <w:tcW w:w="4020" w:type="dxa"/>
            <w:vAlign w:val="bottom"/>
            <w:gridSpan w:val="4"/>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Term Loan</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Telecommunications</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6.3%</w:t>
            </w: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1.5% Libor Floor, Due 10/16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2,200,227</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2,201,839</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2,192,526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Anaren, Inc.</w:t>
            </w:r>
            <w:r>
              <w:rPr>
                <w:rFonts w:ascii="Arial" w:cs="Arial" w:eastAsia="Arial" w:hAnsi="Arial"/>
                <w:sz w:val="23"/>
                <w:szCs w:val="23"/>
                <w:color w:val="auto"/>
                <w:vertAlign w:val="superscript"/>
              </w:rPr>
              <w:t>9, 11</w:t>
            </w:r>
          </w:p>
        </w:tc>
        <w:tc>
          <w:tcPr>
            <w:tcW w:w="4020" w:type="dxa"/>
            <w:vAlign w:val="bottom"/>
            <w:gridSpan w:val="4"/>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Term Loan (First Lien)</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High Tech Industries</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5.5%</w:t>
            </w: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1.0% Libor Floor, Due 2/21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1,985,000</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1,966,827</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1,977,555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Asurion, LLC (fka Asurion Corporation)</w:t>
            </w:r>
            <w:r>
              <w:rPr>
                <w:rFonts w:ascii="Arial" w:cs="Arial" w:eastAsia="Arial" w:hAnsi="Arial"/>
                <w:sz w:val="23"/>
                <w:szCs w:val="23"/>
                <w:color w:val="auto"/>
                <w:vertAlign w:val="superscript"/>
              </w:rPr>
              <w:t>9, 11</w:t>
            </w:r>
          </w:p>
        </w:tc>
        <w:tc>
          <w:tcPr>
            <w:tcW w:w="4020" w:type="dxa"/>
            <w:vAlign w:val="bottom"/>
            <w:gridSpan w:val="4"/>
            <w:shd w:val="clear" w:color="auto" w:fill="CCEEFF"/>
          </w:tcPr>
          <w:p>
            <w:pPr>
              <w:ind w:left="120"/>
              <w:spacing w:after="0" w:line="202" w:lineRule="exact"/>
              <w:rPr>
                <w:sz w:val="20"/>
                <w:szCs w:val="20"/>
                <w:color w:val="auto"/>
              </w:rPr>
            </w:pPr>
            <w:r>
              <w:rPr>
                <w:rFonts w:ascii="Arial" w:cs="Arial" w:eastAsia="Arial" w:hAnsi="Arial"/>
                <w:sz w:val="18"/>
                <w:szCs w:val="18"/>
                <w:color w:val="auto"/>
                <w:w w:val="98"/>
              </w:rPr>
              <w:t>Senior Secured Loan — Incremental Tranche B-1</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Banking, Finance, Insurance &amp; Real Estate</w:t>
            </w:r>
          </w:p>
        </w:tc>
        <w:tc>
          <w:tcPr>
            <w:tcW w:w="40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1,931,879</w:t>
            </w:r>
          </w:p>
        </w:tc>
        <w:tc>
          <w:tcPr>
            <w:tcW w:w="20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1,948,710</w:t>
            </w:r>
          </w:p>
        </w:tc>
        <w:tc>
          <w:tcPr>
            <w:tcW w:w="11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1,925,243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5.0%</w:t>
            </w: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1.3% Libor Floor, Due 5/19</w:t>
            </w:r>
          </w:p>
        </w:tc>
        <w:tc>
          <w:tcPr>
            <w:tcW w:w="9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12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AZ Chem US Inc.</w:t>
            </w:r>
            <w:r>
              <w:rPr>
                <w:rFonts w:ascii="Arial" w:cs="Arial" w:eastAsia="Arial" w:hAnsi="Arial"/>
                <w:sz w:val="23"/>
                <w:szCs w:val="23"/>
                <w:color w:val="auto"/>
                <w:vertAlign w:val="superscript"/>
              </w:rPr>
              <w:t>9, 11</w:t>
            </w:r>
          </w:p>
        </w:tc>
        <w:tc>
          <w:tcPr>
            <w:tcW w:w="4020" w:type="dxa"/>
            <w:vAlign w:val="bottom"/>
            <w:gridSpan w:val="4"/>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Initial Term Loan (First</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Chemicals, Plastics and Rubber</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Lien)</w:t>
            </w:r>
          </w:p>
        </w:tc>
        <w:tc>
          <w:tcPr>
            <w:tcW w:w="34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Cash, 1.0% Libor Floor, Due 6/21</w:t>
            </w: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478,767</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476,470</w:t>
            </w:r>
          </w:p>
        </w:tc>
        <w:tc>
          <w:tcPr>
            <w:tcW w:w="11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479,033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4.5%</w:t>
            </w:r>
          </w:p>
        </w:tc>
        <w:tc>
          <w:tcPr>
            <w:tcW w:w="3480" w:type="dxa"/>
            <w:vAlign w:val="bottom"/>
            <w:gridSpan w:val="2"/>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12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Bankruptcy Management Solutions, Inc.</w:t>
            </w:r>
            <w:r>
              <w:rPr>
                <w:rFonts w:ascii="Arial" w:cs="Arial" w:eastAsia="Arial" w:hAnsi="Arial"/>
                <w:sz w:val="23"/>
                <w:szCs w:val="23"/>
                <w:color w:val="auto"/>
                <w:vertAlign w:val="superscript"/>
              </w:rPr>
              <w:t>9</w:t>
            </w:r>
          </w:p>
        </w:tc>
        <w:tc>
          <w:tcPr>
            <w:tcW w:w="4020" w:type="dxa"/>
            <w:vAlign w:val="bottom"/>
            <w:gridSpan w:val="4"/>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Term B Loan</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Banking, Finance, Insurance &amp; Real Estate</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7.0%</w:t>
            </w: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1.0% Libor Floor, Due 6/18</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704,659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704,659</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599,876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BarBri, Inc. (Gemini Holdings, Inc.)</w:t>
            </w:r>
            <w:r>
              <w:rPr>
                <w:rFonts w:ascii="Arial" w:cs="Arial" w:eastAsia="Arial" w:hAnsi="Arial"/>
                <w:sz w:val="23"/>
                <w:szCs w:val="23"/>
                <w:color w:val="auto"/>
                <w:vertAlign w:val="superscript"/>
              </w:rPr>
              <w:t>9, 11</w:t>
            </w:r>
          </w:p>
        </w:tc>
        <w:tc>
          <w:tcPr>
            <w:tcW w:w="4020" w:type="dxa"/>
            <w:vAlign w:val="bottom"/>
            <w:gridSpan w:val="4"/>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Term Loan</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Consumer</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4.5%</w:t>
            </w: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1.0% Libor Floor, Due 7/19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2,872,500</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2,860,949</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2,861,728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BBB Industries, LLC</w:t>
            </w:r>
            <w:r>
              <w:rPr>
                <w:rFonts w:ascii="Arial" w:cs="Arial" w:eastAsia="Arial" w:hAnsi="Arial"/>
                <w:sz w:val="23"/>
                <w:szCs w:val="23"/>
                <w:color w:val="auto"/>
                <w:vertAlign w:val="superscript"/>
              </w:rPr>
              <w:t>9, 11</w:t>
            </w:r>
          </w:p>
        </w:tc>
        <w:tc>
          <w:tcPr>
            <w:tcW w:w="4020" w:type="dxa"/>
            <w:vAlign w:val="bottom"/>
            <w:gridSpan w:val="4"/>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Term Loan</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Automotive</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5.5%</w:t>
            </w: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1.3% Libor Floor, Due 3/19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3,023,140</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3,015,760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3,023,139</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7" w:name="page8"/>
    <w:bookmarkEnd w:id="7"/>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 / Principal Business</w:t>
      </w:r>
    </w:p>
    <w:p>
      <w:pPr>
        <w:spacing w:after="0" w:line="208" w:lineRule="auto"/>
        <w:rPr>
          <w:sz w:val="20"/>
          <w:szCs w:val="20"/>
          <w:color w:val="auto"/>
        </w:rPr>
      </w:pPr>
      <w:r>
        <w:rPr>
          <w:rFonts w:ascii="Arial" w:cs="Arial" w:eastAsia="Arial" w:hAnsi="Arial"/>
          <w:sz w:val="18"/>
          <w:szCs w:val="18"/>
          <w:color w:val="auto"/>
        </w:rPr>
        <w:t xml:space="preserve">Bellisio Foods, Inc. </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Blue Coat Systems, Inc.</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209"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Caribe Media Inc. (fka Caribe Information Investments Incorporated)</w:t>
      </w:r>
      <w:r>
        <w:rPr>
          <w:rFonts w:ascii="Arial" w:cs="Arial" w:eastAsia="Arial" w:hAnsi="Arial"/>
          <w:sz w:val="30"/>
          <w:szCs w:val="30"/>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Media: Advertising, Printing &amp; Publishing</w:t>
      </w:r>
    </w:p>
    <w:p>
      <w:pPr>
        <w:spacing w:after="0" w:line="213" w:lineRule="exact"/>
        <w:rPr>
          <w:sz w:val="20"/>
          <w:szCs w:val="20"/>
          <w:color w:val="auto"/>
        </w:rPr>
      </w:pPr>
    </w:p>
    <w:p>
      <w:pPr>
        <w:jc w:val="right"/>
        <w:ind w:right="1680"/>
        <w:spacing w:after="0"/>
        <w:rPr>
          <w:sz w:val="20"/>
          <w:szCs w:val="20"/>
          <w:color w:val="auto"/>
        </w:rPr>
      </w:pPr>
      <w:r>
        <w:rPr>
          <w:rFonts w:ascii="Arial" w:cs="Arial" w:eastAsia="Arial" w:hAnsi="Arial"/>
          <w:sz w:val="16"/>
          <w:szCs w:val="16"/>
          <w:color w:val="auto"/>
        </w:rPr>
        <w:t>Carolina Beverage Group LLC</w:t>
      </w:r>
      <w:r>
        <w:rPr>
          <w:rFonts w:ascii="Arial" w:cs="Arial" w:eastAsia="Arial" w:hAnsi="Arial"/>
          <w:sz w:val="26"/>
          <w:szCs w:val="26"/>
          <w:color w:val="auto"/>
          <w:vertAlign w:val="superscript"/>
        </w:rPr>
        <w:t>9</w:t>
      </w:r>
      <w:r>
        <w:rPr>
          <w:rFonts w:ascii="Arial" w:cs="Arial" w:eastAsia="Arial" w:hAnsi="Arial"/>
          <w:sz w:val="16"/>
          <w:szCs w:val="16"/>
          <w:color w:val="auto"/>
        </w:rPr>
        <w:t xml:space="preserve"> </w:t>
      </w:r>
      <w:r>
        <w:rPr>
          <w:rFonts w:ascii="Arial" w:cs="Arial" w:eastAsia="Arial" w:hAnsi="Arial"/>
          <w:sz w:val="16"/>
          <w:szCs w:val="16"/>
          <w:i w:val="1"/>
          <w:iCs w:val="1"/>
          <w:color w:val="auto"/>
        </w:rPr>
        <w:t>Beverage, Food and Tobacco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CCS Intermediate Holdings, LLC</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385" w:lineRule="exact"/>
        <w:rPr>
          <w:sz w:val="20"/>
          <w:szCs w:val="20"/>
          <w:color w:val="auto"/>
        </w:rPr>
      </w:pPr>
    </w:p>
    <w:p>
      <w:pPr>
        <w:ind w:right="740"/>
        <w:spacing w:after="0" w:line="212" w:lineRule="auto"/>
        <w:rPr>
          <w:sz w:val="20"/>
          <w:szCs w:val="20"/>
          <w:color w:val="auto"/>
        </w:rPr>
      </w:pPr>
      <w:r>
        <w:rPr>
          <w:rFonts w:ascii="Arial" w:cs="Arial" w:eastAsia="Arial" w:hAnsi="Arial"/>
          <w:sz w:val="18"/>
          <w:szCs w:val="18"/>
          <w:color w:val="auto"/>
        </w:rPr>
        <w:t>Cengage Learning Acquisitions, Inc. (fka TL Acquisitions, Inc.)</w:t>
      </w:r>
      <w:r>
        <w:rPr>
          <w:rFonts w:ascii="Arial" w:cs="Arial" w:eastAsia="Arial" w:hAnsi="Arial"/>
          <w:sz w:val="30"/>
          <w:szCs w:val="30"/>
          <w:color w:val="auto"/>
          <w:vertAlign w:val="superscript"/>
        </w:rPr>
        <w:t>9, 11</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Media: Advertising, Printing &amp; Publishing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Checkout Holding Corp.</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Media: Advertising, Printing &amp; Publishing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CoActive Technologies LLC (fka CoActive</w:t>
      </w:r>
    </w:p>
    <w:p>
      <w:pPr>
        <w:spacing w:after="0" w:line="195" w:lineRule="auto"/>
        <w:rPr>
          <w:sz w:val="20"/>
          <w:szCs w:val="20"/>
          <w:color w:val="auto"/>
        </w:rPr>
      </w:pPr>
      <w:r>
        <w:rPr>
          <w:rFonts w:ascii="Arial" w:cs="Arial" w:eastAsia="Arial" w:hAnsi="Arial"/>
          <w:sz w:val="18"/>
          <w:szCs w:val="18"/>
          <w:color w:val="auto"/>
        </w:rPr>
        <w:t>Technologies, Inc.)</w:t>
      </w:r>
      <w:r>
        <w:rPr>
          <w:rFonts w:ascii="Arial" w:cs="Arial" w:eastAsia="Arial" w:hAnsi="Arial"/>
          <w:sz w:val="30"/>
          <w:szCs w:val="30"/>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Capital Equipment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Crowley Holdings Preferred,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Transportation: Cargo</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CSM Bakery Supplies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213" w:lineRule="exact"/>
        <w:rPr>
          <w:sz w:val="20"/>
          <w:szCs w:val="20"/>
          <w:color w:val="auto"/>
        </w:rPr>
      </w:pPr>
    </w:p>
    <w:p>
      <w:pPr>
        <w:jc w:val="right"/>
        <w:ind w:right="1700"/>
        <w:spacing w:after="0"/>
        <w:rPr>
          <w:sz w:val="20"/>
          <w:szCs w:val="20"/>
          <w:color w:val="auto"/>
        </w:rPr>
      </w:pPr>
      <w:r>
        <w:rPr>
          <w:rFonts w:ascii="Arial" w:cs="Arial" w:eastAsia="Arial" w:hAnsi="Arial"/>
          <w:sz w:val="16"/>
          <w:szCs w:val="16"/>
          <w:color w:val="auto"/>
        </w:rPr>
        <w:t>CSM Bakery Supplies LLC</w:t>
      </w:r>
      <w:r>
        <w:rPr>
          <w:rFonts w:ascii="Arial" w:cs="Arial" w:eastAsia="Arial" w:hAnsi="Arial"/>
          <w:sz w:val="26"/>
          <w:szCs w:val="26"/>
          <w:color w:val="auto"/>
          <w:vertAlign w:val="superscript"/>
        </w:rPr>
        <w:t>9, 11</w:t>
      </w:r>
      <w:r>
        <w:rPr>
          <w:rFonts w:ascii="Arial" w:cs="Arial" w:eastAsia="Arial" w:hAnsi="Arial"/>
          <w:sz w:val="16"/>
          <w:szCs w:val="16"/>
          <w:color w:val="auto"/>
        </w:rPr>
        <w:t xml:space="preserve"> </w:t>
      </w:r>
      <w:r>
        <w:rPr>
          <w:rFonts w:ascii="Arial" w:cs="Arial" w:eastAsia="Arial" w:hAnsi="Arial"/>
          <w:sz w:val="16"/>
          <w:szCs w:val="16"/>
          <w:i w:val="1"/>
          <w:iCs w:val="1"/>
          <w:color w:val="auto"/>
        </w:rPr>
        <w:t>Beverage, Food and Tobacco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DBI Holding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0"/>
              </w:rPr>
              <w:t>Fair Value</w:t>
            </w:r>
            <w:r>
              <w:rPr>
                <w:rFonts w:ascii="Arial" w:cs="Arial" w:eastAsia="Arial" w:hAnsi="Arial"/>
                <w:sz w:val="30"/>
                <w:szCs w:val="30"/>
                <w:color w:val="auto"/>
                <w:w w:val="90"/>
                <w:vertAlign w:val="superscript"/>
              </w:rPr>
              <w:t>2</w:t>
            </w:r>
          </w:p>
        </w:tc>
        <w:tc>
          <w:tcPr>
            <w:tcW w:w="0" w:type="dxa"/>
            <w:vAlign w:val="bottom"/>
          </w:tcPr>
          <w:p>
            <w:pPr>
              <w:spacing w:after="0"/>
              <w:rPr>
                <w:sz w:val="1"/>
                <w:szCs w:val="1"/>
                <w:color w:val="auto"/>
              </w:rPr>
            </w:pPr>
          </w:p>
        </w:tc>
      </w:tr>
      <w:tr>
        <w:trPr>
          <w:trHeight w:val="234"/>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Interest Rate¹ / Maturity</w:t>
            </w: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Principal</w:t>
            </w:r>
          </w:p>
        </w:tc>
        <w:tc>
          <w:tcPr>
            <w:tcW w:w="1140" w:type="dxa"/>
            <w:vAlign w:val="bottom"/>
            <w:gridSpan w:val="2"/>
          </w:tcPr>
          <w:p>
            <w:pPr>
              <w:ind w:left="280"/>
              <w:spacing w:after="0"/>
              <w:rPr>
                <w:sz w:val="20"/>
                <w:szCs w:val="20"/>
                <w:color w:val="auto"/>
              </w:rPr>
            </w:pPr>
            <w:r>
              <w:rPr>
                <w:rFonts w:ascii="Arial" w:cs="Arial" w:eastAsia="Arial" w:hAnsi="Arial"/>
                <w:sz w:val="18"/>
                <w:szCs w:val="18"/>
                <w:b w:val="1"/>
                <w:bCs w:val="1"/>
                <w:color w:val="auto"/>
              </w:rPr>
              <w:t>Cost</w:t>
            </w: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Senior Secured Loan — U.S. Term B Loans</w:t>
            </w: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20" w:type="dxa"/>
            <w:vAlign w:val="bottom"/>
            <w:gridSpan w:val="2"/>
          </w:tcPr>
          <w:p>
            <w:pPr>
              <w:spacing w:after="0"/>
              <w:rPr>
                <w:sz w:val="20"/>
                <w:szCs w:val="20"/>
                <w:color w:val="auto"/>
              </w:rPr>
            </w:pPr>
            <w:r>
              <w:rPr>
                <w:rFonts w:ascii="Arial" w:cs="Arial" w:eastAsia="Arial" w:hAnsi="Arial"/>
                <w:sz w:val="18"/>
                <w:szCs w:val="18"/>
                <w:color w:val="auto"/>
                <w:w w:val="97"/>
              </w:rPr>
              <w:t>4.5%</w:t>
            </w:r>
          </w:p>
        </w:tc>
        <w:tc>
          <w:tcPr>
            <w:tcW w:w="3360" w:type="dxa"/>
            <w:vAlign w:val="bottom"/>
          </w:tcPr>
          <w:p>
            <w:pPr>
              <w:spacing w:after="0"/>
              <w:rPr>
                <w:sz w:val="20"/>
                <w:szCs w:val="20"/>
                <w:color w:val="auto"/>
              </w:rPr>
            </w:pPr>
            <w:r>
              <w:rPr>
                <w:rFonts w:ascii="Arial" w:cs="Arial" w:eastAsia="Arial" w:hAnsi="Arial"/>
                <w:sz w:val="18"/>
                <w:szCs w:val="18"/>
                <w:color w:val="auto"/>
              </w:rPr>
              <w:t>Cash, 1.0% Libor Floor, Due 8/19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$ 3,745,220</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4"/>
              </w:rPr>
              <w:t>$ 3,729,404</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4"/>
              </w:rPr>
              <w:t>$ 3,703,087</w:t>
            </w:r>
          </w:p>
        </w:tc>
        <w:tc>
          <w:tcPr>
            <w:tcW w:w="0" w:type="dxa"/>
            <w:vAlign w:val="bottom"/>
          </w:tcPr>
          <w:p>
            <w:pPr>
              <w:spacing w:after="0"/>
              <w:rPr>
                <w:sz w:val="1"/>
                <w:szCs w:val="1"/>
                <w:color w:val="auto"/>
              </w:rPr>
            </w:pPr>
          </w:p>
        </w:tc>
      </w:tr>
      <w:tr>
        <w:trPr>
          <w:trHeight w:val="418"/>
        </w:trPr>
        <w:tc>
          <w:tcPr>
            <w:tcW w:w="3780" w:type="dxa"/>
            <w:vAlign w:val="bottom"/>
            <w:gridSpan w:val="3"/>
          </w:tcPr>
          <w:p>
            <w:pPr>
              <w:spacing w:after="0"/>
              <w:rPr>
                <w:sz w:val="20"/>
                <w:szCs w:val="20"/>
                <w:color w:val="auto"/>
              </w:rPr>
            </w:pPr>
            <w:r>
              <w:rPr>
                <w:rFonts w:ascii="Arial" w:cs="Arial" w:eastAsia="Arial" w:hAnsi="Arial"/>
                <w:sz w:val="18"/>
                <w:szCs w:val="18"/>
                <w:color w:val="auto"/>
              </w:rPr>
              <w:t>Senior Secured Loan — New Term Loan</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20" w:type="dxa"/>
            <w:vAlign w:val="bottom"/>
            <w:gridSpan w:val="2"/>
          </w:tcPr>
          <w:p>
            <w:pPr>
              <w:spacing w:after="0"/>
              <w:rPr>
                <w:sz w:val="20"/>
                <w:szCs w:val="20"/>
                <w:color w:val="auto"/>
              </w:rPr>
            </w:pPr>
            <w:r>
              <w:rPr>
                <w:rFonts w:ascii="Arial" w:cs="Arial" w:eastAsia="Arial" w:hAnsi="Arial"/>
                <w:sz w:val="18"/>
                <w:szCs w:val="18"/>
                <w:color w:val="auto"/>
                <w:w w:val="97"/>
              </w:rPr>
              <w:t>4.0%</w:t>
            </w:r>
          </w:p>
        </w:tc>
        <w:tc>
          <w:tcPr>
            <w:tcW w:w="3360" w:type="dxa"/>
            <w:vAlign w:val="bottom"/>
          </w:tcPr>
          <w:p>
            <w:pPr>
              <w:spacing w:after="0"/>
              <w:rPr>
                <w:sz w:val="20"/>
                <w:szCs w:val="20"/>
                <w:color w:val="auto"/>
              </w:rPr>
            </w:pPr>
            <w:r>
              <w:rPr>
                <w:rFonts w:ascii="Arial" w:cs="Arial" w:eastAsia="Arial" w:hAnsi="Arial"/>
                <w:sz w:val="18"/>
                <w:szCs w:val="18"/>
                <w:color w:val="auto"/>
              </w:rPr>
              <w:t>Cash, 1.0% Libor Floor, Due 5/19</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468,820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470,234</w:t>
            </w:r>
          </w:p>
        </w:tc>
        <w:tc>
          <w:tcPr>
            <w:tcW w:w="920" w:type="dxa"/>
            <w:vAlign w:val="bottom"/>
          </w:tcPr>
          <w:p>
            <w:pPr>
              <w:jc w:val="right"/>
              <w:spacing w:after="0"/>
              <w:rPr>
                <w:sz w:val="20"/>
                <w:szCs w:val="20"/>
                <w:color w:val="auto"/>
              </w:rPr>
            </w:pPr>
            <w:r>
              <w:rPr>
                <w:rFonts w:ascii="Arial" w:cs="Arial" w:eastAsia="Arial" w:hAnsi="Arial"/>
                <w:sz w:val="18"/>
                <w:szCs w:val="18"/>
                <w:color w:val="auto"/>
              </w:rPr>
              <w:t>461,202</w:t>
            </w:r>
          </w:p>
        </w:tc>
        <w:tc>
          <w:tcPr>
            <w:tcW w:w="0" w:type="dxa"/>
            <w:vAlign w:val="bottom"/>
          </w:tcPr>
          <w:p>
            <w:pPr>
              <w:spacing w:after="0"/>
              <w:rPr>
                <w:sz w:val="1"/>
                <w:szCs w:val="1"/>
                <w:color w:val="auto"/>
              </w:rPr>
            </w:pPr>
          </w:p>
        </w:tc>
      </w:tr>
      <w:tr>
        <w:trPr>
          <w:trHeight w:val="418"/>
        </w:trPr>
        <w:tc>
          <w:tcPr>
            <w:tcW w:w="3780" w:type="dxa"/>
            <w:vAlign w:val="bottom"/>
            <w:gridSpan w:val="3"/>
          </w:tcPr>
          <w:p>
            <w:pPr>
              <w:spacing w:after="0"/>
              <w:rPr>
                <w:sz w:val="20"/>
                <w:szCs w:val="20"/>
                <w:color w:val="auto"/>
              </w:rPr>
            </w:pPr>
            <w:r>
              <w:rPr>
                <w:rFonts w:ascii="Arial" w:cs="Arial" w:eastAsia="Arial" w:hAnsi="Arial"/>
                <w:sz w:val="18"/>
                <w:szCs w:val="18"/>
                <w:color w:val="auto"/>
              </w:rPr>
              <w:t>Senior Secured Loan — Loan</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80" w:type="dxa"/>
            <w:vAlign w:val="bottom"/>
            <w:gridSpan w:val="3"/>
          </w:tcPr>
          <w:p>
            <w:pPr>
              <w:spacing w:after="0"/>
              <w:rPr>
                <w:sz w:val="20"/>
                <w:szCs w:val="20"/>
                <w:color w:val="auto"/>
              </w:rPr>
            </w:pPr>
            <w:r>
              <w:rPr>
                <w:rFonts w:ascii="Arial" w:cs="Arial" w:eastAsia="Arial" w:hAnsi="Arial"/>
                <w:sz w:val="18"/>
                <w:szCs w:val="18"/>
                <w:color w:val="auto"/>
              </w:rPr>
              <w:t>10.0% Cash, 1.5% Libor Floor, Due 11/14</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300,138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300,138</w:t>
            </w:r>
          </w:p>
        </w:tc>
        <w:tc>
          <w:tcPr>
            <w:tcW w:w="920" w:type="dxa"/>
            <w:vAlign w:val="bottom"/>
          </w:tcPr>
          <w:p>
            <w:pPr>
              <w:jc w:val="right"/>
              <w:spacing w:after="0"/>
              <w:rPr>
                <w:sz w:val="20"/>
                <w:szCs w:val="20"/>
                <w:color w:val="auto"/>
              </w:rPr>
            </w:pPr>
            <w:r>
              <w:rPr>
                <w:rFonts w:ascii="Arial" w:cs="Arial" w:eastAsia="Arial" w:hAnsi="Arial"/>
                <w:sz w:val="18"/>
                <w:szCs w:val="18"/>
                <w:color w:val="auto"/>
              </w:rPr>
              <w:t>300,138</w:t>
            </w:r>
          </w:p>
        </w:tc>
        <w:tc>
          <w:tcPr>
            <w:tcW w:w="0" w:type="dxa"/>
            <w:vAlign w:val="bottom"/>
          </w:tcPr>
          <w:p>
            <w:pPr>
              <w:spacing w:after="0"/>
              <w:rPr>
                <w:sz w:val="1"/>
                <w:szCs w:val="1"/>
                <w:color w:val="auto"/>
              </w:rPr>
            </w:pPr>
          </w:p>
        </w:tc>
      </w:tr>
      <w:tr>
        <w:trPr>
          <w:trHeight w:val="418"/>
        </w:trPr>
        <w:tc>
          <w:tcPr>
            <w:tcW w:w="3780" w:type="dxa"/>
            <w:vAlign w:val="bottom"/>
            <w:gridSpan w:val="3"/>
          </w:tcPr>
          <w:p>
            <w:pPr>
              <w:spacing w:after="0"/>
              <w:rPr>
                <w:sz w:val="20"/>
                <w:szCs w:val="20"/>
                <w:color w:val="auto"/>
              </w:rPr>
            </w:pPr>
            <w:r>
              <w:rPr>
                <w:rFonts w:ascii="Arial" w:cs="Arial" w:eastAsia="Arial" w:hAnsi="Arial"/>
                <w:sz w:val="18"/>
                <w:szCs w:val="18"/>
                <w:color w:val="auto"/>
              </w:rPr>
              <w:t>Senior Secured Bond — 10.625% - 08/2018</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780" w:type="dxa"/>
            <w:vAlign w:val="bottom"/>
            <w:gridSpan w:val="3"/>
          </w:tcPr>
          <w:p>
            <w:pPr>
              <w:spacing w:after="0"/>
              <w:rPr>
                <w:sz w:val="20"/>
                <w:szCs w:val="20"/>
                <w:color w:val="auto"/>
              </w:rPr>
            </w:pPr>
            <w:r>
              <w:rPr>
                <w:rFonts w:ascii="Arial" w:cs="Arial" w:eastAsia="Arial" w:hAnsi="Arial"/>
                <w:sz w:val="18"/>
                <w:szCs w:val="18"/>
                <w:color w:val="auto"/>
              </w:rPr>
              <w:t>10.6% Cash, Due 8/18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1,500,000</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1,516,376</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1,571,250</w:t>
            </w:r>
          </w:p>
        </w:tc>
        <w:tc>
          <w:tcPr>
            <w:tcW w:w="0" w:type="dxa"/>
            <w:vAlign w:val="bottom"/>
          </w:tcPr>
          <w:p>
            <w:pPr>
              <w:spacing w:after="0"/>
              <w:rPr>
                <w:sz w:val="1"/>
                <w:szCs w:val="1"/>
                <w:color w:val="auto"/>
              </w:rPr>
            </w:pPr>
          </w:p>
        </w:tc>
      </w:tr>
      <w:tr>
        <w:trPr>
          <w:trHeight w:val="418"/>
        </w:trPr>
        <w:tc>
          <w:tcPr>
            <w:tcW w:w="3780" w:type="dxa"/>
            <w:vAlign w:val="bottom"/>
            <w:gridSpan w:val="3"/>
          </w:tcPr>
          <w:p>
            <w:pPr>
              <w:spacing w:after="0"/>
              <w:rPr>
                <w:sz w:val="20"/>
                <w:szCs w:val="20"/>
                <w:color w:val="auto"/>
              </w:rPr>
            </w:pPr>
            <w:r>
              <w:rPr>
                <w:rFonts w:ascii="Arial" w:cs="Arial" w:eastAsia="Arial" w:hAnsi="Arial"/>
                <w:sz w:val="18"/>
                <w:szCs w:val="18"/>
                <w:color w:val="auto"/>
                <w:w w:val="99"/>
              </w:rPr>
              <w:t>Senior Secured Loan — Initial Term Loan (First</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gridSpan w:val="2"/>
          </w:tcPr>
          <w:p>
            <w:pPr>
              <w:spacing w:after="0"/>
              <w:rPr>
                <w:sz w:val="20"/>
                <w:szCs w:val="20"/>
                <w:color w:val="auto"/>
              </w:rPr>
            </w:pPr>
            <w:r>
              <w:rPr>
                <w:rFonts w:ascii="Arial" w:cs="Arial" w:eastAsia="Arial" w:hAnsi="Arial"/>
                <w:sz w:val="18"/>
                <w:szCs w:val="18"/>
                <w:color w:val="auto"/>
                <w:w w:val="99"/>
              </w:rPr>
              <w:t>Lien)</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gridSpan w:val="2"/>
          </w:tcPr>
          <w:p>
            <w:pPr>
              <w:spacing w:after="0"/>
              <w:rPr>
                <w:sz w:val="20"/>
                <w:szCs w:val="20"/>
                <w:color w:val="auto"/>
              </w:rPr>
            </w:pPr>
            <w:r>
              <w:rPr>
                <w:rFonts w:ascii="Arial" w:cs="Arial" w:eastAsia="Arial" w:hAnsi="Arial"/>
                <w:sz w:val="18"/>
                <w:szCs w:val="18"/>
                <w:color w:val="auto"/>
                <w:w w:val="97"/>
              </w:rPr>
              <w:t>5.0%</w:t>
            </w:r>
          </w:p>
        </w:tc>
        <w:tc>
          <w:tcPr>
            <w:tcW w:w="3360" w:type="dxa"/>
            <w:vAlign w:val="bottom"/>
          </w:tcPr>
          <w:p>
            <w:pPr>
              <w:spacing w:after="0"/>
              <w:rPr>
                <w:sz w:val="20"/>
                <w:szCs w:val="20"/>
                <w:color w:val="auto"/>
              </w:rPr>
            </w:pPr>
            <w:r>
              <w:rPr>
                <w:rFonts w:ascii="Arial" w:cs="Arial" w:eastAsia="Arial" w:hAnsi="Arial"/>
                <w:sz w:val="18"/>
                <w:szCs w:val="18"/>
                <w:color w:val="auto"/>
              </w:rPr>
              <w:t>Cash, 1.0% Libor Floor, Due 7/21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3,000,000</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2,985,284</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2,998,500</w:t>
            </w:r>
          </w:p>
        </w:tc>
        <w:tc>
          <w:tcPr>
            <w:tcW w:w="0" w:type="dxa"/>
            <w:vAlign w:val="bottom"/>
          </w:tcPr>
          <w:p>
            <w:pPr>
              <w:spacing w:after="0"/>
              <w:rPr>
                <w:sz w:val="1"/>
                <w:szCs w:val="1"/>
                <w:color w:val="auto"/>
              </w:rPr>
            </w:pPr>
          </w:p>
        </w:tc>
      </w:tr>
      <w:tr>
        <w:trPr>
          <w:trHeight w:val="418"/>
        </w:trPr>
        <w:tc>
          <w:tcPr>
            <w:tcW w:w="378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gridSpan w:val="2"/>
          </w:tcPr>
          <w:p>
            <w:pPr>
              <w:spacing w:after="0"/>
              <w:rPr>
                <w:sz w:val="20"/>
                <w:szCs w:val="20"/>
                <w:color w:val="auto"/>
              </w:rPr>
            </w:pPr>
            <w:r>
              <w:rPr>
                <w:rFonts w:ascii="Arial" w:cs="Arial" w:eastAsia="Arial" w:hAnsi="Arial"/>
                <w:sz w:val="18"/>
                <w:szCs w:val="18"/>
                <w:color w:val="auto"/>
                <w:w w:val="97"/>
              </w:rPr>
              <w:t>7.0%</w:t>
            </w:r>
          </w:p>
        </w:tc>
        <w:tc>
          <w:tcPr>
            <w:tcW w:w="3360" w:type="dxa"/>
            <w:vAlign w:val="bottom"/>
          </w:tcPr>
          <w:p>
            <w:pPr>
              <w:spacing w:after="0"/>
              <w:rPr>
                <w:sz w:val="20"/>
                <w:szCs w:val="20"/>
                <w:color w:val="auto"/>
              </w:rPr>
            </w:pPr>
            <w:r>
              <w:rPr>
                <w:rFonts w:ascii="Arial" w:cs="Arial" w:eastAsia="Arial" w:hAnsi="Arial"/>
                <w:sz w:val="18"/>
                <w:szCs w:val="18"/>
                <w:color w:val="auto"/>
              </w:rPr>
              <w:t>Cash, 1.0% Libor Floor, Due 3/20</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995,000</w:t>
            </w:r>
          </w:p>
        </w:tc>
        <w:tc>
          <w:tcPr>
            <w:tcW w:w="920" w:type="dxa"/>
            <w:vAlign w:val="bottom"/>
          </w:tcPr>
          <w:p>
            <w:pPr>
              <w:jc w:val="right"/>
              <w:spacing w:after="0"/>
              <w:rPr>
                <w:sz w:val="20"/>
                <w:szCs w:val="20"/>
                <w:color w:val="auto"/>
              </w:rPr>
            </w:pPr>
            <w:r>
              <w:rPr>
                <w:rFonts w:ascii="Arial" w:cs="Arial" w:eastAsia="Arial" w:hAnsi="Arial"/>
                <w:sz w:val="18"/>
                <w:szCs w:val="18"/>
                <w:color w:val="auto"/>
              </w:rPr>
              <w:t>1,008,773</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996,244</w:t>
            </w:r>
          </w:p>
        </w:tc>
        <w:tc>
          <w:tcPr>
            <w:tcW w:w="0" w:type="dxa"/>
            <w:vAlign w:val="bottom"/>
          </w:tcPr>
          <w:p>
            <w:pPr>
              <w:spacing w:after="0"/>
              <w:rPr>
                <w:sz w:val="1"/>
                <w:szCs w:val="1"/>
                <w:color w:val="auto"/>
              </w:rPr>
            </w:pPr>
          </w:p>
        </w:tc>
      </w:tr>
      <w:tr>
        <w:trPr>
          <w:trHeight w:val="418"/>
        </w:trPr>
        <w:tc>
          <w:tcPr>
            <w:tcW w:w="3780" w:type="dxa"/>
            <w:vAlign w:val="bottom"/>
            <w:gridSpan w:val="3"/>
          </w:tcPr>
          <w:p>
            <w:pPr>
              <w:spacing w:after="0"/>
              <w:rPr>
                <w:sz w:val="20"/>
                <w:szCs w:val="20"/>
                <w:color w:val="auto"/>
              </w:rPr>
            </w:pPr>
            <w:r>
              <w:rPr>
                <w:rFonts w:ascii="Arial" w:cs="Arial" w:eastAsia="Arial" w:hAnsi="Arial"/>
                <w:sz w:val="18"/>
                <w:szCs w:val="18"/>
                <w:color w:val="auto"/>
                <w:w w:val="95"/>
              </w:rPr>
              <w:t>Senior Secured Loan — Term B Loan (First Lien)</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20" w:type="dxa"/>
            <w:vAlign w:val="bottom"/>
            <w:gridSpan w:val="2"/>
          </w:tcPr>
          <w:p>
            <w:pPr>
              <w:spacing w:after="0"/>
              <w:rPr>
                <w:sz w:val="20"/>
                <w:szCs w:val="20"/>
                <w:color w:val="auto"/>
              </w:rPr>
            </w:pPr>
            <w:r>
              <w:rPr>
                <w:rFonts w:ascii="Arial" w:cs="Arial" w:eastAsia="Arial" w:hAnsi="Arial"/>
                <w:sz w:val="18"/>
                <w:szCs w:val="18"/>
                <w:color w:val="auto"/>
                <w:w w:val="97"/>
              </w:rPr>
              <w:t>4.5%</w:t>
            </w:r>
          </w:p>
        </w:tc>
        <w:tc>
          <w:tcPr>
            <w:tcW w:w="3360" w:type="dxa"/>
            <w:vAlign w:val="bottom"/>
          </w:tcPr>
          <w:p>
            <w:pPr>
              <w:spacing w:after="0"/>
              <w:rPr>
                <w:sz w:val="20"/>
                <w:szCs w:val="20"/>
                <w:color w:val="auto"/>
              </w:rPr>
            </w:pPr>
            <w:r>
              <w:rPr>
                <w:rFonts w:ascii="Arial" w:cs="Arial" w:eastAsia="Arial" w:hAnsi="Arial"/>
                <w:sz w:val="18"/>
                <w:szCs w:val="18"/>
                <w:color w:val="auto"/>
              </w:rPr>
              <w:t>Cash, 1.0% Libor Floor, Due 4/21</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997,500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992,843</w:t>
            </w:r>
          </w:p>
        </w:tc>
        <w:tc>
          <w:tcPr>
            <w:tcW w:w="920" w:type="dxa"/>
            <w:vAlign w:val="bottom"/>
          </w:tcPr>
          <w:p>
            <w:pPr>
              <w:jc w:val="right"/>
              <w:spacing w:after="0"/>
              <w:rPr>
                <w:sz w:val="20"/>
                <w:szCs w:val="20"/>
                <w:color w:val="auto"/>
              </w:rPr>
            </w:pPr>
            <w:r>
              <w:rPr>
                <w:rFonts w:ascii="Arial" w:cs="Arial" w:eastAsia="Arial" w:hAnsi="Arial"/>
                <w:sz w:val="18"/>
                <w:szCs w:val="18"/>
                <w:color w:val="auto"/>
              </w:rPr>
              <w:t>973,311</w:t>
            </w:r>
          </w:p>
        </w:tc>
        <w:tc>
          <w:tcPr>
            <w:tcW w:w="0" w:type="dxa"/>
            <w:vAlign w:val="bottom"/>
          </w:tcPr>
          <w:p>
            <w:pPr>
              <w:spacing w:after="0"/>
              <w:rPr>
                <w:sz w:val="1"/>
                <w:szCs w:val="1"/>
                <w:color w:val="auto"/>
              </w:rPr>
            </w:pPr>
          </w:p>
        </w:tc>
      </w:tr>
      <w:tr>
        <w:trPr>
          <w:trHeight w:val="418"/>
        </w:trPr>
        <w:tc>
          <w:tcPr>
            <w:tcW w:w="3780" w:type="dxa"/>
            <w:vAlign w:val="bottom"/>
            <w:gridSpan w:val="3"/>
          </w:tcPr>
          <w:p>
            <w:pPr>
              <w:spacing w:after="0"/>
              <w:rPr>
                <w:sz w:val="20"/>
                <w:szCs w:val="20"/>
                <w:color w:val="auto"/>
              </w:rPr>
            </w:pPr>
            <w:r>
              <w:rPr>
                <w:rFonts w:ascii="Arial" w:cs="Arial" w:eastAsia="Arial" w:hAnsi="Arial"/>
                <w:sz w:val="18"/>
                <w:szCs w:val="18"/>
                <w:color w:val="auto"/>
                <w:w w:val="94"/>
              </w:rPr>
              <w:t>Junior Secured Loan — Term Loan (Second Lien)</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gridSpan w:val="2"/>
          </w:tcPr>
          <w:p>
            <w:pPr>
              <w:spacing w:after="0"/>
              <w:rPr>
                <w:sz w:val="20"/>
                <w:szCs w:val="20"/>
                <w:color w:val="auto"/>
              </w:rPr>
            </w:pPr>
            <w:r>
              <w:rPr>
                <w:rFonts w:ascii="Arial" w:cs="Arial" w:eastAsia="Arial" w:hAnsi="Arial"/>
                <w:sz w:val="18"/>
                <w:szCs w:val="18"/>
                <w:color w:val="auto"/>
                <w:w w:val="97"/>
              </w:rPr>
              <w:t>8.0%</w:t>
            </w:r>
          </w:p>
        </w:tc>
        <w:tc>
          <w:tcPr>
            <w:tcW w:w="3360" w:type="dxa"/>
            <w:vAlign w:val="bottom"/>
          </w:tcPr>
          <w:p>
            <w:pPr>
              <w:spacing w:after="0"/>
              <w:rPr>
                <w:sz w:val="20"/>
                <w:szCs w:val="20"/>
                <w:color w:val="auto"/>
              </w:rPr>
            </w:pPr>
            <w:r>
              <w:rPr>
                <w:rFonts w:ascii="Arial" w:cs="Arial" w:eastAsia="Arial" w:hAnsi="Arial"/>
                <w:sz w:val="18"/>
                <w:szCs w:val="18"/>
                <w:color w:val="auto"/>
              </w:rPr>
              <w:t>Cash, Due 1/15</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1,607,532</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1,607,532</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1,607,532</w:t>
            </w:r>
          </w:p>
        </w:tc>
        <w:tc>
          <w:tcPr>
            <w:tcW w:w="0" w:type="dxa"/>
            <w:vAlign w:val="bottom"/>
          </w:tcPr>
          <w:p>
            <w:pPr>
              <w:spacing w:after="0"/>
              <w:rPr>
                <w:sz w:val="1"/>
                <w:szCs w:val="1"/>
                <w:color w:val="auto"/>
              </w:rPr>
            </w:pPr>
          </w:p>
        </w:tc>
      </w:tr>
      <w:tr>
        <w:trPr>
          <w:trHeight w:val="418"/>
        </w:trPr>
        <w:tc>
          <w:tcPr>
            <w:tcW w:w="3780" w:type="dxa"/>
            <w:vAlign w:val="bottom"/>
            <w:gridSpan w:val="3"/>
          </w:tcPr>
          <w:p>
            <w:pPr>
              <w:spacing w:after="0"/>
              <w:rPr>
                <w:sz w:val="20"/>
                <w:szCs w:val="20"/>
                <w:color w:val="auto"/>
              </w:rPr>
            </w:pPr>
            <w:r>
              <w:rPr>
                <w:rFonts w:ascii="Arial" w:cs="Arial" w:eastAsia="Arial" w:hAnsi="Arial"/>
                <w:sz w:val="18"/>
                <w:szCs w:val="18"/>
                <w:color w:val="auto"/>
                <w:w w:val="96"/>
              </w:rPr>
              <w:t>Preferred Stock — 12.000% - 12/2049 - Series A</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Income Preferred Securities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gridSpan w:val="3"/>
          </w:tcPr>
          <w:p>
            <w:pPr>
              <w:spacing w:after="0"/>
              <w:rPr>
                <w:sz w:val="20"/>
                <w:szCs w:val="20"/>
                <w:color w:val="auto"/>
              </w:rPr>
            </w:pPr>
            <w:r>
              <w:rPr>
                <w:rFonts w:ascii="Arial" w:cs="Arial" w:eastAsia="Arial" w:hAnsi="Arial"/>
                <w:sz w:val="18"/>
                <w:szCs w:val="18"/>
                <w:color w:val="auto"/>
              </w:rPr>
              <w:t>10.0% Cash, 2.0% PIK, Due 12/49</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10,155,240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10,155,240</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10,358,345</w:t>
            </w:r>
          </w:p>
        </w:tc>
        <w:tc>
          <w:tcPr>
            <w:tcW w:w="0" w:type="dxa"/>
            <w:vAlign w:val="bottom"/>
          </w:tcPr>
          <w:p>
            <w:pPr>
              <w:spacing w:after="0"/>
              <w:rPr>
                <w:sz w:val="1"/>
                <w:szCs w:val="1"/>
                <w:color w:val="auto"/>
              </w:rPr>
            </w:pPr>
          </w:p>
        </w:tc>
      </w:tr>
      <w:tr>
        <w:trPr>
          <w:trHeight w:val="418"/>
        </w:trPr>
        <w:tc>
          <w:tcPr>
            <w:tcW w:w="3780" w:type="dxa"/>
            <w:vAlign w:val="bottom"/>
            <w:gridSpan w:val="3"/>
          </w:tcPr>
          <w:p>
            <w:pPr>
              <w:spacing w:after="0"/>
              <w:rPr>
                <w:sz w:val="20"/>
                <w:szCs w:val="20"/>
                <w:color w:val="auto"/>
              </w:rPr>
            </w:pPr>
            <w:r>
              <w:rPr>
                <w:rFonts w:ascii="Arial" w:cs="Arial" w:eastAsia="Arial" w:hAnsi="Arial"/>
                <w:sz w:val="18"/>
                <w:szCs w:val="18"/>
                <w:color w:val="auto"/>
                <w:w w:val="94"/>
              </w:rPr>
              <w:t>Junior Secured Loan — Term Loan (Second Lien)</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20" w:type="dxa"/>
            <w:vAlign w:val="bottom"/>
            <w:gridSpan w:val="2"/>
          </w:tcPr>
          <w:p>
            <w:pPr>
              <w:spacing w:after="0"/>
              <w:rPr>
                <w:sz w:val="20"/>
                <w:szCs w:val="20"/>
                <w:color w:val="auto"/>
              </w:rPr>
            </w:pPr>
            <w:r>
              <w:rPr>
                <w:rFonts w:ascii="Arial" w:cs="Arial" w:eastAsia="Arial" w:hAnsi="Arial"/>
                <w:sz w:val="18"/>
                <w:szCs w:val="18"/>
                <w:color w:val="auto"/>
                <w:w w:val="97"/>
              </w:rPr>
              <w:t>8.8%</w:t>
            </w:r>
          </w:p>
        </w:tc>
        <w:tc>
          <w:tcPr>
            <w:tcW w:w="3360" w:type="dxa"/>
            <w:vAlign w:val="bottom"/>
          </w:tcPr>
          <w:p>
            <w:pPr>
              <w:spacing w:after="0"/>
              <w:rPr>
                <w:sz w:val="20"/>
                <w:szCs w:val="20"/>
                <w:color w:val="auto"/>
              </w:rPr>
            </w:pPr>
            <w:r>
              <w:rPr>
                <w:rFonts w:ascii="Arial" w:cs="Arial" w:eastAsia="Arial" w:hAnsi="Arial"/>
                <w:sz w:val="18"/>
                <w:szCs w:val="18"/>
                <w:color w:val="auto"/>
              </w:rPr>
              <w:t>Cash, 1.0% Libor Floor, Due 7/21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3,000,000</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3,016,992</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2,892,000</w:t>
            </w:r>
          </w:p>
        </w:tc>
        <w:tc>
          <w:tcPr>
            <w:tcW w:w="0" w:type="dxa"/>
            <w:vAlign w:val="bottom"/>
          </w:tcPr>
          <w:p>
            <w:pPr>
              <w:spacing w:after="0"/>
              <w:rPr>
                <w:sz w:val="1"/>
                <w:szCs w:val="1"/>
                <w:color w:val="auto"/>
              </w:rPr>
            </w:pPr>
          </w:p>
        </w:tc>
      </w:tr>
      <w:tr>
        <w:trPr>
          <w:trHeight w:val="418"/>
        </w:trPr>
        <w:tc>
          <w:tcPr>
            <w:tcW w:w="3780" w:type="dxa"/>
            <w:vAlign w:val="bottom"/>
            <w:gridSpan w:val="3"/>
          </w:tcPr>
          <w:p>
            <w:pPr>
              <w:spacing w:after="0"/>
              <w:rPr>
                <w:sz w:val="20"/>
                <w:szCs w:val="20"/>
                <w:color w:val="auto"/>
              </w:rPr>
            </w:pPr>
            <w:r>
              <w:rPr>
                <w:rFonts w:ascii="Arial" w:cs="Arial" w:eastAsia="Arial" w:hAnsi="Arial"/>
                <w:sz w:val="18"/>
                <w:szCs w:val="18"/>
                <w:color w:val="auto"/>
              </w:rPr>
              <w:t>Senior Secured Loan — Term Loan (First Lien)</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20" w:type="dxa"/>
            <w:vAlign w:val="bottom"/>
            <w:gridSpan w:val="2"/>
          </w:tcPr>
          <w:p>
            <w:pPr>
              <w:spacing w:after="0"/>
              <w:rPr>
                <w:sz w:val="20"/>
                <w:szCs w:val="20"/>
                <w:color w:val="auto"/>
              </w:rPr>
            </w:pPr>
            <w:r>
              <w:rPr>
                <w:rFonts w:ascii="Arial" w:cs="Arial" w:eastAsia="Arial" w:hAnsi="Arial"/>
                <w:sz w:val="18"/>
                <w:szCs w:val="18"/>
                <w:color w:val="auto"/>
                <w:w w:val="97"/>
              </w:rPr>
              <w:t>5.0%</w:t>
            </w:r>
          </w:p>
        </w:tc>
        <w:tc>
          <w:tcPr>
            <w:tcW w:w="3360" w:type="dxa"/>
            <w:vAlign w:val="bottom"/>
          </w:tcPr>
          <w:p>
            <w:pPr>
              <w:spacing w:after="0"/>
              <w:rPr>
                <w:sz w:val="20"/>
                <w:szCs w:val="20"/>
                <w:color w:val="auto"/>
              </w:rPr>
            </w:pPr>
            <w:r>
              <w:rPr>
                <w:rFonts w:ascii="Arial" w:cs="Arial" w:eastAsia="Arial" w:hAnsi="Arial"/>
                <w:sz w:val="18"/>
                <w:szCs w:val="18"/>
                <w:color w:val="auto"/>
              </w:rPr>
              <w:t>Cash, 1.0% Libor Floor, Due 7/20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2,630,000</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2,629,038</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2,600,412</w:t>
            </w:r>
          </w:p>
        </w:tc>
        <w:tc>
          <w:tcPr>
            <w:tcW w:w="0" w:type="dxa"/>
            <w:vAlign w:val="bottom"/>
          </w:tcPr>
          <w:p>
            <w:pPr>
              <w:spacing w:after="0"/>
              <w:rPr>
                <w:sz w:val="1"/>
                <w:szCs w:val="1"/>
                <w:color w:val="auto"/>
              </w:rPr>
            </w:pPr>
          </w:p>
        </w:tc>
      </w:tr>
      <w:tr>
        <w:trPr>
          <w:trHeight w:val="418"/>
        </w:trPr>
        <w:tc>
          <w:tcPr>
            <w:tcW w:w="3780" w:type="dxa"/>
            <w:vAlign w:val="bottom"/>
            <w:gridSpan w:val="3"/>
          </w:tcPr>
          <w:p>
            <w:pPr>
              <w:spacing w:after="0"/>
              <w:rPr>
                <w:sz w:val="20"/>
                <w:szCs w:val="20"/>
                <w:color w:val="auto"/>
              </w:rPr>
            </w:pPr>
            <w:r>
              <w:rPr>
                <w:rFonts w:ascii="Arial" w:cs="Arial" w:eastAsia="Arial" w:hAnsi="Arial"/>
                <w:sz w:val="18"/>
                <w:szCs w:val="18"/>
                <w:color w:val="auto"/>
                <w:w w:val="97"/>
              </w:rPr>
              <w:t>Senior Unsecured Bond — 13% - 09/2019 – PIK</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gridSpan w:val="2"/>
          </w:tcPr>
          <w:p>
            <w:pPr>
              <w:spacing w:after="0"/>
              <w:rPr>
                <w:sz w:val="20"/>
                <w:szCs w:val="20"/>
                <w:color w:val="auto"/>
              </w:rPr>
            </w:pPr>
            <w:r>
              <w:rPr>
                <w:rFonts w:ascii="Arial" w:cs="Arial" w:eastAsia="Arial" w:hAnsi="Arial"/>
                <w:sz w:val="18"/>
                <w:szCs w:val="18"/>
                <w:color w:val="auto"/>
              </w:rPr>
              <w:t>Note</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gridSpan w:val="2"/>
          </w:tcPr>
          <w:p>
            <w:pPr>
              <w:spacing w:after="0"/>
              <w:rPr>
                <w:sz w:val="20"/>
                <w:szCs w:val="20"/>
                <w:color w:val="auto"/>
              </w:rPr>
            </w:pPr>
            <w:r>
              <w:rPr>
                <w:rFonts w:ascii="Arial" w:cs="Arial" w:eastAsia="Arial" w:hAnsi="Arial"/>
                <w:sz w:val="18"/>
                <w:szCs w:val="18"/>
                <w:color w:val="auto"/>
                <w:w w:val="97"/>
              </w:rPr>
              <w:t>0.0%</w:t>
            </w:r>
          </w:p>
        </w:tc>
        <w:tc>
          <w:tcPr>
            <w:tcW w:w="3360" w:type="dxa"/>
            <w:vAlign w:val="bottom"/>
          </w:tcPr>
          <w:p>
            <w:pPr>
              <w:spacing w:after="0"/>
              <w:rPr>
                <w:sz w:val="20"/>
                <w:szCs w:val="20"/>
                <w:color w:val="auto"/>
              </w:rPr>
            </w:pPr>
            <w:r>
              <w:rPr>
                <w:rFonts w:ascii="Arial" w:cs="Arial" w:eastAsia="Arial" w:hAnsi="Arial"/>
                <w:sz w:val="18"/>
                <w:szCs w:val="18"/>
                <w:color w:val="auto"/>
              </w:rPr>
              <w:t>Cash, 13.0% PIK, Due 9/19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3,346,613</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3,098,521</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3,346,613</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60" w:type="dxa"/>
            <w:vAlign w:val="bottom"/>
          </w:tcPr>
          <w:p>
            <w:pPr>
              <w:ind w:left="10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-5831205</wp:posOffset>
            </wp:positionV>
            <wp:extent cx="7246620" cy="3003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-5393690</wp:posOffset>
            </wp:positionV>
            <wp:extent cx="7246620" cy="43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-4819015</wp:posOffset>
            </wp:positionV>
            <wp:extent cx="7246620"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-4381500</wp:posOffset>
            </wp:positionV>
            <wp:extent cx="724662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-3832860</wp:posOffset>
            </wp:positionV>
            <wp:extent cx="7246620" cy="43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-3258185</wp:posOffset>
            </wp:positionV>
            <wp:extent cx="7246620" cy="300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-2820670</wp:posOffset>
            </wp:positionV>
            <wp:extent cx="7246620" cy="437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-2245995</wp:posOffset>
            </wp:positionV>
            <wp:extent cx="724662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-1697355</wp:posOffset>
            </wp:positionV>
            <wp:extent cx="7246620" cy="300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-1259840</wp:posOffset>
            </wp:positionV>
            <wp:extent cx="7246620" cy="300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-822325</wp:posOffset>
            </wp:positionV>
            <wp:extent cx="7246620"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-6276975</wp:posOffset>
            </wp:positionV>
            <wp:extent cx="7246620"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4000" w:space="240"/>
            <w:col w:w="7080"/>
          </w:cols>
          <w:pgMar w:left="240" w:top="87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0" w:type="dxa"/>
            <w:vAlign w:val="bottom"/>
          </w:tcPr>
          <w:p>
            <w:pPr>
              <w:spacing w:after="0"/>
              <w:rPr>
                <w:sz w:val="1"/>
                <w:szCs w:val="1"/>
                <w:color w:val="auto"/>
              </w:rPr>
            </w:pPr>
          </w:p>
        </w:tc>
      </w:tr>
      <w:tr>
        <w:trPr>
          <w:trHeight w:val="234"/>
        </w:trPr>
        <w:tc>
          <w:tcPr>
            <w:tcW w:w="424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Interest Rate¹ / Maturity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Borders>
              <w:top w:val="single" w:sz="8" w:color="auto"/>
            </w:tcBorders>
          </w:tcPr>
          <w:p>
            <w:pPr>
              <w:spacing w:after="0" w:line="197" w:lineRule="exact"/>
              <w:rPr>
                <w:sz w:val="20"/>
                <w:szCs w:val="20"/>
                <w:color w:val="auto"/>
              </w:rPr>
            </w:pPr>
            <w:r>
              <w:rPr>
                <w:rFonts w:ascii="Arial" w:cs="Arial" w:eastAsia="Arial" w:hAnsi="Arial"/>
                <w:sz w:val="14"/>
                <w:szCs w:val="14"/>
                <w:color w:val="auto"/>
              </w:rPr>
              <w:t>DBI Holding LLC</w:t>
            </w:r>
            <w:r>
              <w:rPr>
                <w:rFonts w:ascii="Arial" w:cs="Arial" w:eastAsia="Arial" w:hAnsi="Arial"/>
                <w:sz w:val="22"/>
                <w:szCs w:val="22"/>
                <w:color w:val="auto"/>
                <w:vertAlign w:val="superscript"/>
              </w:rPr>
              <w:t>9</w:t>
            </w:r>
          </w:p>
        </w:tc>
        <w:tc>
          <w:tcPr>
            <w:tcW w:w="120" w:type="dxa"/>
            <w:vAlign w:val="bottom"/>
          </w:tcPr>
          <w:p>
            <w:pPr>
              <w:spacing w:after="0"/>
              <w:rPr>
                <w:sz w:val="17"/>
                <w:szCs w:val="17"/>
                <w:color w:val="auto"/>
              </w:rPr>
            </w:pPr>
          </w:p>
        </w:tc>
        <w:tc>
          <w:tcPr>
            <w:tcW w:w="378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Senior Subordinated Bond — 13% - 09/2019 -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i w:val="1"/>
                <w:iCs w:val="1"/>
                <w:color w:val="auto"/>
              </w:rPr>
              <w:t>Services: Business</w:t>
            </w:r>
          </w:p>
        </w:tc>
        <w:tc>
          <w:tcPr>
            <w:tcW w:w="3780" w:type="dxa"/>
            <w:vAlign w:val="bottom"/>
            <w:gridSpan w:val="2"/>
          </w:tcPr>
          <w:p>
            <w:pPr>
              <w:spacing w:after="0"/>
              <w:rPr>
                <w:sz w:val="20"/>
                <w:szCs w:val="20"/>
                <w:color w:val="auto"/>
              </w:rPr>
            </w:pPr>
            <w:r>
              <w:rPr>
                <w:rFonts w:ascii="Arial" w:cs="Arial" w:eastAsia="Arial" w:hAnsi="Arial"/>
                <w:sz w:val="18"/>
                <w:szCs w:val="18"/>
                <w:color w:val="auto"/>
              </w:rPr>
              <w:t>Senior Subordinated Note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12.0% Cash, 1.0% PIK, Due 9/19</w:t>
            </w:r>
          </w:p>
        </w:tc>
        <w:tc>
          <w:tcPr>
            <w:tcW w:w="0" w:type="dxa"/>
            <w:vAlign w:val="bottom"/>
          </w:tcPr>
          <w:p>
            <w:pPr>
              <w:spacing w:after="0"/>
              <w:rPr>
                <w:sz w:val="1"/>
                <w:szCs w:val="1"/>
                <w:color w:val="auto"/>
              </w:rPr>
            </w:pPr>
          </w:p>
        </w:tc>
      </w:tr>
      <w:tr>
        <w:trPr>
          <w:trHeight w:val="418"/>
        </w:trPr>
        <w:tc>
          <w:tcPr>
            <w:tcW w:w="4240" w:type="dxa"/>
            <w:vAlign w:val="bottom"/>
            <w:gridSpan w:val="3"/>
          </w:tcPr>
          <w:p>
            <w:pPr>
              <w:spacing w:after="0"/>
              <w:rPr>
                <w:sz w:val="20"/>
                <w:szCs w:val="20"/>
                <w:color w:val="auto"/>
              </w:rPr>
            </w:pPr>
            <w:r>
              <w:rPr>
                <w:rFonts w:ascii="Arial" w:cs="Arial" w:eastAsia="Arial" w:hAnsi="Arial"/>
                <w:sz w:val="18"/>
                <w:szCs w:val="18"/>
                <w:color w:val="auto"/>
              </w:rPr>
              <w:t>Drew Marine Group Inc.</w:t>
            </w:r>
            <w:r>
              <w:rPr>
                <w:rFonts w:ascii="Arial" w:cs="Arial" w:eastAsia="Arial" w:hAnsi="Arial"/>
                <w:sz w:val="30"/>
                <w:szCs w:val="30"/>
                <w:color w:val="auto"/>
                <w:vertAlign w:val="superscript"/>
              </w:rPr>
              <w:t>9</w:t>
            </w:r>
          </w:p>
        </w:tc>
        <w:tc>
          <w:tcPr>
            <w:tcW w:w="3780" w:type="dxa"/>
            <w:vAlign w:val="bottom"/>
            <w:gridSpan w:val="2"/>
          </w:tcPr>
          <w:p>
            <w:pPr>
              <w:spacing w:after="0"/>
              <w:rPr>
                <w:sz w:val="20"/>
                <w:szCs w:val="20"/>
                <w:color w:val="auto"/>
              </w:rPr>
            </w:pPr>
            <w:r>
              <w:rPr>
                <w:rFonts w:ascii="Arial" w:cs="Arial" w:eastAsia="Arial" w:hAnsi="Arial"/>
                <w:sz w:val="18"/>
                <w:szCs w:val="18"/>
                <w:color w:val="auto"/>
                <w:w w:val="94"/>
              </w:rPr>
              <w:t>Junior Secured Loan — Term Loan (Second Lien)</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i w:val="1"/>
                <w:iCs w:val="1"/>
                <w:color w:val="auto"/>
              </w:rPr>
              <w:t>Transportation: Cargo</w:t>
            </w:r>
          </w:p>
        </w:tc>
        <w:tc>
          <w:tcPr>
            <w:tcW w:w="400" w:type="dxa"/>
            <w:vAlign w:val="bottom"/>
          </w:tcPr>
          <w:p>
            <w:pPr>
              <w:spacing w:after="0"/>
              <w:rPr>
                <w:sz w:val="20"/>
                <w:szCs w:val="20"/>
                <w:color w:val="auto"/>
              </w:rPr>
            </w:pPr>
            <w:r>
              <w:rPr>
                <w:rFonts w:ascii="Arial" w:cs="Arial" w:eastAsia="Arial" w:hAnsi="Arial"/>
                <w:sz w:val="18"/>
                <w:szCs w:val="18"/>
                <w:color w:val="auto"/>
                <w:w w:val="92"/>
              </w:rPr>
              <w:t>8.0%</w:t>
            </w:r>
          </w:p>
        </w:tc>
        <w:tc>
          <w:tcPr>
            <w:tcW w:w="3380" w:type="dxa"/>
            <w:vAlign w:val="bottom"/>
          </w:tcPr>
          <w:p>
            <w:pPr>
              <w:ind w:left="20"/>
              <w:spacing w:after="0"/>
              <w:rPr>
                <w:sz w:val="20"/>
                <w:szCs w:val="20"/>
                <w:color w:val="auto"/>
              </w:rPr>
            </w:pPr>
            <w:r>
              <w:rPr>
                <w:rFonts w:ascii="Arial" w:cs="Arial" w:eastAsia="Arial" w:hAnsi="Arial"/>
                <w:sz w:val="18"/>
                <w:szCs w:val="18"/>
                <w:color w:val="auto"/>
              </w:rPr>
              <w:t>Cash, 1.0% Libor Floor, Due 5/21</w:t>
            </w:r>
          </w:p>
        </w:tc>
        <w:tc>
          <w:tcPr>
            <w:tcW w:w="0" w:type="dxa"/>
            <w:vAlign w:val="bottom"/>
          </w:tcPr>
          <w:p>
            <w:pPr>
              <w:spacing w:after="0"/>
              <w:rPr>
                <w:sz w:val="1"/>
                <w:szCs w:val="1"/>
                <w:color w:val="auto"/>
              </w:rPr>
            </w:pPr>
          </w:p>
        </w:tc>
      </w:tr>
      <w:tr>
        <w:trPr>
          <w:trHeight w:val="419"/>
        </w:trPr>
        <w:tc>
          <w:tcPr>
            <w:tcW w:w="4240" w:type="dxa"/>
            <w:vAlign w:val="bottom"/>
            <w:gridSpan w:val="3"/>
          </w:tcPr>
          <w:p>
            <w:pPr>
              <w:spacing w:after="0"/>
              <w:rPr>
                <w:sz w:val="20"/>
                <w:szCs w:val="20"/>
                <w:color w:val="auto"/>
              </w:rPr>
            </w:pPr>
            <w:r>
              <w:rPr>
                <w:rFonts w:ascii="Arial" w:cs="Arial" w:eastAsia="Arial" w:hAnsi="Arial"/>
                <w:sz w:val="18"/>
                <w:szCs w:val="18"/>
                <w:color w:val="auto"/>
              </w:rPr>
              <w:t>ELO Touch Solutions, Inc.</w:t>
            </w:r>
            <w:r>
              <w:rPr>
                <w:rFonts w:ascii="Arial" w:cs="Arial" w:eastAsia="Arial" w:hAnsi="Arial"/>
                <w:sz w:val="30"/>
                <w:szCs w:val="30"/>
                <w:color w:val="auto"/>
                <w:vertAlign w:val="superscript"/>
              </w:rPr>
              <w:t>9, 11</w:t>
            </w:r>
          </w:p>
        </w:tc>
        <w:tc>
          <w:tcPr>
            <w:tcW w:w="3780" w:type="dxa"/>
            <w:vAlign w:val="bottom"/>
            <w:gridSpan w:val="2"/>
          </w:tcPr>
          <w:p>
            <w:pPr>
              <w:spacing w:after="0"/>
              <w:rPr>
                <w:sz w:val="20"/>
                <w:szCs w:val="20"/>
                <w:color w:val="auto"/>
              </w:rPr>
            </w:pPr>
            <w:r>
              <w:rPr>
                <w:rFonts w:ascii="Arial" w:cs="Arial" w:eastAsia="Arial" w:hAnsi="Arial"/>
                <w:sz w:val="18"/>
                <w:szCs w:val="18"/>
                <w:color w:val="auto"/>
              </w:rPr>
              <w:t>Senior Secured Loan — Term Loan (First Lien)</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i w:val="1"/>
                <w:iCs w:val="1"/>
                <w:color w:val="auto"/>
              </w:rPr>
              <w:t>High Tech Industries</w:t>
            </w:r>
          </w:p>
        </w:tc>
        <w:tc>
          <w:tcPr>
            <w:tcW w:w="400" w:type="dxa"/>
            <w:vAlign w:val="bottom"/>
          </w:tcPr>
          <w:p>
            <w:pPr>
              <w:spacing w:after="0"/>
              <w:rPr>
                <w:sz w:val="20"/>
                <w:szCs w:val="20"/>
                <w:color w:val="auto"/>
              </w:rPr>
            </w:pPr>
            <w:r>
              <w:rPr>
                <w:rFonts w:ascii="Arial" w:cs="Arial" w:eastAsia="Arial" w:hAnsi="Arial"/>
                <w:sz w:val="18"/>
                <w:szCs w:val="18"/>
                <w:color w:val="auto"/>
                <w:w w:val="92"/>
              </w:rPr>
              <w:t>8.0%</w:t>
            </w:r>
          </w:p>
        </w:tc>
        <w:tc>
          <w:tcPr>
            <w:tcW w:w="3380" w:type="dxa"/>
            <w:vAlign w:val="bottom"/>
          </w:tcPr>
          <w:p>
            <w:pPr>
              <w:ind w:left="20"/>
              <w:spacing w:after="0"/>
              <w:rPr>
                <w:sz w:val="20"/>
                <w:szCs w:val="20"/>
                <w:color w:val="auto"/>
              </w:rPr>
            </w:pPr>
            <w:r>
              <w:rPr>
                <w:rFonts w:ascii="Arial" w:cs="Arial" w:eastAsia="Arial" w:hAnsi="Arial"/>
                <w:sz w:val="18"/>
                <w:szCs w:val="18"/>
                <w:color w:val="auto"/>
              </w:rPr>
              <w:t>Cash, 1.5% Libor Floor, Due 6/18</w:t>
            </w:r>
          </w:p>
        </w:tc>
        <w:tc>
          <w:tcPr>
            <w:tcW w:w="0" w:type="dxa"/>
            <w:vAlign w:val="bottom"/>
          </w:tcPr>
          <w:p>
            <w:pPr>
              <w:spacing w:after="0"/>
              <w:rPr>
                <w:sz w:val="1"/>
                <w:szCs w:val="1"/>
                <w:color w:val="auto"/>
              </w:rPr>
            </w:pPr>
          </w:p>
        </w:tc>
      </w:tr>
      <w:tr>
        <w:trPr>
          <w:trHeight w:val="419"/>
        </w:trPr>
        <w:tc>
          <w:tcPr>
            <w:tcW w:w="4240" w:type="dxa"/>
            <w:vAlign w:val="bottom"/>
            <w:gridSpan w:val="3"/>
          </w:tcPr>
          <w:p>
            <w:pPr>
              <w:spacing w:after="0"/>
              <w:rPr>
                <w:sz w:val="20"/>
                <w:szCs w:val="20"/>
                <w:color w:val="auto"/>
              </w:rPr>
            </w:pPr>
            <w:r>
              <w:rPr>
                <w:rFonts w:ascii="Arial" w:cs="Arial" w:eastAsia="Arial" w:hAnsi="Arial"/>
                <w:sz w:val="18"/>
                <w:szCs w:val="18"/>
                <w:color w:val="auto"/>
                <w:w w:val="98"/>
              </w:rPr>
              <w:t>EWT Holdings III Corp. (fka WTG Holdings III Corp.)</w:t>
            </w:r>
            <w:r>
              <w:rPr>
                <w:rFonts w:ascii="Arial" w:cs="Arial" w:eastAsia="Arial" w:hAnsi="Arial"/>
                <w:sz w:val="30"/>
                <w:szCs w:val="30"/>
                <w:color w:val="auto"/>
                <w:w w:val="98"/>
                <w:vertAlign w:val="superscript"/>
              </w:rPr>
              <w:t>9</w:t>
            </w:r>
          </w:p>
        </w:tc>
        <w:tc>
          <w:tcPr>
            <w:tcW w:w="3780" w:type="dxa"/>
            <w:vAlign w:val="bottom"/>
            <w:gridSpan w:val="2"/>
          </w:tcPr>
          <w:p>
            <w:pPr>
              <w:spacing w:after="0"/>
              <w:rPr>
                <w:sz w:val="20"/>
                <w:szCs w:val="20"/>
                <w:color w:val="auto"/>
              </w:rPr>
            </w:pPr>
            <w:r>
              <w:rPr>
                <w:rFonts w:ascii="Arial" w:cs="Arial" w:eastAsia="Arial" w:hAnsi="Arial"/>
                <w:sz w:val="18"/>
                <w:szCs w:val="18"/>
                <w:color w:val="auto"/>
                <w:w w:val="94"/>
              </w:rPr>
              <w:t>Junior Secured Loan — Term Loan (Second Lien)</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i w:val="1"/>
                <w:iCs w:val="1"/>
                <w:color w:val="auto"/>
              </w:rPr>
              <w:t>Environmental Industries</w:t>
            </w:r>
          </w:p>
        </w:tc>
        <w:tc>
          <w:tcPr>
            <w:tcW w:w="400" w:type="dxa"/>
            <w:vAlign w:val="bottom"/>
          </w:tcPr>
          <w:p>
            <w:pPr>
              <w:spacing w:after="0"/>
              <w:rPr>
                <w:sz w:val="20"/>
                <w:szCs w:val="20"/>
                <w:color w:val="auto"/>
              </w:rPr>
            </w:pPr>
            <w:r>
              <w:rPr>
                <w:rFonts w:ascii="Arial" w:cs="Arial" w:eastAsia="Arial" w:hAnsi="Arial"/>
                <w:sz w:val="18"/>
                <w:szCs w:val="18"/>
                <w:color w:val="auto"/>
                <w:w w:val="92"/>
              </w:rPr>
              <w:t>8.5%</w:t>
            </w:r>
          </w:p>
        </w:tc>
        <w:tc>
          <w:tcPr>
            <w:tcW w:w="3380" w:type="dxa"/>
            <w:vAlign w:val="bottom"/>
          </w:tcPr>
          <w:p>
            <w:pPr>
              <w:ind w:left="20"/>
              <w:spacing w:after="0"/>
              <w:rPr>
                <w:sz w:val="20"/>
                <w:szCs w:val="20"/>
                <w:color w:val="auto"/>
              </w:rPr>
            </w:pPr>
            <w:r>
              <w:rPr>
                <w:rFonts w:ascii="Arial" w:cs="Arial" w:eastAsia="Arial" w:hAnsi="Arial"/>
                <w:sz w:val="18"/>
                <w:szCs w:val="18"/>
                <w:color w:val="auto"/>
              </w:rPr>
              <w:t>Cash, 1.0% Libor Floor, Due 1/22</w:t>
            </w:r>
          </w:p>
        </w:tc>
        <w:tc>
          <w:tcPr>
            <w:tcW w:w="0" w:type="dxa"/>
            <w:vAlign w:val="bottom"/>
          </w:tcPr>
          <w:p>
            <w:pPr>
              <w:spacing w:after="0"/>
              <w:rPr>
                <w:sz w:val="1"/>
                <w:szCs w:val="1"/>
                <w:color w:val="auto"/>
              </w:rPr>
            </w:pPr>
          </w:p>
        </w:tc>
      </w:tr>
      <w:tr>
        <w:trPr>
          <w:trHeight w:val="419"/>
        </w:trPr>
        <w:tc>
          <w:tcPr>
            <w:tcW w:w="4240" w:type="dxa"/>
            <w:vAlign w:val="bottom"/>
            <w:gridSpan w:val="3"/>
          </w:tcPr>
          <w:p>
            <w:pPr>
              <w:spacing w:after="0"/>
              <w:rPr>
                <w:sz w:val="20"/>
                <w:szCs w:val="20"/>
                <w:color w:val="auto"/>
              </w:rPr>
            </w:pPr>
            <w:r>
              <w:rPr>
                <w:rFonts w:ascii="Arial" w:cs="Arial" w:eastAsia="Arial" w:hAnsi="Arial"/>
                <w:sz w:val="18"/>
                <w:szCs w:val="18"/>
                <w:color w:val="auto"/>
              </w:rPr>
              <w:t>Fender Musical Instruments Corporation</w:t>
            </w:r>
            <w:r>
              <w:rPr>
                <w:rFonts w:ascii="Arial" w:cs="Arial" w:eastAsia="Arial" w:hAnsi="Arial"/>
                <w:sz w:val="30"/>
                <w:szCs w:val="30"/>
                <w:color w:val="auto"/>
                <w:vertAlign w:val="superscript"/>
              </w:rPr>
              <w:t>9, 11</w:t>
            </w:r>
          </w:p>
        </w:tc>
        <w:tc>
          <w:tcPr>
            <w:tcW w:w="3780" w:type="dxa"/>
            <w:vAlign w:val="bottom"/>
            <w:gridSpan w:val="2"/>
          </w:tcPr>
          <w:p>
            <w:pPr>
              <w:spacing w:after="0"/>
              <w:rPr>
                <w:sz w:val="20"/>
                <w:szCs w:val="20"/>
                <w:color w:val="auto"/>
              </w:rPr>
            </w:pPr>
            <w:r>
              <w:rPr>
                <w:rFonts w:ascii="Arial" w:cs="Arial" w:eastAsia="Arial" w:hAnsi="Arial"/>
                <w:sz w:val="18"/>
                <w:szCs w:val="18"/>
                <w:color w:val="auto"/>
              </w:rPr>
              <w:t>Senior Secured Loan — Initial Loan</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i w:val="1"/>
                <w:iCs w:val="1"/>
                <w:color w:val="auto"/>
              </w:rPr>
              <w:t>Hotel, Gaming &amp; Leisure</w:t>
            </w:r>
          </w:p>
        </w:tc>
        <w:tc>
          <w:tcPr>
            <w:tcW w:w="400" w:type="dxa"/>
            <w:vAlign w:val="bottom"/>
          </w:tcPr>
          <w:p>
            <w:pPr>
              <w:spacing w:after="0"/>
              <w:rPr>
                <w:sz w:val="20"/>
                <w:szCs w:val="20"/>
                <w:color w:val="auto"/>
              </w:rPr>
            </w:pPr>
            <w:r>
              <w:rPr>
                <w:rFonts w:ascii="Arial" w:cs="Arial" w:eastAsia="Arial" w:hAnsi="Arial"/>
                <w:sz w:val="18"/>
                <w:szCs w:val="18"/>
                <w:color w:val="auto"/>
                <w:w w:val="92"/>
              </w:rPr>
              <w:t>5.8%</w:t>
            </w:r>
          </w:p>
        </w:tc>
        <w:tc>
          <w:tcPr>
            <w:tcW w:w="3380" w:type="dxa"/>
            <w:vAlign w:val="bottom"/>
          </w:tcPr>
          <w:p>
            <w:pPr>
              <w:ind w:left="20"/>
              <w:spacing w:after="0"/>
              <w:rPr>
                <w:sz w:val="20"/>
                <w:szCs w:val="20"/>
                <w:color w:val="auto"/>
              </w:rPr>
            </w:pPr>
            <w:r>
              <w:rPr>
                <w:rFonts w:ascii="Arial" w:cs="Arial" w:eastAsia="Arial" w:hAnsi="Arial"/>
                <w:sz w:val="18"/>
                <w:szCs w:val="18"/>
                <w:color w:val="auto"/>
              </w:rPr>
              <w:t>Cash, 1.3% Libor Floor, Due 4/19</w:t>
            </w:r>
          </w:p>
        </w:tc>
        <w:tc>
          <w:tcPr>
            <w:tcW w:w="0" w:type="dxa"/>
            <w:vAlign w:val="bottom"/>
          </w:tcPr>
          <w:p>
            <w:pPr>
              <w:spacing w:after="0"/>
              <w:rPr>
                <w:sz w:val="1"/>
                <w:szCs w:val="1"/>
                <w:color w:val="auto"/>
              </w:rPr>
            </w:pPr>
          </w:p>
        </w:tc>
      </w:tr>
      <w:tr>
        <w:trPr>
          <w:trHeight w:val="419"/>
        </w:trPr>
        <w:tc>
          <w:tcPr>
            <w:tcW w:w="4240" w:type="dxa"/>
            <w:vAlign w:val="bottom"/>
            <w:gridSpan w:val="3"/>
          </w:tcPr>
          <w:p>
            <w:pPr>
              <w:spacing w:after="0"/>
              <w:rPr>
                <w:sz w:val="20"/>
                <w:szCs w:val="20"/>
                <w:color w:val="auto"/>
              </w:rPr>
            </w:pPr>
            <w:r>
              <w:rPr>
                <w:rFonts w:ascii="Arial" w:cs="Arial" w:eastAsia="Arial" w:hAnsi="Arial"/>
                <w:sz w:val="18"/>
                <w:szCs w:val="18"/>
                <w:color w:val="auto"/>
              </w:rPr>
              <w:t>FHC Health Systems, Inc.</w:t>
            </w:r>
            <w:r>
              <w:rPr>
                <w:rFonts w:ascii="Arial" w:cs="Arial" w:eastAsia="Arial" w:hAnsi="Arial"/>
                <w:sz w:val="30"/>
                <w:szCs w:val="30"/>
                <w:color w:val="auto"/>
                <w:vertAlign w:val="superscript"/>
              </w:rPr>
              <w:t>9, 11</w:t>
            </w:r>
          </w:p>
        </w:tc>
        <w:tc>
          <w:tcPr>
            <w:tcW w:w="378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400" w:type="dxa"/>
            <w:vAlign w:val="bottom"/>
          </w:tcPr>
          <w:p>
            <w:pPr>
              <w:spacing w:after="0"/>
              <w:rPr>
                <w:sz w:val="20"/>
                <w:szCs w:val="20"/>
                <w:color w:val="auto"/>
              </w:rPr>
            </w:pPr>
            <w:r>
              <w:rPr>
                <w:rFonts w:ascii="Arial" w:cs="Arial" w:eastAsia="Arial" w:hAnsi="Arial"/>
                <w:sz w:val="18"/>
                <w:szCs w:val="18"/>
                <w:color w:val="auto"/>
                <w:w w:val="92"/>
              </w:rPr>
              <w:t>5.8%</w:t>
            </w:r>
          </w:p>
        </w:tc>
        <w:tc>
          <w:tcPr>
            <w:tcW w:w="3380" w:type="dxa"/>
            <w:vAlign w:val="bottom"/>
          </w:tcPr>
          <w:p>
            <w:pPr>
              <w:ind w:left="20"/>
              <w:spacing w:after="0"/>
              <w:rPr>
                <w:sz w:val="20"/>
                <w:szCs w:val="20"/>
                <w:color w:val="auto"/>
              </w:rPr>
            </w:pPr>
            <w:r>
              <w:rPr>
                <w:rFonts w:ascii="Arial" w:cs="Arial" w:eastAsia="Arial" w:hAnsi="Arial"/>
                <w:sz w:val="18"/>
                <w:szCs w:val="18"/>
                <w:color w:val="auto"/>
              </w:rPr>
              <w:t>Cash, 1.0% Libor Floor, Due 1/18</w:t>
            </w:r>
          </w:p>
        </w:tc>
        <w:tc>
          <w:tcPr>
            <w:tcW w:w="0" w:type="dxa"/>
            <w:vAlign w:val="bottom"/>
          </w:tcPr>
          <w:p>
            <w:pPr>
              <w:spacing w:after="0"/>
              <w:rPr>
                <w:sz w:val="1"/>
                <w:szCs w:val="1"/>
                <w:color w:val="auto"/>
              </w:rPr>
            </w:pPr>
          </w:p>
        </w:tc>
      </w:tr>
      <w:tr>
        <w:trPr>
          <w:trHeight w:val="419"/>
        </w:trPr>
        <w:tc>
          <w:tcPr>
            <w:tcW w:w="4240" w:type="dxa"/>
            <w:vAlign w:val="bottom"/>
            <w:gridSpan w:val="3"/>
          </w:tcPr>
          <w:p>
            <w:pPr>
              <w:spacing w:after="0"/>
              <w:rPr>
                <w:sz w:val="20"/>
                <w:szCs w:val="20"/>
                <w:color w:val="auto"/>
              </w:rPr>
            </w:pPr>
            <w:r>
              <w:rPr>
                <w:rFonts w:ascii="Arial" w:cs="Arial" w:eastAsia="Arial" w:hAnsi="Arial"/>
                <w:sz w:val="18"/>
                <w:szCs w:val="18"/>
                <w:color w:val="auto"/>
              </w:rPr>
              <w:t>First American Payment Systems, L.P.</w:t>
            </w:r>
            <w:r>
              <w:rPr>
                <w:rFonts w:ascii="Arial" w:cs="Arial" w:eastAsia="Arial" w:hAnsi="Arial"/>
                <w:sz w:val="30"/>
                <w:szCs w:val="30"/>
                <w:color w:val="auto"/>
                <w:vertAlign w:val="superscript"/>
              </w:rPr>
              <w:t>9</w:t>
            </w:r>
          </w:p>
        </w:tc>
        <w:tc>
          <w:tcPr>
            <w:tcW w:w="3780" w:type="dxa"/>
            <w:vAlign w:val="bottom"/>
            <w:gridSpan w:val="2"/>
          </w:tcPr>
          <w:p>
            <w:pPr>
              <w:spacing w:after="0"/>
              <w:rPr>
                <w:sz w:val="20"/>
                <w:szCs w:val="20"/>
                <w:color w:val="auto"/>
              </w:rPr>
            </w:pPr>
            <w:r>
              <w:rPr>
                <w:rFonts w:ascii="Arial" w:cs="Arial" w:eastAsia="Arial" w:hAnsi="Arial"/>
                <w:sz w:val="18"/>
                <w:szCs w:val="18"/>
                <w:color w:val="auto"/>
                <w:w w:val="94"/>
              </w:rPr>
              <w:t>Junior Secured Loan — Term Loan (Second Lien)</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i w:val="1"/>
                <w:iCs w:val="1"/>
                <w:color w:val="auto"/>
              </w:rPr>
              <w:t>Banking, Finance, Insurance &amp; Real Estate</w:t>
            </w:r>
          </w:p>
        </w:tc>
        <w:tc>
          <w:tcPr>
            <w:tcW w:w="3780" w:type="dxa"/>
            <w:vAlign w:val="bottom"/>
            <w:gridSpan w:val="2"/>
          </w:tcPr>
          <w:p>
            <w:pPr>
              <w:spacing w:after="0"/>
              <w:rPr>
                <w:sz w:val="20"/>
                <w:szCs w:val="20"/>
                <w:color w:val="auto"/>
              </w:rPr>
            </w:pPr>
            <w:r>
              <w:rPr>
                <w:rFonts w:ascii="Arial" w:cs="Arial" w:eastAsia="Arial" w:hAnsi="Arial"/>
                <w:sz w:val="18"/>
                <w:szCs w:val="18"/>
                <w:color w:val="auto"/>
              </w:rPr>
              <w:t>10.8% Cash, 1.3% Libor Floor, Due 4/19</w:t>
            </w:r>
          </w:p>
        </w:tc>
        <w:tc>
          <w:tcPr>
            <w:tcW w:w="0" w:type="dxa"/>
            <w:vAlign w:val="bottom"/>
          </w:tcPr>
          <w:p>
            <w:pPr>
              <w:spacing w:after="0"/>
              <w:rPr>
                <w:sz w:val="1"/>
                <w:szCs w:val="1"/>
                <w:color w:val="auto"/>
              </w:rPr>
            </w:pPr>
          </w:p>
        </w:tc>
      </w:tr>
      <w:tr>
        <w:trPr>
          <w:trHeight w:val="419"/>
        </w:trPr>
        <w:tc>
          <w:tcPr>
            <w:tcW w:w="4240" w:type="dxa"/>
            <w:vAlign w:val="bottom"/>
            <w:gridSpan w:val="3"/>
          </w:tcPr>
          <w:p>
            <w:pPr>
              <w:spacing w:after="0"/>
              <w:rPr>
                <w:sz w:val="20"/>
                <w:szCs w:val="20"/>
                <w:color w:val="auto"/>
              </w:rPr>
            </w:pPr>
            <w:r>
              <w:rPr>
                <w:rFonts w:ascii="Arial" w:cs="Arial" w:eastAsia="Arial" w:hAnsi="Arial"/>
                <w:sz w:val="18"/>
                <w:szCs w:val="18"/>
                <w:color w:val="auto"/>
              </w:rPr>
              <w:t>First Data Corporation</w:t>
            </w:r>
            <w:r>
              <w:rPr>
                <w:rFonts w:ascii="Arial" w:cs="Arial" w:eastAsia="Arial" w:hAnsi="Arial"/>
                <w:sz w:val="30"/>
                <w:szCs w:val="30"/>
                <w:color w:val="auto"/>
                <w:vertAlign w:val="superscript"/>
              </w:rPr>
              <w:t>9, 11</w:t>
            </w:r>
          </w:p>
        </w:tc>
        <w:tc>
          <w:tcPr>
            <w:tcW w:w="3780" w:type="dxa"/>
            <w:vAlign w:val="bottom"/>
            <w:gridSpan w:val="2"/>
          </w:tcPr>
          <w:p>
            <w:pPr>
              <w:spacing w:after="0"/>
              <w:rPr>
                <w:sz w:val="20"/>
                <w:szCs w:val="20"/>
                <w:color w:val="auto"/>
              </w:rPr>
            </w:pPr>
            <w:r>
              <w:rPr>
                <w:rFonts w:ascii="Arial" w:cs="Arial" w:eastAsia="Arial" w:hAnsi="Arial"/>
                <w:sz w:val="18"/>
                <w:szCs w:val="18"/>
                <w:color w:val="auto"/>
                <w:w w:val="99"/>
              </w:rPr>
              <w:t>Senior Secured Loan — 2018 New Dollar Term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i w:val="1"/>
                <w:iCs w:val="1"/>
                <w:color w:val="auto"/>
              </w:rPr>
              <w:t>Banking, Finance, Insurance &amp; Real Estate</w:t>
            </w:r>
          </w:p>
        </w:tc>
        <w:tc>
          <w:tcPr>
            <w:tcW w:w="400" w:type="dxa"/>
            <w:vAlign w:val="bottom"/>
          </w:tcPr>
          <w:p>
            <w:pPr>
              <w:spacing w:after="0"/>
              <w:rPr>
                <w:sz w:val="20"/>
                <w:szCs w:val="20"/>
                <w:color w:val="auto"/>
              </w:rPr>
            </w:pPr>
            <w:r>
              <w:rPr>
                <w:rFonts w:ascii="Arial" w:cs="Arial" w:eastAsia="Arial" w:hAnsi="Arial"/>
                <w:sz w:val="18"/>
                <w:szCs w:val="18"/>
                <w:color w:val="auto"/>
                <w:w w:val="94"/>
              </w:rPr>
              <w:t>Loan</w:t>
            </w:r>
          </w:p>
        </w:tc>
        <w:tc>
          <w:tcPr>
            <w:tcW w:w="3380" w:type="dxa"/>
            <w:vAlign w:val="bottom"/>
            <w:vMerge w:val="restart"/>
          </w:tcPr>
          <w:p>
            <w:pPr>
              <w:ind w:left="20"/>
              <w:spacing w:after="0"/>
              <w:rPr>
                <w:sz w:val="20"/>
                <w:szCs w:val="20"/>
                <w:color w:val="auto"/>
              </w:rPr>
            </w:pPr>
            <w:r>
              <w:rPr>
                <w:rFonts w:ascii="Arial" w:cs="Arial" w:eastAsia="Arial" w:hAnsi="Arial"/>
                <w:sz w:val="18"/>
                <w:szCs w:val="18"/>
                <w:color w:val="auto"/>
              </w:rPr>
              <w:t>Cash, Due 3/18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2"/>
              </w:rPr>
              <w:t>3.7%</w:t>
            </w:r>
          </w:p>
        </w:tc>
        <w:tc>
          <w:tcPr>
            <w:tcW w:w="3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240" w:type="dxa"/>
            <w:vAlign w:val="bottom"/>
            <w:gridSpan w:val="3"/>
          </w:tcPr>
          <w:p>
            <w:pPr>
              <w:spacing w:after="0"/>
              <w:rPr>
                <w:sz w:val="20"/>
                <w:szCs w:val="20"/>
                <w:color w:val="auto"/>
              </w:rPr>
            </w:pPr>
            <w:r>
              <w:rPr>
                <w:rFonts w:ascii="Arial" w:cs="Arial" w:eastAsia="Arial" w:hAnsi="Arial"/>
                <w:sz w:val="18"/>
                <w:szCs w:val="18"/>
                <w:color w:val="auto"/>
              </w:rPr>
              <w:t>Getty Images, Inc.</w:t>
            </w:r>
            <w:r>
              <w:rPr>
                <w:rFonts w:ascii="Arial" w:cs="Arial" w:eastAsia="Arial" w:hAnsi="Arial"/>
                <w:sz w:val="30"/>
                <w:szCs w:val="30"/>
                <w:color w:val="auto"/>
                <w:vertAlign w:val="superscript"/>
              </w:rPr>
              <w:t>9, 11</w:t>
            </w:r>
          </w:p>
        </w:tc>
        <w:tc>
          <w:tcPr>
            <w:tcW w:w="378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400" w:type="dxa"/>
            <w:vAlign w:val="bottom"/>
          </w:tcPr>
          <w:p>
            <w:pPr>
              <w:spacing w:after="0"/>
              <w:rPr>
                <w:sz w:val="20"/>
                <w:szCs w:val="20"/>
                <w:color w:val="auto"/>
              </w:rPr>
            </w:pPr>
            <w:r>
              <w:rPr>
                <w:rFonts w:ascii="Arial" w:cs="Arial" w:eastAsia="Arial" w:hAnsi="Arial"/>
                <w:sz w:val="18"/>
                <w:szCs w:val="18"/>
                <w:color w:val="auto"/>
                <w:w w:val="92"/>
              </w:rPr>
              <w:t>4.8%</w:t>
            </w:r>
          </w:p>
        </w:tc>
        <w:tc>
          <w:tcPr>
            <w:tcW w:w="3380" w:type="dxa"/>
            <w:vAlign w:val="bottom"/>
          </w:tcPr>
          <w:p>
            <w:pPr>
              <w:ind w:left="20"/>
              <w:spacing w:after="0"/>
              <w:rPr>
                <w:sz w:val="20"/>
                <w:szCs w:val="20"/>
                <w:color w:val="auto"/>
              </w:rPr>
            </w:pPr>
            <w:r>
              <w:rPr>
                <w:rFonts w:ascii="Arial" w:cs="Arial" w:eastAsia="Arial" w:hAnsi="Arial"/>
                <w:sz w:val="18"/>
                <w:szCs w:val="18"/>
                <w:color w:val="auto"/>
              </w:rPr>
              <w:t>Cash, 1.3% Libor Floor, Due 10/19</w:t>
            </w:r>
          </w:p>
        </w:tc>
        <w:tc>
          <w:tcPr>
            <w:tcW w:w="0" w:type="dxa"/>
            <w:vAlign w:val="bottom"/>
          </w:tcPr>
          <w:p>
            <w:pPr>
              <w:spacing w:after="0"/>
              <w:rPr>
                <w:sz w:val="1"/>
                <w:szCs w:val="1"/>
                <w:color w:val="auto"/>
              </w:rPr>
            </w:pPr>
          </w:p>
        </w:tc>
      </w:tr>
      <w:tr>
        <w:trPr>
          <w:trHeight w:val="419"/>
        </w:trPr>
        <w:tc>
          <w:tcPr>
            <w:tcW w:w="4240" w:type="dxa"/>
            <w:vAlign w:val="bottom"/>
            <w:gridSpan w:val="3"/>
          </w:tcPr>
          <w:p>
            <w:pPr>
              <w:spacing w:after="0"/>
              <w:rPr>
                <w:sz w:val="20"/>
                <w:szCs w:val="20"/>
                <w:color w:val="auto"/>
              </w:rPr>
            </w:pPr>
            <w:r>
              <w:rPr>
                <w:rFonts w:ascii="Arial" w:cs="Arial" w:eastAsia="Arial" w:hAnsi="Arial"/>
                <w:sz w:val="18"/>
                <w:szCs w:val="18"/>
                <w:color w:val="auto"/>
              </w:rPr>
              <w:t>Global Tel*Link Corporation</w:t>
            </w:r>
            <w:r>
              <w:rPr>
                <w:rFonts w:ascii="Arial" w:cs="Arial" w:eastAsia="Arial" w:hAnsi="Arial"/>
                <w:sz w:val="30"/>
                <w:szCs w:val="30"/>
                <w:color w:val="auto"/>
                <w:vertAlign w:val="superscript"/>
              </w:rPr>
              <w:t>9</w:t>
            </w:r>
          </w:p>
        </w:tc>
        <w:tc>
          <w:tcPr>
            <w:tcW w:w="3780" w:type="dxa"/>
            <w:vAlign w:val="bottom"/>
            <w:gridSpan w:val="2"/>
          </w:tcPr>
          <w:p>
            <w:pPr>
              <w:spacing w:after="0"/>
              <w:rPr>
                <w:sz w:val="20"/>
                <w:szCs w:val="20"/>
                <w:color w:val="auto"/>
              </w:rPr>
            </w:pPr>
            <w:r>
              <w:rPr>
                <w:rFonts w:ascii="Arial" w:cs="Arial" w:eastAsia="Arial" w:hAnsi="Arial"/>
                <w:sz w:val="18"/>
                <w:szCs w:val="18"/>
                <w:color w:val="auto"/>
                <w:w w:val="94"/>
              </w:rPr>
              <w:t>Junior Secured Loan — Term Loan (Second Lien)</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i w:val="1"/>
                <w:iCs w:val="1"/>
                <w:color w:val="auto"/>
              </w:rPr>
              <w:t>Telecommunications</w:t>
            </w:r>
          </w:p>
        </w:tc>
        <w:tc>
          <w:tcPr>
            <w:tcW w:w="400" w:type="dxa"/>
            <w:vAlign w:val="bottom"/>
          </w:tcPr>
          <w:p>
            <w:pPr>
              <w:spacing w:after="0"/>
              <w:rPr>
                <w:sz w:val="20"/>
                <w:szCs w:val="20"/>
                <w:color w:val="auto"/>
              </w:rPr>
            </w:pPr>
            <w:r>
              <w:rPr>
                <w:rFonts w:ascii="Arial" w:cs="Arial" w:eastAsia="Arial" w:hAnsi="Arial"/>
                <w:sz w:val="18"/>
                <w:szCs w:val="18"/>
                <w:color w:val="auto"/>
                <w:w w:val="92"/>
              </w:rPr>
              <w:t>9.0%</w:t>
            </w:r>
          </w:p>
        </w:tc>
        <w:tc>
          <w:tcPr>
            <w:tcW w:w="3380" w:type="dxa"/>
            <w:vAlign w:val="bottom"/>
          </w:tcPr>
          <w:p>
            <w:pPr>
              <w:ind w:left="20"/>
              <w:spacing w:after="0"/>
              <w:rPr>
                <w:sz w:val="20"/>
                <w:szCs w:val="20"/>
                <w:color w:val="auto"/>
              </w:rPr>
            </w:pPr>
            <w:r>
              <w:rPr>
                <w:rFonts w:ascii="Arial" w:cs="Arial" w:eastAsia="Arial" w:hAnsi="Arial"/>
                <w:sz w:val="18"/>
                <w:szCs w:val="18"/>
                <w:color w:val="auto"/>
              </w:rPr>
              <w:t>Cash, 1.3% Libor Floor, Due 11/20</w:t>
            </w:r>
          </w:p>
        </w:tc>
        <w:tc>
          <w:tcPr>
            <w:tcW w:w="0" w:type="dxa"/>
            <w:vAlign w:val="bottom"/>
          </w:tcPr>
          <w:p>
            <w:pPr>
              <w:spacing w:after="0"/>
              <w:rPr>
                <w:sz w:val="1"/>
                <w:szCs w:val="1"/>
                <w:color w:val="auto"/>
              </w:rPr>
            </w:pPr>
          </w:p>
        </w:tc>
      </w:tr>
      <w:tr>
        <w:trPr>
          <w:trHeight w:val="419"/>
        </w:trPr>
        <w:tc>
          <w:tcPr>
            <w:tcW w:w="4240" w:type="dxa"/>
            <w:vAlign w:val="bottom"/>
            <w:gridSpan w:val="3"/>
          </w:tcPr>
          <w:p>
            <w:pPr>
              <w:spacing w:after="0"/>
              <w:rPr>
                <w:sz w:val="20"/>
                <w:szCs w:val="20"/>
                <w:color w:val="auto"/>
              </w:rPr>
            </w:pPr>
            <w:r>
              <w:rPr>
                <w:rFonts w:ascii="Arial" w:cs="Arial" w:eastAsia="Arial" w:hAnsi="Arial"/>
                <w:sz w:val="18"/>
                <w:szCs w:val="18"/>
                <w:color w:val="auto"/>
              </w:rPr>
              <w:t>Grande Communications Networks LLC</w:t>
            </w:r>
            <w:r>
              <w:rPr>
                <w:rFonts w:ascii="Arial" w:cs="Arial" w:eastAsia="Arial" w:hAnsi="Arial"/>
                <w:sz w:val="30"/>
                <w:szCs w:val="30"/>
                <w:color w:val="auto"/>
                <w:vertAlign w:val="superscript"/>
              </w:rPr>
              <w:t>9, 11</w:t>
            </w:r>
          </w:p>
        </w:tc>
        <w:tc>
          <w:tcPr>
            <w:tcW w:w="378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i w:val="1"/>
                <w:iCs w:val="1"/>
                <w:color w:val="auto"/>
              </w:rPr>
              <w:t>Telecommunications</w:t>
            </w:r>
          </w:p>
        </w:tc>
        <w:tc>
          <w:tcPr>
            <w:tcW w:w="400" w:type="dxa"/>
            <w:vAlign w:val="bottom"/>
          </w:tcPr>
          <w:p>
            <w:pPr>
              <w:spacing w:after="0"/>
              <w:rPr>
                <w:sz w:val="20"/>
                <w:szCs w:val="20"/>
                <w:color w:val="auto"/>
              </w:rPr>
            </w:pPr>
            <w:r>
              <w:rPr>
                <w:rFonts w:ascii="Arial" w:cs="Arial" w:eastAsia="Arial" w:hAnsi="Arial"/>
                <w:sz w:val="18"/>
                <w:szCs w:val="18"/>
                <w:color w:val="auto"/>
                <w:w w:val="92"/>
              </w:rPr>
              <w:t>4.5%</w:t>
            </w:r>
          </w:p>
        </w:tc>
        <w:tc>
          <w:tcPr>
            <w:tcW w:w="3380" w:type="dxa"/>
            <w:vAlign w:val="bottom"/>
          </w:tcPr>
          <w:p>
            <w:pPr>
              <w:ind w:left="20"/>
              <w:spacing w:after="0"/>
              <w:rPr>
                <w:sz w:val="20"/>
                <w:szCs w:val="20"/>
                <w:color w:val="auto"/>
              </w:rPr>
            </w:pPr>
            <w:r>
              <w:rPr>
                <w:rFonts w:ascii="Arial" w:cs="Arial" w:eastAsia="Arial" w:hAnsi="Arial"/>
                <w:sz w:val="18"/>
                <w:szCs w:val="18"/>
                <w:color w:val="auto"/>
              </w:rPr>
              <w:t>Cash, 1.0% Libor Floor, Due 5/20</w:t>
            </w:r>
          </w:p>
        </w:tc>
        <w:tc>
          <w:tcPr>
            <w:tcW w:w="0" w:type="dxa"/>
            <w:vAlign w:val="bottom"/>
          </w:tcPr>
          <w:p>
            <w:pPr>
              <w:spacing w:after="0"/>
              <w:rPr>
                <w:sz w:val="1"/>
                <w:szCs w:val="1"/>
                <w:color w:val="auto"/>
              </w:rPr>
            </w:pPr>
          </w:p>
        </w:tc>
      </w:tr>
      <w:tr>
        <w:trPr>
          <w:trHeight w:val="419"/>
        </w:trPr>
        <w:tc>
          <w:tcPr>
            <w:tcW w:w="4240" w:type="dxa"/>
            <w:vAlign w:val="bottom"/>
            <w:gridSpan w:val="3"/>
          </w:tcPr>
          <w:p>
            <w:pPr>
              <w:spacing w:after="0"/>
              <w:rPr>
                <w:sz w:val="20"/>
                <w:szCs w:val="20"/>
                <w:color w:val="auto"/>
              </w:rPr>
            </w:pPr>
            <w:r>
              <w:rPr>
                <w:rFonts w:ascii="Arial" w:cs="Arial" w:eastAsia="Arial" w:hAnsi="Arial"/>
                <w:sz w:val="18"/>
                <w:szCs w:val="18"/>
                <w:color w:val="auto"/>
              </w:rPr>
              <w:t>Grupo HIMA San Pablo, Inc.</w:t>
            </w:r>
            <w:r>
              <w:rPr>
                <w:rFonts w:ascii="Arial" w:cs="Arial" w:eastAsia="Arial" w:hAnsi="Arial"/>
                <w:sz w:val="30"/>
                <w:szCs w:val="30"/>
                <w:color w:val="auto"/>
                <w:vertAlign w:val="superscript"/>
              </w:rPr>
              <w:t>9</w:t>
            </w:r>
          </w:p>
        </w:tc>
        <w:tc>
          <w:tcPr>
            <w:tcW w:w="3780" w:type="dxa"/>
            <w:vAlign w:val="bottom"/>
            <w:gridSpan w:val="2"/>
          </w:tcPr>
          <w:p>
            <w:pPr>
              <w:spacing w:after="0"/>
              <w:rPr>
                <w:sz w:val="20"/>
                <w:szCs w:val="20"/>
                <w:color w:val="auto"/>
              </w:rPr>
            </w:pPr>
            <w:r>
              <w:rPr>
                <w:rFonts w:ascii="Arial" w:cs="Arial" w:eastAsia="Arial" w:hAnsi="Arial"/>
                <w:sz w:val="18"/>
                <w:szCs w:val="18"/>
                <w:color w:val="auto"/>
                <w:w w:val="95"/>
              </w:rPr>
              <w:t>Senior Secured Loan — Term B Loan (First Lien)</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400" w:type="dxa"/>
            <w:vAlign w:val="bottom"/>
          </w:tcPr>
          <w:p>
            <w:pPr>
              <w:spacing w:after="0"/>
              <w:rPr>
                <w:sz w:val="20"/>
                <w:szCs w:val="20"/>
                <w:color w:val="auto"/>
              </w:rPr>
            </w:pPr>
            <w:r>
              <w:rPr>
                <w:rFonts w:ascii="Arial" w:cs="Arial" w:eastAsia="Arial" w:hAnsi="Arial"/>
                <w:sz w:val="18"/>
                <w:szCs w:val="18"/>
                <w:color w:val="auto"/>
                <w:w w:val="92"/>
              </w:rPr>
              <w:t>8.5%</w:t>
            </w:r>
          </w:p>
        </w:tc>
        <w:tc>
          <w:tcPr>
            <w:tcW w:w="3380" w:type="dxa"/>
            <w:vAlign w:val="bottom"/>
          </w:tcPr>
          <w:p>
            <w:pPr>
              <w:ind w:left="20"/>
              <w:spacing w:after="0"/>
              <w:rPr>
                <w:sz w:val="20"/>
                <w:szCs w:val="20"/>
                <w:color w:val="auto"/>
              </w:rPr>
            </w:pPr>
            <w:r>
              <w:rPr>
                <w:rFonts w:ascii="Arial" w:cs="Arial" w:eastAsia="Arial" w:hAnsi="Arial"/>
                <w:sz w:val="18"/>
                <w:szCs w:val="18"/>
                <w:color w:val="auto"/>
              </w:rPr>
              <w:t>Cash, 1.5% Libor Floor, Due 1/18</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80" w:type="dxa"/>
            <w:vAlign w:val="bottom"/>
          </w:tcPr>
          <w:p>
            <w:pPr>
              <w:ind w:left="10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-5196205</wp:posOffset>
            </wp:positionV>
            <wp:extent cx="7246620" cy="300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-4758690</wp:posOffset>
            </wp:positionV>
            <wp:extent cx="7246620" cy="3003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-4321810</wp:posOffset>
            </wp:positionV>
            <wp:extent cx="7246620" cy="3003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-3884295</wp:posOffset>
            </wp:positionV>
            <wp:extent cx="7246620" cy="300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-3446780</wp:posOffset>
            </wp:positionV>
            <wp:extent cx="7246620" cy="300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-3009265</wp:posOffset>
            </wp:positionV>
            <wp:extent cx="7246620" cy="300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-2572385</wp:posOffset>
            </wp:positionV>
            <wp:extent cx="7246620" cy="411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-2023110</wp:posOffset>
            </wp:positionV>
            <wp:extent cx="7246620" cy="30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-1585595</wp:posOffset>
            </wp:positionV>
            <wp:extent cx="7246620" cy="3003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-1148715</wp:posOffset>
            </wp:positionV>
            <wp:extent cx="7246620" cy="3003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-711200</wp:posOffset>
            </wp:positionV>
            <wp:extent cx="7246620" cy="3003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-5753735</wp:posOffset>
            </wp:positionV>
            <wp:extent cx="7246620" cy="420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102"/>
        <w:spacing w:after="0"/>
        <w:tabs>
          <w:tab w:leader="none" w:pos="1401" w:val="left"/>
          <w:tab w:leader="none" w:pos="2261" w:val="left"/>
        </w:tabs>
        <w:rPr>
          <w:sz w:val="20"/>
          <w:szCs w:val="20"/>
          <w:color w:val="auto"/>
        </w:rPr>
      </w:pPr>
      <w:r>
        <w:rPr>
          <w:rFonts w:ascii="Arial" w:cs="Arial" w:eastAsia="Arial" w:hAnsi="Arial"/>
          <w:sz w:val="18"/>
          <w:szCs w:val="18"/>
          <w:b w:val="1"/>
          <w:bCs w:val="1"/>
          <w:color w:val="auto"/>
        </w:rPr>
        <w:t>Principal</w:t>
      </w:r>
      <w:r>
        <w:rPr>
          <w:sz w:val="20"/>
          <w:szCs w:val="20"/>
          <w:color w:val="auto"/>
        </w:rPr>
        <w:tab/>
      </w:r>
      <w:r>
        <w:rPr>
          <w:rFonts w:ascii="Arial" w:cs="Arial" w:eastAsia="Arial" w:hAnsi="Arial"/>
          <w:sz w:val="18"/>
          <w:szCs w:val="18"/>
          <w:b w:val="1"/>
          <w:bCs w:val="1"/>
          <w:color w:val="auto"/>
        </w:rPr>
        <w:t>Cost</w:t>
      </w:r>
      <w:r>
        <w:rPr>
          <w:sz w:val="20"/>
          <w:szCs w:val="20"/>
          <w:color w:val="auto"/>
        </w:rPr>
        <w:tab/>
      </w:r>
      <w:r>
        <w:rPr>
          <w:rFonts w:ascii="Arial" w:cs="Arial" w:eastAsia="Arial" w:hAnsi="Arial"/>
          <w:sz w:val="16"/>
          <w:szCs w:val="16"/>
          <w:b w:val="1"/>
          <w:bCs w:val="1"/>
          <w:u w:val="single" w:color="auto"/>
          <w:color w:val="auto"/>
        </w:rPr>
        <w:t>Fair Value</w:t>
      </w:r>
      <w:r>
        <w:rPr>
          <w:rFonts w:ascii="Arial" w:cs="Arial" w:eastAsia="Arial" w:hAnsi="Arial"/>
          <w:sz w:val="26"/>
          <w:szCs w:val="26"/>
          <w:u w:val="single" w:color="auto"/>
          <w:color w:val="auto"/>
          <w:vertAlign w:val="superscript"/>
        </w:rPr>
        <w:t>2</w:t>
      </w:r>
    </w:p>
    <w:p>
      <w:pPr>
        <w:spacing w:after="0" w:line="400" w:lineRule="exact"/>
        <w:rPr>
          <w:sz w:val="20"/>
          <w:szCs w:val="20"/>
          <w:color w:val="auto"/>
        </w:rPr>
      </w:pPr>
    </w:p>
    <w:p>
      <w:pPr>
        <w:ind w:left="222" w:hanging="222"/>
        <w:spacing w:after="0"/>
        <w:tabs>
          <w:tab w:leader="none" w:pos="222" w:val="left"/>
        </w:tabs>
        <w:numPr>
          <w:ilvl w:val="0"/>
          <w:numId w:val="3"/>
        </w:numPr>
        <w:rPr>
          <w:rFonts w:ascii="Arial" w:cs="Arial" w:eastAsia="Arial" w:hAnsi="Arial"/>
          <w:sz w:val="17"/>
          <w:szCs w:val="17"/>
          <w:color w:val="auto"/>
        </w:rPr>
      </w:pPr>
      <w:r>
        <w:rPr>
          <w:rFonts w:ascii="Arial" w:cs="Arial" w:eastAsia="Arial" w:hAnsi="Arial"/>
          <w:sz w:val="17"/>
          <w:szCs w:val="17"/>
          <w:color w:val="auto"/>
        </w:rPr>
        <w:t>4,303,950   $ 4,283,742   $ 4,366,788</w:t>
      </w:r>
    </w:p>
    <w:p>
      <w:pPr>
        <w:spacing w:after="0" w:line="200" w:lineRule="exact"/>
        <w:rPr>
          <w:rFonts w:ascii="Arial" w:cs="Arial" w:eastAsia="Arial" w:hAnsi="Arial"/>
          <w:sz w:val="17"/>
          <w:szCs w:val="17"/>
          <w:color w:val="auto"/>
        </w:rPr>
      </w:pPr>
    </w:p>
    <w:p>
      <w:pPr>
        <w:spacing w:after="0" w:line="293" w:lineRule="exact"/>
        <w:rPr>
          <w:rFonts w:ascii="Arial" w:cs="Arial" w:eastAsia="Arial" w:hAnsi="Arial"/>
          <w:sz w:val="17"/>
          <w:szCs w:val="17"/>
          <w:color w:val="auto"/>
        </w:rPr>
      </w:pPr>
    </w:p>
    <w:p>
      <w:pPr>
        <w:ind w:left="222"/>
        <w:spacing w:after="0"/>
        <w:rPr>
          <w:rFonts w:ascii="Arial" w:cs="Arial" w:eastAsia="Arial" w:hAnsi="Arial"/>
          <w:sz w:val="17"/>
          <w:szCs w:val="17"/>
          <w:color w:val="auto"/>
        </w:rPr>
      </w:pPr>
      <w:r>
        <w:rPr>
          <w:rFonts w:ascii="Arial" w:cs="Arial" w:eastAsia="Arial" w:hAnsi="Arial"/>
          <w:sz w:val="18"/>
          <w:szCs w:val="18"/>
          <w:color w:val="auto"/>
        </w:rPr>
        <w:t>2,500,0002,494,443</w:t>
      </w:r>
      <w:r>
        <w:rPr>
          <w:rFonts w:ascii="Arial" w:cs="Arial" w:eastAsia="Arial" w:hAnsi="Arial"/>
          <w:sz w:val="16"/>
          <w:szCs w:val="16"/>
          <w:color w:val="auto"/>
        </w:rPr>
        <w:t>2,548,250</w:t>
      </w:r>
    </w:p>
    <w:p>
      <w:pPr>
        <w:spacing w:after="0" w:line="200" w:lineRule="exact"/>
        <w:rPr>
          <w:rFonts w:ascii="Arial" w:cs="Arial" w:eastAsia="Arial" w:hAnsi="Arial"/>
          <w:sz w:val="17"/>
          <w:szCs w:val="17"/>
          <w:color w:val="auto"/>
        </w:rPr>
      </w:pPr>
    </w:p>
    <w:p>
      <w:pPr>
        <w:spacing w:after="0" w:line="281" w:lineRule="exact"/>
        <w:rPr>
          <w:rFonts w:ascii="Arial" w:cs="Arial" w:eastAsia="Arial" w:hAnsi="Arial"/>
          <w:sz w:val="17"/>
          <w:szCs w:val="17"/>
          <w:color w:val="auto"/>
        </w:rPr>
      </w:pPr>
    </w:p>
    <w:p>
      <w:pPr>
        <w:ind w:left="222"/>
        <w:spacing w:after="0"/>
        <w:rPr>
          <w:rFonts w:ascii="Arial" w:cs="Arial" w:eastAsia="Arial" w:hAnsi="Arial"/>
          <w:sz w:val="17"/>
          <w:szCs w:val="17"/>
          <w:color w:val="auto"/>
        </w:rPr>
      </w:pPr>
      <w:r>
        <w:rPr>
          <w:rFonts w:ascii="Arial" w:cs="Arial" w:eastAsia="Arial" w:hAnsi="Arial"/>
          <w:sz w:val="18"/>
          <w:szCs w:val="18"/>
          <w:color w:val="auto"/>
        </w:rPr>
        <w:t>1,898,7031,844,312</w:t>
      </w:r>
      <w:r>
        <w:rPr>
          <w:rFonts w:ascii="Arial" w:cs="Arial" w:eastAsia="Arial" w:hAnsi="Arial"/>
          <w:sz w:val="16"/>
          <w:szCs w:val="16"/>
          <w:color w:val="auto"/>
        </w:rPr>
        <w:t>1,855,223</w:t>
      </w:r>
    </w:p>
    <w:p>
      <w:pPr>
        <w:spacing w:after="0" w:line="200" w:lineRule="exact"/>
        <w:rPr>
          <w:rFonts w:ascii="Arial" w:cs="Arial" w:eastAsia="Arial" w:hAnsi="Arial"/>
          <w:sz w:val="17"/>
          <w:szCs w:val="17"/>
          <w:color w:val="auto"/>
        </w:rPr>
      </w:pPr>
    </w:p>
    <w:p>
      <w:pPr>
        <w:spacing w:after="0" w:line="281" w:lineRule="exact"/>
        <w:rPr>
          <w:rFonts w:ascii="Arial" w:cs="Arial" w:eastAsia="Arial" w:hAnsi="Arial"/>
          <w:sz w:val="17"/>
          <w:szCs w:val="17"/>
          <w:color w:val="auto"/>
        </w:rPr>
      </w:pPr>
    </w:p>
    <w:p>
      <w:pPr>
        <w:ind w:left="222"/>
        <w:spacing w:after="0"/>
        <w:rPr>
          <w:rFonts w:ascii="Arial" w:cs="Arial" w:eastAsia="Arial" w:hAnsi="Arial"/>
          <w:sz w:val="17"/>
          <w:szCs w:val="17"/>
          <w:color w:val="auto"/>
        </w:rPr>
      </w:pPr>
      <w:r>
        <w:rPr>
          <w:rFonts w:ascii="Arial" w:cs="Arial" w:eastAsia="Arial" w:hAnsi="Arial"/>
          <w:sz w:val="18"/>
          <w:szCs w:val="18"/>
          <w:color w:val="auto"/>
        </w:rPr>
        <w:t>4,000,0003,981,760</w:t>
      </w:r>
      <w:r>
        <w:rPr>
          <w:rFonts w:ascii="Arial" w:cs="Arial" w:eastAsia="Arial" w:hAnsi="Arial"/>
          <w:sz w:val="16"/>
          <w:szCs w:val="16"/>
          <w:color w:val="auto"/>
        </w:rPr>
        <w:t>4,000,000</w:t>
      </w:r>
    </w:p>
    <w:p>
      <w:pPr>
        <w:spacing w:after="0" w:line="200" w:lineRule="exact"/>
        <w:rPr>
          <w:rFonts w:ascii="Arial" w:cs="Arial" w:eastAsia="Arial" w:hAnsi="Arial"/>
          <w:sz w:val="17"/>
          <w:szCs w:val="17"/>
          <w:color w:val="auto"/>
        </w:rPr>
      </w:pPr>
    </w:p>
    <w:p>
      <w:pPr>
        <w:spacing w:after="0" w:line="281" w:lineRule="exact"/>
        <w:rPr>
          <w:rFonts w:ascii="Arial" w:cs="Arial" w:eastAsia="Arial" w:hAnsi="Arial"/>
          <w:sz w:val="17"/>
          <w:szCs w:val="17"/>
          <w:color w:val="auto"/>
        </w:rPr>
      </w:pPr>
    </w:p>
    <w:p>
      <w:pPr>
        <w:ind w:left="222"/>
        <w:spacing w:after="0"/>
        <w:rPr>
          <w:rFonts w:ascii="Arial" w:cs="Arial" w:eastAsia="Arial" w:hAnsi="Arial"/>
          <w:sz w:val="17"/>
          <w:szCs w:val="17"/>
          <w:color w:val="auto"/>
        </w:rPr>
      </w:pPr>
      <w:r>
        <w:rPr>
          <w:rFonts w:ascii="Arial" w:cs="Arial" w:eastAsia="Arial" w:hAnsi="Arial"/>
          <w:sz w:val="18"/>
          <w:szCs w:val="18"/>
          <w:color w:val="auto"/>
        </w:rPr>
        <w:t>2,401,6902,413,131</w:t>
      </w:r>
      <w:r>
        <w:rPr>
          <w:rFonts w:ascii="Arial" w:cs="Arial" w:eastAsia="Arial" w:hAnsi="Arial"/>
          <w:sz w:val="16"/>
          <w:szCs w:val="16"/>
          <w:color w:val="auto"/>
        </w:rPr>
        <w:t>2,401,931</w:t>
      </w:r>
    </w:p>
    <w:p>
      <w:pPr>
        <w:spacing w:after="0" w:line="200" w:lineRule="exact"/>
        <w:rPr>
          <w:rFonts w:ascii="Arial" w:cs="Arial" w:eastAsia="Arial" w:hAnsi="Arial"/>
          <w:sz w:val="17"/>
          <w:szCs w:val="17"/>
          <w:color w:val="auto"/>
        </w:rPr>
      </w:pPr>
    </w:p>
    <w:p>
      <w:pPr>
        <w:spacing w:after="0" w:line="281" w:lineRule="exact"/>
        <w:rPr>
          <w:rFonts w:ascii="Arial" w:cs="Arial" w:eastAsia="Arial" w:hAnsi="Arial"/>
          <w:sz w:val="17"/>
          <w:szCs w:val="17"/>
          <w:color w:val="auto"/>
        </w:rPr>
      </w:pPr>
    </w:p>
    <w:p>
      <w:pPr>
        <w:ind w:left="222"/>
        <w:spacing w:after="0"/>
        <w:rPr>
          <w:rFonts w:ascii="Arial" w:cs="Arial" w:eastAsia="Arial" w:hAnsi="Arial"/>
          <w:sz w:val="17"/>
          <w:szCs w:val="17"/>
          <w:color w:val="auto"/>
        </w:rPr>
      </w:pPr>
      <w:r>
        <w:rPr>
          <w:rFonts w:ascii="Arial" w:cs="Arial" w:eastAsia="Arial" w:hAnsi="Arial"/>
          <w:sz w:val="18"/>
          <w:szCs w:val="18"/>
          <w:color w:val="auto"/>
        </w:rPr>
        <w:t>3,407,1433,382,112</w:t>
      </w:r>
      <w:r>
        <w:rPr>
          <w:rFonts w:ascii="Arial" w:cs="Arial" w:eastAsia="Arial" w:hAnsi="Arial"/>
          <w:sz w:val="16"/>
          <w:szCs w:val="16"/>
          <w:color w:val="auto"/>
        </w:rPr>
        <w:t>3,407,143</w:t>
      </w:r>
    </w:p>
    <w:p>
      <w:pPr>
        <w:spacing w:after="0" w:line="200" w:lineRule="exact"/>
        <w:rPr>
          <w:rFonts w:ascii="Arial" w:cs="Arial" w:eastAsia="Arial" w:hAnsi="Arial"/>
          <w:sz w:val="17"/>
          <w:szCs w:val="17"/>
          <w:color w:val="auto"/>
        </w:rPr>
      </w:pPr>
    </w:p>
    <w:p>
      <w:pPr>
        <w:spacing w:after="0" w:line="281" w:lineRule="exact"/>
        <w:rPr>
          <w:rFonts w:ascii="Arial" w:cs="Arial" w:eastAsia="Arial" w:hAnsi="Arial"/>
          <w:sz w:val="17"/>
          <w:szCs w:val="17"/>
          <w:color w:val="auto"/>
        </w:rPr>
      </w:pPr>
    </w:p>
    <w:p>
      <w:pPr>
        <w:ind w:left="222"/>
        <w:spacing w:after="0"/>
        <w:rPr>
          <w:rFonts w:ascii="Arial" w:cs="Arial" w:eastAsia="Arial" w:hAnsi="Arial"/>
          <w:sz w:val="17"/>
          <w:szCs w:val="17"/>
          <w:color w:val="auto"/>
        </w:rPr>
      </w:pPr>
      <w:r>
        <w:rPr>
          <w:rFonts w:ascii="Arial" w:cs="Arial" w:eastAsia="Arial" w:hAnsi="Arial"/>
          <w:sz w:val="18"/>
          <w:szCs w:val="18"/>
          <w:color w:val="auto"/>
        </w:rPr>
        <w:t>2,796,4482,757,383</w:t>
      </w:r>
      <w:r>
        <w:rPr>
          <w:rFonts w:ascii="Arial" w:cs="Arial" w:eastAsia="Arial" w:hAnsi="Arial"/>
          <w:sz w:val="16"/>
          <w:szCs w:val="16"/>
          <w:color w:val="auto"/>
        </w:rPr>
        <w:t>2,823,014</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7" w:lineRule="exact"/>
        <w:rPr>
          <w:rFonts w:ascii="Arial" w:cs="Arial" w:eastAsia="Arial" w:hAnsi="Arial"/>
          <w:sz w:val="17"/>
          <w:szCs w:val="17"/>
          <w:color w:val="auto"/>
        </w:rPr>
      </w:pPr>
    </w:p>
    <w:p>
      <w:pPr>
        <w:ind w:left="222"/>
        <w:spacing w:after="0"/>
        <w:rPr>
          <w:rFonts w:ascii="Arial" w:cs="Arial" w:eastAsia="Arial" w:hAnsi="Arial"/>
          <w:sz w:val="17"/>
          <w:szCs w:val="17"/>
          <w:color w:val="auto"/>
        </w:rPr>
      </w:pPr>
      <w:r>
        <w:rPr>
          <w:rFonts w:ascii="Arial" w:cs="Arial" w:eastAsia="Arial" w:hAnsi="Arial"/>
          <w:sz w:val="18"/>
          <w:szCs w:val="18"/>
          <w:color w:val="auto"/>
        </w:rPr>
        <w:t>1,000,000957,692</w:t>
      </w:r>
      <w:r>
        <w:rPr>
          <w:rFonts w:ascii="Arial" w:cs="Arial" w:eastAsia="Arial" w:hAnsi="Arial"/>
          <w:sz w:val="16"/>
          <w:szCs w:val="16"/>
          <w:color w:val="auto"/>
        </w:rPr>
        <w:t>982,190</w:t>
      </w:r>
    </w:p>
    <w:p>
      <w:pPr>
        <w:spacing w:after="0" w:line="200" w:lineRule="exact"/>
        <w:rPr>
          <w:rFonts w:ascii="Arial" w:cs="Arial" w:eastAsia="Arial" w:hAnsi="Arial"/>
          <w:sz w:val="17"/>
          <w:szCs w:val="17"/>
          <w:color w:val="auto"/>
        </w:rPr>
      </w:pPr>
    </w:p>
    <w:p>
      <w:pPr>
        <w:spacing w:after="0" w:line="281" w:lineRule="exact"/>
        <w:rPr>
          <w:rFonts w:ascii="Arial" w:cs="Arial" w:eastAsia="Arial" w:hAnsi="Arial"/>
          <w:sz w:val="17"/>
          <w:szCs w:val="17"/>
          <w:color w:val="auto"/>
        </w:rPr>
      </w:pPr>
    </w:p>
    <w:p>
      <w:pPr>
        <w:ind w:left="222"/>
        <w:spacing w:after="0"/>
        <w:rPr>
          <w:rFonts w:ascii="Arial" w:cs="Arial" w:eastAsia="Arial" w:hAnsi="Arial"/>
          <w:sz w:val="17"/>
          <w:szCs w:val="17"/>
          <w:color w:val="auto"/>
        </w:rPr>
      </w:pPr>
      <w:r>
        <w:rPr>
          <w:rFonts w:ascii="Arial" w:cs="Arial" w:eastAsia="Arial" w:hAnsi="Arial"/>
          <w:sz w:val="18"/>
          <w:szCs w:val="18"/>
          <w:color w:val="auto"/>
        </w:rPr>
        <w:t>2,190,7392,191,894</w:t>
      </w:r>
      <w:r>
        <w:rPr>
          <w:rFonts w:ascii="Arial" w:cs="Arial" w:eastAsia="Arial" w:hAnsi="Arial"/>
          <w:sz w:val="16"/>
          <w:szCs w:val="16"/>
          <w:color w:val="auto"/>
        </w:rPr>
        <w:t>2,015,480</w:t>
      </w:r>
    </w:p>
    <w:p>
      <w:pPr>
        <w:spacing w:after="0" w:line="200" w:lineRule="exact"/>
        <w:rPr>
          <w:rFonts w:ascii="Arial" w:cs="Arial" w:eastAsia="Arial" w:hAnsi="Arial"/>
          <w:sz w:val="17"/>
          <w:szCs w:val="17"/>
          <w:color w:val="auto"/>
        </w:rPr>
      </w:pPr>
    </w:p>
    <w:p>
      <w:pPr>
        <w:spacing w:after="0" w:line="281" w:lineRule="exact"/>
        <w:rPr>
          <w:rFonts w:ascii="Arial" w:cs="Arial" w:eastAsia="Arial" w:hAnsi="Arial"/>
          <w:sz w:val="17"/>
          <w:szCs w:val="17"/>
          <w:color w:val="auto"/>
        </w:rPr>
      </w:pPr>
    </w:p>
    <w:p>
      <w:pPr>
        <w:ind w:left="222"/>
        <w:spacing w:after="0"/>
        <w:rPr>
          <w:rFonts w:ascii="Arial" w:cs="Arial" w:eastAsia="Arial" w:hAnsi="Arial"/>
          <w:sz w:val="17"/>
          <w:szCs w:val="17"/>
          <w:color w:val="auto"/>
        </w:rPr>
      </w:pPr>
      <w:r>
        <w:rPr>
          <w:rFonts w:ascii="Arial" w:cs="Arial" w:eastAsia="Arial" w:hAnsi="Arial"/>
          <w:sz w:val="18"/>
          <w:szCs w:val="18"/>
          <w:color w:val="auto"/>
        </w:rPr>
        <w:t>4,000,0003,932,910</w:t>
      </w:r>
      <w:r>
        <w:rPr>
          <w:rFonts w:ascii="Arial" w:cs="Arial" w:eastAsia="Arial" w:hAnsi="Arial"/>
          <w:sz w:val="16"/>
          <w:szCs w:val="16"/>
          <w:color w:val="auto"/>
        </w:rPr>
        <w:t>4,059,600</w:t>
      </w:r>
    </w:p>
    <w:p>
      <w:pPr>
        <w:spacing w:after="0" w:line="200" w:lineRule="exact"/>
        <w:rPr>
          <w:rFonts w:ascii="Arial" w:cs="Arial" w:eastAsia="Arial" w:hAnsi="Arial"/>
          <w:sz w:val="17"/>
          <w:szCs w:val="17"/>
          <w:color w:val="auto"/>
        </w:rPr>
      </w:pPr>
    </w:p>
    <w:p>
      <w:pPr>
        <w:spacing w:after="0" w:line="281" w:lineRule="exact"/>
        <w:rPr>
          <w:rFonts w:ascii="Arial" w:cs="Arial" w:eastAsia="Arial" w:hAnsi="Arial"/>
          <w:sz w:val="17"/>
          <w:szCs w:val="17"/>
          <w:color w:val="auto"/>
        </w:rPr>
      </w:pPr>
    </w:p>
    <w:p>
      <w:pPr>
        <w:ind w:left="222"/>
        <w:spacing w:after="0"/>
        <w:rPr>
          <w:rFonts w:ascii="Arial" w:cs="Arial" w:eastAsia="Arial" w:hAnsi="Arial"/>
          <w:sz w:val="17"/>
          <w:szCs w:val="17"/>
          <w:color w:val="auto"/>
        </w:rPr>
      </w:pPr>
      <w:r>
        <w:rPr>
          <w:rFonts w:ascii="Arial" w:cs="Arial" w:eastAsia="Arial" w:hAnsi="Arial"/>
          <w:sz w:val="18"/>
          <w:szCs w:val="18"/>
          <w:color w:val="auto"/>
        </w:rPr>
        <w:t>3,950,0263,954,719</w:t>
      </w:r>
      <w:r>
        <w:rPr>
          <w:rFonts w:ascii="Arial" w:cs="Arial" w:eastAsia="Arial" w:hAnsi="Arial"/>
          <w:sz w:val="16"/>
          <w:szCs w:val="16"/>
          <w:color w:val="auto"/>
        </w:rPr>
        <w:t>3,949,236</w:t>
      </w:r>
    </w:p>
    <w:p>
      <w:pPr>
        <w:spacing w:after="0" w:line="200" w:lineRule="exact"/>
        <w:rPr>
          <w:rFonts w:ascii="Arial" w:cs="Arial" w:eastAsia="Arial" w:hAnsi="Arial"/>
          <w:sz w:val="17"/>
          <w:szCs w:val="17"/>
          <w:color w:val="auto"/>
        </w:rPr>
      </w:pPr>
    </w:p>
    <w:p>
      <w:pPr>
        <w:spacing w:after="0" w:line="281" w:lineRule="exact"/>
        <w:rPr>
          <w:rFonts w:ascii="Arial" w:cs="Arial" w:eastAsia="Arial" w:hAnsi="Arial"/>
          <w:sz w:val="17"/>
          <w:szCs w:val="17"/>
          <w:color w:val="auto"/>
        </w:rPr>
      </w:pPr>
    </w:p>
    <w:p>
      <w:pPr>
        <w:ind w:left="222"/>
        <w:spacing w:after="0"/>
        <w:rPr>
          <w:rFonts w:ascii="Arial" w:cs="Arial" w:eastAsia="Arial" w:hAnsi="Arial"/>
          <w:sz w:val="17"/>
          <w:szCs w:val="17"/>
          <w:color w:val="auto"/>
        </w:rPr>
      </w:pPr>
      <w:r>
        <w:rPr>
          <w:rFonts w:ascii="Arial" w:cs="Arial" w:eastAsia="Arial" w:hAnsi="Arial"/>
          <w:sz w:val="18"/>
          <w:szCs w:val="18"/>
          <w:color w:val="auto"/>
        </w:rPr>
        <w:t>2,955,0002,915,557</w:t>
      </w:r>
      <w:r>
        <w:rPr>
          <w:rFonts w:ascii="Arial" w:cs="Arial" w:eastAsia="Arial" w:hAnsi="Arial"/>
          <w:sz w:val="16"/>
          <w:szCs w:val="16"/>
          <w:color w:val="auto"/>
        </w:rPr>
        <w:t>2,955,000</w:t>
      </w:r>
    </w:p>
    <w:p>
      <w:pPr>
        <w:sectPr>
          <w:pgSz w:w="11900" w:h="16838" w:orient="portrait"/>
          <w:cols w:equalWidth="0" w:num="2">
            <w:col w:w="8020" w:space="118"/>
            <w:col w:w="3182"/>
          </w:cols>
          <w:pgMar w:left="240" w:top="87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4020" w:type="dxa"/>
            <w:vAlign w:val="bottom"/>
            <w:gridSpan w:val="3"/>
          </w:tcPr>
          <w:p>
            <w:pPr>
              <w:ind w:left="120"/>
              <w:spacing w:after="0"/>
              <w:rPr>
                <w:sz w:val="20"/>
                <w:szCs w:val="20"/>
                <w:color w:val="auto"/>
              </w:rPr>
            </w:pPr>
            <w:r>
              <w:rPr>
                <w:rFonts w:ascii="Arial" w:cs="Arial" w:eastAsia="Arial" w:hAnsi="Arial"/>
                <w:sz w:val="18"/>
                <w:szCs w:val="18"/>
                <w:b w:val="1"/>
                <w:bCs w:val="1"/>
                <w:color w:val="auto"/>
              </w:rPr>
              <w:t>Investment</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4020" w:type="dxa"/>
            <w:vAlign w:val="bottom"/>
            <w:gridSpan w:val="3"/>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Principal</w:t>
            </w:r>
          </w:p>
        </w:tc>
        <w:tc>
          <w:tcPr>
            <w:tcW w:w="1020" w:type="dxa"/>
            <w:vAlign w:val="bottom"/>
            <w:gridSpan w:val="2"/>
          </w:tcPr>
          <w:p>
            <w:pPr>
              <w:ind w:left="28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Grupo HIMA San Pablo, Inc.</w:t>
            </w:r>
            <w:r>
              <w:rPr>
                <w:rFonts w:ascii="Arial" w:cs="Arial" w:eastAsia="Arial" w:hAnsi="Arial"/>
                <w:sz w:val="22"/>
                <w:szCs w:val="22"/>
                <w:color w:val="auto"/>
                <w:vertAlign w:val="superscript"/>
              </w:rPr>
              <w:t>9</w:t>
            </w:r>
          </w:p>
        </w:tc>
        <w:tc>
          <w:tcPr>
            <w:tcW w:w="120" w:type="dxa"/>
            <w:vAlign w:val="bottom"/>
            <w:tcBorders>
              <w:top w:val="single" w:sz="8" w:color="CCEEFF"/>
            </w:tcBorders>
            <w:shd w:val="clear" w:color="auto" w:fill="CCEEFF"/>
          </w:tcPr>
          <w:p>
            <w:pPr>
              <w:spacing w:after="0"/>
              <w:rPr>
                <w:sz w:val="17"/>
                <w:szCs w:val="17"/>
                <w:color w:val="auto"/>
              </w:rPr>
            </w:pPr>
          </w:p>
        </w:tc>
        <w:tc>
          <w:tcPr>
            <w:tcW w:w="37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4"/>
              </w:rPr>
              <w:t>Junior Secured Loan — Term Loan (Second Lien)</w:t>
            </w: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13.8% Cash, Due 7/18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7,000,000</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$ 6,887,346</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$ 7,105,000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Gymboree Corporation., The</w:t>
            </w:r>
            <w:r>
              <w:rPr>
                <w:rFonts w:ascii="Arial" w:cs="Arial" w:eastAsia="Arial" w:hAnsi="Arial"/>
                <w:sz w:val="23"/>
                <w:szCs w:val="23"/>
                <w:color w:val="auto"/>
                <w:vertAlign w:val="superscript"/>
              </w:rPr>
              <w:t>9, 11</w:t>
            </w:r>
          </w:p>
        </w:tc>
        <w:tc>
          <w:tcPr>
            <w:tcW w:w="402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Term Loan</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Retail</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5.0% Cash, 1.5% Libor Floor, Due 2/18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1,421,105</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1,386,473</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948,588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Hargray Communications Group, Inc. (HCP Acquisition</w:t>
            </w:r>
          </w:p>
        </w:tc>
        <w:tc>
          <w:tcPr>
            <w:tcW w:w="402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Senior Secured Loan — Initial Term Loan</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LLC)</w:t>
            </w:r>
            <w:r>
              <w:rPr>
                <w:rFonts w:ascii="Arial" w:cs="Arial" w:eastAsia="Arial" w:hAnsi="Arial"/>
                <w:sz w:val="29"/>
                <w:szCs w:val="29"/>
                <w:color w:val="auto"/>
                <w:vertAlign w:val="superscript"/>
              </w:rPr>
              <w:t>9, 11</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4.8% Cash, 1.0% Libor Floor, Due 6/19</w:t>
            </w:r>
          </w:p>
        </w:tc>
        <w:tc>
          <w:tcPr>
            <w:tcW w:w="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Broadcasting &amp; Subscription</w:t>
            </w:r>
          </w:p>
        </w:tc>
        <w:tc>
          <w:tcPr>
            <w:tcW w:w="120" w:type="dxa"/>
            <w:vAlign w:val="bottom"/>
            <w:shd w:val="clear" w:color="auto" w:fill="CCEEFF"/>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2,962,500</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2,938,993</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2,963,093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Harland Clarke Holdings Corp. (fka Clarke American</w:t>
            </w:r>
          </w:p>
        </w:tc>
        <w:tc>
          <w:tcPr>
            <w:tcW w:w="402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Senior Secured Loan — Tranche B-3 Term Loan</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Corp.)</w:t>
            </w:r>
            <w:r>
              <w:rPr>
                <w:rFonts w:ascii="Arial" w:cs="Arial" w:eastAsia="Arial" w:hAnsi="Arial"/>
                <w:sz w:val="29"/>
                <w:szCs w:val="29"/>
                <w:color w:val="auto"/>
                <w:vertAlign w:val="superscript"/>
              </w:rPr>
              <w:t>9, 11</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7.0% Cash, 1.5% Libor Floor, Due 5/18</w:t>
            </w:r>
          </w:p>
        </w:tc>
        <w:tc>
          <w:tcPr>
            <w:tcW w:w="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120" w:type="dxa"/>
            <w:vAlign w:val="bottom"/>
            <w:shd w:val="clear" w:color="auto" w:fill="CCEEFF"/>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3,390,625</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3,364,184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3,432,313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Harland Clarke Holdings Corp. (fka Clarke American</w:t>
            </w:r>
          </w:p>
        </w:tc>
        <w:tc>
          <w:tcPr>
            <w:tcW w:w="402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Senior Secured Loan — Tranche B-4 Term Loan</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Corp.)</w:t>
            </w:r>
            <w:r>
              <w:rPr>
                <w:rFonts w:ascii="Arial" w:cs="Arial" w:eastAsia="Arial" w:hAnsi="Arial"/>
                <w:sz w:val="29"/>
                <w:szCs w:val="29"/>
                <w:color w:val="auto"/>
                <w:vertAlign w:val="superscript"/>
              </w:rPr>
              <w:t>9, 11</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6.0% Cash, 1.0% Libor Floor, Due 8/19</w:t>
            </w:r>
          </w:p>
        </w:tc>
        <w:tc>
          <w:tcPr>
            <w:tcW w:w="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120" w:type="dxa"/>
            <w:vAlign w:val="bottom"/>
            <w:shd w:val="clear" w:color="auto" w:fill="CCEEFF"/>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1,471,875</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1,465,382</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1,471,728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Hoffmaster Group, Inc.</w:t>
            </w:r>
            <w:r>
              <w:rPr>
                <w:rFonts w:ascii="Arial" w:cs="Arial" w:eastAsia="Arial" w:hAnsi="Arial"/>
                <w:sz w:val="23"/>
                <w:szCs w:val="23"/>
                <w:color w:val="auto"/>
                <w:vertAlign w:val="superscript"/>
              </w:rPr>
              <w:t>9</w:t>
            </w:r>
          </w:p>
        </w:tc>
        <w:tc>
          <w:tcPr>
            <w:tcW w:w="402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Junior Secured Loan — Initial Term Loan (Second</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Forest Products &amp; Paper</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Lien)</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20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1,971,646</w:t>
            </w:r>
          </w:p>
        </w:tc>
        <w:tc>
          <w:tcPr>
            <w:tcW w:w="11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1,911,800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19"/>
                <w:szCs w:val="19"/>
                <w:color w:val="auto"/>
              </w:rPr>
            </w:pP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10.0% Cash, 1.0% Libor Floor, Due 5/21</w:t>
            </w:r>
          </w:p>
        </w:tc>
        <w:tc>
          <w:tcPr>
            <w:tcW w:w="9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12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Hoffmaster Group, Inc.</w:t>
            </w:r>
            <w:r>
              <w:rPr>
                <w:rFonts w:ascii="Arial" w:cs="Arial" w:eastAsia="Arial" w:hAnsi="Arial"/>
                <w:sz w:val="23"/>
                <w:szCs w:val="23"/>
                <w:color w:val="auto"/>
                <w:vertAlign w:val="superscript"/>
              </w:rPr>
              <w:t>9, 11</w:t>
            </w:r>
          </w:p>
        </w:tc>
        <w:tc>
          <w:tcPr>
            <w:tcW w:w="402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Initial Term Loan (First</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Forest Products &amp; Paper</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Lien)</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3,990,000</w:t>
            </w:r>
          </w:p>
        </w:tc>
        <w:tc>
          <w:tcPr>
            <w:tcW w:w="20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3,952,551</w:t>
            </w:r>
          </w:p>
        </w:tc>
        <w:tc>
          <w:tcPr>
            <w:tcW w:w="11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3,987,606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19"/>
                <w:szCs w:val="19"/>
                <w:color w:val="auto"/>
              </w:rPr>
            </w:pP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5.3% Cash, 1.0% Libor Floor, Due 5/20</w:t>
            </w:r>
          </w:p>
        </w:tc>
        <w:tc>
          <w:tcPr>
            <w:tcW w:w="9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12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Hunter Defense Technologies, Inc.</w:t>
            </w:r>
            <w:r>
              <w:rPr>
                <w:rFonts w:ascii="Arial" w:cs="Arial" w:eastAsia="Arial" w:hAnsi="Arial"/>
                <w:sz w:val="23"/>
                <w:szCs w:val="23"/>
                <w:color w:val="auto"/>
                <w:vertAlign w:val="superscript"/>
              </w:rPr>
              <w:t>9, 11</w:t>
            </w:r>
          </w:p>
        </w:tc>
        <w:tc>
          <w:tcPr>
            <w:tcW w:w="402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Term Loan (First Lien)</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Aerospace and Defense</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6.5% Cash, 1.0% Libor Floor, Due 8/19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2,970,582</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2,973,300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International Architectural Products, Inc.</w:t>
            </w:r>
            <w:r>
              <w:rPr>
                <w:rFonts w:ascii="Arial" w:cs="Arial" w:eastAsia="Arial" w:hAnsi="Arial"/>
                <w:sz w:val="23"/>
                <w:szCs w:val="23"/>
                <w:color w:val="auto"/>
                <w:vertAlign w:val="superscript"/>
              </w:rPr>
              <w:t>7, 9</w:t>
            </w:r>
          </w:p>
        </w:tc>
        <w:tc>
          <w:tcPr>
            <w:tcW w:w="402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Term Loan</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Metals &amp; Mining</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5"/>
              </w:rPr>
              <w:t>12.0% Cash, 3.3% PIK, 2.5% Libor Floor, Due 5/15</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247,636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228,563</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Key Safety Systems, Inc.</w:t>
            </w:r>
            <w:r>
              <w:rPr>
                <w:rFonts w:ascii="Arial" w:cs="Arial" w:eastAsia="Arial" w:hAnsi="Arial"/>
                <w:sz w:val="23"/>
                <w:szCs w:val="23"/>
                <w:color w:val="auto"/>
                <w:vertAlign w:val="superscript"/>
              </w:rPr>
              <w:t>9, 11</w:t>
            </w:r>
          </w:p>
        </w:tc>
        <w:tc>
          <w:tcPr>
            <w:tcW w:w="402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Initial Term Loan</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Automotive</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4.8% Cash, 1.0% Libor Floor, Due 8/21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1,492,597</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1,497,750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Landslide Holdings, Inc. (Crimson Acquisition Corp.)</w:t>
            </w:r>
            <w:r>
              <w:rPr>
                <w:rFonts w:ascii="Arial" w:cs="Arial" w:eastAsia="Arial" w:hAnsi="Arial"/>
                <w:sz w:val="23"/>
                <w:szCs w:val="23"/>
                <w:color w:val="auto"/>
                <w:vertAlign w:val="superscript"/>
              </w:rPr>
              <w:t>9,</w:t>
            </w:r>
          </w:p>
        </w:tc>
        <w:tc>
          <w:tcPr>
            <w:tcW w:w="402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New Term Loan (First</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5"/>
                <w:szCs w:val="15"/>
                <w:color w:val="auto"/>
              </w:rPr>
              <w:t>11</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Lien)</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High Tech Industries</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5.0% Cash, 1.0% Libor Floor, Due 2/20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3,465,088</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3,474,003</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3,460,583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MB Aerospace ACP Holdings III Corp.</w:t>
            </w:r>
            <w:r>
              <w:rPr>
                <w:rFonts w:ascii="Arial" w:cs="Arial" w:eastAsia="Arial" w:hAnsi="Arial"/>
                <w:sz w:val="23"/>
                <w:szCs w:val="23"/>
                <w:color w:val="auto"/>
                <w:vertAlign w:val="superscript"/>
              </w:rPr>
              <w:t>9, 11</w:t>
            </w:r>
          </w:p>
        </w:tc>
        <w:tc>
          <w:tcPr>
            <w:tcW w:w="402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Dollar Term Loan</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Aerospace and Defense</w:t>
            </w:r>
          </w:p>
        </w:tc>
        <w:tc>
          <w:tcPr>
            <w:tcW w:w="40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5.0% Cash, 1.0% Libor Floor, Due 5/19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3,950,000</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3,919,243</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3,927,485</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jc w:val="right"/>
              <w:ind w:right="217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0" w:type="dxa"/>
            <w:vAlign w:val="bottom"/>
            <w:gridSpan w:val="3"/>
          </w:tcPr>
          <w:p>
            <w:pPr>
              <w:ind w:left="120"/>
              <w:spacing w:after="0"/>
              <w:rPr>
                <w:sz w:val="20"/>
                <w:szCs w:val="20"/>
                <w:color w:val="auto"/>
              </w:rPr>
            </w:pPr>
            <w:r>
              <w:rPr>
                <w:rFonts w:ascii="Arial" w:cs="Arial" w:eastAsia="Arial" w:hAnsi="Arial"/>
                <w:sz w:val="18"/>
                <w:szCs w:val="18"/>
                <w:b w:val="1"/>
                <w:bCs w:val="1"/>
                <w:color w:val="auto"/>
                <w:w w:val="90"/>
              </w:rPr>
              <w:t>Investment</w:t>
            </w:r>
          </w:p>
        </w:tc>
        <w:tc>
          <w:tcPr>
            <w:tcW w:w="4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4020" w:type="dxa"/>
            <w:vAlign w:val="bottom"/>
            <w:gridSpan w:val="6"/>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Principal</w:t>
            </w:r>
          </w:p>
        </w:tc>
        <w:tc>
          <w:tcPr>
            <w:tcW w:w="1020" w:type="dxa"/>
            <w:vAlign w:val="bottom"/>
            <w:gridSpan w:val="2"/>
          </w:tcPr>
          <w:p>
            <w:pPr>
              <w:ind w:left="28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Medical Specialties Distributors, LLC</w:t>
            </w:r>
            <w:r>
              <w:rPr>
                <w:rFonts w:ascii="Arial" w:cs="Arial" w:eastAsia="Arial" w:hAnsi="Arial"/>
                <w:sz w:val="22"/>
                <w:szCs w:val="22"/>
                <w:color w:val="auto"/>
                <w:vertAlign w:val="superscript"/>
              </w:rPr>
              <w:t>9, 11</w:t>
            </w:r>
          </w:p>
        </w:tc>
        <w:tc>
          <w:tcPr>
            <w:tcW w:w="120" w:type="dxa"/>
            <w:vAlign w:val="bottom"/>
            <w:tcBorders>
              <w:top w:val="single" w:sz="8" w:color="CCEEFF"/>
            </w:tcBorders>
            <w:shd w:val="clear" w:color="auto" w:fill="CCEEFF"/>
          </w:tcPr>
          <w:p>
            <w:pPr>
              <w:spacing w:after="0"/>
              <w:rPr>
                <w:sz w:val="17"/>
                <w:szCs w:val="17"/>
                <w:color w:val="auto"/>
              </w:rPr>
            </w:pPr>
          </w:p>
        </w:tc>
        <w:tc>
          <w:tcPr>
            <w:tcW w:w="3780" w:type="dxa"/>
            <w:vAlign w:val="bottom"/>
            <w:tcBorders>
              <w:top w:val="single" w:sz="8" w:color="auto"/>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Senior Secured Loan — Term Loan</w:t>
            </w: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6.5%</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93"/>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12/19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3,970,000</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$ 3,935,681</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$ 3,951,738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Nellson Nutraceutical, LLC</w:t>
            </w:r>
            <w:r>
              <w:rPr>
                <w:rFonts w:ascii="Arial" w:cs="Arial" w:eastAsia="Arial" w:hAnsi="Arial"/>
                <w:sz w:val="23"/>
                <w:szCs w:val="23"/>
                <w:color w:val="auto"/>
                <w:vertAlign w:val="superscript"/>
              </w:rPr>
              <w:t>9, 11</w:t>
            </w:r>
          </w:p>
        </w:tc>
        <w:tc>
          <w:tcPr>
            <w:tcW w:w="4020" w:type="dxa"/>
            <w:vAlign w:val="bottom"/>
            <w:gridSpan w:val="6"/>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Term Loan</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5.8%</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93"/>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8/18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1,985,000</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1,973,356</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1,966,143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Nielsen &amp; Bainbrige, LLC</w:t>
            </w:r>
            <w:r>
              <w:rPr>
                <w:rFonts w:ascii="Arial" w:cs="Arial" w:eastAsia="Arial" w:hAnsi="Arial"/>
                <w:sz w:val="23"/>
                <w:szCs w:val="23"/>
                <w:color w:val="auto"/>
                <w:vertAlign w:val="superscript"/>
              </w:rPr>
              <w:t>9</w:t>
            </w:r>
          </w:p>
        </w:tc>
        <w:tc>
          <w:tcPr>
            <w:tcW w:w="4020" w:type="dxa"/>
            <w:vAlign w:val="bottom"/>
            <w:gridSpan w:val="6"/>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Term Loan (First Lien)</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Consumer goods: Durable</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6.0%</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93"/>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8/20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990,060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992,500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Nielsen &amp; Bainbrige, LLC</w:t>
            </w:r>
            <w:r>
              <w:rPr>
                <w:rFonts w:ascii="Arial" w:cs="Arial" w:eastAsia="Arial" w:hAnsi="Arial"/>
                <w:sz w:val="23"/>
                <w:szCs w:val="23"/>
                <w:color w:val="auto"/>
                <w:vertAlign w:val="superscript"/>
              </w:rPr>
              <w:t>9</w:t>
            </w:r>
          </w:p>
        </w:tc>
        <w:tc>
          <w:tcPr>
            <w:tcW w:w="4020" w:type="dxa"/>
            <w:vAlign w:val="bottom"/>
            <w:gridSpan w:val="6"/>
            <w:shd w:val="clear" w:color="auto" w:fill="CCEEFF"/>
          </w:tcPr>
          <w:p>
            <w:pPr>
              <w:ind w:left="120"/>
              <w:spacing w:after="0" w:line="202" w:lineRule="exact"/>
              <w:rPr>
                <w:sz w:val="20"/>
                <w:szCs w:val="20"/>
                <w:color w:val="auto"/>
              </w:rPr>
            </w:pPr>
            <w:r>
              <w:rPr>
                <w:rFonts w:ascii="Arial" w:cs="Arial" w:eastAsia="Arial" w:hAnsi="Arial"/>
                <w:sz w:val="18"/>
                <w:szCs w:val="18"/>
                <w:color w:val="auto"/>
                <w:w w:val="97"/>
              </w:rPr>
              <w:t>Junior Secured Loan — Term Loan (Second Lien)</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Consumer goods: Durable</w:t>
            </w:r>
          </w:p>
        </w:tc>
        <w:tc>
          <w:tcPr>
            <w:tcW w:w="402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10.3% Cash, 1.0% Libor Floor, Due 8/21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1,970,155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Nielsen &amp; Bainbrige, LLC</w:t>
            </w:r>
            <w:r>
              <w:rPr>
                <w:rFonts w:ascii="Arial" w:cs="Arial" w:eastAsia="Arial" w:hAnsi="Arial"/>
                <w:sz w:val="23"/>
                <w:szCs w:val="23"/>
                <w:color w:val="auto"/>
                <w:vertAlign w:val="superscript"/>
              </w:rPr>
              <w:t>9, 11</w:t>
            </w:r>
          </w:p>
        </w:tc>
        <w:tc>
          <w:tcPr>
            <w:tcW w:w="4020" w:type="dxa"/>
            <w:vAlign w:val="bottom"/>
            <w:gridSpan w:val="6"/>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Term Loan (First Lien)</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Consumer goods: Durable</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6.0%</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93"/>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8/20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2,970,181</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2,977,500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Novitex Acquisition, LLC (fka ARSloane Acquisition,</w:t>
            </w:r>
          </w:p>
        </w:tc>
        <w:tc>
          <w:tcPr>
            <w:tcW w:w="4020" w:type="dxa"/>
            <w:vAlign w:val="bottom"/>
            <w:gridSpan w:val="6"/>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Senior Secured Loan — Tranche B-2 Term Loan</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LLC)</w:t>
            </w:r>
            <w:r>
              <w:rPr>
                <w:rFonts w:ascii="Arial" w:cs="Arial" w:eastAsia="Arial" w:hAnsi="Arial"/>
                <w:sz w:val="25"/>
                <w:szCs w:val="25"/>
                <w:color w:val="auto"/>
                <w:vertAlign w:val="superscript"/>
              </w:rPr>
              <w:t>9, 11</w:t>
            </w:r>
          </w:p>
        </w:tc>
        <w:tc>
          <w:tcPr>
            <w:tcW w:w="10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(First Lien)</w:t>
            </w:r>
          </w:p>
        </w:tc>
        <w:tc>
          <w:tcPr>
            <w:tcW w:w="4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7.5%</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93"/>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7/20</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992,500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982,964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973,841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Ozburn-Hessey Holding Company LLC</w:t>
            </w:r>
            <w:r>
              <w:rPr>
                <w:rFonts w:ascii="Arial" w:cs="Arial" w:eastAsia="Arial" w:hAnsi="Arial"/>
                <w:sz w:val="23"/>
                <w:szCs w:val="23"/>
                <w:color w:val="auto"/>
                <w:vertAlign w:val="superscript"/>
              </w:rPr>
              <w:t>9, 11</w:t>
            </w:r>
          </w:p>
        </w:tc>
        <w:tc>
          <w:tcPr>
            <w:tcW w:w="4020" w:type="dxa"/>
            <w:vAlign w:val="bottom"/>
            <w:gridSpan w:val="6"/>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Term Loan</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Transportation: Cargo</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6.8%</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93"/>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5/19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3,521,340</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3,511,561</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3,448,097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PGX Holdings, Inc.</w:t>
            </w:r>
            <w:r>
              <w:rPr>
                <w:rFonts w:ascii="Arial" w:cs="Arial" w:eastAsia="Arial" w:hAnsi="Arial"/>
                <w:sz w:val="23"/>
                <w:szCs w:val="23"/>
                <w:color w:val="auto"/>
                <w:vertAlign w:val="superscript"/>
              </w:rPr>
              <w:t>11</w:t>
            </w:r>
          </w:p>
        </w:tc>
        <w:tc>
          <w:tcPr>
            <w:tcW w:w="4020" w:type="dxa"/>
            <w:vAlign w:val="bottom"/>
            <w:gridSpan w:val="6"/>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Initial Term Loan (First</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Consumer</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Lien)</w:t>
            </w:r>
          </w:p>
        </w:tc>
        <w:tc>
          <w:tcPr>
            <w:tcW w:w="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3"/>
              </w:rPr>
              <w:t>Cash,</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6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Libor Floor, Due 9/20</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20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3,960,000</w:t>
            </w:r>
          </w:p>
        </w:tc>
        <w:tc>
          <w:tcPr>
            <w:tcW w:w="11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3,960,000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6.3%</w:t>
            </w:r>
          </w:p>
        </w:tc>
        <w:tc>
          <w:tcPr>
            <w:tcW w:w="46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262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12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Puerto Rico Cable Acquisition Company Inc. (D/B/A</w:t>
            </w:r>
          </w:p>
        </w:tc>
        <w:tc>
          <w:tcPr>
            <w:tcW w:w="4020" w:type="dxa"/>
            <w:vAlign w:val="bottom"/>
            <w:gridSpan w:val="6"/>
            <w:shd w:val="clear" w:color="auto" w:fill="CCEEFF"/>
          </w:tcPr>
          <w:p>
            <w:pPr>
              <w:ind w:left="120"/>
              <w:spacing w:after="0" w:line="201" w:lineRule="exact"/>
              <w:rPr>
                <w:sz w:val="20"/>
                <w:szCs w:val="20"/>
                <w:color w:val="auto"/>
              </w:rPr>
            </w:pPr>
            <w:r>
              <w:rPr>
                <w:rFonts w:ascii="Arial" w:cs="Arial" w:eastAsia="Arial" w:hAnsi="Arial"/>
                <w:sz w:val="18"/>
                <w:szCs w:val="18"/>
                <w:color w:val="auto"/>
              </w:rPr>
              <w:t>Senior Secured Loan — Initial Term Loan</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Choice TV)</w:t>
            </w:r>
            <w:r>
              <w:rPr>
                <w:rFonts w:ascii="Arial" w:cs="Arial" w:eastAsia="Arial" w:hAnsi="Arial"/>
                <w:sz w:val="29"/>
                <w:szCs w:val="29"/>
                <w:color w:val="auto"/>
                <w:vertAlign w:val="superscript"/>
              </w:rPr>
              <w:t>9</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5.5%</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93"/>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7/18</w:t>
            </w:r>
          </w:p>
        </w:tc>
        <w:tc>
          <w:tcPr>
            <w:tcW w:w="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Broadcasting &amp; Subscription</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922,773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924,097</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922,681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Puerto Rico Cable Acquisition Company Inc. (D/B/A</w:t>
            </w:r>
          </w:p>
        </w:tc>
        <w:tc>
          <w:tcPr>
            <w:tcW w:w="4020" w:type="dxa"/>
            <w:vAlign w:val="bottom"/>
            <w:gridSpan w:val="6"/>
            <w:shd w:val="clear" w:color="auto" w:fill="CCEEFF"/>
          </w:tcPr>
          <w:p>
            <w:pPr>
              <w:ind w:left="120"/>
              <w:spacing w:after="0" w:line="201" w:lineRule="exact"/>
              <w:rPr>
                <w:sz w:val="20"/>
                <w:szCs w:val="20"/>
                <w:color w:val="auto"/>
              </w:rPr>
            </w:pPr>
            <w:r>
              <w:rPr>
                <w:rFonts w:ascii="Arial" w:cs="Arial" w:eastAsia="Arial" w:hAnsi="Arial"/>
                <w:sz w:val="18"/>
                <w:szCs w:val="18"/>
                <w:color w:val="auto"/>
              </w:rPr>
              <w:t>Senior Secured Loan — Initial Term Loan</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Choice TV)</w:t>
            </w:r>
            <w:r>
              <w:rPr>
                <w:rFonts w:ascii="Arial" w:cs="Arial" w:eastAsia="Arial" w:hAnsi="Arial"/>
                <w:sz w:val="29"/>
                <w:szCs w:val="29"/>
                <w:color w:val="auto"/>
                <w:vertAlign w:val="superscript"/>
              </w:rPr>
              <w:t>9, 11</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5.5%</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93"/>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7/18</w:t>
            </w:r>
          </w:p>
        </w:tc>
        <w:tc>
          <w:tcPr>
            <w:tcW w:w="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Broadcasting &amp; Subscription</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2,768,319</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2,757,621</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2,768,042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QoL Meds, LLC</w:t>
            </w:r>
            <w:r>
              <w:rPr>
                <w:rFonts w:ascii="Arial" w:cs="Arial" w:eastAsia="Arial" w:hAnsi="Arial"/>
                <w:sz w:val="23"/>
                <w:szCs w:val="23"/>
                <w:color w:val="auto"/>
                <w:vertAlign w:val="superscript"/>
              </w:rPr>
              <w:t>9, 11</w:t>
            </w:r>
          </w:p>
        </w:tc>
        <w:tc>
          <w:tcPr>
            <w:tcW w:w="4020" w:type="dxa"/>
            <w:vAlign w:val="bottom"/>
            <w:gridSpan w:val="6"/>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Term Loan</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5.5%</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93"/>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7/20</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497,588</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499,950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Quad-C JH Holdings Inc. (aka Joerns Healthcare)</w:t>
            </w:r>
            <w:r>
              <w:rPr>
                <w:rFonts w:ascii="Arial" w:cs="Arial" w:eastAsia="Arial" w:hAnsi="Arial"/>
                <w:sz w:val="23"/>
                <w:szCs w:val="23"/>
                <w:color w:val="auto"/>
                <w:vertAlign w:val="superscript"/>
              </w:rPr>
              <w:t>9, 11</w:t>
            </w:r>
          </w:p>
        </w:tc>
        <w:tc>
          <w:tcPr>
            <w:tcW w:w="4020" w:type="dxa"/>
            <w:vAlign w:val="bottom"/>
            <w:gridSpan w:val="6"/>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Term Loan A</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6.0%</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93"/>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5/20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3,990,000</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3,961,745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3,990,000</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1" w:name="page12"/>
    <w:bookmarkEnd w:id="11"/>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 / Principal Business</w:t>
      </w:r>
    </w:p>
    <w:p>
      <w:pPr>
        <w:spacing w:after="0" w:line="208" w:lineRule="auto"/>
        <w:rPr>
          <w:sz w:val="20"/>
          <w:szCs w:val="20"/>
          <w:color w:val="auto"/>
        </w:rPr>
      </w:pPr>
      <w:r>
        <w:rPr>
          <w:rFonts w:ascii="Arial" w:cs="Arial" w:eastAsia="Arial" w:hAnsi="Arial"/>
          <w:sz w:val="18"/>
          <w:szCs w:val="18"/>
          <w:color w:val="auto"/>
        </w:rPr>
        <w:t>Restorix Health,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Restorix Health,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Roscoe Medical,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Safenet, Inc.</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Sandy Creek Energy Associates, L.P.</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Utilities: Electric</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SGF Produce Holding Corp.(Frozsun,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SGF Produce Holding Corp.(Frozsun, Inc.)</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Stafford Logistics, Inc.(dba Custom Ecology, Inc.)</w:t>
      </w:r>
      <w:r>
        <w:rPr>
          <w:rFonts w:ascii="Arial" w:cs="Arial" w:eastAsia="Arial" w:hAnsi="Arial"/>
          <w:sz w:val="26"/>
          <w:szCs w:val="26"/>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Environmental Industries</w:t>
      </w:r>
    </w:p>
    <w:p>
      <w:pPr>
        <w:spacing w:after="0" w:line="209" w:lineRule="exact"/>
        <w:rPr>
          <w:sz w:val="20"/>
          <w:szCs w:val="20"/>
          <w:color w:val="auto"/>
        </w:rPr>
      </w:pPr>
    </w:p>
    <w:p>
      <w:pPr>
        <w:ind w:right="60"/>
        <w:spacing w:after="0" w:line="212" w:lineRule="auto"/>
        <w:rPr>
          <w:sz w:val="20"/>
          <w:szCs w:val="20"/>
          <w:color w:val="auto"/>
        </w:rPr>
      </w:pPr>
      <w:r>
        <w:rPr>
          <w:rFonts w:ascii="Arial" w:cs="Arial" w:eastAsia="Arial" w:hAnsi="Arial"/>
          <w:sz w:val="18"/>
          <w:szCs w:val="18"/>
          <w:color w:val="auto"/>
        </w:rPr>
        <w:t>Sun Products Corporation, The (fka Huish Detergents Inc.)</w:t>
      </w:r>
      <w:r>
        <w:rPr>
          <w:rFonts w:ascii="Arial" w:cs="Arial" w:eastAsia="Arial" w:hAnsi="Arial"/>
          <w:sz w:val="30"/>
          <w:szCs w:val="30"/>
          <w:color w:val="auto"/>
          <w:vertAlign w:val="superscript"/>
        </w:rPr>
        <w:t>9, 11</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Tank Partners Holdings,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Aerospace and Defense</w:t>
      </w:r>
    </w:p>
    <w:p>
      <w:pPr>
        <w:spacing w:after="0" w:line="213" w:lineRule="exact"/>
        <w:rPr>
          <w:sz w:val="20"/>
          <w:szCs w:val="20"/>
          <w:color w:val="auto"/>
        </w:rPr>
      </w:pPr>
    </w:p>
    <w:p>
      <w:pPr>
        <w:ind w:left="180" w:right="400" w:hanging="161"/>
        <w:spacing w:after="0" w:line="224" w:lineRule="auto"/>
        <w:rPr>
          <w:sz w:val="20"/>
          <w:szCs w:val="20"/>
          <w:color w:val="auto"/>
        </w:rPr>
      </w:pPr>
      <w:r>
        <w:rPr>
          <w:rFonts w:ascii="Arial" w:cs="Arial" w:eastAsia="Arial" w:hAnsi="Arial"/>
          <w:sz w:val="17"/>
          <w:szCs w:val="17"/>
          <w:color w:val="auto"/>
        </w:rPr>
        <w:t>TPF II LC, LLC (TPF II Rolling Hills, LLC)</w:t>
      </w:r>
      <w:r>
        <w:rPr>
          <w:rFonts w:ascii="Arial" w:cs="Arial" w:eastAsia="Arial" w:hAnsi="Arial"/>
          <w:sz w:val="28"/>
          <w:szCs w:val="28"/>
          <w:color w:val="auto"/>
          <w:vertAlign w:val="superscript"/>
        </w:rPr>
        <w:t>9, 11</w:t>
      </w:r>
      <w:r>
        <w:rPr>
          <w:rFonts w:ascii="Arial" w:cs="Arial" w:eastAsia="Arial" w:hAnsi="Arial"/>
          <w:sz w:val="17"/>
          <w:szCs w:val="17"/>
          <w:color w:val="auto"/>
        </w:rPr>
        <w:t xml:space="preserve"> </w:t>
      </w:r>
      <w:r>
        <w:rPr>
          <w:rFonts w:ascii="Arial" w:cs="Arial" w:eastAsia="Arial" w:hAnsi="Arial"/>
          <w:sz w:val="17"/>
          <w:szCs w:val="17"/>
          <w:i w:val="1"/>
          <w:iCs w:val="1"/>
          <w:color w:val="auto"/>
        </w:rPr>
        <w:t>Utilities: Electric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0"/>
              </w:rPr>
              <w:t>Fair Value</w:t>
            </w:r>
            <w:r>
              <w:rPr>
                <w:rFonts w:ascii="Arial" w:cs="Arial" w:eastAsia="Arial" w:hAnsi="Arial"/>
                <w:sz w:val="30"/>
                <w:szCs w:val="30"/>
                <w:color w:val="auto"/>
                <w:w w:val="90"/>
                <w:vertAlign w:val="superscript"/>
              </w:rPr>
              <w:t>2</w:t>
            </w:r>
          </w:p>
        </w:tc>
        <w:tc>
          <w:tcPr>
            <w:tcW w:w="0" w:type="dxa"/>
            <w:vAlign w:val="bottom"/>
          </w:tcPr>
          <w:p>
            <w:pPr>
              <w:spacing w:after="0"/>
              <w:rPr>
                <w:sz w:val="1"/>
                <w:szCs w:val="1"/>
                <w:color w:val="auto"/>
              </w:rPr>
            </w:pPr>
          </w:p>
        </w:tc>
      </w:tr>
      <w:tr>
        <w:trPr>
          <w:trHeight w:val="234"/>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Interest Rate¹ / Maturity</w:t>
            </w: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Principal</w:t>
            </w:r>
          </w:p>
        </w:tc>
        <w:tc>
          <w:tcPr>
            <w:tcW w:w="1140" w:type="dxa"/>
            <w:vAlign w:val="bottom"/>
            <w:gridSpan w:val="2"/>
          </w:tcPr>
          <w:p>
            <w:pPr>
              <w:ind w:left="280"/>
              <w:spacing w:after="0"/>
              <w:rPr>
                <w:sz w:val="20"/>
                <w:szCs w:val="20"/>
                <w:color w:val="auto"/>
              </w:rPr>
            </w:pPr>
            <w:r>
              <w:rPr>
                <w:rFonts w:ascii="Arial" w:cs="Arial" w:eastAsia="Arial" w:hAnsi="Arial"/>
                <w:sz w:val="18"/>
                <w:szCs w:val="18"/>
                <w:b w:val="1"/>
                <w:bCs w:val="1"/>
                <w:color w:val="auto"/>
              </w:rPr>
              <w:t>Cost</w:t>
            </w: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Senior Unsecured Loan — Delayed Draw</w:t>
            </w: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3780" w:type="dxa"/>
            <w:vAlign w:val="bottom"/>
            <w:gridSpan w:val="3"/>
          </w:tcPr>
          <w:p>
            <w:pPr>
              <w:spacing w:after="0"/>
              <w:rPr>
                <w:sz w:val="20"/>
                <w:szCs w:val="20"/>
                <w:color w:val="auto"/>
              </w:rPr>
            </w:pPr>
            <w:r>
              <w:rPr>
                <w:rFonts w:ascii="Arial" w:cs="Arial" w:eastAsia="Arial" w:hAnsi="Arial"/>
                <w:sz w:val="18"/>
                <w:szCs w:val="18"/>
                <w:color w:val="auto"/>
              </w:rPr>
              <w:t>10.0% Cash, 1.5% PIK, Due 6/18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$ 1,000,000</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4"/>
              </w:rPr>
              <w:t>$ 1,000,000</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4"/>
              </w:rPr>
              <w:t>$ 1,000,000</w:t>
            </w:r>
          </w:p>
        </w:tc>
        <w:tc>
          <w:tcPr>
            <w:tcW w:w="0" w:type="dxa"/>
            <w:vAlign w:val="bottom"/>
          </w:tcPr>
          <w:p>
            <w:pPr>
              <w:spacing w:after="0"/>
              <w:rPr>
                <w:sz w:val="1"/>
                <w:szCs w:val="1"/>
                <w:color w:val="auto"/>
              </w:rPr>
            </w:pPr>
          </w:p>
        </w:tc>
      </w:tr>
      <w:tr>
        <w:trPr>
          <w:trHeight w:val="418"/>
        </w:trPr>
        <w:tc>
          <w:tcPr>
            <w:tcW w:w="3780" w:type="dxa"/>
            <w:vAlign w:val="bottom"/>
            <w:gridSpan w:val="3"/>
          </w:tcPr>
          <w:p>
            <w:pPr>
              <w:spacing w:after="0"/>
              <w:rPr>
                <w:sz w:val="20"/>
                <w:szCs w:val="20"/>
                <w:color w:val="auto"/>
              </w:rPr>
            </w:pPr>
            <w:r>
              <w:rPr>
                <w:rFonts w:ascii="Arial" w:cs="Arial" w:eastAsia="Arial" w:hAnsi="Arial"/>
                <w:sz w:val="18"/>
                <w:szCs w:val="18"/>
                <w:color w:val="auto"/>
                <w:w w:val="90"/>
              </w:rPr>
              <w:t>Senior Unsecured Loan — Subordinated Term Loan</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780" w:type="dxa"/>
            <w:vAlign w:val="bottom"/>
            <w:gridSpan w:val="3"/>
          </w:tcPr>
          <w:p>
            <w:pPr>
              <w:spacing w:after="0"/>
              <w:rPr>
                <w:sz w:val="20"/>
                <w:szCs w:val="20"/>
                <w:color w:val="auto"/>
              </w:rPr>
            </w:pPr>
            <w:r>
              <w:rPr>
                <w:rFonts w:ascii="Arial" w:cs="Arial" w:eastAsia="Arial" w:hAnsi="Arial"/>
                <w:sz w:val="18"/>
                <w:szCs w:val="18"/>
                <w:color w:val="auto"/>
              </w:rPr>
              <w:t>10.0% Cash, 1.5% PIK, Due 6/18</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8,034,116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8,034,116</w:t>
            </w:r>
          </w:p>
        </w:tc>
        <w:tc>
          <w:tcPr>
            <w:tcW w:w="920" w:type="dxa"/>
            <w:vAlign w:val="bottom"/>
          </w:tcPr>
          <w:p>
            <w:pPr>
              <w:jc w:val="right"/>
              <w:spacing w:after="0"/>
              <w:rPr>
                <w:sz w:val="20"/>
                <w:szCs w:val="20"/>
                <w:color w:val="auto"/>
              </w:rPr>
            </w:pPr>
            <w:r>
              <w:rPr>
                <w:rFonts w:ascii="Arial" w:cs="Arial" w:eastAsia="Arial" w:hAnsi="Arial"/>
                <w:sz w:val="18"/>
                <w:szCs w:val="18"/>
                <w:color w:val="auto"/>
              </w:rPr>
              <w:t>8,034,116</w:t>
            </w:r>
          </w:p>
        </w:tc>
        <w:tc>
          <w:tcPr>
            <w:tcW w:w="0" w:type="dxa"/>
            <w:vAlign w:val="bottom"/>
          </w:tcPr>
          <w:p>
            <w:pPr>
              <w:spacing w:after="0"/>
              <w:rPr>
                <w:sz w:val="1"/>
                <w:szCs w:val="1"/>
                <w:color w:val="auto"/>
              </w:rPr>
            </w:pPr>
          </w:p>
        </w:tc>
      </w:tr>
      <w:tr>
        <w:trPr>
          <w:trHeight w:val="418"/>
        </w:trPr>
        <w:tc>
          <w:tcPr>
            <w:tcW w:w="3780" w:type="dxa"/>
            <w:vAlign w:val="bottom"/>
            <w:gridSpan w:val="3"/>
          </w:tcPr>
          <w:p>
            <w:pPr>
              <w:spacing w:after="0"/>
              <w:rPr>
                <w:sz w:val="20"/>
                <w:szCs w:val="20"/>
                <w:color w:val="auto"/>
              </w:rPr>
            </w:pPr>
            <w:r>
              <w:rPr>
                <w:rFonts w:ascii="Arial" w:cs="Arial" w:eastAsia="Arial" w:hAnsi="Arial"/>
                <w:sz w:val="18"/>
                <w:szCs w:val="18"/>
                <w:color w:val="auto"/>
                <w:w w:val="94"/>
              </w:rPr>
              <w:t>Junior Secured Loan — Term Loan (Second Lien)</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780" w:type="dxa"/>
            <w:vAlign w:val="bottom"/>
            <w:gridSpan w:val="3"/>
          </w:tcPr>
          <w:p>
            <w:pPr>
              <w:spacing w:after="0"/>
              <w:rPr>
                <w:sz w:val="20"/>
                <w:szCs w:val="20"/>
                <w:color w:val="auto"/>
              </w:rPr>
            </w:pPr>
            <w:r>
              <w:rPr>
                <w:rFonts w:ascii="Arial" w:cs="Arial" w:eastAsia="Arial" w:hAnsi="Arial"/>
                <w:sz w:val="18"/>
                <w:szCs w:val="18"/>
                <w:color w:val="auto"/>
              </w:rPr>
              <w:t>11.3% Cash, Due 9/19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6,700,000</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6,639,300</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6,744,220</w:t>
            </w:r>
          </w:p>
        </w:tc>
        <w:tc>
          <w:tcPr>
            <w:tcW w:w="0" w:type="dxa"/>
            <w:vAlign w:val="bottom"/>
          </w:tcPr>
          <w:p>
            <w:pPr>
              <w:spacing w:after="0"/>
              <w:rPr>
                <w:sz w:val="1"/>
                <w:szCs w:val="1"/>
                <w:color w:val="auto"/>
              </w:rPr>
            </w:pPr>
          </w:p>
        </w:tc>
      </w:tr>
      <w:tr>
        <w:trPr>
          <w:trHeight w:val="418"/>
        </w:trPr>
        <w:tc>
          <w:tcPr>
            <w:tcW w:w="3780" w:type="dxa"/>
            <w:vAlign w:val="bottom"/>
            <w:gridSpan w:val="3"/>
          </w:tcPr>
          <w:p>
            <w:pPr>
              <w:spacing w:after="0"/>
              <w:rPr>
                <w:sz w:val="20"/>
                <w:szCs w:val="20"/>
                <w:color w:val="auto"/>
              </w:rPr>
            </w:pPr>
            <w:r>
              <w:rPr>
                <w:rFonts w:ascii="Arial" w:cs="Arial" w:eastAsia="Arial" w:hAnsi="Arial"/>
                <w:sz w:val="18"/>
                <w:szCs w:val="18"/>
                <w:color w:val="auto"/>
                <w:w w:val="99"/>
              </w:rPr>
              <w:t>Senior Secured Loan — Initial Term Loan (First</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gridSpan w:val="2"/>
          </w:tcPr>
          <w:p>
            <w:pPr>
              <w:spacing w:after="0"/>
              <w:rPr>
                <w:sz w:val="20"/>
                <w:szCs w:val="20"/>
                <w:color w:val="auto"/>
              </w:rPr>
            </w:pPr>
            <w:r>
              <w:rPr>
                <w:rFonts w:ascii="Arial" w:cs="Arial" w:eastAsia="Arial" w:hAnsi="Arial"/>
                <w:sz w:val="18"/>
                <w:szCs w:val="18"/>
                <w:color w:val="auto"/>
                <w:w w:val="99"/>
              </w:rPr>
              <w:t>Lien)</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gridSpan w:val="2"/>
          </w:tcPr>
          <w:p>
            <w:pPr>
              <w:spacing w:after="0"/>
              <w:rPr>
                <w:sz w:val="20"/>
                <w:szCs w:val="20"/>
                <w:color w:val="auto"/>
              </w:rPr>
            </w:pPr>
            <w:r>
              <w:rPr>
                <w:rFonts w:ascii="Arial" w:cs="Arial" w:eastAsia="Arial" w:hAnsi="Arial"/>
                <w:sz w:val="18"/>
                <w:szCs w:val="18"/>
                <w:color w:val="auto"/>
                <w:w w:val="97"/>
              </w:rPr>
              <w:t>6.8%</w:t>
            </w:r>
          </w:p>
        </w:tc>
        <w:tc>
          <w:tcPr>
            <w:tcW w:w="3360" w:type="dxa"/>
            <w:vAlign w:val="bottom"/>
          </w:tcPr>
          <w:p>
            <w:pPr>
              <w:spacing w:after="0"/>
              <w:rPr>
                <w:sz w:val="20"/>
                <w:szCs w:val="20"/>
                <w:color w:val="auto"/>
              </w:rPr>
            </w:pPr>
            <w:r>
              <w:rPr>
                <w:rFonts w:ascii="Arial" w:cs="Arial" w:eastAsia="Arial" w:hAnsi="Arial"/>
                <w:sz w:val="18"/>
                <w:szCs w:val="18"/>
                <w:color w:val="auto"/>
              </w:rPr>
              <w:t>Cash, 1.0% Libor Floor, Due 3/20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2,985,000</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2,957,597</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2,985,000</w:t>
            </w:r>
          </w:p>
        </w:tc>
        <w:tc>
          <w:tcPr>
            <w:tcW w:w="0" w:type="dxa"/>
            <w:vAlign w:val="bottom"/>
          </w:tcPr>
          <w:p>
            <w:pPr>
              <w:spacing w:after="0"/>
              <w:rPr>
                <w:sz w:val="1"/>
                <w:szCs w:val="1"/>
                <w:color w:val="auto"/>
              </w:rPr>
            </w:pPr>
          </w:p>
        </w:tc>
      </w:tr>
      <w:tr>
        <w:trPr>
          <w:trHeight w:val="418"/>
        </w:trPr>
        <w:tc>
          <w:tcPr>
            <w:tcW w:w="378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20" w:type="dxa"/>
            <w:vAlign w:val="bottom"/>
            <w:gridSpan w:val="2"/>
          </w:tcPr>
          <w:p>
            <w:pPr>
              <w:spacing w:after="0"/>
              <w:rPr>
                <w:sz w:val="20"/>
                <w:szCs w:val="20"/>
                <w:color w:val="auto"/>
              </w:rPr>
            </w:pPr>
            <w:r>
              <w:rPr>
                <w:rFonts w:ascii="Arial" w:cs="Arial" w:eastAsia="Arial" w:hAnsi="Arial"/>
                <w:sz w:val="18"/>
                <w:szCs w:val="18"/>
                <w:color w:val="auto"/>
                <w:w w:val="97"/>
              </w:rPr>
              <w:t>5.0%</w:t>
            </w:r>
          </w:p>
        </w:tc>
        <w:tc>
          <w:tcPr>
            <w:tcW w:w="3360" w:type="dxa"/>
            <w:vAlign w:val="bottom"/>
          </w:tcPr>
          <w:p>
            <w:pPr>
              <w:spacing w:after="0"/>
              <w:rPr>
                <w:sz w:val="20"/>
                <w:szCs w:val="20"/>
                <w:color w:val="auto"/>
              </w:rPr>
            </w:pPr>
            <w:r>
              <w:rPr>
                <w:rFonts w:ascii="Arial" w:cs="Arial" w:eastAsia="Arial" w:hAnsi="Arial"/>
                <w:sz w:val="18"/>
                <w:szCs w:val="18"/>
                <w:color w:val="auto"/>
              </w:rPr>
              <w:t>Cash, 1.0% Libor Floor, Due 11/20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2,872,267</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2,859,687</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2,869,279</w:t>
            </w:r>
          </w:p>
        </w:tc>
        <w:tc>
          <w:tcPr>
            <w:tcW w:w="0" w:type="dxa"/>
            <w:vAlign w:val="bottom"/>
          </w:tcPr>
          <w:p>
            <w:pPr>
              <w:spacing w:after="0"/>
              <w:rPr>
                <w:sz w:val="1"/>
                <w:szCs w:val="1"/>
                <w:color w:val="auto"/>
              </w:rPr>
            </w:pPr>
          </w:p>
        </w:tc>
      </w:tr>
      <w:tr>
        <w:trPr>
          <w:trHeight w:val="418"/>
        </w:trPr>
        <w:tc>
          <w:tcPr>
            <w:tcW w:w="378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20" w:type="dxa"/>
            <w:vAlign w:val="bottom"/>
            <w:gridSpan w:val="2"/>
          </w:tcPr>
          <w:p>
            <w:pPr>
              <w:spacing w:after="0"/>
              <w:rPr>
                <w:sz w:val="20"/>
                <w:szCs w:val="20"/>
                <w:color w:val="auto"/>
              </w:rPr>
            </w:pPr>
            <w:r>
              <w:rPr>
                <w:rFonts w:ascii="Arial" w:cs="Arial" w:eastAsia="Arial" w:hAnsi="Arial"/>
                <w:sz w:val="18"/>
                <w:szCs w:val="18"/>
                <w:color w:val="auto"/>
                <w:w w:val="97"/>
              </w:rPr>
              <w:t>5.5%</w:t>
            </w:r>
          </w:p>
        </w:tc>
        <w:tc>
          <w:tcPr>
            <w:tcW w:w="3360" w:type="dxa"/>
            <w:vAlign w:val="bottom"/>
          </w:tcPr>
          <w:p>
            <w:pPr>
              <w:spacing w:after="0"/>
              <w:rPr>
                <w:sz w:val="20"/>
                <w:szCs w:val="20"/>
                <w:color w:val="auto"/>
              </w:rPr>
            </w:pPr>
            <w:r>
              <w:rPr>
                <w:rFonts w:ascii="Arial" w:cs="Arial" w:eastAsia="Arial" w:hAnsi="Arial"/>
                <w:sz w:val="18"/>
                <w:szCs w:val="18"/>
                <w:color w:val="auto"/>
              </w:rPr>
              <w:t>Cash, 1.0% Libor Floor, Due 3/19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2,196,823</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2,180,197</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2,154,424</w:t>
            </w:r>
          </w:p>
        </w:tc>
        <w:tc>
          <w:tcPr>
            <w:tcW w:w="0" w:type="dxa"/>
            <w:vAlign w:val="bottom"/>
          </w:tcPr>
          <w:p>
            <w:pPr>
              <w:spacing w:after="0"/>
              <w:rPr>
                <w:sz w:val="1"/>
                <w:szCs w:val="1"/>
                <w:color w:val="auto"/>
              </w:rPr>
            </w:pPr>
          </w:p>
        </w:tc>
      </w:tr>
      <w:tr>
        <w:trPr>
          <w:trHeight w:val="418"/>
        </w:trPr>
        <w:tc>
          <w:tcPr>
            <w:tcW w:w="378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20" w:type="dxa"/>
            <w:vAlign w:val="bottom"/>
            <w:gridSpan w:val="2"/>
          </w:tcPr>
          <w:p>
            <w:pPr>
              <w:spacing w:after="0"/>
              <w:rPr>
                <w:sz w:val="20"/>
                <w:szCs w:val="20"/>
                <w:color w:val="auto"/>
              </w:rPr>
            </w:pPr>
            <w:r>
              <w:rPr>
                <w:rFonts w:ascii="Arial" w:cs="Arial" w:eastAsia="Arial" w:hAnsi="Arial"/>
                <w:sz w:val="18"/>
                <w:szCs w:val="18"/>
                <w:color w:val="auto"/>
                <w:w w:val="97"/>
              </w:rPr>
              <w:t>5.5%</w:t>
            </w:r>
          </w:p>
        </w:tc>
        <w:tc>
          <w:tcPr>
            <w:tcW w:w="3360" w:type="dxa"/>
            <w:vAlign w:val="bottom"/>
          </w:tcPr>
          <w:p>
            <w:pPr>
              <w:spacing w:after="0"/>
              <w:rPr>
                <w:sz w:val="20"/>
                <w:szCs w:val="20"/>
                <w:color w:val="auto"/>
              </w:rPr>
            </w:pPr>
            <w:r>
              <w:rPr>
                <w:rFonts w:ascii="Arial" w:cs="Arial" w:eastAsia="Arial" w:hAnsi="Arial"/>
                <w:sz w:val="18"/>
                <w:szCs w:val="18"/>
                <w:color w:val="auto"/>
              </w:rPr>
              <w:t>Cash, 1.0% Libor Floor, Due 3/19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3,449,217</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3,434,071</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3,382,647</w:t>
            </w:r>
          </w:p>
        </w:tc>
        <w:tc>
          <w:tcPr>
            <w:tcW w:w="0" w:type="dxa"/>
            <w:vAlign w:val="bottom"/>
          </w:tcPr>
          <w:p>
            <w:pPr>
              <w:spacing w:after="0"/>
              <w:rPr>
                <w:sz w:val="1"/>
                <w:szCs w:val="1"/>
                <w:color w:val="auto"/>
              </w:rPr>
            </w:pPr>
          </w:p>
        </w:tc>
      </w:tr>
      <w:tr>
        <w:trPr>
          <w:trHeight w:val="418"/>
        </w:trPr>
        <w:tc>
          <w:tcPr>
            <w:tcW w:w="378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20" w:type="dxa"/>
            <w:vAlign w:val="bottom"/>
            <w:gridSpan w:val="2"/>
          </w:tcPr>
          <w:p>
            <w:pPr>
              <w:spacing w:after="0"/>
              <w:rPr>
                <w:sz w:val="20"/>
                <w:szCs w:val="20"/>
                <w:color w:val="auto"/>
              </w:rPr>
            </w:pPr>
            <w:r>
              <w:rPr>
                <w:rFonts w:ascii="Arial" w:cs="Arial" w:eastAsia="Arial" w:hAnsi="Arial"/>
                <w:sz w:val="18"/>
                <w:szCs w:val="18"/>
                <w:color w:val="auto"/>
                <w:w w:val="97"/>
              </w:rPr>
              <w:t>6.8%</w:t>
            </w:r>
          </w:p>
        </w:tc>
        <w:tc>
          <w:tcPr>
            <w:tcW w:w="3360" w:type="dxa"/>
            <w:vAlign w:val="bottom"/>
          </w:tcPr>
          <w:p>
            <w:pPr>
              <w:spacing w:after="0"/>
              <w:rPr>
                <w:sz w:val="20"/>
                <w:szCs w:val="20"/>
                <w:color w:val="auto"/>
              </w:rPr>
            </w:pPr>
            <w:r>
              <w:rPr>
                <w:rFonts w:ascii="Arial" w:cs="Arial" w:eastAsia="Arial" w:hAnsi="Arial"/>
                <w:sz w:val="18"/>
                <w:szCs w:val="18"/>
                <w:color w:val="auto"/>
              </w:rPr>
              <w:t>Cash, 1.3% Libor Floor, Due 6/19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2,962,500</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2,939,068</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2,960,426</w:t>
            </w:r>
          </w:p>
        </w:tc>
        <w:tc>
          <w:tcPr>
            <w:tcW w:w="0" w:type="dxa"/>
            <w:vAlign w:val="bottom"/>
          </w:tcPr>
          <w:p>
            <w:pPr>
              <w:spacing w:after="0"/>
              <w:rPr>
                <w:sz w:val="1"/>
                <w:szCs w:val="1"/>
                <w:color w:val="auto"/>
              </w:rPr>
            </w:pPr>
          </w:p>
        </w:tc>
      </w:tr>
      <w:tr>
        <w:trPr>
          <w:trHeight w:val="418"/>
        </w:trPr>
        <w:tc>
          <w:tcPr>
            <w:tcW w:w="3780" w:type="dxa"/>
            <w:vAlign w:val="bottom"/>
            <w:gridSpan w:val="3"/>
          </w:tcPr>
          <w:p>
            <w:pPr>
              <w:spacing w:after="0"/>
              <w:rPr>
                <w:sz w:val="20"/>
                <w:szCs w:val="20"/>
                <w:color w:val="auto"/>
              </w:rPr>
            </w:pPr>
            <w:r>
              <w:rPr>
                <w:rFonts w:ascii="Arial" w:cs="Arial" w:eastAsia="Arial" w:hAnsi="Arial"/>
                <w:sz w:val="18"/>
                <w:szCs w:val="18"/>
                <w:color w:val="auto"/>
              </w:rPr>
              <w:t>Senior Secured Loan — Tranche B Term Loan</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gridSpan w:val="2"/>
          </w:tcPr>
          <w:p>
            <w:pPr>
              <w:spacing w:after="0"/>
              <w:rPr>
                <w:sz w:val="20"/>
                <w:szCs w:val="20"/>
                <w:color w:val="auto"/>
              </w:rPr>
            </w:pPr>
            <w:r>
              <w:rPr>
                <w:rFonts w:ascii="Arial" w:cs="Arial" w:eastAsia="Arial" w:hAnsi="Arial"/>
                <w:sz w:val="18"/>
                <w:szCs w:val="18"/>
                <w:color w:val="auto"/>
                <w:w w:val="97"/>
              </w:rPr>
              <w:t>5.5%</w:t>
            </w:r>
          </w:p>
        </w:tc>
        <w:tc>
          <w:tcPr>
            <w:tcW w:w="3360" w:type="dxa"/>
            <w:vAlign w:val="bottom"/>
          </w:tcPr>
          <w:p>
            <w:pPr>
              <w:spacing w:after="0"/>
              <w:rPr>
                <w:sz w:val="20"/>
                <w:szCs w:val="20"/>
                <w:color w:val="auto"/>
              </w:rPr>
            </w:pPr>
            <w:r>
              <w:rPr>
                <w:rFonts w:ascii="Arial" w:cs="Arial" w:eastAsia="Arial" w:hAnsi="Arial"/>
                <w:sz w:val="18"/>
                <w:szCs w:val="18"/>
                <w:color w:val="auto"/>
              </w:rPr>
              <w:t>Cash, 1.3% Libor Floor, Due 3/20</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3,910,711</w:t>
            </w:r>
          </w:p>
        </w:tc>
        <w:tc>
          <w:tcPr>
            <w:tcW w:w="920" w:type="dxa"/>
            <w:vAlign w:val="bottom"/>
          </w:tcPr>
          <w:p>
            <w:pPr>
              <w:jc w:val="right"/>
              <w:spacing w:after="0"/>
              <w:rPr>
                <w:sz w:val="20"/>
                <w:szCs w:val="20"/>
                <w:color w:val="auto"/>
              </w:rPr>
            </w:pPr>
            <w:r>
              <w:rPr>
                <w:rFonts w:ascii="Arial" w:cs="Arial" w:eastAsia="Arial" w:hAnsi="Arial"/>
                <w:sz w:val="18"/>
                <w:szCs w:val="18"/>
                <w:color w:val="auto"/>
              </w:rPr>
              <w:t>3,886,043</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3,688,309</w:t>
            </w:r>
          </w:p>
        </w:tc>
        <w:tc>
          <w:tcPr>
            <w:tcW w:w="0" w:type="dxa"/>
            <w:vAlign w:val="bottom"/>
          </w:tcPr>
          <w:p>
            <w:pPr>
              <w:spacing w:after="0"/>
              <w:rPr>
                <w:sz w:val="1"/>
                <w:szCs w:val="1"/>
                <w:color w:val="auto"/>
              </w:rPr>
            </w:pPr>
          </w:p>
        </w:tc>
      </w:tr>
      <w:tr>
        <w:trPr>
          <w:trHeight w:val="418"/>
        </w:trPr>
        <w:tc>
          <w:tcPr>
            <w:tcW w:w="3780" w:type="dxa"/>
            <w:vAlign w:val="bottom"/>
            <w:gridSpan w:val="3"/>
          </w:tcPr>
          <w:p>
            <w:pPr>
              <w:spacing w:after="0"/>
              <w:rPr>
                <w:sz w:val="20"/>
                <w:szCs w:val="20"/>
                <w:color w:val="auto"/>
              </w:rPr>
            </w:pPr>
            <w:r>
              <w:rPr>
                <w:rFonts w:ascii="Arial" w:cs="Arial" w:eastAsia="Arial" w:hAnsi="Arial"/>
                <w:sz w:val="18"/>
                <w:szCs w:val="18"/>
                <w:color w:val="auto"/>
              </w:rPr>
              <w:t>Senior Secured Loan — Loan</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20" w:type="dxa"/>
            <w:vAlign w:val="bottom"/>
            <w:gridSpan w:val="2"/>
          </w:tcPr>
          <w:p>
            <w:pPr>
              <w:spacing w:after="0"/>
              <w:rPr>
                <w:sz w:val="20"/>
                <w:szCs w:val="20"/>
                <w:color w:val="auto"/>
              </w:rPr>
            </w:pPr>
            <w:r>
              <w:rPr>
                <w:rFonts w:ascii="Arial" w:cs="Arial" w:eastAsia="Arial" w:hAnsi="Arial"/>
                <w:sz w:val="18"/>
                <w:szCs w:val="18"/>
                <w:color w:val="auto"/>
                <w:w w:val="97"/>
              </w:rPr>
              <w:t>9.8%</w:t>
            </w:r>
          </w:p>
        </w:tc>
        <w:tc>
          <w:tcPr>
            <w:tcW w:w="3360" w:type="dxa"/>
            <w:vAlign w:val="bottom"/>
          </w:tcPr>
          <w:p>
            <w:pPr>
              <w:spacing w:after="0"/>
              <w:rPr>
                <w:sz w:val="20"/>
                <w:szCs w:val="20"/>
                <w:color w:val="auto"/>
              </w:rPr>
            </w:pPr>
            <w:r>
              <w:rPr>
                <w:rFonts w:ascii="Arial" w:cs="Arial" w:eastAsia="Arial" w:hAnsi="Arial"/>
                <w:sz w:val="18"/>
                <w:szCs w:val="18"/>
                <w:color w:val="auto"/>
                <w:w w:val="94"/>
              </w:rPr>
              <w:t>Cash, 3.5% PIK, 3.0% Libor Floor, Due 8/19</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10,290,000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10,108,244</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10,104,780</w:t>
            </w:r>
          </w:p>
        </w:tc>
        <w:tc>
          <w:tcPr>
            <w:tcW w:w="0" w:type="dxa"/>
            <w:vAlign w:val="bottom"/>
          </w:tcPr>
          <w:p>
            <w:pPr>
              <w:spacing w:after="0"/>
              <w:rPr>
                <w:sz w:val="1"/>
                <w:szCs w:val="1"/>
                <w:color w:val="auto"/>
              </w:rPr>
            </w:pPr>
          </w:p>
        </w:tc>
      </w:tr>
      <w:tr>
        <w:trPr>
          <w:trHeight w:val="418"/>
        </w:trPr>
        <w:tc>
          <w:tcPr>
            <w:tcW w:w="378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20" w:type="dxa"/>
            <w:vAlign w:val="bottom"/>
            <w:gridSpan w:val="2"/>
          </w:tcPr>
          <w:p>
            <w:pPr>
              <w:spacing w:after="0"/>
              <w:rPr>
                <w:sz w:val="20"/>
                <w:szCs w:val="20"/>
                <w:color w:val="auto"/>
              </w:rPr>
            </w:pPr>
            <w:r>
              <w:rPr>
                <w:rFonts w:ascii="Arial" w:cs="Arial" w:eastAsia="Arial" w:hAnsi="Arial"/>
                <w:sz w:val="18"/>
                <w:szCs w:val="18"/>
                <w:color w:val="auto"/>
                <w:w w:val="97"/>
              </w:rPr>
              <w:t>7.8%</w:t>
            </w:r>
          </w:p>
        </w:tc>
        <w:tc>
          <w:tcPr>
            <w:tcW w:w="3360" w:type="dxa"/>
            <w:vAlign w:val="bottom"/>
          </w:tcPr>
          <w:p>
            <w:pPr>
              <w:spacing w:after="0"/>
              <w:rPr>
                <w:sz w:val="20"/>
                <w:szCs w:val="20"/>
                <w:color w:val="auto"/>
              </w:rPr>
            </w:pPr>
            <w:r>
              <w:rPr>
                <w:rFonts w:ascii="Arial" w:cs="Arial" w:eastAsia="Arial" w:hAnsi="Arial"/>
                <w:sz w:val="18"/>
                <w:szCs w:val="18"/>
                <w:color w:val="auto"/>
              </w:rPr>
              <w:t>Cash, 1.0% Libor Floor, Due 8/19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2,923,898</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2,887,852</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2,923,898</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60" w:type="dxa"/>
            <w:vAlign w:val="bottom"/>
          </w:tcPr>
          <w:p>
            <w:pPr>
              <w:ind w:left="9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-4895850</wp:posOffset>
            </wp:positionV>
            <wp:extent cx="7246620" cy="3003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-4458970</wp:posOffset>
            </wp:positionV>
            <wp:extent cx="7246620" cy="3003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-4021455</wp:posOffset>
            </wp:positionV>
            <wp:extent cx="7246620" cy="411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-3472815</wp:posOffset>
            </wp:positionV>
            <wp:extent cx="7246620" cy="3003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-3035300</wp:posOffset>
            </wp:positionV>
            <wp:extent cx="7246620" cy="3003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-2597785</wp:posOffset>
            </wp:positionV>
            <wp:extent cx="7246620" cy="3003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-2160270</wp:posOffset>
            </wp:positionV>
            <wp:extent cx="7246620" cy="3003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-1723390</wp:posOffset>
            </wp:positionV>
            <wp:extent cx="7246620" cy="437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-1148715</wp:posOffset>
            </wp:positionV>
            <wp:extent cx="7246620" cy="3003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-711200</wp:posOffset>
            </wp:positionV>
            <wp:extent cx="7246620" cy="3003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-5342255</wp:posOffset>
            </wp:positionV>
            <wp:extent cx="7246620" cy="3086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940" w:space="300"/>
            <w:col w:w="7080"/>
          </w:cols>
          <w:pgMar w:left="240" w:top="87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900" w:type="dxa"/>
            <w:vAlign w:val="bottom"/>
            <w:gridSpan w:val="3"/>
          </w:tcPr>
          <w:p>
            <w:pPr>
              <w:ind w:left="120"/>
              <w:spacing w:after="0"/>
              <w:rPr>
                <w:sz w:val="20"/>
                <w:szCs w:val="20"/>
                <w:color w:val="auto"/>
              </w:rPr>
            </w:pPr>
            <w:r>
              <w:rPr>
                <w:rFonts w:ascii="Arial" w:cs="Arial" w:eastAsia="Arial" w:hAnsi="Arial"/>
                <w:sz w:val="18"/>
                <w:szCs w:val="18"/>
                <w:b w:val="1"/>
                <w:bCs w:val="1"/>
                <w:color w:val="auto"/>
              </w:rPr>
              <w:t>Investment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900" w:type="dxa"/>
            <w:vAlign w:val="bottom"/>
            <w:gridSpan w:val="3"/>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Principal</w:t>
            </w:r>
          </w:p>
        </w:tc>
        <w:tc>
          <w:tcPr>
            <w:tcW w:w="1140" w:type="dxa"/>
            <w:vAlign w:val="bottom"/>
            <w:gridSpan w:val="2"/>
          </w:tcPr>
          <w:p>
            <w:pPr>
              <w:ind w:left="280"/>
              <w:spacing w:after="0"/>
              <w:rPr>
                <w:sz w:val="20"/>
                <w:szCs w:val="20"/>
                <w:color w:val="auto"/>
              </w:rPr>
            </w:pPr>
            <w:r>
              <w:rPr>
                <w:rFonts w:ascii="Arial" w:cs="Arial" w:eastAsia="Arial" w:hAnsi="Arial"/>
                <w:sz w:val="18"/>
                <w:szCs w:val="18"/>
                <w:b w:val="1"/>
                <w:bCs w:val="1"/>
                <w:color w:val="auto"/>
              </w:rPr>
              <w:t>Cost</w:t>
            </w: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TPF II Power, LLC (TPF II Covert Midco, LLC)</w:t>
            </w:r>
            <w:r>
              <w:rPr>
                <w:rFonts w:ascii="Arial" w:cs="Arial" w:eastAsia="Arial" w:hAnsi="Arial"/>
                <w:sz w:val="22"/>
                <w:szCs w:val="22"/>
                <w:color w:val="auto"/>
                <w:vertAlign w:val="superscript"/>
              </w:rPr>
              <w:t>11</w:t>
            </w:r>
          </w:p>
        </w:tc>
        <w:tc>
          <w:tcPr>
            <w:tcW w:w="120" w:type="dxa"/>
            <w:vAlign w:val="bottom"/>
            <w:tcBorders>
              <w:top w:val="single" w:sz="8" w:color="CCEEFF"/>
            </w:tcBorders>
            <w:shd w:val="clear" w:color="auto" w:fill="CCEEFF"/>
          </w:tcPr>
          <w:p>
            <w:pPr>
              <w:spacing w:after="0"/>
              <w:rPr>
                <w:sz w:val="17"/>
                <w:szCs w:val="17"/>
                <w:color w:val="auto"/>
              </w:rPr>
            </w:pPr>
          </w:p>
        </w:tc>
        <w:tc>
          <w:tcPr>
            <w:tcW w:w="37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Senior Secured Loan — Term Loan</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Utilities: Electric</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5.5%</w:t>
            </w: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1.0% Libor Floor, Due 10/21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$ 3,000,000</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$ 3,007,500</w:t>
            </w: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$ 3,007,500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Trico Products Corporation</w:t>
            </w:r>
            <w:r>
              <w:rPr>
                <w:rFonts w:ascii="Arial" w:cs="Arial" w:eastAsia="Arial" w:hAnsi="Arial"/>
                <w:sz w:val="23"/>
                <w:szCs w:val="23"/>
                <w:color w:val="auto"/>
                <w:vertAlign w:val="superscript"/>
              </w:rPr>
              <w:t>9</w:t>
            </w:r>
          </w:p>
        </w:tc>
        <w:tc>
          <w:tcPr>
            <w:tcW w:w="390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Term Loan</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Automotive</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6.4%</w:t>
            </w: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1.5% Libor Floor, Due 7/16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4,729,688</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4,715,210</w:t>
            </w: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4,729,688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Trico Products Corporation</w:t>
            </w:r>
            <w:r>
              <w:rPr>
                <w:rFonts w:ascii="Arial" w:cs="Arial" w:eastAsia="Arial" w:hAnsi="Arial"/>
                <w:sz w:val="23"/>
                <w:szCs w:val="23"/>
                <w:color w:val="auto"/>
                <w:vertAlign w:val="superscript"/>
              </w:rPr>
              <w:t>9, 11</w:t>
            </w:r>
          </w:p>
        </w:tc>
        <w:tc>
          <w:tcPr>
            <w:tcW w:w="390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Term Loan</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Automotive</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6.4%</w:t>
            </w: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1.5% Libor Floor, Due 7/16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3,783,751</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3,772,168</w:t>
            </w: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3,783,751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Trimaran Advisors, L.L.C.</w:t>
            </w:r>
            <w:r>
              <w:rPr>
                <w:rFonts w:ascii="Arial" w:cs="Arial" w:eastAsia="Arial" w:hAnsi="Arial"/>
                <w:sz w:val="23"/>
                <w:szCs w:val="23"/>
                <w:color w:val="auto"/>
                <w:vertAlign w:val="superscript"/>
              </w:rPr>
              <w:t>9</w:t>
            </w:r>
          </w:p>
        </w:tc>
        <w:tc>
          <w:tcPr>
            <w:tcW w:w="390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Unsecured Loan — Revolving Credit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Portfolio Company Loan</w:t>
            </w:r>
          </w:p>
        </w:tc>
        <w:tc>
          <w:tcPr>
            <w:tcW w:w="3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Facility</w:t>
            </w:r>
          </w:p>
        </w:tc>
        <w:tc>
          <w:tcPr>
            <w:tcW w:w="124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18,000,000</w:t>
            </w: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9"/>
              </w:rPr>
              <w:t>18,000,000</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18,000,000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9.0%</w:t>
            </w: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Due 11/17</w:t>
            </w:r>
          </w:p>
        </w:tc>
        <w:tc>
          <w:tcPr>
            <w:tcW w:w="1240" w:type="dxa"/>
            <w:vAlign w:val="bottom"/>
            <w:gridSpan w:val="3"/>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TriZetto Group, Inc. (TZ Merger Sub, Inc.)</w:t>
            </w:r>
            <w:r>
              <w:rPr>
                <w:rFonts w:ascii="Arial" w:cs="Arial" w:eastAsia="Arial" w:hAnsi="Arial"/>
                <w:sz w:val="23"/>
                <w:szCs w:val="23"/>
                <w:color w:val="auto"/>
                <w:vertAlign w:val="superscript"/>
              </w:rPr>
              <w:t>9, 11</w:t>
            </w:r>
          </w:p>
        </w:tc>
        <w:tc>
          <w:tcPr>
            <w:tcW w:w="390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Term Loan</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High Tech Industries</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4.8%</w:t>
            </w: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1.3% Libor Floor, Due 5/18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3,544,969</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3,551,629</w:t>
            </w: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3,544,969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TRSO I, Inc.</w:t>
            </w:r>
            <w:r>
              <w:rPr>
                <w:rFonts w:ascii="Arial" w:cs="Arial" w:eastAsia="Arial" w:hAnsi="Arial"/>
                <w:sz w:val="23"/>
                <w:szCs w:val="23"/>
                <w:color w:val="auto"/>
                <w:vertAlign w:val="superscript"/>
              </w:rPr>
              <w:t>9</w:t>
            </w:r>
          </w:p>
        </w:tc>
        <w:tc>
          <w:tcPr>
            <w:tcW w:w="390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w w:val="94"/>
              </w:rPr>
              <w:t>Junior Secured Loan — Term Loan (Second Lien)</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Energy: Oil &amp; Gas</w:t>
            </w:r>
          </w:p>
        </w:tc>
        <w:tc>
          <w:tcPr>
            <w:tcW w:w="3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11.0% Cash, 1.0% Libor Floor, Due 12/17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987,087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TUI University, LLC</w:t>
            </w:r>
            <w:r>
              <w:rPr>
                <w:rFonts w:ascii="Arial" w:cs="Arial" w:eastAsia="Arial" w:hAnsi="Arial"/>
                <w:sz w:val="23"/>
                <w:szCs w:val="23"/>
                <w:color w:val="auto"/>
                <w:vertAlign w:val="superscript"/>
              </w:rPr>
              <w:t>9</w:t>
            </w:r>
          </w:p>
        </w:tc>
        <w:tc>
          <w:tcPr>
            <w:tcW w:w="390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Term Loan (First Lien)</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Consumer</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8.8%</w:t>
            </w: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1.3% Libor Floor, Due 10/14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1,647,733</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1,646,761</w:t>
            </w: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1,647,733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TWCC Holding Corp.</w:t>
            </w:r>
            <w:r>
              <w:rPr>
                <w:rFonts w:ascii="Arial" w:cs="Arial" w:eastAsia="Arial" w:hAnsi="Arial"/>
                <w:sz w:val="23"/>
                <w:szCs w:val="23"/>
                <w:color w:val="auto"/>
                <w:vertAlign w:val="superscript"/>
              </w:rPr>
              <w:t>9</w:t>
            </w:r>
          </w:p>
        </w:tc>
        <w:tc>
          <w:tcPr>
            <w:tcW w:w="390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w w:val="94"/>
              </w:rPr>
              <w:t>Junior Secured Loan — Term Loan (Second Lien)</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Broadcasting &amp; Subscription</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7.0%</w:t>
            </w: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1.0% Libor Floor, Due 6/20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1,004,189</w:t>
            </w: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TWCC Holding Corp.</w:t>
            </w:r>
            <w:r>
              <w:rPr>
                <w:rFonts w:ascii="Arial" w:cs="Arial" w:eastAsia="Arial" w:hAnsi="Arial"/>
                <w:sz w:val="23"/>
                <w:szCs w:val="23"/>
                <w:color w:val="auto"/>
                <w:vertAlign w:val="superscript"/>
              </w:rPr>
              <w:t>9, 11</w:t>
            </w:r>
          </w:p>
        </w:tc>
        <w:tc>
          <w:tcPr>
            <w:tcW w:w="390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Term Loan</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Broadcasting &amp; Subscription</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3.5%</w:t>
            </w: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0.8% Libor Floor, Due 2/17</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906,653</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911,380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892,677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Univar Inc.</w:t>
            </w:r>
            <w:r>
              <w:rPr>
                <w:rFonts w:ascii="Arial" w:cs="Arial" w:eastAsia="Arial" w:hAnsi="Arial"/>
                <w:sz w:val="23"/>
                <w:szCs w:val="23"/>
                <w:color w:val="auto"/>
                <w:vertAlign w:val="superscript"/>
              </w:rPr>
              <w:t>9, 11</w:t>
            </w:r>
          </w:p>
        </w:tc>
        <w:tc>
          <w:tcPr>
            <w:tcW w:w="390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Term B Loan</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Chemicals, Plastics and Rubber</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5.0%</w:t>
            </w: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1.5% Libor Floor, Due 6/17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2,902,102</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2,899,031</w:t>
            </w: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2,876,099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USJ-IMECO Holding Company, LLC</w:t>
            </w:r>
            <w:r>
              <w:rPr>
                <w:rFonts w:ascii="Arial" w:cs="Arial" w:eastAsia="Arial" w:hAnsi="Arial"/>
                <w:sz w:val="23"/>
                <w:szCs w:val="23"/>
                <w:color w:val="auto"/>
                <w:vertAlign w:val="superscript"/>
              </w:rPr>
              <w:t>9, 11</w:t>
            </w:r>
          </w:p>
        </w:tc>
        <w:tc>
          <w:tcPr>
            <w:tcW w:w="390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Loan — Term Loan</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Transportation: Cargo</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7.0%</w:t>
            </w: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1.0% Libor Floor, Due 4/20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3,980,000</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3,961,456</w:t>
            </w: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3,867,366</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3" w:name="page14"/>
    <w:bookmarkEnd w:id="13"/>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 / Principal Business</w:t>
      </w:r>
    </w:p>
    <w:p>
      <w:pPr>
        <w:spacing w:after="0" w:line="208" w:lineRule="auto"/>
        <w:rPr>
          <w:sz w:val="20"/>
          <w:szCs w:val="20"/>
          <w:color w:val="auto"/>
        </w:rPr>
      </w:pPr>
      <w:r>
        <w:rPr>
          <w:rFonts w:ascii="Arial" w:cs="Arial" w:eastAsia="Arial" w:hAnsi="Arial"/>
          <w:sz w:val="18"/>
          <w:szCs w:val="18"/>
          <w:color w:val="auto"/>
        </w:rPr>
        <w:t>Verdesian Life Sciences,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Environmental Industries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Verdesian Life Sciences, LLC</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Environmental Industries</w:t>
      </w:r>
    </w:p>
    <w:p>
      <w:pPr>
        <w:spacing w:after="0" w:line="209"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Vestcom International, Inc. (fka Vector Investment Holdings, Inc.)</w:t>
      </w:r>
      <w:r>
        <w:rPr>
          <w:rFonts w:ascii="Arial" w:cs="Arial" w:eastAsia="Arial" w:hAnsi="Arial"/>
          <w:sz w:val="30"/>
          <w:szCs w:val="30"/>
          <w:color w:val="auto"/>
          <w:vertAlign w:val="superscript"/>
        </w:rPr>
        <w:t>9, 11</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Media: Advertising, Printing &amp; Publishing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Weiman Products,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Weiman Products, LLC</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WideOpenWest Finance,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WireCo WorldGroup Inc. </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Capital Equipment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WireCo WorldGroup Inc. </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Capital Equipment</w:t>
      </w:r>
    </w:p>
    <w:p>
      <w:pPr>
        <w:spacing w:after="0" w:line="205" w:lineRule="exact"/>
        <w:rPr>
          <w:sz w:val="20"/>
          <w:szCs w:val="20"/>
          <w:color w:val="auto"/>
        </w:rPr>
      </w:pPr>
    </w:p>
    <w:p>
      <w:pPr>
        <w:ind w:left="180" w:right="600" w:hanging="161"/>
        <w:spacing w:after="0" w:line="347" w:lineRule="auto"/>
        <w:rPr>
          <w:sz w:val="20"/>
          <w:szCs w:val="20"/>
          <w:color w:val="auto"/>
        </w:rPr>
      </w:pPr>
      <w:r>
        <w:rPr>
          <w:rFonts w:ascii="Arial" w:cs="Arial" w:eastAsia="Arial" w:hAnsi="Arial"/>
          <w:sz w:val="16"/>
          <w:szCs w:val="16"/>
          <w:b w:val="1"/>
          <w:bCs w:val="1"/>
          <w:color w:val="auto"/>
        </w:rPr>
        <w:t>Total Investment in Debt Securities (102% of net asset value at fair value)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color w:val="auto"/>
                <w:w w:val="94"/>
                <w:vertAlign w:val="superscript"/>
              </w:rPr>
              <w:t>2</w:t>
            </w:r>
          </w:p>
        </w:tc>
        <w:tc>
          <w:tcPr>
            <w:tcW w:w="0" w:type="dxa"/>
            <w:vAlign w:val="bottom"/>
          </w:tcPr>
          <w:p>
            <w:pPr>
              <w:spacing w:after="0"/>
              <w:rPr>
                <w:sz w:val="1"/>
                <w:szCs w:val="1"/>
                <w:color w:val="auto"/>
              </w:rPr>
            </w:pPr>
          </w:p>
        </w:tc>
      </w:tr>
      <w:tr>
        <w:trPr>
          <w:trHeight w:val="234"/>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Interest Rate¹ / Maturity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6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Senior Secured Loan — Initial Term Loan</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0" w:type="dxa"/>
            <w:vAlign w:val="bottom"/>
          </w:tcPr>
          <w:p>
            <w:pPr>
              <w:spacing w:after="0"/>
              <w:rPr>
                <w:sz w:val="20"/>
                <w:szCs w:val="20"/>
                <w:color w:val="auto"/>
              </w:rPr>
            </w:pPr>
            <w:r>
              <w:rPr>
                <w:rFonts w:ascii="Arial" w:cs="Arial" w:eastAsia="Arial" w:hAnsi="Arial"/>
                <w:sz w:val="18"/>
                <w:szCs w:val="18"/>
                <w:color w:val="auto"/>
                <w:w w:val="92"/>
              </w:rPr>
              <w:t>6.0%</w:t>
            </w:r>
          </w:p>
        </w:tc>
        <w:tc>
          <w:tcPr>
            <w:tcW w:w="3220" w:type="dxa"/>
            <w:vAlign w:val="bottom"/>
          </w:tcPr>
          <w:p>
            <w:pPr>
              <w:ind w:left="20"/>
              <w:spacing w:after="0"/>
              <w:rPr>
                <w:sz w:val="20"/>
                <w:szCs w:val="20"/>
                <w:color w:val="auto"/>
              </w:rPr>
            </w:pPr>
            <w:r>
              <w:rPr>
                <w:rFonts w:ascii="Arial" w:cs="Arial" w:eastAsia="Arial" w:hAnsi="Arial"/>
                <w:sz w:val="18"/>
                <w:szCs w:val="18"/>
                <w:color w:val="auto"/>
              </w:rPr>
              <w:t>Cash, 1.0% Libor Floor, Due 7/20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987,500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973,244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985,031</w:t>
            </w:r>
          </w:p>
        </w:tc>
        <w:tc>
          <w:tcPr>
            <w:tcW w:w="0" w:type="dxa"/>
            <w:vAlign w:val="bottom"/>
          </w:tcPr>
          <w:p>
            <w:pPr>
              <w:spacing w:after="0"/>
              <w:rPr>
                <w:sz w:val="1"/>
                <w:szCs w:val="1"/>
                <w:color w:val="auto"/>
              </w:rPr>
            </w:pPr>
          </w:p>
        </w:tc>
      </w:tr>
      <w:tr>
        <w:trPr>
          <w:trHeight w:val="418"/>
        </w:trPr>
        <w:tc>
          <w:tcPr>
            <w:tcW w:w="362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0" w:type="dxa"/>
            <w:vAlign w:val="bottom"/>
          </w:tcPr>
          <w:p>
            <w:pPr>
              <w:spacing w:after="0"/>
              <w:rPr>
                <w:sz w:val="20"/>
                <w:szCs w:val="20"/>
                <w:color w:val="auto"/>
              </w:rPr>
            </w:pPr>
            <w:r>
              <w:rPr>
                <w:rFonts w:ascii="Arial" w:cs="Arial" w:eastAsia="Arial" w:hAnsi="Arial"/>
                <w:sz w:val="18"/>
                <w:szCs w:val="18"/>
                <w:color w:val="auto"/>
                <w:w w:val="92"/>
              </w:rPr>
              <w:t>6.0%</w:t>
            </w:r>
          </w:p>
        </w:tc>
        <w:tc>
          <w:tcPr>
            <w:tcW w:w="3220" w:type="dxa"/>
            <w:vAlign w:val="bottom"/>
          </w:tcPr>
          <w:p>
            <w:pPr>
              <w:ind w:left="20"/>
              <w:spacing w:after="0"/>
              <w:rPr>
                <w:sz w:val="20"/>
                <w:szCs w:val="20"/>
                <w:color w:val="auto"/>
              </w:rPr>
            </w:pPr>
            <w:r>
              <w:rPr>
                <w:rFonts w:ascii="Arial" w:cs="Arial" w:eastAsia="Arial" w:hAnsi="Arial"/>
                <w:sz w:val="18"/>
                <w:szCs w:val="18"/>
                <w:color w:val="auto"/>
              </w:rPr>
              <w:t>Cash, 1.0% Libor Floor, Due 7/20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3,262,500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3,216,732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3,254,344</w:t>
            </w:r>
          </w:p>
        </w:tc>
        <w:tc>
          <w:tcPr>
            <w:tcW w:w="0" w:type="dxa"/>
            <w:vAlign w:val="bottom"/>
          </w:tcPr>
          <w:p>
            <w:pPr>
              <w:spacing w:after="0"/>
              <w:rPr>
                <w:sz w:val="1"/>
                <w:szCs w:val="1"/>
                <w:color w:val="auto"/>
              </w:rPr>
            </w:pPr>
          </w:p>
        </w:tc>
      </w:tr>
      <w:tr>
        <w:trPr>
          <w:trHeight w:val="418"/>
        </w:trPr>
        <w:tc>
          <w:tcPr>
            <w:tcW w:w="362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5.3%</w:t>
            </w:r>
          </w:p>
        </w:tc>
        <w:tc>
          <w:tcPr>
            <w:tcW w:w="3220" w:type="dxa"/>
            <w:vAlign w:val="bottom"/>
          </w:tcPr>
          <w:p>
            <w:pPr>
              <w:ind w:left="20"/>
              <w:spacing w:after="0"/>
              <w:rPr>
                <w:sz w:val="20"/>
                <w:szCs w:val="20"/>
                <w:color w:val="auto"/>
              </w:rPr>
            </w:pPr>
            <w:r>
              <w:rPr>
                <w:rFonts w:ascii="Arial" w:cs="Arial" w:eastAsia="Arial" w:hAnsi="Arial"/>
                <w:sz w:val="18"/>
                <w:szCs w:val="18"/>
                <w:color w:val="auto"/>
              </w:rPr>
              <w:t>Cash, 1.0% Libor Floor, Due 9/21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2,866,953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2,838,051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2,870,537</w:t>
            </w:r>
          </w:p>
        </w:tc>
        <w:tc>
          <w:tcPr>
            <w:tcW w:w="0" w:type="dxa"/>
            <w:vAlign w:val="bottom"/>
          </w:tcPr>
          <w:p>
            <w:pPr>
              <w:spacing w:after="0"/>
              <w:rPr>
                <w:sz w:val="1"/>
                <w:szCs w:val="1"/>
                <w:color w:val="auto"/>
              </w:rPr>
            </w:pPr>
          </w:p>
        </w:tc>
      </w:tr>
      <w:tr>
        <w:trPr>
          <w:trHeight w:val="418"/>
        </w:trPr>
        <w:tc>
          <w:tcPr>
            <w:tcW w:w="362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0" w:type="dxa"/>
            <w:vAlign w:val="bottom"/>
          </w:tcPr>
          <w:p>
            <w:pPr>
              <w:spacing w:after="0"/>
              <w:rPr>
                <w:sz w:val="20"/>
                <w:szCs w:val="20"/>
                <w:color w:val="auto"/>
              </w:rPr>
            </w:pPr>
            <w:r>
              <w:rPr>
                <w:rFonts w:ascii="Arial" w:cs="Arial" w:eastAsia="Arial" w:hAnsi="Arial"/>
                <w:sz w:val="18"/>
                <w:szCs w:val="18"/>
                <w:color w:val="auto"/>
                <w:w w:val="92"/>
              </w:rPr>
              <w:t>6.3%</w:t>
            </w:r>
          </w:p>
        </w:tc>
        <w:tc>
          <w:tcPr>
            <w:tcW w:w="3220" w:type="dxa"/>
            <w:vAlign w:val="bottom"/>
          </w:tcPr>
          <w:p>
            <w:pPr>
              <w:ind w:left="20"/>
              <w:spacing w:after="0"/>
              <w:rPr>
                <w:sz w:val="20"/>
                <w:szCs w:val="20"/>
                <w:color w:val="auto"/>
              </w:rPr>
            </w:pPr>
            <w:r>
              <w:rPr>
                <w:rFonts w:ascii="Arial" w:cs="Arial" w:eastAsia="Arial" w:hAnsi="Arial"/>
                <w:sz w:val="18"/>
                <w:szCs w:val="18"/>
                <w:color w:val="auto"/>
              </w:rPr>
              <w:t>Cash, 1.0% Libor Floor, Due 11/18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2,979,755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2,954,477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2,944,594</w:t>
            </w:r>
          </w:p>
        </w:tc>
        <w:tc>
          <w:tcPr>
            <w:tcW w:w="0" w:type="dxa"/>
            <w:vAlign w:val="bottom"/>
          </w:tcPr>
          <w:p>
            <w:pPr>
              <w:spacing w:after="0"/>
              <w:rPr>
                <w:sz w:val="1"/>
                <w:szCs w:val="1"/>
                <w:color w:val="auto"/>
              </w:rPr>
            </w:pPr>
          </w:p>
        </w:tc>
      </w:tr>
      <w:tr>
        <w:trPr>
          <w:trHeight w:val="418"/>
        </w:trPr>
        <w:tc>
          <w:tcPr>
            <w:tcW w:w="362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0" w:type="dxa"/>
            <w:vAlign w:val="bottom"/>
          </w:tcPr>
          <w:p>
            <w:pPr>
              <w:spacing w:after="0"/>
              <w:rPr>
                <w:sz w:val="20"/>
                <w:szCs w:val="20"/>
                <w:color w:val="auto"/>
              </w:rPr>
            </w:pPr>
            <w:r>
              <w:rPr>
                <w:rFonts w:ascii="Arial" w:cs="Arial" w:eastAsia="Arial" w:hAnsi="Arial"/>
                <w:sz w:val="18"/>
                <w:szCs w:val="18"/>
                <w:color w:val="auto"/>
                <w:w w:val="92"/>
              </w:rPr>
              <w:t>6.3%</w:t>
            </w:r>
          </w:p>
        </w:tc>
        <w:tc>
          <w:tcPr>
            <w:tcW w:w="3220" w:type="dxa"/>
            <w:vAlign w:val="bottom"/>
          </w:tcPr>
          <w:p>
            <w:pPr>
              <w:ind w:left="20"/>
              <w:spacing w:after="0"/>
              <w:rPr>
                <w:sz w:val="20"/>
                <w:szCs w:val="20"/>
                <w:color w:val="auto"/>
              </w:rPr>
            </w:pPr>
            <w:r>
              <w:rPr>
                <w:rFonts w:ascii="Arial" w:cs="Arial" w:eastAsia="Arial" w:hAnsi="Arial"/>
                <w:sz w:val="18"/>
                <w:szCs w:val="18"/>
                <w:color w:val="auto"/>
              </w:rPr>
              <w:t>Cash, 1.0% Libor Floor, Due 11/18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3,973,007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3,940,087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3,926,126</w:t>
            </w:r>
          </w:p>
        </w:tc>
        <w:tc>
          <w:tcPr>
            <w:tcW w:w="0" w:type="dxa"/>
            <w:vAlign w:val="bottom"/>
          </w:tcPr>
          <w:p>
            <w:pPr>
              <w:spacing w:after="0"/>
              <w:rPr>
                <w:sz w:val="1"/>
                <w:szCs w:val="1"/>
                <w:color w:val="auto"/>
              </w:rPr>
            </w:pPr>
          </w:p>
        </w:tc>
      </w:tr>
      <w:tr>
        <w:trPr>
          <w:trHeight w:val="418"/>
        </w:trPr>
        <w:tc>
          <w:tcPr>
            <w:tcW w:w="3620" w:type="dxa"/>
            <w:vAlign w:val="bottom"/>
            <w:gridSpan w:val="2"/>
          </w:tcPr>
          <w:p>
            <w:pPr>
              <w:spacing w:after="0"/>
              <w:rPr>
                <w:sz w:val="20"/>
                <w:szCs w:val="20"/>
                <w:color w:val="auto"/>
              </w:rPr>
            </w:pPr>
            <w:r>
              <w:rPr>
                <w:rFonts w:ascii="Arial" w:cs="Arial" w:eastAsia="Arial" w:hAnsi="Arial"/>
                <w:sz w:val="18"/>
                <w:szCs w:val="18"/>
                <w:color w:val="auto"/>
              </w:rPr>
              <w:t>Senior Secured Loan — Term B Loan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0" w:type="dxa"/>
            <w:vAlign w:val="bottom"/>
          </w:tcPr>
          <w:p>
            <w:pPr>
              <w:spacing w:after="0"/>
              <w:rPr>
                <w:sz w:val="20"/>
                <w:szCs w:val="20"/>
                <w:color w:val="auto"/>
              </w:rPr>
            </w:pPr>
            <w:r>
              <w:rPr>
                <w:rFonts w:ascii="Arial" w:cs="Arial" w:eastAsia="Arial" w:hAnsi="Arial"/>
                <w:sz w:val="18"/>
                <w:szCs w:val="18"/>
                <w:color w:val="auto"/>
                <w:w w:val="92"/>
              </w:rPr>
              <w:t>4.8%</w:t>
            </w:r>
          </w:p>
        </w:tc>
        <w:tc>
          <w:tcPr>
            <w:tcW w:w="3220" w:type="dxa"/>
            <w:vAlign w:val="bottom"/>
          </w:tcPr>
          <w:p>
            <w:pPr>
              <w:ind w:left="20"/>
              <w:spacing w:after="0"/>
              <w:rPr>
                <w:sz w:val="20"/>
                <w:szCs w:val="20"/>
                <w:color w:val="auto"/>
              </w:rPr>
            </w:pPr>
            <w:r>
              <w:rPr>
                <w:rFonts w:ascii="Arial" w:cs="Arial" w:eastAsia="Arial" w:hAnsi="Arial"/>
                <w:sz w:val="18"/>
                <w:szCs w:val="18"/>
                <w:color w:val="auto"/>
              </w:rPr>
              <w:t>Cash, 1.0% Libor Floor, Due 4/19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2,962,406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2,979,939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2,957,459</w:t>
            </w:r>
          </w:p>
        </w:tc>
        <w:tc>
          <w:tcPr>
            <w:tcW w:w="0" w:type="dxa"/>
            <w:vAlign w:val="bottom"/>
          </w:tcPr>
          <w:p>
            <w:pPr>
              <w:spacing w:after="0"/>
              <w:rPr>
                <w:sz w:val="1"/>
                <w:szCs w:val="1"/>
                <w:color w:val="auto"/>
              </w:rPr>
            </w:pPr>
          </w:p>
        </w:tc>
      </w:tr>
      <w:tr>
        <w:trPr>
          <w:trHeight w:val="418"/>
        </w:trPr>
        <w:tc>
          <w:tcPr>
            <w:tcW w:w="3620" w:type="dxa"/>
            <w:vAlign w:val="bottom"/>
            <w:gridSpan w:val="2"/>
          </w:tcPr>
          <w:p>
            <w:pPr>
              <w:spacing w:after="0"/>
              <w:rPr>
                <w:sz w:val="20"/>
                <w:szCs w:val="20"/>
                <w:color w:val="auto"/>
              </w:rPr>
            </w:pPr>
            <w:r>
              <w:rPr>
                <w:rFonts w:ascii="Arial" w:cs="Arial" w:eastAsia="Arial" w:hAnsi="Arial"/>
                <w:sz w:val="18"/>
                <w:szCs w:val="18"/>
                <w:color w:val="auto"/>
                <w:w w:val="99"/>
              </w:rPr>
              <w:t>Senior Unsecured Bond — 9.000% - 05/2017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0" w:type="dxa"/>
            <w:vAlign w:val="bottom"/>
          </w:tcPr>
          <w:p>
            <w:pPr>
              <w:spacing w:after="0"/>
              <w:rPr>
                <w:sz w:val="20"/>
                <w:szCs w:val="20"/>
                <w:color w:val="auto"/>
              </w:rPr>
            </w:pPr>
            <w:r>
              <w:rPr>
                <w:rFonts w:ascii="Arial" w:cs="Arial" w:eastAsia="Arial" w:hAnsi="Arial"/>
                <w:sz w:val="18"/>
                <w:szCs w:val="18"/>
                <w:color w:val="auto"/>
                <w:w w:val="92"/>
              </w:rPr>
              <w:t>9.0%</w:t>
            </w:r>
          </w:p>
        </w:tc>
        <w:tc>
          <w:tcPr>
            <w:tcW w:w="3220" w:type="dxa"/>
            <w:vAlign w:val="bottom"/>
          </w:tcPr>
          <w:p>
            <w:pPr>
              <w:ind w:left="20"/>
              <w:spacing w:after="0"/>
              <w:rPr>
                <w:sz w:val="20"/>
                <w:szCs w:val="20"/>
                <w:color w:val="auto"/>
              </w:rPr>
            </w:pPr>
            <w:r>
              <w:rPr>
                <w:rFonts w:ascii="Arial" w:cs="Arial" w:eastAsia="Arial" w:hAnsi="Arial"/>
                <w:sz w:val="18"/>
                <w:szCs w:val="18"/>
                <w:color w:val="auto"/>
              </w:rPr>
              <w:t>Cash, Due 5/17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4,985,544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418"/>
        </w:trPr>
        <w:tc>
          <w:tcPr>
            <w:tcW w:w="3620" w:type="dxa"/>
            <w:vAlign w:val="bottom"/>
            <w:gridSpan w:val="2"/>
          </w:tcPr>
          <w:p>
            <w:pPr>
              <w:spacing w:after="0"/>
              <w:rPr>
                <w:sz w:val="20"/>
                <w:szCs w:val="20"/>
                <w:color w:val="auto"/>
              </w:rPr>
            </w:pPr>
            <w:r>
              <w:rPr>
                <w:rFonts w:ascii="Arial" w:cs="Arial" w:eastAsia="Arial" w:hAnsi="Arial"/>
                <w:sz w:val="18"/>
                <w:szCs w:val="18"/>
                <w:color w:val="auto"/>
                <w:w w:val="99"/>
              </w:rPr>
              <w:t>Senior Unsecured Bond — 9.000% - 05/2017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0" w:type="dxa"/>
            <w:vAlign w:val="bottom"/>
          </w:tcPr>
          <w:p>
            <w:pPr>
              <w:spacing w:after="0"/>
              <w:rPr>
                <w:sz w:val="20"/>
                <w:szCs w:val="20"/>
                <w:color w:val="auto"/>
              </w:rPr>
            </w:pPr>
            <w:r>
              <w:rPr>
                <w:rFonts w:ascii="Arial" w:cs="Arial" w:eastAsia="Arial" w:hAnsi="Arial"/>
                <w:sz w:val="18"/>
                <w:szCs w:val="18"/>
                <w:color w:val="auto"/>
                <w:w w:val="92"/>
              </w:rPr>
              <w:t>9.0%</w:t>
            </w:r>
          </w:p>
        </w:tc>
        <w:tc>
          <w:tcPr>
            <w:tcW w:w="3220" w:type="dxa"/>
            <w:vAlign w:val="bottom"/>
          </w:tcPr>
          <w:p>
            <w:pPr>
              <w:ind w:left="20"/>
              <w:spacing w:after="0"/>
              <w:rPr>
                <w:sz w:val="20"/>
                <w:szCs w:val="20"/>
                <w:color w:val="auto"/>
              </w:rPr>
            </w:pPr>
            <w:r>
              <w:rPr>
                <w:rFonts w:ascii="Arial" w:cs="Arial" w:eastAsia="Arial" w:hAnsi="Arial"/>
                <w:sz w:val="18"/>
                <w:szCs w:val="18"/>
                <w:color w:val="auto"/>
              </w:rPr>
              <w:t>Cash, Due 5/17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2,991,327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662"/>
        </w:trPr>
        <w:tc>
          <w:tcPr>
            <w:tcW w:w="4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267,046,244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265,277,525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264,813,932</w:t>
            </w:r>
          </w:p>
        </w:tc>
        <w:tc>
          <w:tcPr>
            <w:tcW w:w="0" w:type="dxa"/>
            <w:vAlign w:val="bottom"/>
          </w:tcPr>
          <w:p>
            <w:pPr>
              <w:spacing w:after="0"/>
              <w:rPr>
                <w:sz w:val="1"/>
                <w:szCs w:val="1"/>
                <w:color w:val="auto"/>
              </w:rPr>
            </w:pPr>
          </w:p>
        </w:tc>
      </w:tr>
      <w:tr>
        <w:trPr>
          <w:trHeight w:val="642"/>
        </w:trPr>
        <w:tc>
          <w:tcPr>
            <w:tcW w:w="400" w:type="dxa"/>
            <w:vAlign w:val="bottom"/>
          </w:tcPr>
          <w:p>
            <w:pPr>
              <w:spacing w:after="0"/>
              <w:rPr>
                <w:sz w:val="24"/>
                <w:szCs w:val="24"/>
                <w:color w:val="auto"/>
              </w:rPr>
            </w:pPr>
          </w:p>
        </w:tc>
        <w:tc>
          <w:tcPr>
            <w:tcW w:w="3220" w:type="dxa"/>
            <w:vAlign w:val="bottom"/>
          </w:tcPr>
          <w:p>
            <w:pPr>
              <w:ind w:left="11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-3901440</wp:posOffset>
            </wp:positionV>
            <wp:extent cx="7246620" cy="3003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-3463925</wp:posOffset>
            </wp:positionV>
            <wp:extent cx="7246620" cy="437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-2889250</wp:posOffset>
            </wp:positionV>
            <wp:extent cx="7246620" cy="3003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-2451735</wp:posOffset>
            </wp:positionV>
            <wp:extent cx="7246620" cy="3003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-2014855</wp:posOffset>
            </wp:positionV>
            <wp:extent cx="7246620" cy="3003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-1577340</wp:posOffset>
            </wp:positionV>
            <wp:extent cx="7246620" cy="3003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-1139825</wp:posOffset>
            </wp:positionV>
            <wp:extent cx="7246620" cy="3003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-702310</wp:posOffset>
            </wp:positionV>
            <wp:extent cx="7246620" cy="2832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-4347210</wp:posOffset>
            </wp:positionV>
            <wp:extent cx="7246620" cy="308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660" w:space="460"/>
            <w:col w:w="7200"/>
          </w:cols>
          <w:pgMar w:left="240" w:top="87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4160" w:type="dxa"/>
            <w:vAlign w:val="bottom"/>
            <w:gridSpan w:val="3"/>
          </w:tcPr>
          <w:p>
            <w:pPr>
              <w:spacing w:after="0"/>
              <w:rPr>
                <w:sz w:val="20"/>
                <w:szCs w:val="20"/>
                <w:color w:val="auto"/>
              </w:rPr>
            </w:pPr>
            <w:r>
              <w:rPr>
                <w:rFonts w:ascii="Arial" w:cs="Arial" w:eastAsia="Arial" w:hAnsi="Arial"/>
                <w:sz w:val="18"/>
                <w:szCs w:val="18"/>
                <w:b w:val="1"/>
                <w:bCs w:val="1"/>
                <w:color w:val="auto"/>
              </w:rPr>
              <w:t>Equity Securities Portfolio</w:t>
            </w:r>
          </w:p>
        </w:tc>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Percentage</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1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Interest/Shares</w:t>
            </w:r>
          </w:p>
        </w:tc>
        <w:tc>
          <w:tcPr>
            <w:tcW w:w="1020" w:type="dxa"/>
            <w:vAlign w:val="bottom"/>
            <w:gridSpan w:val="2"/>
          </w:tcPr>
          <w:p>
            <w:pPr>
              <w:ind w:left="28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0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2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7"/>
                <w:szCs w:val="27"/>
                <w:color w:val="auto"/>
                <w:vertAlign w:val="superscript"/>
              </w:rPr>
              <w:t>5, 9</w:t>
            </w:r>
          </w:p>
        </w:tc>
        <w:tc>
          <w:tcPr>
            <w:tcW w:w="120" w:type="dxa"/>
            <w:vAlign w:val="bottom"/>
            <w:tcBorders>
              <w:top w:val="single" w:sz="8" w:color="CCEEFF"/>
            </w:tcBorders>
            <w:shd w:val="clear" w:color="auto" w:fill="CCEEFF"/>
          </w:tcPr>
          <w:p>
            <w:pPr>
              <w:spacing w:after="0"/>
              <w:rPr>
                <w:sz w:val="20"/>
                <w:szCs w:val="20"/>
                <w:color w:val="auto"/>
              </w:rPr>
            </w:pPr>
          </w:p>
        </w:tc>
        <w:tc>
          <w:tcPr>
            <w:tcW w:w="3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Partnership Interests</w:t>
            </w:r>
          </w:p>
        </w:tc>
        <w:tc>
          <w:tcPr>
            <w:tcW w:w="12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Aerospace and Defense</w:t>
            </w:r>
          </w:p>
        </w:tc>
        <w:tc>
          <w:tcPr>
            <w:tcW w:w="3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$ 1,000,000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1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8"/>
                <w:szCs w:val="28"/>
                <w:color w:val="auto"/>
                <w:vertAlign w:val="superscript"/>
              </w:rPr>
              <w:t>5, 9</w:t>
            </w: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 Preferred Interests</w:t>
            </w: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Aerospace and Defense</w:t>
            </w:r>
          </w:p>
        </w:tc>
        <w:tc>
          <w:tcPr>
            <w:tcW w:w="3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250,961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643,631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1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Bankruptcy Management Solutions, Inc.</w:t>
            </w:r>
            <w:r>
              <w:rPr>
                <w:rFonts w:ascii="Arial" w:cs="Arial" w:eastAsia="Arial" w:hAnsi="Arial"/>
                <w:sz w:val="28"/>
                <w:szCs w:val="28"/>
                <w:color w:val="auto"/>
                <w:vertAlign w:val="superscript"/>
              </w:rPr>
              <w:t>5, 9</w:t>
            </w: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Warrants</w:t>
            </w: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Banking, Finance, Insurance &amp; Real Estate</w:t>
            </w:r>
          </w:p>
        </w:tc>
        <w:tc>
          <w:tcPr>
            <w:tcW w:w="3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1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Bankruptcy Management Solutions, Inc.</w:t>
            </w:r>
            <w:r>
              <w:rPr>
                <w:rFonts w:ascii="Arial" w:cs="Arial" w:eastAsia="Arial" w:hAnsi="Arial"/>
                <w:sz w:val="28"/>
                <w:szCs w:val="28"/>
                <w:color w:val="auto"/>
                <w:vertAlign w:val="superscript"/>
              </w:rPr>
              <w:t>5, 9</w:t>
            </w: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Warrants</w:t>
            </w: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Banking, Finance, Insurance &amp; Real Estate</w:t>
            </w:r>
          </w:p>
        </w:tc>
        <w:tc>
          <w:tcPr>
            <w:tcW w:w="3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1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Bankruptcy Management Solutions, Inc.</w:t>
            </w:r>
            <w:r>
              <w:rPr>
                <w:rFonts w:ascii="Arial" w:cs="Arial" w:eastAsia="Arial" w:hAnsi="Arial"/>
                <w:sz w:val="28"/>
                <w:szCs w:val="28"/>
                <w:color w:val="auto"/>
                <w:vertAlign w:val="superscript"/>
              </w:rPr>
              <w:t>5, 9</w:t>
            </w: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Warrants</w:t>
            </w: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Banking, Finance, Insurance &amp; Real Estate</w:t>
            </w:r>
          </w:p>
        </w:tc>
        <w:tc>
          <w:tcPr>
            <w:tcW w:w="3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1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Bankruptcy Management Solutions, Inc.</w:t>
            </w:r>
            <w:r>
              <w:rPr>
                <w:rFonts w:ascii="Arial" w:cs="Arial" w:eastAsia="Arial" w:hAnsi="Arial"/>
                <w:sz w:val="28"/>
                <w:szCs w:val="28"/>
                <w:color w:val="auto"/>
                <w:vertAlign w:val="superscript"/>
              </w:rPr>
              <w:t>5, 9</w:t>
            </w: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2013</w:t>
            </w: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Banking, Finance, Insurance &amp; Real Estate</w:t>
            </w:r>
          </w:p>
        </w:tc>
        <w:tc>
          <w:tcPr>
            <w:tcW w:w="3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314,325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389,336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1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w w:val="95"/>
              </w:rPr>
              <w:t>Caribe Media Inc. (fka Caribe Information Investments</w:t>
            </w:r>
          </w:p>
        </w:tc>
        <w:tc>
          <w:tcPr>
            <w:tcW w:w="370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Common</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414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Incorporated)</w:t>
            </w:r>
            <w:r>
              <w:rPr>
                <w:rFonts w:ascii="Arial" w:cs="Arial" w:eastAsia="Arial" w:hAnsi="Arial"/>
                <w:sz w:val="29"/>
                <w:szCs w:val="29"/>
                <w:color w:val="auto"/>
                <w:vertAlign w:val="superscript"/>
              </w:rPr>
              <w:t>5, 9</w:t>
            </w:r>
          </w:p>
        </w:tc>
        <w:tc>
          <w:tcPr>
            <w:tcW w:w="3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3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359,765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583,395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1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Coastal Concrete Holding II, LLC</w:t>
            </w:r>
            <w:r>
              <w:rPr>
                <w:rFonts w:ascii="Arial" w:cs="Arial" w:eastAsia="Arial" w:hAnsi="Arial"/>
                <w:sz w:val="28"/>
                <w:szCs w:val="28"/>
                <w:color w:val="auto"/>
                <w:vertAlign w:val="superscript"/>
              </w:rPr>
              <w:t>5, 9</w:t>
            </w: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Units</w:t>
            </w: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Construction &amp; Building</w:t>
            </w:r>
          </w:p>
        </w:tc>
        <w:tc>
          <w:tcPr>
            <w:tcW w:w="3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8,625,626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1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DBI Holding LLC</w:t>
            </w:r>
            <w:r>
              <w:rPr>
                <w:rFonts w:ascii="Arial" w:cs="Arial" w:eastAsia="Arial" w:hAnsi="Arial"/>
                <w:sz w:val="28"/>
                <w:szCs w:val="28"/>
                <w:color w:val="auto"/>
                <w:vertAlign w:val="superscript"/>
              </w:rPr>
              <w:t>5, 9</w:t>
            </w: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Warrants</w:t>
            </w: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3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926,472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1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eInstruction Acquisition, LLC</w:t>
            </w:r>
            <w:r>
              <w:rPr>
                <w:rFonts w:ascii="Arial" w:cs="Arial" w:eastAsia="Arial" w:hAnsi="Arial"/>
                <w:sz w:val="28"/>
                <w:szCs w:val="28"/>
                <w:color w:val="auto"/>
                <w:vertAlign w:val="superscript"/>
              </w:rPr>
              <w:t>5, 9</w:t>
            </w: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Membership Units</w:t>
            </w: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Services: Consumer</w:t>
            </w:r>
          </w:p>
        </w:tc>
        <w:tc>
          <w:tcPr>
            <w:tcW w:w="3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1,079,616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1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FP WRCA Coinvestment Fund VII, Ltd.</w:t>
            </w:r>
            <w:r>
              <w:rPr>
                <w:rFonts w:ascii="Arial" w:cs="Arial" w:eastAsia="Arial" w:hAnsi="Arial"/>
                <w:sz w:val="28"/>
                <w:szCs w:val="28"/>
                <w:color w:val="auto"/>
                <w:vertAlign w:val="superscript"/>
              </w:rPr>
              <w:t>3, 5</w:t>
            </w: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Shares</w:t>
            </w: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Capital Equipment</w:t>
            </w:r>
          </w:p>
        </w:tc>
        <w:tc>
          <w:tcPr>
            <w:tcW w:w="3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2,340,000</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8"/>
              </w:rPr>
              <w:t>Percentage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1440" w:type="dxa"/>
            <w:vAlign w:val="bottom"/>
            <w:gridSpan w:val="2"/>
          </w:tcPr>
          <w:p>
            <w:pPr>
              <w:ind w:left="100"/>
              <w:spacing w:after="0"/>
              <w:rPr>
                <w:sz w:val="20"/>
                <w:szCs w:val="20"/>
                <w:color w:val="auto"/>
              </w:rPr>
            </w:pPr>
            <w:r>
              <w:rPr>
                <w:rFonts w:ascii="Arial" w:cs="Arial" w:eastAsia="Arial" w:hAnsi="Arial"/>
                <w:sz w:val="18"/>
                <w:szCs w:val="18"/>
                <w:b w:val="1"/>
                <w:bCs w:val="1"/>
                <w:color w:val="auto"/>
              </w:rPr>
              <w:t>Investment</w:t>
            </w: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89"/>
              </w:rPr>
              <w:t>Interest/Shares</w:t>
            </w:r>
          </w:p>
        </w:tc>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10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6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Perseus Holding Corp.</w:t>
            </w:r>
            <w:r>
              <w:rPr>
                <w:rFonts w:ascii="Arial" w:cs="Arial" w:eastAsia="Arial" w:hAnsi="Arial"/>
                <w:sz w:val="27"/>
                <w:szCs w:val="27"/>
                <w:color w:val="auto"/>
                <w:vertAlign w:val="superscript"/>
              </w:rPr>
              <w:t>5, 9</w:t>
            </w:r>
          </w:p>
        </w:tc>
        <w:tc>
          <w:tcPr>
            <w:tcW w:w="10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23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Hotel, Gaming &amp; Leisure</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9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0.2%  $</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9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Roscoe Investors, LLC</w:t>
            </w:r>
            <w:r>
              <w:rPr>
                <w:rFonts w:ascii="Arial" w:cs="Arial" w:eastAsia="Arial" w:hAnsi="Arial"/>
                <w:sz w:val="28"/>
                <w:szCs w:val="28"/>
                <w:color w:val="auto"/>
                <w:vertAlign w:val="superscript"/>
              </w:rPr>
              <w:t>5, 9</w:t>
            </w:r>
          </w:p>
        </w:tc>
        <w:tc>
          <w:tcPr>
            <w:tcW w:w="1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Class A Units</w:t>
            </w:r>
          </w:p>
        </w:tc>
        <w:tc>
          <w:tcPr>
            <w:tcW w:w="2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Healthcare &amp; Pharmaceuticals</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1,000,000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1,440,230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9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5, 9</w:t>
            </w:r>
          </w:p>
        </w:tc>
        <w:tc>
          <w:tcPr>
            <w:tcW w:w="1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Unit</w:t>
            </w:r>
          </w:p>
        </w:tc>
        <w:tc>
          <w:tcPr>
            <w:tcW w:w="2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Aerospace and Defense</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980,000</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9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5, 9</w:t>
            </w:r>
          </w:p>
        </w:tc>
        <w:tc>
          <w:tcPr>
            <w:tcW w:w="1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Warrants</w:t>
            </w:r>
          </w:p>
        </w:tc>
        <w:tc>
          <w:tcPr>
            <w:tcW w:w="2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Aerospace and Defense</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185,205</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9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TRSO II, Inc.</w:t>
            </w:r>
            <w:r>
              <w:rPr>
                <w:rFonts w:ascii="Arial" w:cs="Arial" w:eastAsia="Arial" w:hAnsi="Arial"/>
                <w:sz w:val="28"/>
                <w:szCs w:val="28"/>
                <w:color w:val="auto"/>
                <w:vertAlign w:val="superscript"/>
              </w:rPr>
              <w:t>-</w:t>
            </w:r>
          </w:p>
        </w:tc>
        <w:tc>
          <w:tcPr>
            <w:tcW w:w="1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 Stock</w:t>
            </w:r>
          </w:p>
        </w:tc>
        <w:tc>
          <w:tcPr>
            <w:tcW w:w="2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Energy: Oil &amp; Gas</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3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1,500,000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3,647,898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 in Equity Securities</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(4% of net asset value at fair value)</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39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17,454,438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11,140,167</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ind w:right="18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CLO Fund Securities</w:t>
            </w:r>
          </w:p>
        </w:tc>
        <w:tc>
          <w:tcPr>
            <w:tcW w:w="1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CLO Subordinated Investments</w:t>
            </w:r>
          </w:p>
        </w:tc>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Percentage</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940" w:type="dxa"/>
            <w:vAlign w:val="bottom"/>
            <w:gridSpan w:val="3"/>
          </w:tcPr>
          <w:p>
            <w:pPr>
              <w:ind w:left="100"/>
              <w:spacing w:after="0"/>
              <w:rPr>
                <w:sz w:val="20"/>
                <w:szCs w:val="20"/>
                <w:color w:val="auto"/>
              </w:rPr>
            </w:pPr>
            <w:r>
              <w:rPr>
                <w:rFonts w:ascii="Arial" w:cs="Arial" w:eastAsia="Arial" w:hAnsi="Arial"/>
                <w:sz w:val="18"/>
                <w:szCs w:val="18"/>
                <w:b w:val="1"/>
                <w:bCs w:val="1"/>
                <w:color w:val="auto"/>
              </w:rPr>
              <w:t>Investment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Interest</w:t>
            </w:r>
          </w:p>
        </w:tc>
        <w:tc>
          <w:tcPr>
            <w:tcW w:w="100" w:type="dxa"/>
            <w:vAlign w:val="bottom"/>
          </w:tcPr>
          <w:p>
            <w:pPr>
              <w:spacing w:after="0"/>
              <w:rPr>
                <w:sz w:val="20"/>
                <w:szCs w:val="20"/>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10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4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Grant Grove CLO, Ltd.</w:t>
            </w:r>
            <w:r>
              <w:rPr>
                <w:rFonts w:ascii="Arial" w:cs="Arial" w:eastAsia="Arial" w:hAnsi="Arial"/>
                <w:sz w:val="28"/>
                <w:szCs w:val="28"/>
                <w:color w:val="auto"/>
                <w:vertAlign w:val="superscript"/>
              </w:rPr>
              <w:t>3</w:t>
            </w:r>
          </w:p>
        </w:tc>
        <w:tc>
          <w:tcPr>
            <w:tcW w:w="100" w:type="dxa"/>
            <w:vAlign w:val="bottom"/>
            <w:shd w:val="clear" w:color="auto" w:fill="CCEEFF"/>
          </w:tcPr>
          <w:p>
            <w:pPr>
              <w:spacing w:after="0"/>
              <w:rPr>
                <w:sz w:val="21"/>
                <w:szCs w:val="21"/>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Subordinated Securities</w:t>
            </w:r>
          </w:p>
        </w:tc>
        <w:tc>
          <w:tcPr>
            <w:tcW w:w="10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4,692,020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587,616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40" w:type="dxa"/>
            <w:vAlign w:val="bottom"/>
          </w:tcPr>
          <w:p>
            <w:pPr>
              <w:spacing w:after="0" w:line="256" w:lineRule="exact"/>
              <w:rPr>
                <w:sz w:val="20"/>
                <w:szCs w:val="20"/>
                <w:color w:val="auto"/>
              </w:rPr>
            </w:pPr>
            <w:r>
              <w:rPr>
                <w:rFonts w:ascii="Arial" w:cs="Arial" w:eastAsia="Arial" w:hAnsi="Arial"/>
                <w:sz w:val="18"/>
                <w:szCs w:val="18"/>
                <w:color w:val="auto"/>
              </w:rPr>
              <w:t>Katonah III, Ltd.</w:t>
            </w:r>
            <w:r>
              <w:rPr>
                <w:rFonts w:ascii="Arial" w:cs="Arial" w:eastAsia="Arial" w:hAnsi="Arial"/>
                <w:sz w:val="29"/>
                <w:szCs w:val="29"/>
                <w:color w:val="auto"/>
                <w:vertAlign w:val="superscript"/>
              </w:rPr>
              <w:t>3, 10</w:t>
            </w:r>
          </w:p>
        </w:tc>
        <w:tc>
          <w:tcPr>
            <w:tcW w:w="3940" w:type="dxa"/>
            <w:vAlign w:val="bottom"/>
            <w:gridSpan w:val="3"/>
          </w:tcPr>
          <w:p>
            <w:pPr>
              <w:ind w:left="100"/>
              <w:spacing w:after="0"/>
              <w:rPr>
                <w:sz w:val="20"/>
                <w:szCs w:val="20"/>
                <w:color w:val="auto"/>
              </w:rPr>
            </w:pPr>
            <w:r>
              <w:rPr>
                <w:rFonts w:ascii="Arial" w:cs="Arial" w:eastAsia="Arial" w:hAnsi="Arial"/>
                <w:sz w:val="18"/>
                <w:szCs w:val="18"/>
                <w:color w:val="auto"/>
              </w:rPr>
              <w:t>Preferred Shares</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1,389,491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Katonah VII CLO Ltd.</w:t>
            </w:r>
            <w:r>
              <w:rPr>
                <w:rFonts w:ascii="Arial" w:cs="Arial" w:eastAsia="Arial" w:hAnsi="Arial"/>
                <w:sz w:val="29"/>
                <w:szCs w:val="29"/>
                <w:color w:val="auto"/>
                <w:vertAlign w:val="superscript"/>
              </w:rPr>
              <w:t>3, 6</w:t>
            </w:r>
          </w:p>
        </w:tc>
        <w:tc>
          <w:tcPr>
            <w:tcW w:w="3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Subordinated Securities</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4,459,693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1,545,351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40" w:type="dxa"/>
            <w:vAlign w:val="bottom"/>
          </w:tcPr>
          <w:p>
            <w:pPr>
              <w:spacing w:after="0" w:line="256" w:lineRule="exact"/>
              <w:rPr>
                <w:sz w:val="20"/>
                <w:szCs w:val="20"/>
                <w:color w:val="auto"/>
              </w:rPr>
            </w:pPr>
            <w:r>
              <w:rPr>
                <w:rFonts w:ascii="Arial" w:cs="Arial" w:eastAsia="Arial" w:hAnsi="Arial"/>
                <w:sz w:val="18"/>
                <w:szCs w:val="18"/>
                <w:color w:val="auto"/>
              </w:rPr>
              <w:t>Katonah VIII CLO Ltd</w:t>
            </w:r>
            <w:r>
              <w:rPr>
                <w:rFonts w:ascii="Arial" w:cs="Arial" w:eastAsia="Arial" w:hAnsi="Arial"/>
                <w:sz w:val="29"/>
                <w:szCs w:val="29"/>
                <w:color w:val="auto"/>
                <w:vertAlign w:val="superscript"/>
              </w:rPr>
              <w:t>3, 6</w:t>
            </w:r>
          </w:p>
        </w:tc>
        <w:tc>
          <w:tcPr>
            <w:tcW w:w="3940" w:type="dxa"/>
            <w:vAlign w:val="bottom"/>
            <w:gridSpan w:val="3"/>
          </w:tcPr>
          <w:p>
            <w:pPr>
              <w:ind w:left="100"/>
              <w:spacing w:after="0"/>
              <w:rPr>
                <w:sz w:val="20"/>
                <w:szCs w:val="20"/>
                <w:color w:val="auto"/>
              </w:rPr>
            </w:pPr>
            <w:r>
              <w:rPr>
                <w:rFonts w:ascii="Arial" w:cs="Arial" w:eastAsia="Arial" w:hAnsi="Arial"/>
                <w:sz w:val="18"/>
                <w:szCs w:val="18"/>
                <w:color w:val="auto"/>
              </w:rPr>
              <w:t>Subordinated Securities</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3,355,905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1,421,182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Katonah IX CLO Ltd</w:t>
            </w:r>
            <w:r>
              <w:rPr>
                <w:rFonts w:ascii="Arial" w:cs="Arial" w:eastAsia="Arial" w:hAnsi="Arial"/>
                <w:sz w:val="29"/>
                <w:szCs w:val="29"/>
                <w:color w:val="auto"/>
                <w:vertAlign w:val="superscript"/>
              </w:rPr>
              <w:t>3, 6</w:t>
            </w:r>
          </w:p>
        </w:tc>
        <w:tc>
          <w:tcPr>
            <w:tcW w:w="3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2,003,887</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764,171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40" w:type="dxa"/>
            <w:vAlign w:val="bottom"/>
          </w:tcPr>
          <w:p>
            <w:pPr>
              <w:spacing w:after="0" w:line="256" w:lineRule="exact"/>
              <w:rPr>
                <w:sz w:val="20"/>
                <w:szCs w:val="20"/>
                <w:color w:val="auto"/>
              </w:rPr>
            </w:pPr>
            <w:r>
              <w:rPr>
                <w:rFonts w:ascii="Arial" w:cs="Arial" w:eastAsia="Arial" w:hAnsi="Arial"/>
                <w:sz w:val="18"/>
                <w:szCs w:val="18"/>
                <w:color w:val="auto"/>
              </w:rPr>
              <w:t xml:space="preserve">Katonah X CLO Ltd </w:t>
            </w:r>
            <w:r>
              <w:rPr>
                <w:rFonts w:ascii="Arial" w:cs="Arial" w:eastAsia="Arial" w:hAnsi="Arial"/>
                <w:sz w:val="29"/>
                <w:szCs w:val="29"/>
                <w:color w:val="auto"/>
                <w:vertAlign w:val="superscript"/>
              </w:rPr>
              <w:t>3, 6</w:t>
            </w:r>
          </w:p>
        </w:tc>
        <w:tc>
          <w:tcPr>
            <w:tcW w:w="3940" w:type="dxa"/>
            <w:vAlign w:val="bottom"/>
            <w:gridSpan w:val="3"/>
          </w:tcPr>
          <w:p>
            <w:pPr>
              <w:ind w:left="100"/>
              <w:spacing w:after="0"/>
              <w:rPr>
                <w:sz w:val="20"/>
                <w:szCs w:val="20"/>
                <w:color w:val="auto"/>
              </w:rPr>
            </w:pPr>
            <w:r>
              <w:rPr>
                <w:rFonts w:ascii="Arial" w:cs="Arial" w:eastAsia="Arial" w:hAnsi="Arial"/>
                <w:sz w:val="18"/>
                <w:szCs w:val="18"/>
                <w:color w:val="auto"/>
              </w:rPr>
              <w:t>Subordinated Securities</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11,730,298</w:t>
            </w:r>
          </w:p>
        </w:tc>
        <w:tc>
          <w:tcPr>
            <w:tcW w:w="1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5,686,512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Katonah 2007-I CLO Ltd.</w:t>
            </w:r>
            <w:r>
              <w:rPr>
                <w:rFonts w:ascii="Arial" w:cs="Arial" w:eastAsia="Arial" w:hAnsi="Arial"/>
                <w:sz w:val="29"/>
                <w:szCs w:val="29"/>
                <w:color w:val="auto"/>
                <w:vertAlign w:val="superscript"/>
              </w:rPr>
              <w:t>3, 6</w:t>
            </w:r>
          </w:p>
        </w:tc>
        <w:tc>
          <w:tcPr>
            <w:tcW w:w="3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30,998,097</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26,910,841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40" w:type="dxa"/>
            <w:vAlign w:val="bottom"/>
          </w:tcPr>
          <w:p>
            <w:pPr>
              <w:spacing w:after="0" w:line="256" w:lineRule="exact"/>
              <w:rPr>
                <w:sz w:val="20"/>
                <w:szCs w:val="20"/>
                <w:color w:val="auto"/>
              </w:rPr>
            </w:pPr>
            <w:r>
              <w:rPr>
                <w:rFonts w:ascii="Arial" w:cs="Arial" w:eastAsia="Arial" w:hAnsi="Arial"/>
                <w:sz w:val="18"/>
                <w:szCs w:val="18"/>
                <w:color w:val="auto"/>
              </w:rPr>
              <w:t>Trimaran CLO IV, Ltd.</w:t>
            </w:r>
            <w:r>
              <w:rPr>
                <w:rFonts w:ascii="Arial" w:cs="Arial" w:eastAsia="Arial" w:hAnsi="Arial"/>
                <w:sz w:val="29"/>
                <w:szCs w:val="29"/>
                <w:color w:val="auto"/>
                <w:vertAlign w:val="superscript"/>
              </w:rPr>
              <w:t>3, 6</w:t>
            </w:r>
          </w:p>
        </w:tc>
        <w:tc>
          <w:tcPr>
            <w:tcW w:w="3940" w:type="dxa"/>
            <w:vAlign w:val="bottom"/>
            <w:gridSpan w:val="3"/>
          </w:tcPr>
          <w:p>
            <w:pPr>
              <w:ind w:left="100"/>
              <w:spacing w:after="0"/>
              <w:rPr>
                <w:sz w:val="20"/>
                <w:szCs w:val="20"/>
                <w:color w:val="auto"/>
              </w:rPr>
            </w:pPr>
            <w:r>
              <w:rPr>
                <w:rFonts w:ascii="Arial" w:cs="Arial" w:eastAsia="Arial" w:hAnsi="Arial"/>
                <w:sz w:val="18"/>
                <w:szCs w:val="18"/>
                <w:color w:val="auto"/>
              </w:rPr>
              <w:t>Preferred Shares</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3,519,000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2,675,973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Trimaran CLO V, Ltd.</w:t>
            </w:r>
            <w:r>
              <w:rPr>
                <w:rFonts w:ascii="Arial" w:cs="Arial" w:eastAsia="Arial" w:hAnsi="Arial"/>
                <w:sz w:val="29"/>
                <w:szCs w:val="29"/>
                <w:color w:val="auto"/>
                <w:vertAlign w:val="superscript"/>
              </w:rPr>
              <w:t>3, 6</w:t>
            </w:r>
          </w:p>
        </w:tc>
        <w:tc>
          <w:tcPr>
            <w:tcW w:w="3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Subordinate Notes</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2,711,900</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1,839,198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40" w:type="dxa"/>
            <w:vAlign w:val="bottom"/>
          </w:tcPr>
          <w:p>
            <w:pPr>
              <w:spacing w:after="0" w:line="256" w:lineRule="exact"/>
              <w:rPr>
                <w:sz w:val="20"/>
                <w:szCs w:val="20"/>
                <w:color w:val="auto"/>
              </w:rPr>
            </w:pPr>
            <w:r>
              <w:rPr>
                <w:rFonts w:ascii="Arial" w:cs="Arial" w:eastAsia="Arial" w:hAnsi="Arial"/>
                <w:sz w:val="18"/>
                <w:szCs w:val="18"/>
                <w:color w:val="auto"/>
              </w:rPr>
              <w:t>Trimaran CLO VI, Ltd.</w:t>
            </w:r>
            <w:r>
              <w:rPr>
                <w:rFonts w:ascii="Arial" w:cs="Arial" w:eastAsia="Arial" w:hAnsi="Arial"/>
                <w:sz w:val="29"/>
                <w:szCs w:val="29"/>
                <w:color w:val="auto"/>
                <w:vertAlign w:val="superscript"/>
              </w:rPr>
              <w:t>3, 6</w:t>
            </w:r>
          </w:p>
        </w:tc>
        <w:tc>
          <w:tcPr>
            <w:tcW w:w="3940" w:type="dxa"/>
            <w:vAlign w:val="bottom"/>
            <w:gridSpan w:val="3"/>
          </w:tcPr>
          <w:p>
            <w:pPr>
              <w:ind w:left="100"/>
              <w:spacing w:after="0"/>
              <w:rPr>
                <w:sz w:val="20"/>
                <w:szCs w:val="20"/>
                <w:color w:val="auto"/>
              </w:rPr>
            </w:pPr>
            <w:r>
              <w:rPr>
                <w:rFonts w:ascii="Arial" w:cs="Arial" w:eastAsia="Arial" w:hAnsi="Arial"/>
                <w:sz w:val="18"/>
                <w:szCs w:val="18"/>
                <w:color w:val="auto"/>
              </w:rPr>
              <w:t>Income Notes</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2,750,300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1,988,588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Trimaran CLO VII, Ltd.</w:t>
            </w:r>
            <w:r>
              <w:rPr>
                <w:rFonts w:ascii="Arial" w:cs="Arial" w:eastAsia="Arial" w:hAnsi="Arial"/>
                <w:sz w:val="29"/>
                <w:szCs w:val="29"/>
                <w:color w:val="auto"/>
                <w:vertAlign w:val="superscript"/>
              </w:rPr>
              <w:t>3, 6</w:t>
            </w:r>
          </w:p>
        </w:tc>
        <w:tc>
          <w:tcPr>
            <w:tcW w:w="3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Income Notes</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3,130,200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2,293,124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40" w:type="dxa"/>
            <w:vAlign w:val="bottom"/>
          </w:tcPr>
          <w:p>
            <w:pPr>
              <w:spacing w:after="0" w:line="256" w:lineRule="exact"/>
              <w:rPr>
                <w:sz w:val="20"/>
                <w:szCs w:val="20"/>
                <w:color w:val="auto"/>
              </w:rPr>
            </w:pPr>
            <w:r>
              <w:rPr>
                <w:rFonts w:ascii="Arial" w:cs="Arial" w:eastAsia="Arial" w:hAnsi="Arial"/>
                <w:sz w:val="18"/>
                <w:szCs w:val="18"/>
                <w:color w:val="auto"/>
              </w:rPr>
              <w:t>Catamaran CLO 2012-1 Ltd.</w:t>
            </w:r>
            <w:r>
              <w:rPr>
                <w:rFonts w:ascii="Arial" w:cs="Arial" w:eastAsia="Arial" w:hAnsi="Arial"/>
                <w:sz w:val="29"/>
                <w:szCs w:val="29"/>
                <w:color w:val="auto"/>
                <w:vertAlign w:val="superscript"/>
              </w:rPr>
              <w:t>3, 6</w:t>
            </w:r>
          </w:p>
        </w:tc>
        <w:tc>
          <w:tcPr>
            <w:tcW w:w="3940" w:type="dxa"/>
            <w:vAlign w:val="bottom"/>
            <w:gridSpan w:val="3"/>
          </w:tcPr>
          <w:p>
            <w:pPr>
              <w:ind w:left="100"/>
              <w:spacing w:after="0"/>
              <w:rPr>
                <w:sz w:val="20"/>
                <w:szCs w:val="20"/>
                <w:color w:val="auto"/>
              </w:rPr>
            </w:pPr>
            <w:r>
              <w:rPr>
                <w:rFonts w:ascii="Arial" w:cs="Arial" w:eastAsia="Arial" w:hAnsi="Arial"/>
                <w:sz w:val="18"/>
                <w:szCs w:val="18"/>
                <w:color w:val="auto"/>
              </w:rPr>
              <w:t>Subordinated Notes</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8,978,100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6,409,086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Catamaran CLO 2013- 1 Ltd.</w:t>
            </w:r>
            <w:r>
              <w:rPr>
                <w:rFonts w:ascii="Arial" w:cs="Arial" w:eastAsia="Arial" w:hAnsi="Arial"/>
                <w:sz w:val="29"/>
                <w:szCs w:val="29"/>
                <w:color w:val="auto"/>
                <w:vertAlign w:val="superscript"/>
              </w:rPr>
              <w:t>3, 6</w:t>
            </w:r>
          </w:p>
        </w:tc>
        <w:tc>
          <w:tcPr>
            <w:tcW w:w="3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Subordinated Notes</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9,366,900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8,235,900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40" w:type="dxa"/>
            <w:vAlign w:val="bottom"/>
          </w:tcPr>
          <w:p>
            <w:pPr>
              <w:spacing w:after="0" w:line="256" w:lineRule="exact"/>
              <w:rPr>
                <w:sz w:val="20"/>
                <w:szCs w:val="20"/>
                <w:color w:val="auto"/>
              </w:rPr>
            </w:pPr>
            <w:r>
              <w:rPr>
                <w:rFonts w:ascii="Arial" w:cs="Arial" w:eastAsia="Arial" w:hAnsi="Arial"/>
                <w:sz w:val="18"/>
                <w:szCs w:val="18"/>
                <w:color w:val="auto"/>
              </w:rPr>
              <w:t>Catamaran CLO 2014-1 Ltd.</w:t>
            </w:r>
            <w:r>
              <w:rPr>
                <w:rFonts w:ascii="Arial" w:cs="Arial" w:eastAsia="Arial" w:hAnsi="Arial"/>
                <w:sz w:val="29"/>
                <w:szCs w:val="29"/>
                <w:color w:val="auto"/>
                <w:vertAlign w:val="superscript"/>
              </w:rPr>
              <w:t>3, 6</w:t>
            </w:r>
          </w:p>
        </w:tc>
        <w:tc>
          <w:tcPr>
            <w:tcW w:w="3940" w:type="dxa"/>
            <w:vAlign w:val="bottom"/>
            <w:gridSpan w:val="3"/>
          </w:tcPr>
          <w:p>
            <w:pPr>
              <w:ind w:left="100"/>
              <w:spacing w:after="0"/>
              <w:rPr>
                <w:sz w:val="20"/>
                <w:szCs w:val="20"/>
                <w:color w:val="auto"/>
              </w:rPr>
            </w:pPr>
            <w:r>
              <w:rPr>
                <w:rFonts w:ascii="Arial" w:cs="Arial" w:eastAsia="Arial" w:hAnsi="Arial"/>
                <w:sz w:val="18"/>
                <w:szCs w:val="18"/>
                <w:color w:val="auto"/>
              </w:rPr>
              <w:t>Subordinated Notes</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12,008,800</w:t>
            </w:r>
          </w:p>
        </w:tc>
        <w:tc>
          <w:tcPr>
            <w:tcW w:w="1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9,683,361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Dryden 30 Senior Loan Fund</w:t>
            </w:r>
            <w:r>
              <w:rPr>
                <w:rFonts w:ascii="Arial" w:cs="Arial" w:eastAsia="Arial" w:hAnsi="Arial"/>
                <w:sz w:val="29"/>
                <w:szCs w:val="29"/>
                <w:color w:val="auto"/>
                <w:vertAlign w:val="superscript"/>
              </w:rPr>
              <w:t>3</w:t>
            </w:r>
          </w:p>
        </w:tc>
        <w:tc>
          <w:tcPr>
            <w:tcW w:w="3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Subordinated Notes</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3,053,800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2,807,350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40" w:type="dxa"/>
            <w:vAlign w:val="bottom"/>
          </w:tcPr>
          <w:p>
            <w:pPr>
              <w:spacing w:after="0" w:line="269" w:lineRule="exact"/>
              <w:rPr>
                <w:sz w:val="20"/>
                <w:szCs w:val="20"/>
                <w:color w:val="auto"/>
              </w:rPr>
            </w:pPr>
            <w:r>
              <w:rPr>
                <w:rFonts w:ascii="Arial" w:cs="Arial" w:eastAsia="Arial" w:hAnsi="Arial"/>
                <w:sz w:val="18"/>
                <w:szCs w:val="18"/>
                <w:color w:val="auto"/>
              </w:rPr>
              <w:t>Catamaran CLO 2014-2 Ltd.</w:t>
            </w:r>
            <w:r>
              <w:rPr>
                <w:rFonts w:ascii="Arial" w:cs="Arial" w:eastAsia="Arial" w:hAnsi="Arial"/>
                <w:sz w:val="30"/>
                <w:szCs w:val="30"/>
                <w:color w:val="auto"/>
                <w:vertAlign w:val="superscript"/>
              </w:rPr>
              <w:t>3, 6</w:t>
            </w:r>
          </w:p>
        </w:tc>
        <w:tc>
          <w:tcPr>
            <w:tcW w:w="3940" w:type="dxa"/>
            <w:vAlign w:val="bottom"/>
            <w:gridSpan w:val="3"/>
          </w:tcPr>
          <w:p>
            <w:pPr>
              <w:ind w:left="100"/>
              <w:spacing w:after="0"/>
              <w:rPr>
                <w:sz w:val="20"/>
                <w:szCs w:val="20"/>
                <w:color w:val="auto"/>
              </w:rPr>
            </w:pPr>
            <w:r>
              <w:rPr>
                <w:rFonts w:ascii="Arial" w:cs="Arial" w:eastAsia="Arial" w:hAnsi="Arial"/>
                <w:sz w:val="18"/>
                <w:szCs w:val="18"/>
                <w:color w:val="auto"/>
              </w:rPr>
              <w:t>Subordinated Notes</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9,971,100</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8,514,000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b w:val="1"/>
                <w:bCs w:val="1"/>
                <w:color w:val="auto"/>
                <w:w w:val="95"/>
              </w:rPr>
              <w:t>Total Investment in CLO Subordinated Securities</w:t>
            </w:r>
          </w:p>
        </w:tc>
        <w:tc>
          <w:tcPr>
            <w:tcW w:w="1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114,119,491</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81,862,253</w:t>
            </w:r>
          </w:p>
        </w:tc>
        <w:tc>
          <w:tcPr>
            <w:tcW w:w="0" w:type="dxa"/>
            <w:vAlign w:val="bottom"/>
          </w:tcPr>
          <w:p>
            <w:pPr>
              <w:spacing w:after="0"/>
              <w:rPr>
                <w:sz w:val="1"/>
                <w:szCs w:val="1"/>
                <w:color w:val="auto"/>
              </w:rPr>
            </w:pPr>
          </w:p>
        </w:tc>
      </w:tr>
      <w:tr>
        <w:trPr>
          <w:trHeight w:val="426"/>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CLO Rated-Note Investment</w:t>
            </w:r>
          </w:p>
        </w:tc>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Catamaran CLO 2012-1 Ltd.</w:t>
      </w:r>
      <w:r>
        <w:rPr>
          <w:rFonts w:ascii="Arial" w:cs="Arial" w:eastAsia="Arial" w:hAnsi="Arial"/>
          <w:sz w:val="30"/>
          <w:szCs w:val="30"/>
          <w:color w:val="auto"/>
          <w:vertAlign w:val="superscript"/>
        </w:rPr>
        <w:t>3, 6</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Catamaran CLO 2014-1 Ltd.</w:t>
      </w:r>
      <w:r>
        <w:rPr>
          <w:rFonts w:ascii="Arial" w:cs="Arial" w:eastAsia="Arial" w:hAnsi="Arial"/>
          <w:sz w:val="30"/>
          <w:szCs w:val="30"/>
          <w:color w:val="auto"/>
          <w:vertAlign w:val="superscript"/>
        </w:rPr>
        <w:t>3, 6</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Investment in CLO Rated-Note</w:t>
      </w:r>
    </w:p>
    <w:p>
      <w:pPr>
        <w:spacing w:after="0" w:line="252" w:lineRule="exact"/>
        <w:rPr>
          <w:sz w:val="20"/>
          <w:szCs w:val="20"/>
          <w:color w:val="auto"/>
        </w:rPr>
      </w:pPr>
    </w:p>
    <w:p>
      <w:pPr>
        <w:ind w:left="180" w:right="260" w:hanging="161"/>
        <w:spacing w:after="0" w:line="347" w:lineRule="auto"/>
        <w:rPr>
          <w:sz w:val="20"/>
          <w:szCs w:val="20"/>
          <w:color w:val="auto"/>
        </w:rPr>
      </w:pPr>
      <w:r>
        <w:rPr>
          <w:rFonts w:ascii="Arial" w:cs="Arial" w:eastAsia="Arial" w:hAnsi="Arial"/>
          <w:sz w:val="16"/>
          <w:szCs w:val="16"/>
          <w:b w:val="1"/>
          <w:bCs w:val="1"/>
          <w:color w:val="auto"/>
        </w:rPr>
        <w:t>Total Investment in CLO Fund Securities (34% of net asset value at fair value)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w w:val="88"/>
              </w:rPr>
              <w:t>Percentage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0"/>
              </w:rPr>
              <w:t>Fair Value</w:t>
            </w:r>
            <w:r>
              <w:rPr>
                <w:rFonts w:ascii="Arial" w:cs="Arial" w:eastAsia="Arial" w:hAnsi="Arial"/>
                <w:sz w:val="30"/>
                <w:szCs w:val="30"/>
                <w:color w:val="auto"/>
                <w:w w:val="90"/>
                <w:vertAlign w:val="superscript"/>
              </w:rPr>
              <w:t>2</w:t>
            </w:r>
          </w:p>
        </w:tc>
        <w:tc>
          <w:tcPr>
            <w:tcW w:w="0" w:type="dxa"/>
            <w:vAlign w:val="bottom"/>
          </w:tcPr>
          <w:p>
            <w:pPr>
              <w:spacing w:after="0"/>
              <w:rPr>
                <w:sz w:val="1"/>
                <w:szCs w:val="1"/>
                <w:color w:val="auto"/>
              </w:rPr>
            </w:pPr>
          </w:p>
        </w:tc>
      </w:tr>
      <w:tr>
        <w:trPr>
          <w:trHeight w:val="234"/>
        </w:trPr>
        <w:tc>
          <w:tcPr>
            <w:tcW w:w="382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128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Interest</w:t>
            </w:r>
          </w:p>
        </w:tc>
        <w:tc>
          <w:tcPr>
            <w:tcW w:w="11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9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Float - 12/2023 - F - 14889CAE0</w:t>
            </w: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Arial" w:cs="Arial" w:eastAsia="Arial" w:hAnsi="Arial"/>
                <w:sz w:val="18"/>
                <w:szCs w:val="18"/>
                <w:color w:val="auto"/>
              </w:rPr>
              <w:t>Par Value of $4,500,000</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Arial" w:cs="Arial" w:eastAsia="Arial" w:hAnsi="Arial"/>
                <w:sz w:val="18"/>
                <w:szCs w:val="18"/>
                <w:color w:val="auto"/>
              </w:rPr>
              <w:t>Due 12/23</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42.9%  $</w:t>
            </w:r>
          </w:p>
        </w:tc>
        <w:tc>
          <w:tcPr>
            <w:tcW w:w="920" w:type="dxa"/>
            <w:vAlign w:val="bottom"/>
          </w:tcPr>
          <w:p>
            <w:pPr>
              <w:jc w:val="right"/>
              <w:spacing w:after="0"/>
              <w:rPr>
                <w:sz w:val="20"/>
                <w:szCs w:val="20"/>
                <w:color w:val="auto"/>
              </w:rPr>
            </w:pPr>
            <w:r>
              <w:rPr>
                <w:rFonts w:ascii="Arial" w:cs="Arial" w:eastAsia="Arial" w:hAnsi="Arial"/>
                <w:sz w:val="18"/>
                <w:szCs w:val="18"/>
                <w:color w:val="auto"/>
              </w:rPr>
              <w:t>3,900,026</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4,210,000</w:t>
            </w: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Arial" w:cs="Arial" w:eastAsia="Arial" w:hAnsi="Arial"/>
                <w:sz w:val="18"/>
                <w:szCs w:val="18"/>
                <w:color w:val="auto"/>
              </w:rPr>
              <w:t>Float - 04/2026 - E - 14889FAC7</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Arial" w:cs="Arial" w:eastAsia="Arial" w:hAnsi="Arial"/>
                <w:sz w:val="18"/>
                <w:szCs w:val="18"/>
                <w:color w:val="auto"/>
              </w:rPr>
              <w:t>Par Value of $1,525,000</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820" w:type="dxa"/>
            <w:vAlign w:val="bottom"/>
            <w:gridSpan w:val="3"/>
          </w:tcPr>
          <w:p>
            <w:pPr>
              <w:spacing w:after="0"/>
              <w:rPr>
                <w:sz w:val="20"/>
                <w:szCs w:val="20"/>
                <w:color w:val="auto"/>
              </w:rPr>
            </w:pPr>
            <w:r>
              <w:rPr>
                <w:rFonts w:ascii="Arial" w:cs="Arial" w:eastAsia="Arial" w:hAnsi="Arial"/>
                <w:sz w:val="18"/>
                <w:szCs w:val="18"/>
                <w:color w:val="auto"/>
              </w:rPr>
              <w:t>Due 4/26</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1,433,565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1,310,000</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5,333,591</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5,520,000</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119,453,082</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87,382,253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-728345</wp:posOffset>
            </wp:positionV>
            <wp:extent cx="72466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-436880</wp:posOffset>
            </wp:positionV>
            <wp:extent cx="72466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-1568450</wp:posOffset>
            </wp:positionV>
            <wp:extent cx="7246620" cy="420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254" w:lineRule="exact"/>
        <w:rPr>
          <w:sz w:val="20"/>
          <w:szCs w:val="20"/>
          <w:color w:val="auto"/>
        </w:rPr>
      </w:pPr>
    </w:p>
    <w:p>
      <w:pPr>
        <w:sectPr>
          <w:pgSz w:w="11900" w:h="16838" w:orient="portrait"/>
          <w:cols w:equalWidth="0" w:num="2">
            <w:col w:w="3440" w:space="720"/>
            <w:col w:w="7260"/>
          </w:cols>
          <w:pgMar w:left="240" w:top="877" w:right="239" w:bottom="1440" w:gutter="0" w:footer="0" w:header="0"/>
          <w:type w:val="continuous"/>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Asset Manager Affiliates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4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Asset Manager Affiliates</w:t>
            </w:r>
            <w:r>
              <w:rPr>
                <w:rFonts w:ascii="Arial" w:cs="Arial" w:eastAsia="Arial" w:hAnsi="Arial"/>
                <w:sz w:val="30"/>
                <w:szCs w:val="30"/>
                <w:color w:val="auto"/>
                <w:vertAlign w:val="superscript"/>
              </w:rPr>
              <w:t>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Asset Management Company</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40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 in Asset Manager Affiliates</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(30% of net asset value at fair value)</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Time Deposits and Money Market Account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Time Deposit and Money Market Accounts</w:t>
            </w:r>
          </w:p>
        </w:tc>
        <w:tc>
          <w:tcPr>
            <w:tcW w:w="60" w:type="dxa"/>
            <w:vAlign w:val="bottom"/>
          </w:tcPr>
          <w:p>
            <w:pPr>
              <w:spacing w:after="0"/>
              <w:rPr>
                <w:sz w:val="24"/>
                <w:szCs w:val="24"/>
                <w:color w:val="auto"/>
              </w:rPr>
            </w:pPr>
          </w:p>
        </w:tc>
        <w:tc>
          <w:tcPr>
            <w:tcW w:w="380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60" w:type="dxa"/>
            <w:vAlign w:val="bottom"/>
            <w:tcBorders>
              <w:top w:val="single" w:sz="8" w:color="auto"/>
            </w:tcBorders>
          </w:tcPr>
          <w:p>
            <w:pPr>
              <w:spacing w:after="0" w:line="236" w:lineRule="exact"/>
              <w:rPr>
                <w:sz w:val="20"/>
                <w:szCs w:val="20"/>
                <w:color w:val="auto"/>
              </w:rPr>
            </w:pPr>
            <w:r>
              <w:rPr>
                <w:rFonts w:ascii="Arial" w:cs="Arial" w:eastAsia="Arial" w:hAnsi="Arial"/>
                <w:sz w:val="17"/>
                <w:szCs w:val="17"/>
                <w:color w:val="auto"/>
              </w:rPr>
              <w:t>JP Morgan Business Money Market Account</w:t>
            </w:r>
            <w:r>
              <w:rPr>
                <w:rFonts w:ascii="Arial" w:cs="Arial" w:eastAsia="Arial" w:hAnsi="Arial"/>
                <w:sz w:val="27"/>
                <w:szCs w:val="27"/>
                <w:color w:val="auto"/>
                <w:vertAlign w:val="superscript"/>
              </w:rPr>
              <w:t>8, 9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Money Market Account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4120" w:type="dxa"/>
            <w:vAlign w:val="bottom"/>
            <w:gridSpan w:val="3"/>
          </w:tcPr>
          <w:p>
            <w:pPr>
              <w:spacing w:after="0"/>
              <w:rPr>
                <w:sz w:val="20"/>
                <w:szCs w:val="20"/>
                <w:color w:val="auto"/>
              </w:rPr>
            </w:pPr>
            <w:r>
              <w:rPr>
                <w:rFonts w:ascii="Arial" w:cs="Arial" w:eastAsia="Arial" w:hAnsi="Arial"/>
                <w:sz w:val="18"/>
                <w:szCs w:val="18"/>
                <w:color w:val="auto"/>
              </w:rPr>
              <w:t>US Bank Money Market Account</w:t>
            </w:r>
            <w:r>
              <w:rPr>
                <w:rFonts w:ascii="Arial" w:cs="Arial" w:eastAsia="Arial" w:hAnsi="Arial"/>
                <w:sz w:val="30"/>
                <w:szCs w:val="30"/>
                <w:color w:val="auto"/>
                <w:vertAlign w:val="superscript"/>
              </w:rPr>
              <w:t>9</w:t>
            </w:r>
          </w:p>
        </w:tc>
        <w:tc>
          <w:tcPr>
            <w:tcW w:w="60" w:type="dxa"/>
            <w:vAlign w:val="bottom"/>
          </w:tcPr>
          <w:p>
            <w:pPr>
              <w:spacing w:after="0"/>
              <w:rPr>
                <w:sz w:val="24"/>
                <w:szCs w:val="24"/>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Money Market Account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-1586865</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-1278255</wp:posOffset>
            </wp:positionV>
            <wp:extent cx="72466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-412115</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Investment in Time Deposit and Money Market Accounts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(0% of net asset value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Percentage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0"/>
              </w:rPr>
              <w:t>Fair Value</w:t>
            </w:r>
            <w:r>
              <w:rPr>
                <w:rFonts w:ascii="Arial" w:cs="Arial" w:eastAsia="Arial" w:hAnsi="Arial"/>
                <w:sz w:val="30"/>
                <w:szCs w:val="30"/>
                <w:color w:val="auto"/>
                <w:w w:val="90"/>
                <w:vertAlign w:val="superscript"/>
              </w:rPr>
              <w:t>2</w:t>
            </w: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Interest</w:t>
            </w:r>
          </w:p>
        </w:tc>
        <w:tc>
          <w:tcPr>
            <w:tcW w:w="28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100.0%</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$ 83,924,720</w:t>
            </w:r>
          </w:p>
        </w:tc>
        <w:tc>
          <w:tcPr>
            <w:tcW w:w="1020" w:type="dxa"/>
            <w:vAlign w:val="bottom"/>
            <w:gridSpan w:val="2"/>
          </w:tcPr>
          <w:p>
            <w:pPr>
              <w:spacing w:after="0"/>
              <w:rPr>
                <w:sz w:val="20"/>
                <w:szCs w:val="20"/>
                <w:color w:val="auto"/>
              </w:rPr>
            </w:pPr>
            <w:r>
              <w:rPr>
                <w:rFonts w:ascii="Arial" w:cs="Arial" w:eastAsia="Arial" w:hAnsi="Arial"/>
                <w:sz w:val="18"/>
                <w:szCs w:val="18"/>
                <w:color w:val="auto"/>
                <w:w w:val="95"/>
              </w:rPr>
              <w:t>$ 78,737,000</w:t>
            </w:r>
          </w:p>
        </w:tc>
        <w:tc>
          <w:tcPr>
            <w:tcW w:w="0" w:type="dxa"/>
            <w:vAlign w:val="bottom"/>
          </w:tcPr>
          <w:p>
            <w:pPr>
              <w:spacing w:after="0"/>
              <w:rPr>
                <w:sz w:val="1"/>
                <w:szCs w:val="1"/>
                <w:color w:val="auto"/>
              </w:rPr>
            </w:pPr>
          </w:p>
        </w:tc>
      </w:tr>
      <w:tr>
        <w:trPr>
          <w:trHeight w:val="446"/>
        </w:trPr>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83,924,720</w:t>
            </w:r>
          </w:p>
        </w:tc>
        <w:tc>
          <w:tcPr>
            <w:tcW w:w="1020" w:type="dxa"/>
            <w:vAlign w:val="bottom"/>
            <w:gridSpan w:val="2"/>
          </w:tcPr>
          <w:p>
            <w:pPr>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78,737,000</w:t>
            </w:r>
          </w:p>
        </w:tc>
        <w:tc>
          <w:tcPr>
            <w:tcW w:w="0" w:type="dxa"/>
            <w:vAlign w:val="bottom"/>
          </w:tcPr>
          <w:p>
            <w:pPr>
              <w:spacing w:after="0"/>
              <w:rPr>
                <w:sz w:val="1"/>
                <w:szCs w:val="1"/>
                <w:color w:val="auto"/>
              </w:rPr>
            </w:pPr>
          </w:p>
        </w:tc>
      </w:tr>
      <w:tr>
        <w:trPr>
          <w:trHeight w:val="210"/>
        </w:trPr>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tbl>
      <w:tblPr>
        <w:tblLayout w:type="fixed"/>
        <w:tblInd w:w="180" w:type="dxa"/>
        <w:tblCellMar>
          <w:top w:w="0" w:type="dxa"/>
          <w:left w:w="0" w:type="dxa"/>
          <w:bottom w:w="0" w:type="dxa"/>
          <w:right w:w="0" w:type="dxa"/>
        </w:tblCellMar>
      </w:tblPr>
      <w:tr>
        <w:trPr>
          <w:trHeight w:val="345"/>
        </w:trPr>
        <w:tc>
          <w:tcPr>
            <w:tcW w:w="860" w:type="dxa"/>
            <w:vAlign w:val="bottom"/>
          </w:tcPr>
          <w:p>
            <w:pPr>
              <w:jc w:val="right"/>
              <w:ind w:right="370"/>
              <w:spacing w:after="0"/>
              <w:rPr>
                <w:sz w:val="20"/>
                <w:szCs w:val="20"/>
                <w:color w:val="auto"/>
              </w:rPr>
            </w:pPr>
            <w:r>
              <w:rPr>
                <w:rFonts w:ascii="Arial" w:cs="Arial" w:eastAsia="Arial" w:hAnsi="Arial"/>
                <w:sz w:val="18"/>
                <w:szCs w:val="18"/>
                <w:b w:val="1"/>
                <w:bCs w:val="1"/>
                <w:color w:val="auto"/>
                <w:w w:val="88"/>
              </w:rPr>
              <w:t>Yield</w:t>
            </w: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Par / Cost</w:t>
            </w:r>
          </w:p>
        </w:tc>
        <w:tc>
          <w:tcPr>
            <w:tcW w:w="220" w:type="dxa"/>
            <w:vAlign w:val="bottom"/>
          </w:tcPr>
          <w:p>
            <w:pPr>
              <w:spacing w:after="0"/>
              <w:rPr>
                <w:sz w:val="24"/>
                <w:szCs w:val="2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color w:val="auto"/>
                <w:w w:val="94"/>
                <w:vertAlign w:val="superscript"/>
              </w:rPr>
              <w:t>2</w:t>
            </w:r>
          </w:p>
        </w:tc>
      </w:tr>
      <w:tr>
        <w:trPr>
          <w:trHeight w:val="250"/>
        </w:trPr>
        <w:tc>
          <w:tcPr>
            <w:tcW w:w="860" w:type="dxa"/>
            <w:vAlign w:val="bottom"/>
          </w:tcPr>
          <w:p>
            <w:pPr>
              <w:jc w:val="right"/>
              <w:spacing w:after="0"/>
              <w:rPr>
                <w:sz w:val="20"/>
                <w:szCs w:val="20"/>
                <w:color w:val="auto"/>
              </w:rPr>
            </w:pPr>
            <w:r>
              <w:rPr>
                <w:rFonts w:ascii="Arial" w:cs="Arial" w:eastAsia="Arial" w:hAnsi="Arial"/>
                <w:sz w:val="18"/>
                <w:szCs w:val="18"/>
                <w:color w:val="auto"/>
              </w:rPr>
              <w:t>0.10%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249,043</w:t>
            </w: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249,043</w:t>
            </w:r>
          </w:p>
        </w:tc>
      </w:tr>
      <w:tr>
        <w:trPr>
          <w:trHeight w:val="257"/>
        </w:trPr>
        <w:tc>
          <w:tcPr>
            <w:tcW w:w="860" w:type="dxa"/>
            <w:vAlign w:val="bottom"/>
          </w:tcPr>
          <w:p>
            <w:pPr>
              <w:jc w:val="right"/>
              <w:spacing w:after="0"/>
              <w:rPr>
                <w:sz w:val="20"/>
                <w:szCs w:val="20"/>
                <w:color w:val="auto"/>
              </w:rPr>
            </w:pPr>
            <w:r>
              <w:rPr>
                <w:rFonts w:ascii="Arial" w:cs="Arial" w:eastAsia="Arial" w:hAnsi="Arial"/>
                <w:sz w:val="18"/>
                <w:szCs w:val="18"/>
                <w:color w:val="auto"/>
              </w:rPr>
              <w:t>0.30%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92,651</w:t>
            </w: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92,651</w:t>
            </w:r>
          </w:p>
        </w:tc>
      </w:tr>
      <w:tr>
        <w:trPr>
          <w:trHeight w:val="662"/>
        </w:trPr>
        <w:tc>
          <w:tcPr>
            <w:tcW w:w="860" w:type="dxa"/>
            <w:vAlign w:val="bottom"/>
          </w:tcPr>
          <w:p>
            <w:pPr>
              <w:spacing w:after="0"/>
              <w:rPr>
                <w:sz w:val="24"/>
                <w:szCs w:val="2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341,694</w:t>
            </w: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341,694</w:t>
            </w: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109" w:lineRule="exact"/>
        <w:rPr>
          <w:sz w:val="20"/>
          <w:szCs w:val="20"/>
          <w:color w:val="auto"/>
        </w:rPr>
      </w:pPr>
    </w:p>
    <w:p>
      <w:pPr>
        <w:sectPr>
          <w:pgSz w:w="11900" w:h="16838" w:orient="portrait"/>
          <w:cols w:equalWidth="0" w:num="2">
            <w:col w:w="7980" w:space="0"/>
            <w:col w:w="3440"/>
          </w:cols>
          <w:pgMar w:left="240" w:top="877" w:right="239" w:bottom="1440" w:gutter="0" w:footer="0" w:header="0"/>
        </w:sectPr>
      </w:pPr>
    </w:p>
    <w:tbl>
      <w:tblPr>
        <w:tblLayout w:type="fixed"/>
        <w:tblInd w:w="0" w:type="dxa"/>
        <w:tblCellMar>
          <w:top w:w="0" w:type="dxa"/>
          <w:left w:w="0" w:type="dxa"/>
          <w:bottom w:w="0" w:type="dxa"/>
          <w:right w:w="0" w:type="dxa"/>
        </w:tblCellMar>
      </w:tblPr>
      <w:tr>
        <w:trPr>
          <w:trHeight w:val="345"/>
        </w:trPr>
        <w:tc>
          <w:tcPr>
            <w:tcW w:w="6060" w:type="dxa"/>
            <w:vAlign w:val="bottom"/>
          </w:tcPr>
          <w:p>
            <w:pPr>
              <w:spacing w:after="0"/>
              <w:rPr>
                <w:sz w:val="20"/>
                <w:szCs w:val="20"/>
                <w:color w:val="auto"/>
              </w:rPr>
            </w:pPr>
            <w:r>
              <w:rPr>
                <w:rFonts w:ascii="Arial" w:cs="Arial" w:eastAsia="Arial" w:hAnsi="Arial"/>
                <w:sz w:val="18"/>
                <w:szCs w:val="18"/>
                <w:b w:val="1"/>
                <w:bCs w:val="1"/>
                <w:color w:val="auto"/>
              </w:rPr>
              <w:t>Total Investments</w:t>
            </w:r>
            <w:r>
              <w:rPr>
                <w:rFonts w:ascii="Arial" w:cs="Arial" w:eastAsia="Arial" w:hAnsi="Arial"/>
                <w:sz w:val="30"/>
                <w:szCs w:val="30"/>
                <w:color w:val="auto"/>
                <w:vertAlign w:val="superscript"/>
              </w:rPr>
              <w:t>4</w:t>
            </w:r>
          </w:p>
        </w:tc>
        <w:tc>
          <w:tcPr>
            <w:tcW w:w="4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1"/>
        </w:trPr>
        <w:tc>
          <w:tcPr>
            <w:tcW w:w="6060" w:type="dxa"/>
            <w:vAlign w:val="bottom"/>
          </w:tcPr>
          <w:p>
            <w:pPr>
              <w:ind w:left="180"/>
              <w:spacing w:after="0"/>
              <w:rPr>
                <w:sz w:val="20"/>
                <w:szCs w:val="20"/>
                <w:color w:val="auto"/>
              </w:rPr>
            </w:pPr>
            <w:r>
              <w:rPr>
                <w:rFonts w:ascii="Arial" w:cs="Arial" w:eastAsia="Arial" w:hAnsi="Arial"/>
                <w:sz w:val="18"/>
                <w:szCs w:val="18"/>
                <w:b w:val="1"/>
                <w:bCs w:val="1"/>
                <w:color w:val="auto"/>
              </w:rPr>
              <w:t>(171% of net asset value at fair value)</w:t>
            </w:r>
          </w:p>
        </w:tc>
        <w:tc>
          <w:tcPr>
            <w:tcW w:w="4140" w:type="dxa"/>
            <w:vAlign w:val="bottom"/>
          </w:tcPr>
          <w:p>
            <w:pPr>
              <w:jc w:val="right"/>
              <w:ind w:right="30"/>
              <w:spacing w:after="0"/>
              <w:rPr>
                <w:sz w:val="20"/>
                <w:szCs w:val="20"/>
                <w:color w:val="auto"/>
              </w:rPr>
            </w:pPr>
            <w:r>
              <w:rPr>
                <w:rFonts w:ascii="Arial" w:cs="Arial" w:eastAsia="Arial" w:hAnsi="Arial"/>
                <w:sz w:val="18"/>
                <w:szCs w:val="18"/>
                <w:u w:val="single" w:color="auto"/>
                <w:color w:val="auto"/>
              </w:rPr>
              <w:t>$ 486,451,459</w:t>
            </w:r>
          </w:p>
        </w:tc>
        <w:tc>
          <w:tcPr>
            <w:tcW w:w="1120" w:type="dxa"/>
            <w:vAlign w:val="bottom"/>
          </w:tcPr>
          <w:p>
            <w:pPr>
              <w:jc w:val="right"/>
              <w:spacing w:after="0"/>
              <w:rPr>
                <w:sz w:val="20"/>
                <w:szCs w:val="20"/>
                <w:color w:val="auto"/>
              </w:rPr>
            </w:pPr>
            <w:r>
              <w:rPr>
                <w:rFonts w:ascii="Arial" w:cs="Arial" w:eastAsia="Arial" w:hAnsi="Arial"/>
                <w:sz w:val="18"/>
                <w:szCs w:val="18"/>
                <w:u w:val="single" w:color="auto"/>
                <w:color w:val="auto"/>
                <w:w w:val="95"/>
              </w:rPr>
              <w:t>$ 442,415,046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17145</wp:posOffset>
            </wp:positionV>
            <wp:extent cx="14236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229" w:lineRule="exact"/>
        <w:rPr>
          <w:sz w:val="20"/>
          <w:szCs w:val="20"/>
          <w:color w:val="auto"/>
        </w:rPr>
      </w:pPr>
    </w:p>
    <w:p>
      <w:pPr>
        <w:ind w:left="660" w:right="60" w:hanging="652"/>
        <w:spacing w:after="0" w:line="238" w:lineRule="auto"/>
        <w:tabs>
          <w:tab w:leader="none" w:pos="660"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A majority of the variable rate loans to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w:t>
      </w:r>
    </w:p>
    <w:p>
      <w:pPr>
        <w:spacing w:after="0" w:line="1" w:lineRule="exact"/>
        <w:rPr>
          <w:sz w:val="20"/>
          <w:szCs w:val="20"/>
          <w:color w:val="auto"/>
        </w:rPr>
      </w:pPr>
    </w:p>
    <w:p>
      <w:pPr>
        <w:ind w:left="660" w:right="120"/>
        <w:spacing w:after="0" w:line="250" w:lineRule="auto"/>
        <w:rPr>
          <w:sz w:val="20"/>
          <w:szCs w:val="20"/>
          <w:color w:val="auto"/>
        </w:rPr>
      </w:pPr>
      <w:r>
        <w:rPr>
          <w:rFonts w:ascii="Arial" w:cs="Arial" w:eastAsia="Arial" w:hAnsi="Arial"/>
          <w:sz w:val="18"/>
          <w:szCs w:val="18"/>
          <w:color w:val="auto"/>
        </w:rPr>
        <w:t>Company has provided the weighted average annual stated interest rate in effect at September 30, 2014. As noted in the table above, 72% (based on par) of debt securities contain LIBOR floors which range between 0.75% and 3.00%.</w:t>
      </w:r>
    </w:p>
    <w:p>
      <w:pPr>
        <w:ind w:left="660" w:hanging="652"/>
        <w:spacing w:after="0" w:line="181"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Reflects the fair market value of all investments as of September 30, 2014, as determined by the Company’s Board of Directors.</w:t>
      </w:r>
    </w:p>
    <w:p>
      <w:pPr>
        <w:ind w:left="660" w:hanging="652"/>
        <w:spacing w:after="0" w:line="180"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Non-U.S. company or principal place of business outside the U.S.</w:t>
      </w:r>
    </w:p>
    <w:p>
      <w:pPr>
        <w:spacing w:after="0" w:line="2" w:lineRule="exact"/>
        <w:rPr>
          <w:sz w:val="20"/>
          <w:szCs w:val="20"/>
          <w:color w:val="auto"/>
        </w:rPr>
      </w:pPr>
    </w:p>
    <w:p>
      <w:pPr>
        <w:ind w:left="660" w:right="320" w:hanging="652"/>
        <w:spacing w:after="0" w:line="214" w:lineRule="auto"/>
        <w:tabs>
          <w:tab w:leader="none" w:pos="660"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color w:val="auto"/>
        </w:rPr>
        <w:t>The aggregate cost of investments for federal income tax purposes is approximately $486 million. The aggregate gross unrealized appreciation is approximately $7 million, the aggregate gross unrealized depreciation is approximately $51 million, and the net unrealized depreciation is</w:t>
      </w:r>
    </w:p>
    <w:p>
      <w:pPr>
        <w:ind w:left="660"/>
        <w:spacing w:after="0"/>
        <w:rPr>
          <w:sz w:val="20"/>
          <w:szCs w:val="20"/>
          <w:color w:val="auto"/>
        </w:rPr>
      </w:pPr>
      <w:r>
        <w:rPr>
          <w:rFonts w:ascii="Arial" w:cs="Arial" w:eastAsia="Arial" w:hAnsi="Arial"/>
          <w:sz w:val="18"/>
          <w:szCs w:val="18"/>
          <w:color w:val="auto"/>
        </w:rPr>
        <w:t>approximately $44 million.</w:t>
      </w:r>
    </w:p>
    <w:p>
      <w:pPr>
        <w:ind w:left="660" w:hanging="652"/>
        <w:spacing w:after="0" w:line="180" w:lineRule="auto"/>
        <w:tabs>
          <w:tab w:leader="none" w:pos="660"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color w:val="auto"/>
        </w:rPr>
        <w:t>Non-income producing.</w:t>
      </w:r>
    </w:p>
    <w:p>
      <w:pPr>
        <w:ind w:left="660" w:hanging="652"/>
        <w:spacing w:after="0" w:line="181"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An affiliate CLO Fund managed by an Asset Manager Affiliate (as such term is defined in the notes to the consolidated financial statements).</w:t>
      </w:r>
    </w:p>
    <w:p>
      <w:pPr>
        <w:ind w:left="660" w:hanging="652"/>
        <w:spacing w:after="0" w:line="180"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Loan or debt security is on non-accrual status and therefore is considered non-income producing.</w:t>
      </w:r>
    </w:p>
    <w:p>
      <w:pPr>
        <w:ind w:left="660" w:hanging="652"/>
        <w:spacing w:after="0" w:line="180"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Money market account holding restricted cash and security deposits for employee benefit plans.</w:t>
      </w:r>
    </w:p>
    <w:p>
      <w:pPr>
        <w:ind w:left="660" w:hanging="652"/>
        <w:spacing w:after="0" w:line="181"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Qualified asset for purposes of section 55(a) of the Investment Company Act of 1940.</w:t>
      </w:r>
    </w:p>
    <w:p>
      <w:pPr>
        <w:ind w:left="660" w:hanging="652"/>
        <w:spacing w:after="0" w:line="180"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As of September 30, 2014, this CLO Fund Security was not providing a dividend distribution.</w:t>
      </w:r>
    </w:p>
    <w:p>
      <w:pPr>
        <w:spacing w:after="0" w:line="2" w:lineRule="exact"/>
        <w:rPr>
          <w:rFonts w:ascii="Arial" w:cs="Arial" w:eastAsia="Arial" w:hAnsi="Arial"/>
          <w:sz w:val="25"/>
          <w:szCs w:val="25"/>
          <w:color w:val="auto"/>
          <w:vertAlign w:val="superscript"/>
        </w:rPr>
      </w:pPr>
    </w:p>
    <w:p>
      <w:pPr>
        <w:ind w:left="660" w:right="80" w:hanging="652"/>
        <w:spacing w:after="0" w:line="187" w:lineRule="auto"/>
        <w:tabs>
          <w:tab w:leader="none" w:pos="66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As of September 30, 2014, investment was owned by KCAP Senior Funding I, LLC and has been pledged to secure KCAP Senior Funding I, LLC’s debt obligations.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ectPr>
          <w:pgSz w:w="11900" w:h="16838" w:orient="portrait"/>
          <w:cols w:equalWidth="0" w:num="1">
            <w:col w:w="11420"/>
          </w:cols>
          <w:pgMar w:left="240" w:top="877"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 / Principal Business</w:t>
      </w:r>
    </w:p>
    <w:p>
      <w:pPr>
        <w:spacing w:after="0" w:line="208" w:lineRule="auto"/>
        <w:rPr>
          <w:sz w:val="20"/>
          <w:szCs w:val="20"/>
          <w:color w:val="auto"/>
        </w:rPr>
      </w:pPr>
      <w:r>
        <w:rPr>
          <w:rFonts w:ascii="Arial" w:cs="Arial" w:eastAsia="Arial" w:hAnsi="Arial"/>
          <w:sz w:val="18"/>
          <w:szCs w:val="18"/>
          <w:color w:val="auto"/>
        </w:rPr>
        <w:t>Advanced Lighting Technologies, Inc.</w:t>
      </w:r>
      <w:r>
        <w:rPr>
          <w:rFonts w:ascii="Arial" w:cs="Arial" w:eastAsia="Arial" w:hAnsi="Arial"/>
          <w:sz w:val="30"/>
          <w:szCs w:val="30"/>
          <w:color w:val="auto"/>
          <w:vertAlign w:val="superscript"/>
        </w:rPr>
        <w:t>9, 11</w:t>
      </w:r>
    </w:p>
    <w:p>
      <w:pPr>
        <w:jc w:val="center"/>
        <w:ind w:right="1260"/>
        <w:spacing w:after="0"/>
        <w:rPr>
          <w:sz w:val="20"/>
          <w:szCs w:val="20"/>
          <w:color w:val="auto"/>
        </w:rPr>
      </w:pPr>
      <w:r>
        <w:rPr>
          <w:rFonts w:ascii="Arial" w:cs="Arial" w:eastAsia="Arial" w:hAnsi="Arial"/>
          <w:sz w:val="18"/>
          <w:szCs w:val="18"/>
          <w:i w:val="1"/>
          <w:iCs w:val="1"/>
          <w:color w:val="auto"/>
        </w:rPr>
        <w:t>Consumer goods: Non-durable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Advantage Sales &amp; Marketing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Alaska Communications Systems Holdings, Inc. </w:t>
      </w:r>
      <w:r>
        <w:rPr>
          <w:rFonts w:ascii="Arial" w:cs="Arial" w:eastAsia="Arial" w:hAnsi="Arial"/>
          <w:sz w:val="26"/>
          <w:szCs w:val="26"/>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213" w:lineRule="exact"/>
        <w:rPr>
          <w:sz w:val="20"/>
          <w:szCs w:val="20"/>
          <w:color w:val="auto"/>
        </w:rPr>
      </w:pPr>
    </w:p>
    <w:p>
      <w:pPr>
        <w:jc w:val="right"/>
        <w:ind w:right="1420"/>
        <w:spacing w:after="0"/>
        <w:rPr>
          <w:sz w:val="20"/>
          <w:szCs w:val="20"/>
          <w:color w:val="auto"/>
        </w:rPr>
      </w:pPr>
      <w:r>
        <w:rPr>
          <w:rFonts w:ascii="Arial" w:cs="Arial" w:eastAsia="Arial" w:hAnsi="Arial"/>
          <w:sz w:val="16"/>
          <w:szCs w:val="16"/>
          <w:color w:val="auto"/>
        </w:rPr>
        <w:t>Apria Healthcare Group Inc.</w:t>
      </w:r>
      <w:r>
        <w:rPr>
          <w:rFonts w:ascii="Arial" w:cs="Arial" w:eastAsia="Arial" w:hAnsi="Arial"/>
          <w:sz w:val="26"/>
          <w:szCs w:val="26"/>
          <w:color w:val="auto"/>
          <w:vertAlign w:val="superscript"/>
        </w:rPr>
        <w:t>9, 11</w:t>
      </w:r>
      <w:r>
        <w:rPr>
          <w:rFonts w:ascii="Arial" w:cs="Arial" w:eastAsia="Arial" w:hAnsi="Arial"/>
          <w:sz w:val="16"/>
          <w:szCs w:val="16"/>
          <w:color w:val="auto"/>
        </w:rPr>
        <w:t xml:space="preserve"> </w:t>
      </w:r>
      <w:r>
        <w:rPr>
          <w:rFonts w:ascii="Arial" w:cs="Arial" w:eastAsia="Arial" w:hAnsi="Arial"/>
          <w:sz w:val="16"/>
          <w:szCs w:val="16"/>
          <w:i w:val="1"/>
          <w:iCs w:val="1"/>
          <w:color w:val="auto"/>
        </w:rPr>
        <w:t>Healthcare &amp; Pharmaceuticals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Aramark Corporation</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Aramark Corporation</w:t>
      </w:r>
      <w:r>
        <w:rPr>
          <w:rFonts w:ascii="Arial" w:cs="Arial" w:eastAsia="Arial" w:hAnsi="Arial"/>
          <w:sz w:val="30"/>
          <w:szCs w:val="30"/>
          <w:color w:val="auto"/>
          <w:vertAlign w:val="superscript"/>
        </w:rPr>
        <w:t>11</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Aramark Corporation</w:t>
      </w:r>
      <w:r>
        <w:rPr>
          <w:rFonts w:ascii="Arial" w:cs="Arial" w:eastAsia="Arial" w:hAnsi="Arial"/>
          <w:sz w:val="30"/>
          <w:szCs w:val="30"/>
          <w:color w:val="auto"/>
          <w:vertAlign w:val="superscript"/>
        </w:rPr>
        <w:t>11</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Aramark Corporation</w:t>
      </w:r>
      <w:r>
        <w:rPr>
          <w:rFonts w:ascii="Arial" w:cs="Arial" w:eastAsia="Arial" w:hAnsi="Arial"/>
          <w:sz w:val="30"/>
          <w:szCs w:val="30"/>
          <w:color w:val="auto"/>
          <w:vertAlign w:val="superscript"/>
        </w:rPr>
        <w:t>11</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ARSloane Acquisition, LLC</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0"/>
              </w:rPr>
              <w:t>Fair Value</w:t>
            </w:r>
            <w:r>
              <w:rPr>
                <w:rFonts w:ascii="Arial" w:cs="Arial" w:eastAsia="Arial" w:hAnsi="Arial"/>
                <w:sz w:val="30"/>
                <w:szCs w:val="30"/>
                <w:color w:val="auto"/>
                <w:w w:val="90"/>
                <w:vertAlign w:val="superscript"/>
              </w:rPr>
              <w:t>2</w:t>
            </w:r>
          </w:p>
        </w:tc>
        <w:tc>
          <w:tcPr>
            <w:tcW w:w="0" w:type="dxa"/>
            <w:vAlign w:val="bottom"/>
          </w:tcPr>
          <w:p>
            <w:pPr>
              <w:spacing w:after="0"/>
              <w:rPr>
                <w:sz w:val="1"/>
                <w:szCs w:val="1"/>
                <w:color w:val="auto"/>
              </w:rPr>
            </w:pPr>
          </w:p>
        </w:tc>
      </w:tr>
      <w:tr>
        <w:trPr>
          <w:trHeight w:val="234"/>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Principal</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00" w:type="dxa"/>
            <w:vAlign w:val="bottom"/>
            <w:gridSpan w:val="3"/>
          </w:tcPr>
          <w:p>
            <w:pPr>
              <w:spacing w:after="0"/>
              <w:rPr>
                <w:sz w:val="20"/>
                <w:szCs w:val="20"/>
                <w:color w:val="auto"/>
              </w:rPr>
            </w:pPr>
            <w:r>
              <w:rPr>
                <w:rFonts w:ascii="Arial" w:cs="Arial" w:eastAsia="Arial" w:hAnsi="Arial"/>
                <w:sz w:val="18"/>
                <w:szCs w:val="18"/>
                <w:color w:val="auto"/>
                <w:w w:val="98"/>
              </w:rPr>
              <w:t>First Lien Bond — 10.5% - 06/2019 - 00753CAE2</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00" w:type="dxa"/>
            <w:vAlign w:val="bottom"/>
            <w:gridSpan w:val="3"/>
          </w:tcPr>
          <w:p>
            <w:pPr>
              <w:spacing w:after="0"/>
              <w:rPr>
                <w:sz w:val="20"/>
                <w:szCs w:val="20"/>
                <w:color w:val="auto"/>
              </w:rPr>
            </w:pPr>
            <w:r>
              <w:rPr>
                <w:rFonts w:ascii="Arial" w:cs="Arial" w:eastAsia="Arial" w:hAnsi="Arial"/>
                <w:sz w:val="18"/>
                <w:szCs w:val="18"/>
                <w:color w:val="auto"/>
              </w:rPr>
              <w:t>10.5% Cash, Due 6/19</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  3,000,000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$ 2,948,332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$ 2,546,400</w:t>
            </w:r>
          </w:p>
        </w:tc>
        <w:tc>
          <w:tcPr>
            <w:tcW w:w="0" w:type="dxa"/>
            <w:vAlign w:val="bottom"/>
          </w:tcPr>
          <w:p>
            <w:pPr>
              <w:spacing w:after="0"/>
              <w:rPr>
                <w:sz w:val="1"/>
                <w:szCs w:val="1"/>
                <w:color w:val="auto"/>
              </w:rPr>
            </w:pPr>
          </w:p>
        </w:tc>
      </w:tr>
      <w:tr>
        <w:trPr>
          <w:trHeight w:val="418"/>
        </w:trPr>
        <w:tc>
          <w:tcPr>
            <w:tcW w:w="3900" w:type="dxa"/>
            <w:vAlign w:val="bottom"/>
            <w:gridSpan w:val="3"/>
          </w:tcPr>
          <w:p>
            <w:pPr>
              <w:spacing w:after="0"/>
              <w:rPr>
                <w:sz w:val="20"/>
                <w:szCs w:val="20"/>
                <w:color w:val="auto"/>
              </w:rPr>
            </w:pPr>
            <w:r>
              <w:rPr>
                <w:rFonts w:ascii="Arial" w:cs="Arial" w:eastAsia="Arial" w:hAnsi="Arial"/>
                <w:sz w:val="18"/>
                <w:szCs w:val="18"/>
                <w:color w:val="auto"/>
              </w:rPr>
              <w:t>Senior Secured Loan — 2013 Term Loan (First</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Lien)</w:t>
            </w: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97"/>
              </w:rPr>
              <w:t>4.3%</w:t>
            </w:r>
          </w:p>
        </w:tc>
        <w:tc>
          <w:tcPr>
            <w:tcW w:w="3480" w:type="dxa"/>
            <w:vAlign w:val="bottom"/>
            <w:gridSpan w:val="2"/>
          </w:tcPr>
          <w:p>
            <w:pPr>
              <w:spacing w:after="0"/>
              <w:rPr>
                <w:sz w:val="20"/>
                <w:szCs w:val="20"/>
                <w:color w:val="auto"/>
              </w:rPr>
            </w:pPr>
            <w:r>
              <w:rPr>
                <w:rFonts w:ascii="Arial" w:cs="Arial" w:eastAsia="Arial" w:hAnsi="Arial"/>
                <w:sz w:val="18"/>
                <w:szCs w:val="18"/>
                <w:color w:val="auto"/>
              </w:rPr>
              <w:t>Cash, Due 12/17</w:t>
            </w:r>
          </w:p>
        </w:tc>
        <w:tc>
          <w:tcPr>
            <w:tcW w:w="940" w:type="dxa"/>
            <w:vAlign w:val="bottom"/>
          </w:tcPr>
          <w:p>
            <w:pPr>
              <w:jc w:val="right"/>
              <w:spacing w:after="0"/>
              <w:rPr>
                <w:sz w:val="20"/>
                <w:szCs w:val="20"/>
                <w:color w:val="auto"/>
              </w:rPr>
            </w:pPr>
            <w:r>
              <w:rPr>
                <w:rFonts w:ascii="Arial" w:cs="Arial" w:eastAsia="Arial" w:hAnsi="Arial"/>
                <w:sz w:val="18"/>
                <w:szCs w:val="18"/>
                <w:color w:val="auto"/>
              </w:rPr>
              <w:t>1,989,952</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1,996,642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2,001,892</w:t>
            </w:r>
          </w:p>
        </w:tc>
        <w:tc>
          <w:tcPr>
            <w:tcW w:w="0" w:type="dxa"/>
            <w:vAlign w:val="bottom"/>
          </w:tcPr>
          <w:p>
            <w:pPr>
              <w:spacing w:after="0"/>
              <w:rPr>
                <w:sz w:val="1"/>
                <w:szCs w:val="1"/>
                <w:color w:val="auto"/>
              </w:rPr>
            </w:pPr>
          </w:p>
        </w:tc>
      </w:tr>
      <w:tr>
        <w:trPr>
          <w:trHeight w:val="458"/>
        </w:trPr>
        <w:tc>
          <w:tcPr>
            <w:tcW w:w="390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97"/>
              </w:rPr>
              <w:t>6.3%</w:t>
            </w:r>
          </w:p>
        </w:tc>
        <w:tc>
          <w:tcPr>
            <w:tcW w:w="3480" w:type="dxa"/>
            <w:vAlign w:val="bottom"/>
            <w:gridSpan w:val="2"/>
          </w:tcPr>
          <w:p>
            <w:pPr>
              <w:spacing w:after="0"/>
              <w:rPr>
                <w:sz w:val="20"/>
                <w:szCs w:val="20"/>
                <w:color w:val="auto"/>
              </w:rPr>
            </w:pPr>
            <w:r>
              <w:rPr>
                <w:rFonts w:ascii="Arial" w:cs="Arial" w:eastAsia="Arial" w:hAnsi="Arial"/>
                <w:sz w:val="18"/>
                <w:szCs w:val="18"/>
                <w:color w:val="auto"/>
              </w:rPr>
              <w:t>Cash, Due 10/16</w:t>
            </w:r>
          </w:p>
        </w:tc>
        <w:tc>
          <w:tcPr>
            <w:tcW w:w="940" w:type="dxa"/>
            <w:vAlign w:val="bottom"/>
          </w:tcPr>
          <w:p>
            <w:pPr>
              <w:jc w:val="right"/>
              <w:spacing w:after="0"/>
              <w:rPr>
                <w:sz w:val="20"/>
                <w:szCs w:val="20"/>
                <w:color w:val="auto"/>
              </w:rPr>
            </w:pPr>
            <w:r>
              <w:rPr>
                <w:rFonts w:ascii="Arial" w:cs="Arial" w:eastAsia="Arial" w:hAnsi="Arial"/>
                <w:sz w:val="18"/>
                <w:szCs w:val="18"/>
                <w:color w:val="auto"/>
              </w:rPr>
              <w:t>2,358,409</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2,362,064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2,357,702</w:t>
            </w:r>
          </w:p>
        </w:tc>
        <w:tc>
          <w:tcPr>
            <w:tcW w:w="0" w:type="dxa"/>
            <w:vAlign w:val="bottom"/>
          </w:tcPr>
          <w:p>
            <w:pPr>
              <w:spacing w:after="0"/>
              <w:rPr>
                <w:sz w:val="1"/>
                <w:szCs w:val="1"/>
                <w:color w:val="auto"/>
              </w:rPr>
            </w:pPr>
          </w:p>
        </w:tc>
      </w:tr>
      <w:tr>
        <w:trPr>
          <w:trHeight w:val="458"/>
        </w:trPr>
        <w:tc>
          <w:tcPr>
            <w:tcW w:w="3900" w:type="dxa"/>
            <w:vAlign w:val="bottom"/>
            <w:gridSpan w:val="3"/>
          </w:tcPr>
          <w:p>
            <w:pPr>
              <w:spacing w:after="0"/>
              <w:rPr>
                <w:sz w:val="20"/>
                <w:szCs w:val="20"/>
                <w:color w:val="auto"/>
              </w:rPr>
            </w:pPr>
            <w:r>
              <w:rPr>
                <w:rFonts w:ascii="Arial" w:cs="Arial" w:eastAsia="Arial" w:hAnsi="Arial"/>
                <w:sz w:val="18"/>
                <w:szCs w:val="18"/>
                <w:color w:val="auto"/>
              </w:rPr>
              <w:t>Senior Secured Loan — Initial Term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97"/>
              </w:rPr>
              <w:t>6.8%</w:t>
            </w:r>
          </w:p>
        </w:tc>
        <w:tc>
          <w:tcPr>
            <w:tcW w:w="3480" w:type="dxa"/>
            <w:vAlign w:val="bottom"/>
            <w:gridSpan w:val="2"/>
          </w:tcPr>
          <w:p>
            <w:pPr>
              <w:spacing w:after="0"/>
              <w:rPr>
                <w:sz w:val="20"/>
                <w:szCs w:val="20"/>
                <w:color w:val="auto"/>
              </w:rPr>
            </w:pPr>
            <w:r>
              <w:rPr>
                <w:rFonts w:ascii="Arial" w:cs="Arial" w:eastAsia="Arial" w:hAnsi="Arial"/>
                <w:sz w:val="18"/>
                <w:szCs w:val="18"/>
                <w:color w:val="auto"/>
              </w:rPr>
              <w:t>Cash, Due 4/20</w:t>
            </w:r>
          </w:p>
        </w:tc>
        <w:tc>
          <w:tcPr>
            <w:tcW w:w="940" w:type="dxa"/>
            <w:vAlign w:val="bottom"/>
          </w:tcPr>
          <w:p>
            <w:pPr>
              <w:jc w:val="right"/>
              <w:spacing w:after="0"/>
              <w:rPr>
                <w:sz w:val="20"/>
                <w:szCs w:val="20"/>
                <w:color w:val="auto"/>
              </w:rPr>
            </w:pPr>
            <w:r>
              <w:rPr>
                <w:rFonts w:ascii="Arial" w:cs="Arial" w:eastAsia="Arial" w:hAnsi="Arial"/>
                <w:sz w:val="18"/>
                <w:szCs w:val="18"/>
                <w:color w:val="auto"/>
              </w:rPr>
              <w:t>2,985,000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2,997,209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2,985,000</w:t>
            </w:r>
          </w:p>
        </w:tc>
        <w:tc>
          <w:tcPr>
            <w:tcW w:w="0" w:type="dxa"/>
            <w:vAlign w:val="bottom"/>
          </w:tcPr>
          <w:p>
            <w:pPr>
              <w:spacing w:after="0"/>
              <w:rPr>
                <w:sz w:val="1"/>
                <w:szCs w:val="1"/>
                <w:color w:val="auto"/>
              </w:rPr>
            </w:pPr>
          </w:p>
        </w:tc>
      </w:tr>
      <w:tr>
        <w:trPr>
          <w:trHeight w:val="418"/>
        </w:trPr>
        <w:tc>
          <w:tcPr>
            <w:tcW w:w="3900" w:type="dxa"/>
            <w:vAlign w:val="bottom"/>
            <w:gridSpan w:val="3"/>
          </w:tcPr>
          <w:p>
            <w:pPr>
              <w:spacing w:after="0"/>
              <w:rPr>
                <w:sz w:val="20"/>
                <w:szCs w:val="20"/>
                <w:color w:val="auto"/>
              </w:rPr>
            </w:pPr>
            <w:r>
              <w:rPr>
                <w:rFonts w:ascii="Arial" w:cs="Arial" w:eastAsia="Arial" w:hAnsi="Arial"/>
                <w:sz w:val="18"/>
                <w:szCs w:val="18"/>
                <w:color w:val="auto"/>
              </w:rPr>
              <w:t>Senior Secured Loan — U.S. Term D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97"/>
              </w:rPr>
              <w:t>4.0%</w:t>
            </w:r>
          </w:p>
        </w:tc>
        <w:tc>
          <w:tcPr>
            <w:tcW w:w="3480" w:type="dxa"/>
            <w:vAlign w:val="bottom"/>
            <w:gridSpan w:val="2"/>
          </w:tcPr>
          <w:p>
            <w:pPr>
              <w:spacing w:after="0"/>
              <w:rPr>
                <w:sz w:val="20"/>
                <w:szCs w:val="20"/>
                <w:color w:val="auto"/>
              </w:rPr>
            </w:pPr>
            <w:r>
              <w:rPr>
                <w:rFonts w:ascii="Arial" w:cs="Arial" w:eastAsia="Arial" w:hAnsi="Arial"/>
                <w:sz w:val="18"/>
                <w:szCs w:val="18"/>
                <w:color w:val="auto"/>
              </w:rPr>
              <w:t>Cash, Due 9/19</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850,000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856,173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856,374</w:t>
            </w:r>
          </w:p>
        </w:tc>
        <w:tc>
          <w:tcPr>
            <w:tcW w:w="0" w:type="dxa"/>
            <w:vAlign w:val="bottom"/>
          </w:tcPr>
          <w:p>
            <w:pPr>
              <w:spacing w:after="0"/>
              <w:rPr>
                <w:sz w:val="1"/>
                <w:szCs w:val="1"/>
                <w:color w:val="auto"/>
              </w:rPr>
            </w:pPr>
          </w:p>
        </w:tc>
      </w:tr>
      <w:tr>
        <w:trPr>
          <w:trHeight w:val="458"/>
        </w:trPr>
        <w:tc>
          <w:tcPr>
            <w:tcW w:w="3900" w:type="dxa"/>
            <w:vAlign w:val="bottom"/>
            <w:gridSpan w:val="3"/>
          </w:tcPr>
          <w:p>
            <w:pPr>
              <w:spacing w:after="0"/>
              <w:rPr>
                <w:sz w:val="20"/>
                <w:szCs w:val="20"/>
                <w:color w:val="auto"/>
              </w:rPr>
            </w:pPr>
            <w:r>
              <w:rPr>
                <w:rFonts w:ascii="Arial" w:cs="Arial" w:eastAsia="Arial" w:hAnsi="Arial"/>
                <w:sz w:val="18"/>
                <w:szCs w:val="18"/>
                <w:color w:val="auto"/>
              </w:rPr>
              <w:t>Senior Secured Loan — LC-3 Facility</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97"/>
              </w:rPr>
              <w:t>3.7%</w:t>
            </w:r>
          </w:p>
        </w:tc>
        <w:tc>
          <w:tcPr>
            <w:tcW w:w="3480" w:type="dxa"/>
            <w:vAlign w:val="bottom"/>
            <w:gridSpan w:val="2"/>
          </w:tcPr>
          <w:p>
            <w:pPr>
              <w:spacing w:after="0"/>
              <w:rPr>
                <w:sz w:val="20"/>
                <w:szCs w:val="20"/>
                <w:color w:val="auto"/>
              </w:rPr>
            </w:pPr>
            <w:r>
              <w:rPr>
                <w:rFonts w:ascii="Arial" w:cs="Arial" w:eastAsia="Arial" w:hAnsi="Arial"/>
                <w:sz w:val="18"/>
                <w:szCs w:val="18"/>
                <w:color w:val="auto"/>
              </w:rPr>
              <w:t>Cash, Due 7/16</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61,707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61,967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61,861</w:t>
            </w:r>
          </w:p>
        </w:tc>
        <w:tc>
          <w:tcPr>
            <w:tcW w:w="0" w:type="dxa"/>
            <w:vAlign w:val="bottom"/>
          </w:tcPr>
          <w:p>
            <w:pPr>
              <w:spacing w:after="0"/>
              <w:rPr>
                <w:sz w:val="1"/>
                <w:szCs w:val="1"/>
                <w:color w:val="auto"/>
              </w:rPr>
            </w:pPr>
          </w:p>
        </w:tc>
      </w:tr>
      <w:tr>
        <w:trPr>
          <w:trHeight w:val="458"/>
        </w:trPr>
        <w:tc>
          <w:tcPr>
            <w:tcW w:w="3900" w:type="dxa"/>
            <w:vAlign w:val="bottom"/>
            <w:gridSpan w:val="3"/>
          </w:tcPr>
          <w:p>
            <w:pPr>
              <w:spacing w:after="0"/>
              <w:rPr>
                <w:sz w:val="20"/>
                <w:szCs w:val="20"/>
                <w:color w:val="auto"/>
              </w:rPr>
            </w:pPr>
            <w:r>
              <w:rPr>
                <w:rFonts w:ascii="Arial" w:cs="Arial" w:eastAsia="Arial" w:hAnsi="Arial"/>
                <w:sz w:val="18"/>
                <w:szCs w:val="18"/>
                <w:color w:val="auto"/>
              </w:rPr>
              <w:t>Senior Secured Loan — U.S. Term C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97"/>
              </w:rPr>
              <w:t>3.7%</w:t>
            </w:r>
          </w:p>
        </w:tc>
        <w:tc>
          <w:tcPr>
            <w:tcW w:w="3480" w:type="dxa"/>
            <w:vAlign w:val="bottom"/>
            <w:gridSpan w:val="2"/>
          </w:tcPr>
          <w:p>
            <w:pPr>
              <w:spacing w:after="0"/>
              <w:rPr>
                <w:sz w:val="20"/>
                <w:szCs w:val="20"/>
                <w:color w:val="auto"/>
              </w:rPr>
            </w:pPr>
            <w:r>
              <w:rPr>
                <w:rFonts w:ascii="Arial" w:cs="Arial" w:eastAsia="Arial" w:hAnsi="Arial"/>
                <w:sz w:val="18"/>
                <w:szCs w:val="18"/>
                <w:color w:val="auto"/>
              </w:rPr>
              <w:t>Cash, Due 7/16</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938,293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942,256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940,639</w:t>
            </w:r>
          </w:p>
        </w:tc>
        <w:tc>
          <w:tcPr>
            <w:tcW w:w="0" w:type="dxa"/>
            <w:vAlign w:val="bottom"/>
          </w:tcPr>
          <w:p>
            <w:pPr>
              <w:spacing w:after="0"/>
              <w:rPr>
                <w:sz w:val="1"/>
                <w:szCs w:val="1"/>
                <w:color w:val="auto"/>
              </w:rPr>
            </w:pPr>
          </w:p>
        </w:tc>
      </w:tr>
      <w:tr>
        <w:trPr>
          <w:trHeight w:val="458"/>
        </w:trPr>
        <w:tc>
          <w:tcPr>
            <w:tcW w:w="3900" w:type="dxa"/>
            <w:vAlign w:val="bottom"/>
            <w:gridSpan w:val="3"/>
          </w:tcPr>
          <w:p>
            <w:pPr>
              <w:spacing w:after="0"/>
              <w:rPr>
                <w:sz w:val="20"/>
                <w:szCs w:val="20"/>
                <w:color w:val="auto"/>
              </w:rPr>
            </w:pPr>
            <w:r>
              <w:rPr>
                <w:rFonts w:ascii="Arial" w:cs="Arial" w:eastAsia="Arial" w:hAnsi="Arial"/>
                <w:sz w:val="18"/>
                <w:szCs w:val="18"/>
                <w:color w:val="auto"/>
              </w:rPr>
              <w:t>Senior Secured Loan — U.S. Term D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97"/>
              </w:rPr>
              <w:t>4.0%</w:t>
            </w:r>
          </w:p>
        </w:tc>
        <w:tc>
          <w:tcPr>
            <w:tcW w:w="3480" w:type="dxa"/>
            <w:vAlign w:val="bottom"/>
            <w:gridSpan w:val="2"/>
          </w:tcPr>
          <w:p>
            <w:pPr>
              <w:spacing w:after="0"/>
              <w:rPr>
                <w:sz w:val="20"/>
                <w:szCs w:val="20"/>
                <w:color w:val="auto"/>
              </w:rPr>
            </w:pPr>
            <w:r>
              <w:rPr>
                <w:rFonts w:ascii="Arial" w:cs="Arial" w:eastAsia="Arial" w:hAnsi="Arial"/>
                <w:sz w:val="18"/>
                <w:szCs w:val="18"/>
                <w:color w:val="auto"/>
              </w:rPr>
              <w:t>Cash, Due 9/19</w:t>
            </w:r>
          </w:p>
        </w:tc>
        <w:tc>
          <w:tcPr>
            <w:tcW w:w="940" w:type="dxa"/>
            <w:vAlign w:val="bottom"/>
          </w:tcPr>
          <w:p>
            <w:pPr>
              <w:jc w:val="right"/>
              <w:spacing w:after="0"/>
              <w:rPr>
                <w:sz w:val="20"/>
                <w:szCs w:val="20"/>
                <w:color w:val="auto"/>
              </w:rPr>
            </w:pPr>
            <w:r>
              <w:rPr>
                <w:rFonts w:ascii="Arial" w:cs="Arial" w:eastAsia="Arial" w:hAnsi="Arial"/>
                <w:sz w:val="18"/>
                <w:szCs w:val="18"/>
                <w:color w:val="auto"/>
              </w:rPr>
              <w:t>1,150,000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1,158,352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1,158,625</w:t>
            </w:r>
          </w:p>
        </w:tc>
        <w:tc>
          <w:tcPr>
            <w:tcW w:w="0" w:type="dxa"/>
            <w:vAlign w:val="bottom"/>
          </w:tcPr>
          <w:p>
            <w:pPr>
              <w:spacing w:after="0"/>
              <w:rPr>
                <w:sz w:val="1"/>
                <w:szCs w:val="1"/>
                <w:color w:val="auto"/>
              </w:rPr>
            </w:pPr>
          </w:p>
        </w:tc>
      </w:tr>
      <w:tr>
        <w:trPr>
          <w:trHeight w:val="418"/>
        </w:trPr>
        <w:tc>
          <w:tcPr>
            <w:tcW w:w="3900" w:type="dxa"/>
            <w:vAlign w:val="bottom"/>
            <w:gridSpan w:val="3"/>
          </w:tcPr>
          <w:p>
            <w:pPr>
              <w:spacing w:after="0"/>
              <w:rPr>
                <w:sz w:val="20"/>
                <w:szCs w:val="20"/>
                <w:color w:val="auto"/>
              </w:rPr>
            </w:pPr>
            <w:r>
              <w:rPr>
                <w:rFonts w:ascii="Arial" w:cs="Arial" w:eastAsia="Arial" w:hAnsi="Arial"/>
                <w:sz w:val="18"/>
                <w:szCs w:val="18"/>
                <w:color w:val="auto"/>
              </w:rPr>
              <w:t>Senior Secured Loan — Tranche B Term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(First Lien)</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7"/>
              </w:rPr>
              <w:t>7.5%</w:t>
            </w:r>
          </w:p>
        </w:tc>
        <w:tc>
          <w:tcPr>
            <w:tcW w:w="3480" w:type="dxa"/>
            <w:vAlign w:val="bottom"/>
            <w:gridSpan w:val="2"/>
          </w:tcPr>
          <w:p>
            <w:pPr>
              <w:spacing w:after="0"/>
              <w:rPr>
                <w:sz w:val="20"/>
                <w:szCs w:val="20"/>
                <w:color w:val="auto"/>
              </w:rPr>
            </w:pPr>
            <w:r>
              <w:rPr>
                <w:rFonts w:ascii="Arial" w:cs="Arial" w:eastAsia="Arial" w:hAnsi="Arial"/>
                <w:sz w:val="18"/>
                <w:szCs w:val="18"/>
                <w:color w:val="auto"/>
              </w:rPr>
              <w:t>Cash, Due 10/19</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997,500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987,913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997,898</w:t>
            </w:r>
          </w:p>
        </w:tc>
        <w:tc>
          <w:tcPr>
            <w:tcW w:w="0" w:type="dxa"/>
            <w:vAlign w:val="bottom"/>
          </w:tcPr>
          <w:p>
            <w:pPr>
              <w:spacing w:after="0"/>
              <w:rPr>
                <w:sz w:val="1"/>
                <w:szCs w:val="1"/>
                <w:color w:val="auto"/>
              </w:rPr>
            </w:pPr>
          </w:p>
        </w:tc>
      </w:tr>
      <w:tr>
        <w:trPr>
          <w:trHeight w:val="228"/>
        </w:trPr>
        <w:tc>
          <w:tcPr>
            <w:tcW w:w="4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-3694430</wp:posOffset>
            </wp:positionV>
            <wp:extent cx="7246620" cy="411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-3145155</wp:posOffset>
            </wp:positionV>
            <wp:extent cx="7246620" cy="3003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-2708275</wp:posOffset>
            </wp:positionV>
            <wp:extent cx="7246620" cy="3003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-2270760</wp:posOffset>
            </wp:positionV>
            <wp:extent cx="7246620" cy="274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-1859280</wp:posOffset>
            </wp:positionV>
            <wp:extent cx="7246620" cy="3003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-1421765</wp:posOffset>
            </wp:positionV>
            <wp:extent cx="7246620" cy="3003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-984250</wp:posOffset>
            </wp:positionV>
            <wp:extent cx="7246620" cy="3003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-546735</wp:posOffset>
            </wp:positionV>
            <wp:extent cx="7246620" cy="411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-4140200</wp:posOffset>
            </wp:positionV>
            <wp:extent cx="7246620" cy="3086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840" w:space="400"/>
            <w:col w:w="7180"/>
          </w:cols>
          <w:pgMar w:left="240" w:top="877" w:right="2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3780" w:type="dxa"/>
            <w:vAlign w:val="bottom"/>
            <w:shd w:val="clear" w:color="auto" w:fill="CCEEFF"/>
          </w:tcPr>
          <w:p>
            <w:pPr>
              <w:spacing w:after="0" w:line="204" w:lineRule="exact"/>
              <w:rPr>
                <w:sz w:val="20"/>
                <w:szCs w:val="20"/>
                <w:color w:val="auto"/>
              </w:rPr>
            </w:pPr>
            <w:r>
              <w:rPr>
                <w:rFonts w:ascii="Arial" w:cs="Arial" w:eastAsia="Arial" w:hAnsi="Arial"/>
                <w:sz w:val="15"/>
                <w:szCs w:val="15"/>
                <w:color w:val="auto"/>
              </w:rPr>
              <w:t>Asurion, LLC (fka Asurion Corporation)</w:t>
            </w:r>
            <w:r>
              <w:rPr>
                <w:rFonts w:ascii="Arial" w:cs="Arial" w:eastAsia="Arial" w:hAnsi="Arial"/>
                <w:sz w:val="23"/>
                <w:szCs w:val="23"/>
                <w:color w:val="auto"/>
                <w:vertAlign w:val="superscript"/>
              </w:rPr>
              <w:t>9, 11</w:t>
            </w:r>
          </w:p>
        </w:tc>
        <w:tc>
          <w:tcPr>
            <w:tcW w:w="432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w w:val="97"/>
              </w:rPr>
              <w:t>Senior Secured Loan — Incremental Tranche B-1</w:t>
            </w: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Banking, Finance, Insurance &amp; Real Estate</w:t>
            </w:r>
          </w:p>
        </w:tc>
        <w:tc>
          <w:tcPr>
            <w:tcW w:w="4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Term Loan</w:t>
            </w:r>
          </w:p>
        </w:tc>
        <w:tc>
          <w:tcPr>
            <w:tcW w:w="118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1,980,000</w:t>
            </w:r>
          </w:p>
        </w:tc>
        <w:tc>
          <w:tcPr>
            <w:tcW w:w="11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2,000,806</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1,983,168</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spacing w:after="0"/>
              <w:rPr>
                <w:sz w:val="19"/>
                <w:szCs w:val="19"/>
                <w:color w:val="auto"/>
              </w:rPr>
            </w:pPr>
          </w:p>
        </w:tc>
        <w:tc>
          <w:tcPr>
            <w:tcW w:w="4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4.5% Cash, Due 5/19</w:t>
            </w:r>
          </w:p>
        </w:tc>
        <w:tc>
          <w:tcPr>
            <w:tcW w:w="118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3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jc w:val="right"/>
              <w:ind w:right="2210"/>
              <w:spacing w:after="0"/>
              <w:rPr>
                <w:sz w:val="20"/>
                <w:szCs w:val="20"/>
                <w:color w:val="auto"/>
              </w:rPr>
            </w:pPr>
            <w:r>
              <w:rPr>
                <w:rFonts w:ascii="Arial" w:cs="Arial" w:eastAsia="Arial" w:hAnsi="Arial"/>
                <w:sz w:val="18"/>
                <w:szCs w:val="18"/>
                <w:color w:val="auto"/>
              </w:rPr>
              <w:t>17</w:t>
            </w:r>
          </w:p>
        </w:tc>
        <w:tc>
          <w:tcPr>
            <w:tcW w:w="1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type w:val="continuous"/>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900" w:type="dxa"/>
            <w:vAlign w:val="bottom"/>
            <w:gridSpan w:val="3"/>
          </w:tcPr>
          <w:p>
            <w:pPr>
              <w:ind w:left="120"/>
              <w:spacing w:after="0"/>
              <w:rPr>
                <w:sz w:val="20"/>
                <w:szCs w:val="20"/>
                <w:color w:val="auto"/>
              </w:rPr>
            </w:pPr>
            <w:r>
              <w:rPr>
                <w:rFonts w:ascii="Arial" w:cs="Arial" w:eastAsia="Arial" w:hAnsi="Arial"/>
                <w:sz w:val="18"/>
                <w:szCs w:val="18"/>
                <w:b w:val="1"/>
                <w:bCs w:val="1"/>
                <w:color w:val="auto"/>
              </w:rPr>
              <w:t>Investment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900" w:type="dxa"/>
            <w:vAlign w:val="bottom"/>
            <w:gridSpan w:val="3"/>
          </w:tcPr>
          <w:p>
            <w:pPr>
              <w:ind w:left="120"/>
              <w:spacing w:after="0"/>
              <w:rPr>
                <w:sz w:val="20"/>
                <w:szCs w:val="20"/>
                <w:color w:val="auto"/>
              </w:rPr>
            </w:pPr>
            <w:r>
              <w:rPr>
                <w:rFonts w:ascii="Arial" w:cs="Arial" w:eastAsia="Arial" w:hAnsi="Arial"/>
                <w:sz w:val="18"/>
                <w:szCs w:val="18"/>
                <w:b w:val="1"/>
                <w:bCs w:val="1"/>
                <w:color w:val="auto"/>
              </w:rPr>
              <w:t>Interest Rate¹ / Maturity</w:t>
            </w: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Principal</w:t>
            </w:r>
          </w:p>
        </w:tc>
        <w:tc>
          <w:tcPr>
            <w:tcW w:w="100" w:type="dxa"/>
            <w:vAlign w:val="bottom"/>
          </w:tcPr>
          <w:p>
            <w:pPr>
              <w:spacing w:after="0"/>
              <w:rPr>
                <w:sz w:val="20"/>
                <w:szCs w:val="20"/>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0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Bankruptcy Management Solutions, Inc.</w:t>
            </w:r>
            <w:r>
              <w:rPr>
                <w:rFonts w:ascii="Arial" w:cs="Arial" w:eastAsia="Arial" w:hAnsi="Arial"/>
                <w:sz w:val="27"/>
                <w:szCs w:val="27"/>
                <w:color w:val="auto"/>
                <w:vertAlign w:val="superscript"/>
              </w:rPr>
              <w:t>9</w:t>
            </w:r>
          </w:p>
        </w:tc>
        <w:tc>
          <w:tcPr>
            <w:tcW w:w="120" w:type="dxa"/>
            <w:vAlign w:val="bottom"/>
            <w:tcBorders>
              <w:top w:val="single" w:sz="8" w:color="CCEEFF"/>
            </w:tcBorders>
            <w:shd w:val="clear" w:color="auto" w:fill="CCEEFF"/>
          </w:tcPr>
          <w:p>
            <w:pPr>
              <w:spacing w:after="0"/>
              <w:rPr>
                <w:sz w:val="20"/>
                <w:szCs w:val="20"/>
                <w:color w:val="auto"/>
              </w:rPr>
            </w:pPr>
          </w:p>
        </w:tc>
        <w:tc>
          <w:tcPr>
            <w:tcW w:w="37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Senior Secured Loan — Term B Loan</w:t>
            </w:r>
          </w:p>
        </w:tc>
        <w:tc>
          <w:tcPr>
            <w:tcW w:w="10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Banking, Finance, Insurance &amp; Real Estate</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7.0%</w:t>
            </w: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Due 6/18</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718,182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718,182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   713,514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10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BarBri, Inc. (Gemini Holdings, Inc.)</w:t>
            </w:r>
            <w:r>
              <w:rPr>
                <w:rFonts w:ascii="Arial" w:cs="Arial" w:eastAsia="Arial" w:hAnsi="Arial"/>
                <w:sz w:val="28"/>
                <w:szCs w:val="28"/>
                <w:color w:val="auto"/>
                <w:vertAlign w:val="superscript"/>
              </w:rPr>
              <w:t>9, 11</w:t>
            </w:r>
          </w:p>
        </w:tc>
        <w:tc>
          <w:tcPr>
            <w:tcW w:w="3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Senior Secured Loan — Term Loan</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Consumer</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5.3%</w:t>
            </w: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Due 7/19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2,986,055</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3,000,900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10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BBB Industries, LLC</w:t>
            </w:r>
            <w:r>
              <w:rPr>
                <w:rFonts w:ascii="Arial" w:cs="Arial" w:eastAsia="Arial" w:hAnsi="Arial"/>
                <w:sz w:val="28"/>
                <w:szCs w:val="28"/>
                <w:color w:val="auto"/>
                <w:vertAlign w:val="superscript"/>
              </w:rPr>
              <w:t>9, 11</w:t>
            </w:r>
          </w:p>
        </w:tc>
        <w:tc>
          <w:tcPr>
            <w:tcW w:w="3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Senior Secured Loan — Term Loan B</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Automotive</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5.5%</w:t>
            </w: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Due 3/19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2,887,500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2,878,820</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2,888,366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10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 xml:space="preserve">Bellisio Foods, Inc. </w:t>
            </w:r>
            <w:r>
              <w:rPr>
                <w:rFonts w:ascii="Arial" w:cs="Arial" w:eastAsia="Arial" w:hAnsi="Arial"/>
                <w:sz w:val="28"/>
                <w:szCs w:val="28"/>
                <w:color w:val="auto"/>
                <w:vertAlign w:val="superscript"/>
              </w:rPr>
              <w:t>9, 11</w:t>
            </w:r>
          </w:p>
        </w:tc>
        <w:tc>
          <w:tcPr>
            <w:tcW w:w="3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Senior Secured Loan — Delayed Draw Term Loan</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6.5%</w:t>
            </w: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Due 8/19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1,582,475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1,575,088</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1,582,316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10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 xml:space="preserve">Bellisio Foods, Inc. </w:t>
            </w:r>
            <w:r>
              <w:rPr>
                <w:rFonts w:ascii="Arial" w:cs="Arial" w:eastAsia="Arial" w:hAnsi="Arial"/>
                <w:sz w:val="28"/>
                <w:szCs w:val="28"/>
                <w:color w:val="auto"/>
                <w:vertAlign w:val="superscript"/>
              </w:rPr>
              <w:t>9, 11</w:t>
            </w:r>
          </w:p>
        </w:tc>
        <w:tc>
          <w:tcPr>
            <w:tcW w:w="3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Senior Secured Loan — U.S. Term B Loans</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5.3%</w:t>
            </w: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Due 8/19</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2,191,119</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2,180,891</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2,190,900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10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Blue Coat Systems, Inc.</w:t>
            </w:r>
            <w:r>
              <w:rPr>
                <w:rFonts w:ascii="Arial" w:cs="Arial" w:eastAsia="Arial" w:hAnsi="Arial"/>
                <w:sz w:val="28"/>
                <w:szCs w:val="28"/>
                <w:color w:val="auto"/>
                <w:vertAlign w:val="superscript"/>
              </w:rPr>
              <w:t>9, 11</w:t>
            </w:r>
          </w:p>
        </w:tc>
        <w:tc>
          <w:tcPr>
            <w:tcW w:w="3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Senior Secured Loan — New Term Loan</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High Tech Industries</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4.5%</w:t>
            </w: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Due 5/19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3,990,000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4,003,966</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3,991,995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4"/>
              </w:rPr>
              <w:t>Caribe Media Inc. (fka Caribe Information Investments</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410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Incorporated)</w:t>
            </w:r>
            <w:r>
              <w:rPr>
                <w:rFonts w:ascii="Arial" w:cs="Arial" w:eastAsia="Arial" w:hAnsi="Arial"/>
                <w:sz w:val="29"/>
                <w:szCs w:val="29"/>
                <w:color w:val="auto"/>
                <w:vertAlign w:val="superscript"/>
              </w:rPr>
              <w:t>9</w:t>
            </w:r>
          </w:p>
        </w:tc>
        <w:tc>
          <w:tcPr>
            <w:tcW w:w="3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Senior Secured Loan — Loan</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3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10.0% Cash, Due 11/14</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379,763</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379,763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379,193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Carolina Beverage Group LLC</w:t>
            </w:r>
            <w:r>
              <w:rPr>
                <w:rFonts w:ascii="Arial" w:cs="Arial" w:eastAsia="Arial" w:hAnsi="Arial"/>
                <w:sz w:val="23"/>
                <w:szCs w:val="23"/>
                <w:color w:val="auto"/>
                <w:vertAlign w:val="superscript"/>
              </w:rPr>
              <w:t>9</w:t>
            </w:r>
          </w:p>
        </w:tc>
        <w:tc>
          <w:tcPr>
            <w:tcW w:w="390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Senior Secured Bond — 10.625% - 08/2018 -</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Beverage, Food and Tobacco</w:t>
            </w:r>
          </w:p>
        </w:tc>
        <w:tc>
          <w:tcPr>
            <w:tcW w:w="3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143818AA0 144A</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1,519,072</w:t>
            </w:r>
          </w:p>
        </w:tc>
        <w:tc>
          <w:tcPr>
            <w:tcW w:w="22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1,619,550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10.6% Cash, Due 8/18</w:t>
            </w:r>
          </w:p>
        </w:tc>
        <w:tc>
          <w:tcPr>
            <w:tcW w:w="10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10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Catalina Marketing Corporation</w:t>
            </w:r>
            <w:r>
              <w:rPr>
                <w:rFonts w:ascii="Arial" w:cs="Arial" w:eastAsia="Arial" w:hAnsi="Arial"/>
                <w:sz w:val="28"/>
                <w:szCs w:val="28"/>
                <w:color w:val="auto"/>
                <w:vertAlign w:val="superscript"/>
              </w:rPr>
              <w:t>9, 11</w:t>
            </w:r>
          </w:p>
        </w:tc>
        <w:tc>
          <w:tcPr>
            <w:tcW w:w="3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Senior Secured Loan — Initial Term Loan</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5.3%</w:t>
            </w: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Due 10/20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1,995,000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1,983,766</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2,025,553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Clover Technologies Group, LLC (Clover Holdings</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410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Inc.)</w:t>
            </w:r>
            <w:r>
              <w:rPr>
                <w:rFonts w:ascii="Arial" w:cs="Arial" w:eastAsia="Arial" w:hAnsi="Arial"/>
                <w:sz w:val="29"/>
                <w:szCs w:val="29"/>
                <w:color w:val="auto"/>
                <w:vertAlign w:val="superscript"/>
              </w:rPr>
              <w:t>9, 11</w:t>
            </w:r>
          </w:p>
        </w:tc>
        <w:tc>
          <w:tcPr>
            <w:tcW w:w="3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Senior Secured Loan — Term Loan</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Consumer goods: Non-durable</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6.8%</w:t>
            </w: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Due 5/18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2,850,292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2,883,914</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2,850,291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CoActive Technologies LLC (fka CoActive</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410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Technologies, Inc.)</w:t>
            </w:r>
            <w:r>
              <w:rPr>
                <w:rFonts w:ascii="Arial" w:cs="Arial" w:eastAsia="Arial" w:hAnsi="Arial"/>
                <w:sz w:val="29"/>
                <w:szCs w:val="29"/>
                <w:color w:val="auto"/>
                <w:vertAlign w:val="superscript"/>
              </w:rPr>
              <w:t>7, 9</w:t>
            </w:r>
          </w:p>
        </w:tc>
        <w:tc>
          <w:tcPr>
            <w:tcW w:w="3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4"/>
              </w:rPr>
              <w:t>Junior Secured Loan — Term Loan (Second Lien)</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Capital Equipment</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7.0%</w:t>
            </w: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7.0% PIK, Due 1/15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2,063,007</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1,987,358</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1,863,721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Crowley Holdings Preferred, LLC</w:t>
            </w:r>
            <w:r>
              <w:rPr>
                <w:rFonts w:ascii="Arial" w:cs="Arial" w:eastAsia="Arial" w:hAnsi="Arial"/>
                <w:sz w:val="23"/>
                <w:szCs w:val="23"/>
                <w:color w:val="auto"/>
                <w:vertAlign w:val="superscript"/>
              </w:rPr>
              <w:t>9</w:t>
            </w:r>
          </w:p>
        </w:tc>
        <w:tc>
          <w:tcPr>
            <w:tcW w:w="390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w w:val="96"/>
              </w:rPr>
              <w:t>Preferred Stock — 12.000% - 12/2049 - Series A</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Transportation: Cargo</w:t>
            </w:r>
          </w:p>
        </w:tc>
        <w:tc>
          <w:tcPr>
            <w:tcW w:w="3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Income Preferred Securities</w:t>
            </w:r>
          </w:p>
        </w:tc>
        <w:tc>
          <w:tcPr>
            <w:tcW w:w="124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10,000,000</w:t>
            </w:r>
          </w:p>
        </w:tc>
        <w:tc>
          <w:tcPr>
            <w:tcW w:w="1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88"/>
              </w:rPr>
              <w:t>10,000,000</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10,600,000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10.0% Cash, 2.0% PIK, Due 12/49</w:t>
            </w:r>
          </w:p>
        </w:tc>
        <w:tc>
          <w:tcPr>
            <w:tcW w:w="124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0" w:name="page21"/>
    <w:bookmarkEnd w:id="20"/>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 / Principal Business</w:t>
      </w:r>
    </w:p>
    <w:p>
      <w:pPr>
        <w:spacing w:after="0" w:line="208" w:lineRule="auto"/>
        <w:rPr>
          <w:sz w:val="20"/>
          <w:szCs w:val="20"/>
          <w:color w:val="auto"/>
        </w:rPr>
      </w:pPr>
      <w:r>
        <w:rPr>
          <w:rFonts w:ascii="Arial" w:cs="Arial" w:eastAsia="Arial" w:hAnsi="Arial"/>
          <w:sz w:val="18"/>
          <w:szCs w:val="18"/>
          <w:color w:val="auto"/>
        </w:rPr>
        <w:t>CSM Bakery Supplies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213" w:lineRule="exact"/>
        <w:rPr>
          <w:sz w:val="20"/>
          <w:szCs w:val="20"/>
          <w:color w:val="auto"/>
        </w:rPr>
      </w:pPr>
    </w:p>
    <w:p>
      <w:pPr>
        <w:jc w:val="right"/>
        <w:ind w:right="1660"/>
        <w:spacing w:after="0"/>
        <w:rPr>
          <w:sz w:val="20"/>
          <w:szCs w:val="20"/>
          <w:color w:val="auto"/>
        </w:rPr>
      </w:pPr>
      <w:r>
        <w:rPr>
          <w:rFonts w:ascii="Arial" w:cs="Arial" w:eastAsia="Arial" w:hAnsi="Arial"/>
          <w:sz w:val="16"/>
          <w:szCs w:val="16"/>
          <w:color w:val="auto"/>
        </w:rPr>
        <w:t>CSM Bakery Supplies LLC</w:t>
      </w:r>
      <w:r>
        <w:rPr>
          <w:rFonts w:ascii="Arial" w:cs="Arial" w:eastAsia="Arial" w:hAnsi="Arial"/>
          <w:sz w:val="26"/>
          <w:szCs w:val="26"/>
          <w:color w:val="auto"/>
          <w:vertAlign w:val="superscript"/>
        </w:rPr>
        <w:t>9, 11</w:t>
      </w:r>
      <w:r>
        <w:rPr>
          <w:rFonts w:ascii="Arial" w:cs="Arial" w:eastAsia="Arial" w:hAnsi="Arial"/>
          <w:sz w:val="16"/>
          <w:szCs w:val="16"/>
          <w:color w:val="auto"/>
        </w:rPr>
        <w:t xml:space="preserve"> </w:t>
      </w:r>
      <w:r>
        <w:rPr>
          <w:rFonts w:ascii="Arial" w:cs="Arial" w:eastAsia="Arial" w:hAnsi="Arial"/>
          <w:sz w:val="16"/>
          <w:szCs w:val="16"/>
          <w:i w:val="1"/>
          <w:iCs w:val="1"/>
          <w:color w:val="auto"/>
        </w:rPr>
        <w:t>Beverage, Food and Tobacco</w:t>
      </w:r>
    </w:p>
    <w:p>
      <w:pPr>
        <w:spacing w:after="0" w:line="206" w:lineRule="exact"/>
        <w:rPr>
          <w:sz w:val="20"/>
          <w:szCs w:val="20"/>
          <w:color w:val="auto"/>
        </w:rPr>
      </w:pPr>
    </w:p>
    <w:p>
      <w:pPr>
        <w:jc w:val="right"/>
        <w:ind w:right="1660"/>
        <w:spacing w:after="0" w:line="288" w:lineRule="auto"/>
        <w:rPr>
          <w:sz w:val="20"/>
          <w:szCs w:val="20"/>
          <w:color w:val="auto"/>
        </w:rPr>
      </w:pPr>
      <w:r>
        <w:rPr>
          <w:rFonts w:ascii="Arial" w:cs="Arial" w:eastAsia="Arial" w:hAnsi="Arial"/>
          <w:sz w:val="15"/>
          <w:szCs w:val="15"/>
          <w:color w:val="auto"/>
        </w:rPr>
        <w:t>Del Monte Foods Company</w:t>
      </w:r>
      <w:r>
        <w:rPr>
          <w:rFonts w:ascii="Arial" w:cs="Arial" w:eastAsia="Arial" w:hAnsi="Arial"/>
          <w:sz w:val="24"/>
          <w:szCs w:val="24"/>
          <w:color w:val="auto"/>
          <w:vertAlign w:val="superscript"/>
        </w:rPr>
        <w:t>9, 11</w:t>
      </w:r>
      <w:r>
        <w:rPr>
          <w:rFonts w:ascii="Arial" w:cs="Arial" w:eastAsia="Arial" w:hAnsi="Arial"/>
          <w:sz w:val="15"/>
          <w:szCs w:val="15"/>
          <w:color w:val="auto"/>
        </w:rPr>
        <w:t xml:space="preserve"> </w:t>
      </w:r>
      <w:r>
        <w:rPr>
          <w:rFonts w:ascii="Arial" w:cs="Arial" w:eastAsia="Arial" w:hAnsi="Arial"/>
          <w:sz w:val="15"/>
          <w:szCs w:val="15"/>
          <w:i w:val="1"/>
          <w:iCs w:val="1"/>
          <w:color w:val="auto"/>
        </w:rPr>
        <w:t>Beverage, Food and Tobacco</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Drew Marine Group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Transportation: Cargo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ELO Touch Solutions, Inc.</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Fender Musical Instruments Corporation</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Hotel, Gaming &amp; Leisure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FHC Health Systems, Inc.</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13" w:lineRule="exact"/>
        <w:rPr>
          <w:sz w:val="20"/>
          <w:szCs w:val="20"/>
          <w:color w:val="auto"/>
        </w:rPr>
      </w:pPr>
    </w:p>
    <w:p>
      <w:pPr>
        <w:ind w:left="180" w:right="640" w:hanging="161"/>
        <w:spacing w:after="0"/>
        <w:rPr>
          <w:sz w:val="20"/>
          <w:szCs w:val="20"/>
          <w:color w:val="auto"/>
        </w:rPr>
      </w:pPr>
      <w:r>
        <w:rPr>
          <w:rFonts w:ascii="Arial" w:cs="Arial" w:eastAsia="Arial" w:hAnsi="Arial"/>
          <w:sz w:val="16"/>
          <w:szCs w:val="16"/>
          <w:color w:val="auto"/>
        </w:rPr>
        <w:t>First American Payment Systems, L.P.</w:t>
      </w:r>
      <w:r>
        <w:rPr>
          <w:rFonts w:ascii="Arial" w:cs="Arial" w:eastAsia="Arial" w:hAnsi="Arial"/>
          <w:sz w:val="26"/>
          <w:szCs w:val="26"/>
          <w:color w:val="auto"/>
          <w:vertAlign w:val="superscript"/>
        </w:rPr>
        <w:t>9</w:t>
      </w:r>
      <w:r>
        <w:rPr>
          <w:rFonts w:ascii="Arial" w:cs="Arial" w:eastAsia="Arial" w:hAnsi="Arial"/>
          <w:sz w:val="16"/>
          <w:szCs w:val="16"/>
          <w:color w:val="auto"/>
        </w:rPr>
        <w:t xml:space="preserve"> </w:t>
      </w:r>
      <w:r>
        <w:rPr>
          <w:rFonts w:ascii="Arial" w:cs="Arial" w:eastAsia="Arial" w:hAnsi="Arial"/>
          <w:sz w:val="16"/>
          <w:szCs w:val="16"/>
          <w:i w:val="1"/>
          <w:iCs w:val="1"/>
          <w:color w:val="auto"/>
        </w:rPr>
        <w:t>Banking, Finance, Insurance &amp; Real Estate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First Data Corporation</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Banking, Finance, Insurance &amp; Real Estate</w:t>
      </w:r>
    </w:p>
    <w:p>
      <w:pPr>
        <w:spacing w:after="0" w:line="213" w:lineRule="exact"/>
        <w:rPr>
          <w:sz w:val="20"/>
          <w:szCs w:val="20"/>
          <w:color w:val="auto"/>
        </w:rPr>
      </w:pPr>
    </w:p>
    <w:p>
      <w:pPr>
        <w:ind w:left="180" w:hanging="161"/>
        <w:spacing w:after="0" w:line="210" w:lineRule="auto"/>
        <w:rPr>
          <w:sz w:val="20"/>
          <w:szCs w:val="20"/>
          <w:color w:val="auto"/>
        </w:rPr>
      </w:pPr>
      <w:r>
        <w:rPr>
          <w:rFonts w:ascii="Arial" w:cs="Arial" w:eastAsia="Arial" w:hAnsi="Arial"/>
          <w:sz w:val="18"/>
          <w:szCs w:val="18"/>
          <w:color w:val="auto"/>
        </w:rPr>
        <w:t>Flexera Software LLC (fka Flexera Software, Inc.)</w:t>
      </w:r>
      <w:r>
        <w:rPr>
          <w:rFonts w:ascii="Arial" w:cs="Arial" w:eastAsia="Arial" w:hAnsi="Arial"/>
          <w:sz w:val="30"/>
          <w:szCs w:val="30"/>
          <w:color w:val="auto"/>
          <w:vertAlign w:val="superscript"/>
        </w:rPr>
        <w:t>9, 11</w:t>
      </w:r>
      <w:r>
        <w:rPr>
          <w:rFonts w:ascii="Arial" w:cs="Arial" w:eastAsia="Arial" w:hAnsi="Arial"/>
          <w:sz w:val="18"/>
          <w:szCs w:val="18"/>
          <w:color w:val="auto"/>
        </w:rPr>
        <w:t xml:space="preserve"> </w:t>
      </w:r>
      <w:r>
        <w:rPr>
          <w:rFonts w:ascii="Arial" w:cs="Arial" w:eastAsia="Arial" w:hAnsi="Arial"/>
          <w:sz w:val="18"/>
          <w:szCs w:val="18"/>
          <w:i w:val="1"/>
          <w:iCs w:val="1"/>
          <w:color w:val="auto"/>
        </w:rPr>
        <w:t>High Tech Industries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Fram Group Holdings Inc./Prestone Holdings Inc.</w:t>
      </w:r>
      <w:r>
        <w:rPr>
          <w:rFonts w:ascii="Arial" w:cs="Arial" w:eastAsia="Arial" w:hAnsi="Arial"/>
          <w:sz w:val="26"/>
          <w:szCs w:val="26"/>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Automotive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0"/>
              </w:rPr>
              <w:t>Fair Value</w:t>
            </w:r>
            <w:r>
              <w:rPr>
                <w:rFonts w:ascii="Arial" w:cs="Arial" w:eastAsia="Arial" w:hAnsi="Arial"/>
                <w:sz w:val="30"/>
                <w:szCs w:val="30"/>
                <w:color w:val="auto"/>
                <w:w w:val="90"/>
                <w:vertAlign w:val="superscript"/>
              </w:rPr>
              <w:t>2</w:t>
            </w:r>
          </w:p>
        </w:tc>
        <w:tc>
          <w:tcPr>
            <w:tcW w:w="0" w:type="dxa"/>
            <w:vAlign w:val="bottom"/>
          </w:tcPr>
          <w:p>
            <w:pPr>
              <w:spacing w:after="0"/>
              <w:rPr>
                <w:sz w:val="1"/>
                <w:szCs w:val="1"/>
                <w:color w:val="auto"/>
              </w:rPr>
            </w:pPr>
          </w:p>
        </w:tc>
      </w:tr>
      <w:tr>
        <w:trPr>
          <w:trHeight w:val="234"/>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Principal</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00" w:type="dxa"/>
            <w:vAlign w:val="bottom"/>
            <w:gridSpan w:val="2"/>
          </w:tcPr>
          <w:p>
            <w:pPr>
              <w:spacing w:after="0"/>
              <w:rPr>
                <w:sz w:val="20"/>
                <w:szCs w:val="20"/>
                <w:color w:val="auto"/>
              </w:rPr>
            </w:pPr>
            <w:r>
              <w:rPr>
                <w:rFonts w:ascii="Arial" w:cs="Arial" w:eastAsia="Arial" w:hAnsi="Arial"/>
                <w:sz w:val="18"/>
                <w:szCs w:val="18"/>
                <w:color w:val="auto"/>
                <w:w w:val="97"/>
              </w:rPr>
              <w:t>Junior Secured Loan — Term Loan (Second Lien)</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8.5% Cash, Due 7/21</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  3,000,000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$ 3,018,871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$ 3,001,500</w:t>
            </w:r>
          </w:p>
        </w:tc>
        <w:tc>
          <w:tcPr>
            <w:tcW w:w="0" w:type="dxa"/>
            <w:vAlign w:val="bottom"/>
          </w:tcPr>
          <w:p>
            <w:pPr>
              <w:spacing w:after="0"/>
              <w:rPr>
                <w:sz w:val="1"/>
                <w:szCs w:val="1"/>
                <w:color w:val="auto"/>
              </w:rPr>
            </w:pPr>
          </w:p>
        </w:tc>
      </w:tr>
      <w:tr>
        <w:trPr>
          <w:trHeight w:val="458"/>
        </w:trPr>
        <w:tc>
          <w:tcPr>
            <w:tcW w:w="390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4.8% Cash, Due 7/20</w:t>
            </w:r>
          </w:p>
        </w:tc>
        <w:tc>
          <w:tcPr>
            <w:tcW w:w="940" w:type="dxa"/>
            <w:vAlign w:val="bottom"/>
          </w:tcPr>
          <w:p>
            <w:pPr>
              <w:jc w:val="right"/>
              <w:spacing w:after="0"/>
              <w:rPr>
                <w:sz w:val="20"/>
                <w:szCs w:val="20"/>
                <w:color w:val="auto"/>
              </w:rPr>
            </w:pPr>
            <w:r>
              <w:rPr>
                <w:rFonts w:ascii="Arial" w:cs="Arial" w:eastAsia="Arial" w:hAnsi="Arial"/>
                <w:sz w:val="18"/>
                <w:szCs w:val="18"/>
                <w:color w:val="auto"/>
              </w:rPr>
              <w:t>3,657,500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3,655,989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3,659,329</w:t>
            </w:r>
          </w:p>
        </w:tc>
        <w:tc>
          <w:tcPr>
            <w:tcW w:w="0" w:type="dxa"/>
            <w:vAlign w:val="bottom"/>
          </w:tcPr>
          <w:p>
            <w:pPr>
              <w:spacing w:after="0"/>
              <w:rPr>
                <w:sz w:val="1"/>
                <w:szCs w:val="1"/>
                <w:color w:val="auto"/>
              </w:rPr>
            </w:pPr>
          </w:p>
        </w:tc>
      </w:tr>
      <w:tr>
        <w:trPr>
          <w:trHeight w:val="458"/>
        </w:trPr>
        <w:tc>
          <w:tcPr>
            <w:tcW w:w="390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4.0% Cash, Due 3/18</w:t>
            </w:r>
          </w:p>
        </w:tc>
        <w:tc>
          <w:tcPr>
            <w:tcW w:w="940" w:type="dxa"/>
            <w:vAlign w:val="bottom"/>
          </w:tcPr>
          <w:p>
            <w:pPr>
              <w:jc w:val="right"/>
              <w:spacing w:after="0"/>
              <w:rPr>
                <w:sz w:val="20"/>
                <w:szCs w:val="20"/>
                <w:color w:val="auto"/>
              </w:rPr>
            </w:pPr>
            <w:r>
              <w:rPr>
                <w:rFonts w:ascii="Arial" w:cs="Arial" w:eastAsia="Arial" w:hAnsi="Arial"/>
                <w:sz w:val="18"/>
                <w:szCs w:val="18"/>
                <w:color w:val="auto"/>
              </w:rPr>
              <w:t>2,789,388</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2,783,753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2,803,321</w:t>
            </w:r>
          </w:p>
        </w:tc>
        <w:tc>
          <w:tcPr>
            <w:tcW w:w="0" w:type="dxa"/>
            <w:vAlign w:val="bottom"/>
          </w:tcPr>
          <w:p>
            <w:pPr>
              <w:spacing w:after="0"/>
              <w:rPr>
                <w:sz w:val="1"/>
                <w:szCs w:val="1"/>
                <w:color w:val="auto"/>
              </w:rPr>
            </w:pPr>
          </w:p>
        </w:tc>
      </w:tr>
      <w:tr>
        <w:trPr>
          <w:trHeight w:val="458"/>
        </w:trPr>
        <w:tc>
          <w:tcPr>
            <w:tcW w:w="3900" w:type="dxa"/>
            <w:vAlign w:val="bottom"/>
            <w:gridSpan w:val="2"/>
          </w:tcPr>
          <w:p>
            <w:pPr>
              <w:spacing w:after="0"/>
              <w:rPr>
                <w:sz w:val="20"/>
                <w:szCs w:val="20"/>
                <w:color w:val="auto"/>
              </w:rPr>
            </w:pPr>
            <w:r>
              <w:rPr>
                <w:rFonts w:ascii="Arial" w:cs="Arial" w:eastAsia="Arial" w:hAnsi="Arial"/>
                <w:sz w:val="18"/>
                <w:szCs w:val="18"/>
                <w:color w:val="auto"/>
                <w:w w:val="97"/>
              </w:rPr>
              <w:t>Junior Secured Loan — Term Loan (Second Lien)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8.0% Cash, Due 5/21</w:t>
            </w:r>
          </w:p>
        </w:tc>
        <w:tc>
          <w:tcPr>
            <w:tcW w:w="940" w:type="dxa"/>
            <w:vAlign w:val="bottom"/>
          </w:tcPr>
          <w:p>
            <w:pPr>
              <w:jc w:val="right"/>
              <w:spacing w:after="0"/>
              <w:rPr>
                <w:sz w:val="20"/>
                <w:szCs w:val="20"/>
                <w:color w:val="auto"/>
              </w:rPr>
            </w:pPr>
            <w:r>
              <w:rPr>
                <w:rFonts w:ascii="Arial" w:cs="Arial" w:eastAsia="Arial" w:hAnsi="Arial"/>
                <w:sz w:val="18"/>
                <w:szCs w:val="18"/>
                <w:color w:val="auto"/>
              </w:rPr>
              <w:t>2,500,000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2,493,817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2,493,750</w:t>
            </w:r>
          </w:p>
        </w:tc>
        <w:tc>
          <w:tcPr>
            <w:tcW w:w="0" w:type="dxa"/>
            <w:vAlign w:val="bottom"/>
          </w:tcPr>
          <w:p>
            <w:pPr>
              <w:spacing w:after="0"/>
              <w:rPr>
                <w:sz w:val="1"/>
                <w:szCs w:val="1"/>
                <w:color w:val="auto"/>
              </w:rPr>
            </w:pPr>
          </w:p>
        </w:tc>
      </w:tr>
      <w:tr>
        <w:trPr>
          <w:trHeight w:val="458"/>
        </w:trPr>
        <w:tc>
          <w:tcPr>
            <w:tcW w:w="3900" w:type="dxa"/>
            <w:vAlign w:val="bottom"/>
            <w:gridSpan w:val="2"/>
          </w:tcPr>
          <w:p>
            <w:pPr>
              <w:spacing w:after="0"/>
              <w:rPr>
                <w:sz w:val="20"/>
                <w:szCs w:val="20"/>
                <w:color w:val="auto"/>
              </w:rPr>
            </w:pPr>
            <w:r>
              <w:rPr>
                <w:rFonts w:ascii="Arial" w:cs="Arial" w:eastAsia="Arial" w:hAnsi="Arial"/>
                <w:sz w:val="18"/>
                <w:szCs w:val="18"/>
                <w:color w:val="auto"/>
              </w:rPr>
              <w:t>Senior Secured Loan — Term Loan (First Lien)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8.0% Cash, Due 6/18</w:t>
            </w:r>
          </w:p>
        </w:tc>
        <w:tc>
          <w:tcPr>
            <w:tcW w:w="940" w:type="dxa"/>
            <w:vAlign w:val="bottom"/>
          </w:tcPr>
          <w:p>
            <w:pPr>
              <w:jc w:val="right"/>
              <w:spacing w:after="0"/>
              <w:rPr>
                <w:sz w:val="20"/>
                <w:szCs w:val="20"/>
                <w:color w:val="auto"/>
              </w:rPr>
            </w:pPr>
            <w:r>
              <w:rPr>
                <w:rFonts w:ascii="Arial" w:cs="Arial" w:eastAsia="Arial" w:hAnsi="Arial"/>
                <w:sz w:val="18"/>
                <w:szCs w:val="18"/>
                <w:color w:val="auto"/>
              </w:rPr>
              <w:t>1,898,703</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1,835,507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1,893,577</w:t>
            </w:r>
          </w:p>
        </w:tc>
        <w:tc>
          <w:tcPr>
            <w:tcW w:w="0" w:type="dxa"/>
            <w:vAlign w:val="bottom"/>
          </w:tcPr>
          <w:p>
            <w:pPr>
              <w:spacing w:after="0"/>
              <w:rPr>
                <w:sz w:val="1"/>
                <w:szCs w:val="1"/>
                <w:color w:val="auto"/>
              </w:rPr>
            </w:pPr>
          </w:p>
        </w:tc>
      </w:tr>
      <w:tr>
        <w:trPr>
          <w:trHeight w:val="458"/>
        </w:trPr>
        <w:tc>
          <w:tcPr>
            <w:tcW w:w="3900" w:type="dxa"/>
            <w:vAlign w:val="bottom"/>
            <w:gridSpan w:val="2"/>
          </w:tcPr>
          <w:p>
            <w:pPr>
              <w:spacing w:after="0"/>
              <w:rPr>
                <w:sz w:val="20"/>
                <w:szCs w:val="20"/>
                <w:color w:val="auto"/>
              </w:rPr>
            </w:pPr>
            <w:r>
              <w:rPr>
                <w:rFonts w:ascii="Arial" w:cs="Arial" w:eastAsia="Arial" w:hAnsi="Arial"/>
                <w:sz w:val="18"/>
                <w:szCs w:val="18"/>
                <w:color w:val="auto"/>
              </w:rPr>
              <w:t>Senior Secured Loan — Initial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5.8% Cash, Due 4/19</w:t>
            </w:r>
          </w:p>
        </w:tc>
        <w:tc>
          <w:tcPr>
            <w:tcW w:w="940" w:type="dxa"/>
            <w:vAlign w:val="bottom"/>
          </w:tcPr>
          <w:p>
            <w:pPr>
              <w:jc w:val="right"/>
              <w:spacing w:after="0"/>
              <w:rPr>
                <w:sz w:val="20"/>
                <w:szCs w:val="20"/>
                <w:color w:val="auto"/>
              </w:rPr>
            </w:pPr>
            <w:r>
              <w:rPr>
                <w:rFonts w:ascii="Arial" w:cs="Arial" w:eastAsia="Arial" w:hAnsi="Arial"/>
                <w:sz w:val="18"/>
                <w:szCs w:val="18"/>
                <w:color w:val="auto"/>
              </w:rPr>
              <w:t>2,421,986</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2,434,723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2,463,620</w:t>
            </w:r>
          </w:p>
        </w:tc>
        <w:tc>
          <w:tcPr>
            <w:tcW w:w="0" w:type="dxa"/>
            <w:vAlign w:val="bottom"/>
          </w:tcPr>
          <w:p>
            <w:pPr>
              <w:spacing w:after="0"/>
              <w:rPr>
                <w:sz w:val="1"/>
                <w:szCs w:val="1"/>
                <w:color w:val="auto"/>
              </w:rPr>
            </w:pPr>
          </w:p>
        </w:tc>
      </w:tr>
      <w:tr>
        <w:trPr>
          <w:trHeight w:val="458"/>
        </w:trPr>
        <w:tc>
          <w:tcPr>
            <w:tcW w:w="390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5.8% Cash, Due 1/18</w:t>
            </w:r>
          </w:p>
        </w:tc>
        <w:tc>
          <w:tcPr>
            <w:tcW w:w="940" w:type="dxa"/>
            <w:vAlign w:val="bottom"/>
          </w:tcPr>
          <w:p>
            <w:pPr>
              <w:jc w:val="right"/>
              <w:spacing w:after="0"/>
              <w:rPr>
                <w:sz w:val="20"/>
                <w:szCs w:val="20"/>
                <w:color w:val="auto"/>
              </w:rPr>
            </w:pPr>
            <w:r>
              <w:rPr>
                <w:rFonts w:ascii="Arial" w:cs="Arial" w:eastAsia="Arial" w:hAnsi="Arial"/>
                <w:sz w:val="18"/>
                <w:szCs w:val="18"/>
                <w:color w:val="auto"/>
              </w:rPr>
              <w:t>3,900,000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3,864,809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3,900,000</w:t>
            </w:r>
          </w:p>
        </w:tc>
        <w:tc>
          <w:tcPr>
            <w:tcW w:w="0" w:type="dxa"/>
            <w:vAlign w:val="bottom"/>
          </w:tcPr>
          <w:p>
            <w:pPr>
              <w:spacing w:after="0"/>
              <w:rPr>
                <w:sz w:val="1"/>
                <w:szCs w:val="1"/>
                <w:color w:val="auto"/>
              </w:rPr>
            </w:pPr>
          </w:p>
        </w:tc>
      </w:tr>
      <w:tr>
        <w:trPr>
          <w:trHeight w:val="458"/>
        </w:trPr>
        <w:tc>
          <w:tcPr>
            <w:tcW w:w="3900" w:type="dxa"/>
            <w:vAlign w:val="bottom"/>
            <w:gridSpan w:val="2"/>
          </w:tcPr>
          <w:p>
            <w:pPr>
              <w:spacing w:after="0"/>
              <w:rPr>
                <w:sz w:val="20"/>
                <w:szCs w:val="20"/>
                <w:color w:val="auto"/>
              </w:rPr>
            </w:pPr>
            <w:r>
              <w:rPr>
                <w:rFonts w:ascii="Arial" w:cs="Arial" w:eastAsia="Arial" w:hAnsi="Arial"/>
                <w:sz w:val="18"/>
                <w:szCs w:val="18"/>
                <w:color w:val="auto"/>
                <w:w w:val="97"/>
              </w:rPr>
              <w:t>Junior Secured Loan — Term Loan (Second Lien)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10.8% Cash, Due 4/19</w:t>
            </w:r>
          </w:p>
        </w:tc>
        <w:tc>
          <w:tcPr>
            <w:tcW w:w="940" w:type="dxa"/>
            <w:vAlign w:val="bottom"/>
          </w:tcPr>
          <w:p>
            <w:pPr>
              <w:jc w:val="right"/>
              <w:spacing w:after="0"/>
              <w:rPr>
                <w:sz w:val="20"/>
                <w:szCs w:val="20"/>
                <w:color w:val="auto"/>
              </w:rPr>
            </w:pPr>
            <w:r>
              <w:rPr>
                <w:rFonts w:ascii="Arial" w:cs="Arial" w:eastAsia="Arial" w:hAnsi="Arial"/>
                <w:sz w:val="18"/>
                <w:szCs w:val="18"/>
                <w:color w:val="auto"/>
              </w:rPr>
              <w:t>3,000,000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2,951,174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2,999,400</w:t>
            </w:r>
          </w:p>
        </w:tc>
        <w:tc>
          <w:tcPr>
            <w:tcW w:w="0" w:type="dxa"/>
            <w:vAlign w:val="bottom"/>
          </w:tcPr>
          <w:p>
            <w:pPr>
              <w:spacing w:after="0"/>
              <w:rPr>
                <w:sz w:val="1"/>
                <w:szCs w:val="1"/>
                <w:color w:val="auto"/>
              </w:rPr>
            </w:pPr>
          </w:p>
        </w:tc>
      </w:tr>
      <w:tr>
        <w:trPr>
          <w:trHeight w:val="458"/>
        </w:trPr>
        <w:tc>
          <w:tcPr>
            <w:tcW w:w="3900" w:type="dxa"/>
            <w:vAlign w:val="bottom"/>
            <w:gridSpan w:val="2"/>
          </w:tcPr>
          <w:p>
            <w:pPr>
              <w:spacing w:after="0"/>
              <w:rPr>
                <w:sz w:val="20"/>
                <w:szCs w:val="20"/>
                <w:color w:val="auto"/>
              </w:rPr>
            </w:pPr>
            <w:r>
              <w:rPr>
                <w:rFonts w:ascii="Arial" w:cs="Arial" w:eastAsia="Arial" w:hAnsi="Arial"/>
                <w:sz w:val="18"/>
                <w:szCs w:val="18"/>
                <w:color w:val="auto"/>
              </w:rPr>
              <w:t>Senior Secured Loan — 2018 Dollar Term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4.2% Cash, Due 3/18</w:t>
            </w:r>
          </w:p>
        </w:tc>
        <w:tc>
          <w:tcPr>
            <w:tcW w:w="940" w:type="dxa"/>
            <w:vAlign w:val="bottom"/>
          </w:tcPr>
          <w:p>
            <w:pPr>
              <w:jc w:val="right"/>
              <w:spacing w:after="0"/>
              <w:rPr>
                <w:sz w:val="20"/>
                <w:szCs w:val="20"/>
                <w:color w:val="auto"/>
              </w:rPr>
            </w:pPr>
            <w:r>
              <w:rPr>
                <w:rFonts w:ascii="Arial" w:cs="Arial" w:eastAsia="Arial" w:hAnsi="Arial"/>
                <w:sz w:val="18"/>
                <w:szCs w:val="18"/>
                <w:color w:val="auto"/>
              </w:rPr>
              <w:t>2,000,000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1,875,135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2,006,520</w:t>
            </w:r>
          </w:p>
        </w:tc>
        <w:tc>
          <w:tcPr>
            <w:tcW w:w="0" w:type="dxa"/>
            <w:vAlign w:val="bottom"/>
          </w:tcPr>
          <w:p>
            <w:pPr>
              <w:spacing w:after="0"/>
              <w:rPr>
                <w:sz w:val="1"/>
                <w:szCs w:val="1"/>
                <w:color w:val="auto"/>
              </w:rPr>
            </w:pPr>
          </w:p>
        </w:tc>
      </w:tr>
      <w:tr>
        <w:trPr>
          <w:trHeight w:val="458"/>
        </w:trPr>
        <w:tc>
          <w:tcPr>
            <w:tcW w:w="390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5.0% Cash, Due 3/19</w:t>
            </w:r>
          </w:p>
        </w:tc>
        <w:tc>
          <w:tcPr>
            <w:tcW w:w="940" w:type="dxa"/>
            <w:vAlign w:val="bottom"/>
          </w:tcPr>
          <w:p>
            <w:pPr>
              <w:jc w:val="right"/>
              <w:spacing w:after="0"/>
              <w:rPr>
                <w:sz w:val="20"/>
                <w:szCs w:val="20"/>
                <w:color w:val="auto"/>
              </w:rPr>
            </w:pPr>
            <w:r>
              <w:rPr>
                <w:rFonts w:ascii="Arial" w:cs="Arial" w:eastAsia="Arial" w:hAnsi="Arial"/>
                <w:sz w:val="18"/>
                <w:szCs w:val="18"/>
                <w:color w:val="auto"/>
              </w:rPr>
              <w:t>2,722,955</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2,734,588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2,725,133</w:t>
            </w:r>
          </w:p>
        </w:tc>
        <w:tc>
          <w:tcPr>
            <w:tcW w:w="0" w:type="dxa"/>
            <w:vAlign w:val="bottom"/>
          </w:tcPr>
          <w:p>
            <w:pPr>
              <w:spacing w:after="0"/>
              <w:rPr>
                <w:sz w:val="1"/>
                <w:szCs w:val="1"/>
                <w:color w:val="auto"/>
              </w:rPr>
            </w:pPr>
          </w:p>
        </w:tc>
      </w:tr>
      <w:tr>
        <w:trPr>
          <w:trHeight w:val="458"/>
        </w:trPr>
        <w:tc>
          <w:tcPr>
            <w:tcW w:w="3900" w:type="dxa"/>
            <w:vAlign w:val="bottom"/>
            <w:gridSpan w:val="2"/>
          </w:tcPr>
          <w:p>
            <w:pPr>
              <w:spacing w:after="0"/>
              <w:rPr>
                <w:sz w:val="20"/>
                <w:szCs w:val="20"/>
                <w:color w:val="auto"/>
              </w:rPr>
            </w:pPr>
            <w:r>
              <w:rPr>
                <w:rFonts w:ascii="Arial" w:cs="Arial" w:eastAsia="Arial" w:hAnsi="Arial"/>
                <w:sz w:val="18"/>
                <w:szCs w:val="18"/>
                <w:color w:val="auto"/>
              </w:rPr>
              <w:t>Senior Secured Loan — Term Loan (First Lien)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6.5% Cash, Due 7/17</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966,900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970,557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966,610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-4236085</wp:posOffset>
            </wp:positionV>
            <wp:extent cx="7246620" cy="3003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-3798570</wp:posOffset>
            </wp:positionV>
            <wp:extent cx="7246620" cy="3003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-3361055</wp:posOffset>
            </wp:positionV>
            <wp:extent cx="7246620" cy="3003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-2923540</wp:posOffset>
            </wp:positionV>
            <wp:extent cx="7246620" cy="3003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-2486025</wp:posOffset>
            </wp:positionV>
            <wp:extent cx="7246620" cy="3003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-2049145</wp:posOffset>
            </wp:positionV>
            <wp:extent cx="7246620" cy="3003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-1611630</wp:posOffset>
            </wp:positionV>
            <wp:extent cx="7246620" cy="3003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-1174115</wp:posOffset>
            </wp:positionV>
            <wp:extent cx="7246620" cy="3003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-736600</wp:posOffset>
            </wp:positionV>
            <wp:extent cx="7246620" cy="3003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-299720</wp:posOffset>
            </wp:positionV>
            <wp:extent cx="7246620" cy="3003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-4681855</wp:posOffset>
            </wp:positionV>
            <wp:extent cx="7246620" cy="3086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60" w:space="280"/>
            <w:col w:w="7180"/>
          </w:cols>
          <w:pgMar w:left="240" w:top="877" w:right="239" w:bottom="1440" w:gutter="0" w:footer="0" w:header="0"/>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Freescale Semiconductor, Inc.</w:t>
            </w:r>
          </w:p>
        </w:tc>
        <w:tc>
          <w:tcPr>
            <w:tcW w:w="492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96"/>
              </w:rPr>
              <w:t>Senior Subordinated Bond — 10.125% - 12/2016 -</w:t>
            </w: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High Tech Industries</w:t>
            </w:r>
          </w:p>
        </w:tc>
        <w:tc>
          <w:tcPr>
            <w:tcW w:w="49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35687MAP2</w:t>
            </w: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3220" w:type="dxa"/>
            <w:vAlign w:val="bottom"/>
            <w:shd w:val="clear" w:color="auto" w:fill="CCEEFF"/>
          </w:tcPr>
          <w:p>
            <w:pPr>
              <w:spacing w:after="0"/>
              <w:rPr>
                <w:sz w:val="20"/>
                <w:szCs w:val="20"/>
                <w:color w:val="auto"/>
              </w:rPr>
            </w:pPr>
          </w:p>
        </w:tc>
        <w:tc>
          <w:tcPr>
            <w:tcW w:w="49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10.1% Cash, Due 12/16</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1,036,000</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1,037,707</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1,051,540</w:t>
            </w:r>
          </w:p>
        </w:tc>
      </w:tr>
      <w:tr>
        <w:trPr>
          <w:trHeight w:val="648"/>
        </w:trPr>
        <w:tc>
          <w:tcPr>
            <w:tcW w:w="32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jc w:val="right"/>
              <w:ind w:right="2250"/>
              <w:spacing w:after="0"/>
              <w:rPr>
                <w:sz w:val="20"/>
                <w:szCs w:val="20"/>
                <w:color w:val="auto"/>
              </w:rPr>
            </w:pPr>
            <w:r>
              <w:rPr>
                <w:rFonts w:ascii="Arial" w:cs="Arial" w:eastAsia="Arial" w:hAnsi="Arial"/>
                <w:sz w:val="18"/>
                <w:szCs w:val="18"/>
                <w:color w:val="auto"/>
              </w:rPr>
              <w:t>19</w:t>
            </w:r>
          </w:p>
        </w:tc>
        <w:tc>
          <w:tcPr>
            <w:tcW w:w="1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type w:val="continuous"/>
        </w:sectPr>
      </w:pPr>
    </w:p>
    <w:bookmarkStart w:id="21" w:name="page22"/>
    <w:bookmarkEnd w:id="21"/>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Portfolio Company / Principal Business</w:t>
      </w:r>
    </w:p>
    <w:p>
      <w:pPr>
        <w:spacing w:after="0" w:line="216" w:lineRule="auto"/>
        <w:rPr>
          <w:sz w:val="20"/>
          <w:szCs w:val="20"/>
          <w:color w:val="auto"/>
        </w:rPr>
      </w:pPr>
      <w:r>
        <w:rPr>
          <w:rFonts w:ascii="Arial" w:cs="Arial" w:eastAsia="Arial" w:hAnsi="Arial"/>
          <w:sz w:val="18"/>
          <w:szCs w:val="18"/>
          <w:color w:val="auto"/>
        </w:rPr>
        <w:t>Getty Images, Inc.</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Ginn LA Conduit Lender, Inc.</w:t>
      </w:r>
      <w:r>
        <w:rPr>
          <w:rFonts w:ascii="Arial" w:cs="Arial" w:eastAsia="Arial" w:hAnsi="Arial"/>
          <w:sz w:val="30"/>
          <w:szCs w:val="30"/>
          <w:color w:val="auto"/>
          <w:vertAlign w:val="superscript"/>
        </w:rPr>
        <w:t>7, 9</w:t>
      </w:r>
    </w:p>
    <w:p>
      <w:pPr>
        <w:ind w:left="180"/>
        <w:spacing w:after="0"/>
        <w:rPr>
          <w:sz w:val="20"/>
          <w:szCs w:val="20"/>
          <w:color w:val="auto"/>
        </w:rPr>
      </w:pPr>
      <w:r>
        <w:rPr>
          <w:rFonts w:ascii="Arial" w:cs="Arial" w:eastAsia="Arial" w:hAnsi="Arial"/>
          <w:sz w:val="18"/>
          <w:szCs w:val="18"/>
          <w:i w:val="1"/>
          <w:iCs w:val="1"/>
          <w:color w:val="auto"/>
        </w:rPr>
        <w:t>Construction &amp; Building</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Ginn LA Conduit Lender, Inc.</w:t>
      </w:r>
      <w:r>
        <w:rPr>
          <w:rFonts w:ascii="Arial" w:cs="Arial" w:eastAsia="Arial" w:hAnsi="Arial"/>
          <w:sz w:val="30"/>
          <w:szCs w:val="30"/>
          <w:color w:val="auto"/>
          <w:vertAlign w:val="superscript"/>
        </w:rPr>
        <w:t>7, 9</w:t>
      </w:r>
    </w:p>
    <w:p>
      <w:pPr>
        <w:ind w:left="180"/>
        <w:spacing w:after="0"/>
        <w:rPr>
          <w:sz w:val="20"/>
          <w:szCs w:val="20"/>
          <w:color w:val="auto"/>
        </w:rPr>
      </w:pPr>
      <w:r>
        <w:rPr>
          <w:rFonts w:ascii="Arial" w:cs="Arial" w:eastAsia="Arial" w:hAnsi="Arial"/>
          <w:sz w:val="18"/>
          <w:szCs w:val="18"/>
          <w:i w:val="1"/>
          <w:iCs w:val="1"/>
          <w:color w:val="auto"/>
        </w:rPr>
        <w:t>Construction &amp; Building</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Ginn LA Conduit Lender, Inc.</w:t>
      </w:r>
      <w:r>
        <w:rPr>
          <w:rFonts w:ascii="Arial" w:cs="Arial" w:eastAsia="Arial" w:hAnsi="Arial"/>
          <w:sz w:val="30"/>
          <w:szCs w:val="30"/>
          <w:color w:val="auto"/>
          <w:vertAlign w:val="superscript"/>
        </w:rPr>
        <w:t>7, 9</w:t>
      </w:r>
    </w:p>
    <w:p>
      <w:pPr>
        <w:ind w:left="180"/>
        <w:spacing w:after="0"/>
        <w:rPr>
          <w:sz w:val="20"/>
          <w:szCs w:val="20"/>
          <w:color w:val="auto"/>
        </w:rPr>
      </w:pPr>
      <w:r>
        <w:rPr>
          <w:rFonts w:ascii="Arial" w:cs="Arial" w:eastAsia="Arial" w:hAnsi="Arial"/>
          <w:sz w:val="18"/>
          <w:szCs w:val="18"/>
          <w:i w:val="1"/>
          <w:iCs w:val="1"/>
          <w:color w:val="auto"/>
        </w:rPr>
        <w:t>Construction &amp; Building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Global Tel*Link Corporation</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Grande Communications Networks LLC</w:t>
      </w:r>
      <w:r>
        <w:rPr>
          <w:rFonts w:ascii="Arial" w:cs="Arial" w:eastAsia="Arial" w:hAnsi="Arial"/>
          <w:sz w:val="26"/>
          <w:szCs w:val="26"/>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Grupo HIMA San Pablo,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Grupo HIMA San Pablo,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Gymboree Corporation., The</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Retail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0"/>
              </w:rPr>
              <w:t>Fair Value</w:t>
            </w:r>
            <w:r>
              <w:rPr>
                <w:rFonts w:ascii="Arial" w:cs="Arial" w:eastAsia="Arial" w:hAnsi="Arial"/>
                <w:sz w:val="30"/>
                <w:szCs w:val="30"/>
                <w:color w:val="auto"/>
                <w:w w:val="90"/>
                <w:vertAlign w:val="superscript"/>
              </w:rPr>
              <w:t>2</w:t>
            </w:r>
          </w:p>
        </w:tc>
        <w:tc>
          <w:tcPr>
            <w:tcW w:w="0" w:type="dxa"/>
            <w:vAlign w:val="bottom"/>
          </w:tcPr>
          <w:p>
            <w:pPr>
              <w:spacing w:after="0"/>
              <w:rPr>
                <w:sz w:val="1"/>
                <w:szCs w:val="1"/>
                <w:color w:val="auto"/>
              </w:rPr>
            </w:pPr>
          </w:p>
        </w:tc>
      </w:tr>
      <w:tr>
        <w:trPr>
          <w:trHeight w:val="234"/>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Principal</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00" w:type="dxa"/>
            <w:vAlign w:val="bottom"/>
            <w:gridSpan w:val="3"/>
          </w:tcPr>
          <w:p>
            <w:pPr>
              <w:spacing w:after="0"/>
              <w:rPr>
                <w:sz w:val="20"/>
                <w:szCs w:val="20"/>
                <w:color w:val="auto"/>
              </w:rPr>
            </w:pPr>
            <w:r>
              <w:rPr>
                <w:rFonts w:ascii="Arial" w:cs="Arial" w:eastAsia="Arial" w:hAnsi="Arial"/>
                <w:sz w:val="18"/>
                <w:szCs w:val="18"/>
                <w:color w:val="auto"/>
              </w:rPr>
              <w:t>Senior Secured Loan — Initial Term Loan</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4.8%</w:t>
            </w:r>
          </w:p>
        </w:tc>
        <w:tc>
          <w:tcPr>
            <w:tcW w:w="3500" w:type="dxa"/>
            <w:vAlign w:val="bottom"/>
            <w:gridSpan w:val="2"/>
          </w:tcPr>
          <w:p>
            <w:pPr>
              <w:ind w:left="20"/>
              <w:spacing w:after="0"/>
              <w:rPr>
                <w:sz w:val="20"/>
                <w:szCs w:val="20"/>
                <w:color w:val="auto"/>
              </w:rPr>
            </w:pPr>
            <w:r>
              <w:rPr>
                <w:rFonts w:ascii="Arial" w:cs="Arial" w:eastAsia="Arial" w:hAnsi="Arial"/>
                <w:sz w:val="18"/>
                <w:szCs w:val="18"/>
                <w:color w:val="auto"/>
              </w:rPr>
              <w:t>Cash, Due 10/19</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  3,711,259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$ 3,711,065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$ 3,471,698</w:t>
            </w:r>
          </w:p>
        </w:tc>
        <w:tc>
          <w:tcPr>
            <w:tcW w:w="0" w:type="dxa"/>
            <w:vAlign w:val="bottom"/>
          </w:tcPr>
          <w:p>
            <w:pPr>
              <w:spacing w:after="0"/>
              <w:rPr>
                <w:sz w:val="1"/>
                <w:szCs w:val="1"/>
                <w:color w:val="auto"/>
              </w:rPr>
            </w:pPr>
          </w:p>
        </w:tc>
      </w:tr>
      <w:tr>
        <w:trPr>
          <w:trHeight w:val="418"/>
        </w:trPr>
        <w:tc>
          <w:tcPr>
            <w:tcW w:w="3900" w:type="dxa"/>
            <w:vAlign w:val="bottom"/>
            <w:gridSpan w:val="3"/>
          </w:tcPr>
          <w:p>
            <w:pPr>
              <w:spacing w:after="0"/>
              <w:rPr>
                <w:sz w:val="20"/>
                <w:szCs w:val="20"/>
                <w:color w:val="auto"/>
              </w:rPr>
            </w:pPr>
            <w:r>
              <w:rPr>
                <w:rFonts w:ascii="Arial" w:cs="Arial" w:eastAsia="Arial" w:hAnsi="Arial"/>
                <w:sz w:val="18"/>
                <w:szCs w:val="18"/>
                <w:color w:val="auto"/>
              </w:rPr>
              <w:t>Senior Secured Loan — First Lien Tranche A</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Credit-Linked Deposit</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7.8%</w:t>
            </w:r>
          </w:p>
        </w:tc>
        <w:tc>
          <w:tcPr>
            <w:tcW w:w="3500" w:type="dxa"/>
            <w:vAlign w:val="bottom"/>
            <w:gridSpan w:val="2"/>
          </w:tcPr>
          <w:p>
            <w:pPr>
              <w:ind w:left="20"/>
              <w:spacing w:after="0"/>
              <w:rPr>
                <w:sz w:val="20"/>
                <w:szCs w:val="20"/>
                <w:color w:val="auto"/>
              </w:rPr>
            </w:pPr>
            <w:r>
              <w:rPr>
                <w:rFonts w:ascii="Arial" w:cs="Arial" w:eastAsia="Arial" w:hAnsi="Arial"/>
                <w:sz w:val="18"/>
                <w:szCs w:val="18"/>
                <w:color w:val="auto"/>
              </w:rPr>
              <w:t>Cash, Due 6/11</w:t>
            </w:r>
          </w:p>
        </w:tc>
        <w:tc>
          <w:tcPr>
            <w:tcW w:w="940" w:type="dxa"/>
            <w:vAlign w:val="bottom"/>
          </w:tcPr>
          <w:p>
            <w:pPr>
              <w:jc w:val="right"/>
              <w:spacing w:after="0"/>
              <w:rPr>
                <w:sz w:val="20"/>
                <w:szCs w:val="20"/>
                <w:color w:val="auto"/>
              </w:rPr>
            </w:pPr>
            <w:r>
              <w:rPr>
                <w:rFonts w:ascii="Arial" w:cs="Arial" w:eastAsia="Arial" w:hAnsi="Arial"/>
                <w:sz w:val="18"/>
                <w:szCs w:val="18"/>
                <w:color w:val="auto"/>
              </w:rPr>
              <w:t>1,257,143</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1,224,101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37,714</w:t>
            </w:r>
          </w:p>
        </w:tc>
        <w:tc>
          <w:tcPr>
            <w:tcW w:w="0" w:type="dxa"/>
            <w:vAlign w:val="bottom"/>
          </w:tcPr>
          <w:p>
            <w:pPr>
              <w:spacing w:after="0"/>
              <w:rPr>
                <w:sz w:val="1"/>
                <w:szCs w:val="1"/>
                <w:color w:val="auto"/>
              </w:rPr>
            </w:pPr>
          </w:p>
        </w:tc>
      </w:tr>
      <w:tr>
        <w:trPr>
          <w:trHeight w:val="418"/>
        </w:trPr>
        <w:tc>
          <w:tcPr>
            <w:tcW w:w="3900" w:type="dxa"/>
            <w:vAlign w:val="bottom"/>
            <w:gridSpan w:val="3"/>
          </w:tcPr>
          <w:p>
            <w:pPr>
              <w:spacing w:after="0"/>
              <w:rPr>
                <w:sz w:val="20"/>
                <w:szCs w:val="20"/>
                <w:color w:val="auto"/>
              </w:rPr>
            </w:pPr>
            <w:r>
              <w:rPr>
                <w:rFonts w:ascii="Arial" w:cs="Arial" w:eastAsia="Arial" w:hAnsi="Arial"/>
                <w:sz w:val="18"/>
                <w:szCs w:val="18"/>
                <w:color w:val="auto"/>
                <w:w w:val="95"/>
              </w:rPr>
              <w:t>Senior Secured Loan — First Lien Tranche B Term</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Loan</w:t>
            </w: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7.8%</w:t>
            </w:r>
          </w:p>
        </w:tc>
        <w:tc>
          <w:tcPr>
            <w:tcW w:w="3500" w:type="dxa"/>
            <w:vAlign w:val="bottom"/>
            <w:gridSpan w:val="2"/>
          </w:tcPr>
          <w:p>
            <w:pPr>
              <w:ind w:left="20"/>
              <w:spacing w:after="0"/>
              <w:rPr>
                <w:sz w:val="20"/>
                <w:szCs w:val="20"/>
                <w:color w:val="auto"/>
              </w:rPr>
            </w:pPr>
            <w:r>
              <w:rPr>
                <w:rFonts w:ascii="Arial" w:cs="Arial" w:eastAsia="Arial" w:hAnsi="Arial"/>
                <w:sz w:val="18"/>
                <w:szCs w:val="18"/>
                <w:color w:val="auto"/>
              </w:rPr>
              <w:t>Cash, Due 6/11</w:t>
            </w:r>
          </w:p>
        </w:tc>
        <w:tc>
          <w:tcPr>
            <w:tcW w:w="940" w:type="dxa"/>
            <w:vAlign w:val="bottom"/>
          </w:tcPr>
          <w:p>
            <w:pPr>
              <w:jc w:val="right"/>
              <w:spacing w:after="0"/>
              <w:rPr>
                <w:sz w:val="20"/>
                <w:szCs w:val="20"/>
                <w:color w:val="auto"/>
              </w:rPr>
            </w:pPr>
            <w:r>
              <w:rPr>
                <w:rFonts w:ascii="Arial" w:cs="Arial" w:eastAsia="Arial" w:hAnsi="Arial"/>
                <w:sz w:val="18"/>
                <w:szCs w:val="18"/>
                <w:color w:val="auto"/>
              </w:rPr>
              <w:t>2,694,857</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2,624,028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80,846</w:t>
            </w:r>
          </w:p>
        </w:tc>
        <w:tc>
          <w:tcPr>
            <w:tcW w:w="0" w:type="dxa"/>
            <w:vAlign w:val="bottom"/>
          </w:tcPr>
          <w:p>
            <w:pPr>
              <w:spacing w:after="0"/>
              <w:rPr>
                <w:sz w:val="1"/>
                <w:szCs w:val="1"/>
                <w:color w:val="auto"/>
              </w:rPr>
            </w:pPr>
          </w:p>
        </w:tc>
      </w:tr>
      <w:tr>
        <w:trPr>
          <w:trHeight w:val="458"/>
        </w:trPr>
        <w:tc>
          <w:tcPr>
            <w:tcW w:w="3900" w:type="dxa"/>
            <w:vAlign w:val="bottom"/>
            <w:gridSpan w:val="3"/>
          </w:tcPr>
          <w:p>
            <w:pPr>
              <w:spacing w:after="0"/>
              <w:rPr>
                <w:sz w:val="20"/>
                <w:szCs w:val="20"/>
                <w:color w:val="auto"/>
              </w:rPr>
            </w:pPr>
            <w:r>
              <w:rPr>
                <w:rFonts w:ascii="Arial" w:cs="Arial" w:eastAsia="Arial" w:hAnsi="Arial"/>
                <w:sz w:val="18"/>
                <w:szCs w:val="18"/>
                <w:color w:val="auto"/>
              </w:rPr>
              <w:t>Junior Secured Loan — Loan (Second Lien)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00" w:type="dxa"/>
            <w:vAlign w:val="bottom"/>
            <w:gridSpan w:val="3"/>
          </w:tcPr>
          <w:p>
            <w:pPr>
              <w:spacing w:after="0"/>
              <w:rPr>
                <w:sz w:val="20"/>
                <w:szCs w:val="20"/>
                <w:color w:val="auto"/>
              </w:rPr>
            </w:pPr>
            <w:r>
              <w:rPr>
                <w:rFonts w:ascii="Arial" w:cs="Arial" w:eastAsia="Arial" w:hAnsi="Arial"/>
                <w:sz w:val="18"/>
                <w:szCs w:val="18"/>
                <w:color w:val="auto"/>
              </w:rPr>
              <w:t>11.8% Cash, Due 6/12</w:t>
            </w:r>
          </w:p>
        </w:tc>
        <w:tc>
          <w:tcPr>
            <w:tcW w:w="940" w:type="dxa"/>
            <w:vAlign w:val="bottom"/>
          </w:tcPr>
          <w:p>
            <w:pPr>
              <w:jc w:val="right"/>
              <w:spacing w:after="0"/>
              <w:rPr>
                <w:sz w:val="20"/>
                <w:szCs w:val="20"/>
                <w:color w:val="auto"/>
              </w:rPr>
            </w:pPr>
            <w:r>
              <w:rPr>
                <w:rFonts w:ascii="Arial" w:cs="Arial" w:eastAsia="Arial" w:hAnsi="Arial"/>
                <w:sz w:val="18"/>
                <w:szCs w:val="18"/>
                <w:color w:val="auto"/>
              </w:rPr>
              <w:t>3,000,000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2,715,997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30,015</w:t>
            </w:r>
          </w:p>
        </w:tc>
        <w:tc>
          <w:tcPr>
            <w:tcW w:w="0" w:type="dxa"/>
            <w:vAlign w:val="bottom"/>
          </w:tcPr>
          <w:p>
            <w:pPr>
              <w:spacing w:after="0"/>
              <w:rPr>
                <w:sz w:val="1"/>
                <w:szCs w:val="1"/>
                <w:color w:val="auto"/>
              </w:rPr>
            </w:pPr>
          </w:p>
        </w:tc>
      </w:tr>
      <w:tr>
        <w:trPr>
          <w:trHeight w:val="458"/>
        </w:trPr>
        <w:tc>
          <w:tcPr>
            <w:tcW w:w="3900" w:type="dxa"/>
            <w:vAlign w:val="bottom"/>
            <w:gridSpan w:val="3"/>
          </w:tcPr>
          <w:p>
            <w:pPr>
              <w:spacing w:after="0"/>
              <w:rPr>
                <w:sz w:val="20"/>
                <w:szCs w:val="20"/>
                <w:color w:val="auto"/>
              </w:rPr>
            </w:pPr>
            <w:r>
              <w:rPr>
                <w:rFonts w:ascii="Arial" w:cs="Arial" w:eastAsia="Arial" w:hAnsi="Arial"/>
                <w:sz w:val="18"/>
                <w:szCs w:val="18"/>
                <w:color w:val="auto"/>
                <w:w w:val="97"/>
              </w:rPr>
              <w:t>Junior Secured Loan — Term Loan (Second Lien)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9.0%</w:t>
            </w:r>
          </w:p>
        </w:tc>
        <w:tc>
          <w:tcPr>
            <w:tcW w:w="3500" w:type="dxa"/>
            <w:vAlign w:val="bottom"/>
            <w:gridSpan w:val="2"/>
          </w:tcPr>
          <w:p>
            <w:pPr>
              <w:ind w:left="20"/>
              <w:spacing w:after="0"/>
              <w:rPr>
                <w:sz w:val="20"/>
                <w:szCs w:val="20"/>
                <w:color w:val="auto"/>
              </w:rPr>
            </w:pPr>
            <w:r>
              <w:rPr>
                <w:rFonts w:ascii="Arial" w:cs="Arial" w:eastAsia="Arial" w:hAnsi="Arial"/>
                <w:sz w:val="18"/>
                <w:szCs w:val="18"/>
                <w:color w:val="auto"/>
              </w:rPr>
              <w:t>Cash, Due 11/20</w:t>
            </w:r>
          </w:p>
        </w:tc>
        <w:tc>
          <w:tcPr>
            <w:tcW w:w="940" w:type="dxa"/>
            <w:vAlign w:val="bottom"/>
          </w:tcPr>
          <w:p>
            <w:pPr>
              <w:jc w:val="right"/>
              <w:spacing w:after="0"/>
              <w:rPr>
                <w:sz w:val="20"/>
                <w:szCs w:val="20"/>
                <w:color w:val="auto"/>
              </w:rPr>
            </w:pPr>
            <w:r>
              <w:rPr>
                <w:rFonts w:ascii="Arial" w:cs="Arial" w:eastAsia="Arial" w:hAnsi="Arial"/>
                <w:sz w:val="18"/>
                <w:szCs w:val="18"/>
                <w:color w:val="auto"/>
              </w:rPr>
              <w:t>4,000,000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3,924,752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3,991,600</w:t>
            </w:r>
          </w:p>
        </w:tc>
        <w:tc>
          <w:tcPr>
            <w:tcW w:w="0" w:type="dxa"/>
            <w:vAlign w:val="bottom"/>
          </w:tcPr>
          <w:p>
            <w:pPr>
              <w:spacing w:after="0"/>
              <w:rPr>
                <w:sz w:val="1"/>
                <w:szCs w:val="1"/>
                <w:color w:val="auto"/>
              </w:rPr>
            </w:pPr>
          </w:p>
        </w:tc>
      </w:tr>
      <w:tr>
        <w:trPr>
          <w:trHeight w:val="458"/>
        </w:trPr>
        <w:tc>
          <w:tcPr>
            <w:tcW w:w="3900" w:type="dxa"/>
            <w:vAlign w:val="bottom"/>
            <w:gridSpan w:val="3"/>
          </w:tcPr>
          <w:p>
            <w:pPr>
              <w:spacing w:after="0"/>
              <w:rPr>
                <w:sz w:val="20"/>
                <w:szCs w:val="20"/>
                <w:color w:val="auto"/>
              </w:rPr>
            </w:pPr>
            <w:r>
              <w:rPr>
                <w:rFonts w:ascii="Arial" w:cs="Arial" w:eastAsia="Arial" w:hAnsi="Arial"/>
                <w:sz w:val="18"/>
                <w:szCs w:val="18"/>
                <w:color w:val="auto"/>
              </w:rPr>
              <w:t>Senior Secured Loan — Initial Term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4.5%</w:t>
            </w:r>
          </w:p>
        </w:tc>
        <w:tc>
          <w:tcPr>
            <w:tcW w:w="3500" w:type="dxa"/>
            <w:vAlign w:val="bottom"/>
            <w:gridSpan w:val="2"/>
          </w:tcPr>
          <w:p>
            <w:pPr>
              <w:ind w:left="20"/>
              <w:spacing w:after="0"/>
              <w:rPr>
                <w:sz w:val="20"/>
                <w:szCs w:val="20"/>
                <w:color w:val="auto"/>
              </w:rPr>
            </w:pPr>
            <w:r>
              <w:rPr>
                <w:rFonts w:ascii="Arial" w:cs="Arial" w:eastAsia="Arial" w:hAnsi="Arial"/>
                <w:sz w:val="18"/>
                <w:szCs w:val="18"/>
                <w:color w:val="auto"/>
              </w:rPr>
              <w:t>Cash, Due 5/20</w:t>
            </w:r>
          </w:p>
        </w:tc>
        <w:tc>
          <w:tcPr>
            <w:tcW w:w="940" w:type="dxa"/>
            <w:vAlign w:val="bottom"/>
          </w:tcPr>
          <w:p>
            <w:pPr>
              <w:jc w:val="right"/>
              <w:spacing w:after="0"/>
              <w:rPr>
                <w:sz w:val="20"/>
                <w:szCs w:val="20"/>
                <w:color w:val="auto"/>
              </w:rPr>
            </w:pPr>
            <w:r>
              <w:rPr>
                <w:rFonts w:ascii="Arial" w:cs="Arial" w:eastAsia="Arial" w:hAnsi="Arial"/>
                <w:sz w:val="18"/>
                <w:szCs w:val="18"/>
                <w:color w:val="auto"/>
              </w:rPr>
              <w:t>3,980,000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3,985,209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3,980,398</w:t>
            </w:r>
          </w:p>
        </w:tc>
        <w:tc>
          <w:tcPr>
            <w:tcW w:w="0" w:type="dxa"/>
            <w:vAlign w:val="bottom"/>
          </w:tcPr>
          <w:p>
            <w:pPr>
              <w:spacing w:after="0"/>
              <w:rPr>
                <w:sz w:val="1"/>
                <w:szCs w:val="1"/>
                <w:color w:val="auto"/>
              </w:rPr>
            </w:pPr>
          </w:p>
        </w:tc>
      </w:tr>
      <w:tr>
        <w:trPr>
          <w:trHeight w:val="458"/>
        </w:trPr>
        <w:tc>
          <w:tcPr>
            <w:tcW w:w="3900" w:type="dxa"/>
            <w:vAlign w:val="bottom"/>
            <w:gridSpan w:val="3"/>
          </w:tcPr>
          <w:p>
            <w:pPr>
              <w:spacing w:after="0"/>
              <w:rPr>
                <w:sz w:val="20"/>
                <w:szCs w:val="20"/>
                <w:color w:val="auto"/>
              </w:rPr>
            </w:pPr>
            <w:r>
              <w:rPr>
                <w:rFonts w:ascii="Arial" w:cs="Arial" w:eastAsia="Arial" w:hAnsi="Arial"/>
                <w:sz w:val="18"/>
                <w:szCs w:val="18"/>
                <w:color w:val="auto"/>
                <w:w w:val="98"/>
              </w:rPr>
              <w:t>Senior Secured Loan — Term B Loan (First Lien)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8.5%</w:t>
            </w:r>
          </w:p>
        </w:tc>
        <w:tc>
          <w:tcPr>
            <w:tcW w:w="3500" w:type="dxa"/>
            <w:vAlign w:val="bottom"/>
            <w:gridSpan w:val="2"/>
          </w:tcPr>
          <w:p>
            <w:pPr>
              <w:ind w:left="20"/>
              <w:spacing w:after="0"/>
              <w:rPr>
                <w:sz w:val="20"/>
                <w:szCs w:val="20"/>
                <w:color w:val="auto"/>
              </w:rPr>
            </w:pPr>
            <w:r>
              <w:rPr>
                <w:rFonts w:ascii="Arial" w:cs="Arial" w:eastAsia="Arial" w:hAnsi="Arial"/>
                <w:sz w:val="18"/>
                <w:szCs w:val="18"/>
                <w:color w:val="auto"/>
              </w:rPr>
              <w:t>PIK, Due 1/18</w:t>
            </w:r>
          </w:p>
        </w:tc>
        <w:tc>
          <w:tcPr>
            <w:tcW w:w="940" w:type="dxa"/>
            <w:vAlign w:val="bottom"/>
          </w:tcPr>
          <w:p>
            <w:pPr>
              <w:jc w:val="right"/>
              <w:spacing w:after="0"/>
              <w:rPr>
                <w:sz w:val="20"/>
                <w:szCs w:val="20"/>
                <w:color w:val="auto"/>
              </w:rPr>
            </w:pPr>
            <w:r>
              <w:rPr>
                <w:rFonts w:ascii="Arial" w:cs="Arial" w:eastAsia="Arial" w:hAnsi="Arial"/>
                <w:sz w:val="18"/>
                <w:szCs w:val="18"/>
                <w:color w:val="auto"/>
              </w:rPr>
              <w:t>2,977,500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2,928,848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2,813,738</w:t>
            </w:r>
          </w:p>
        </w:tc>
        <w:tc>
          <w:tcPr>
            <w:tcW w:w="0" w:type="dxa"/>
            <w:vAlign w:val="bottom"/>
          </w:tcPr>
          <w:p>
            <w:pPr>
              <w:spacing w:after="0"/>
              <w:rPr>
                <w:sz w:val="1"/>
                <w:szCs w:val="1"/>
                <w:color w:val="auto"/>
              </w:rPr>
            </w:pPr>
          </w:p>
        </w:tc>
      </w:tr>
      <w:tr>
        <w:trPr>
          <w:trHeight w:val="458"/>
        </w:trPr>
        <w:tc>
          <w:tcPr>
            <w:tcW w:w="3900" w:type="dxa"/>
            <w:vAlign w:val="bottom"/>
            <w:gridSpan w:val="3"/>
          </w:tcPr>
          <w:p>
            <w:pPr>
              <w:spacing w:after="0"/>
              <w:rPr>
                <w:sz w:val="20"/>
                <w:szCs w:val="20"/>
                <w:color w:val="auto"/>
              </w:rPr>
            </w:pPr>
            <w:r>
              <w:rPr>
                <w:rFonts w:ascii="Arial" w:cs="Arial" w:eastAsia="Arial" w:hAnsi="Arial"/>
                <w:sz w:val="18"/>
                <w:szCs w:val="18"/>
                <w:color w:val="auto"/>
                <w:w w:val="97"/>
              </w:rPr>
              <w:t>Junior Secured Loan — Term Loan (Second Lien)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00" w:type="dxa"/>
            <w:vAlign w:val="bottom"/>
            <w:gridSpan w:val="3"/>
          </w:tcPr>
          <w:p>
            <w:pPr>
              <w:spacing w:after="0"/>
              <w:rPr>
                <w:sz w:val="20"/>
                <w:szCs w:val="20"/>
                <w:color w:val="auto"/>
              </w:rPr>
            </w:pPr>
            <w:r>
              <w:rPr>
                <w:rFonts w:ascii="Arial" w:cs="Arial" w:eastAsia="Arial" w:hAnsi="Arial"/>
                <w:sz w:val="18"/>
                <w:szCs w:val="18"/>
                <w:color w:val="auto"/>
              </w:rPr>
              <w:t>13.8% PIK, Due 7/18</w:t>
            </w:r>
          </w:p>
        </w:tc>
        <w:tc>
          <w:tcPr>
            <w:tcW w:w="940" w:type="dxa"/>
            <w:vAlign w:val="bottom"/>
          </w:tcPr>
          <w:p>
            <w:pPr>
              <w:jc w:val="right"/>
              <w:spacing w:after="0"/>
              <w:rPr>
                <w:sz w:val="20"/>
                <w:szCs w:val="20"/>
                <w:color w:val="auto"/>
              </w:rPr>
            </w:pPr>
            <w:r>
              <w:rPr>
                <w:rFonts w:ascii="Arial" w:cs="Arial" w:eastAsia="Arial" w:hAnsi="Arial"/>
                <w:sz w:val="18"/>
                <w:szCs w:val="18"/>
                <w:color w:val="auto"/>
              </w:rPr>
              <w:t>7,000,000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6,865,363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6,817,300</w:t>
            </w:r>
          </w:p>
        </w:tc>
        <w:tc>
          <w:tcPr>
            <w:tcW w:w="0" w:type="dxa"/>
            <w:vAlign w:val="bottom"/>
          </w:tcPr>
          <w:p>
            <w:pPr>
              <w:spacing w:after="0"/>
              <w:rPr>
                <w:sz w:val="1"/>
                <w:szCs w:val="1"/>
                <w:color w:val="auto"/>
              </w:rPr>
            </w:pPr>
          </w:p>
        </w:tc>
      </w:tr>
      <w:tr>
        <w:trPr>
          <w:trHeight w:val="458"/>
        </w:trPr>
        <w:tc>
          <w:tcPr>
            <w:tcW w:w="390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5.0%</w:t>
            </w:r>
          </w:p>
        </w:tc>
        <w:tc>
          <w:tcPr>
            <w:tcW w:w="3500" w:type="dxa"/>
            <w:vAlign w:val="bottom"/>
            <w:gridSpan w:val="2"/>
          </w:tcPr>
          <w:p>
            <w:pPr>
              <w:ind w:left="20"/>
              <w:spacing w:after="0"/>
              <w:rPr>
                <w:sz w:val="20"/>
                <w:szCs w:val="20"/>
                <w:color w:val="auto"/>
              </w:rPr>
            </w:pPr>
            <w:r>
              <w:rPr>
                <w:rFonts w:ascii="Arial" w:cs="Arial" w:eastAsia="Arial" w:hAnsi="Arial"/>
                <w:sz w:val="18"/>
                <w:szCs w:val="18"/>
                <w:color w:val="auto"/>
              </w:rPr>
              <w:t>Cash, Due 2/18</w:t>
            </w:r>
          </w:p>
        </w:tc>
        <w:tc>
          <w:tcPr>
            <w:tcW w:w="940" w:type="dxa"/>
            <w:vAlign w:val="bottom"/>
          </w:tcPr>
          <w:p>
            <w:pPr>
              <w:jc w:val="right"/>
              <w:spacing w:after="0"/>
              <w:rPr>
                <w:sz w:val="20"/>
                <w:szCs w:val="20"/>
                <w:color w:val="auto"/>
              </w:rPr>
            </w:pPr>
            <w:r>
              <w:rPr>
                <w:rFonts w:ascii="Arial" w:cs="Arial" w:eastAsia="Arial" w:hAnsi="Arial"/>
                <w:sz w:val="18"/>
                <w:szCs w:val="18"/>
                <w:color w:val="auto"/>
              </w:rPr>
              <w:t>1,421,105</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1,377,305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1,332,286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-3583940</wp:posOffset>
            </wp:positionV>
            <wp:extent cx="7246620" cy="411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-3035300</wp:posOffset>
            </wp:positionV>
            <wp:extent cx="7246620" cy="411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-2486025</wp:posOffset>
            </wp:positionV>
            <wp:extent cx="7246620" cy="3003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-2049145</wp:posOffset>
            </wp:positionV>
            <wp:extent cx="7246620" cy="3003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-1611630</wp:posOffset>
            </wp:positionV>
            <wp:extent cx="7246620" cy="3003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-1174115</wp:posOffset>
            </wp:positionV>
            <wp:extent cx="7246620" cy="3003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-736600</wp:posOffset>
            </wp:positionV>
            <wp:extent cx="7246620" cy="3003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-299720</wp:posOffset>
            </wp:positionV>
            <wp:extent cx="7246620" cy="3003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-4029710</wp:posOffset>
            </wp:positionV>
            <wp:extent cx="7246620" cy="3086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720"/>
            <w:col w:w="7180"/>
          </w:cols>
          <w:pgMar w:left="240" w:top="877" w:right="239" w:bottom="1440" w:gutter="0" w:footer="0" w:header="0"/>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w w:val="94"/>
              </w:rPr>
              <w:t>Hargray Communications Group, Inc. (HCP Acquisition</w:t>
            </w:r>
          </w:p>
        </w:tc>
        <w:tc>
          <w:tcPr>
            <w:tcW w:w="39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4140" w:type="dxa"/>
            <w:vAlign w:val="bottom"/>
            <w:shd w:val="clear" w:color="auto" w:fill="CCEEFF"/>
          </w:tcPr>
          <w:p>
            <w:pPr>
              <w:spacing w:after="0" w:line="253" w:lineRule="exact"/>
              <w:rPr>
                <w:sz w:val="20"/>
                <w:szCs w:val="20"/>
                <w:color w:val="auto"/>
              </w:rPr>
            </w:pPr>
            <w:r>
              <w:rPr>
                <w:rFonts w:ascii="Arial" w:cs="Arial" w:eastAsia="Arial" w:hAnsi="Arial"/>
                <w:sz w:val="29"/>
                <w:szCs w:val="29"/>
                <w:color w:val="auto"/>
                <w:vertAlign w:val="subscript"/>
              </w:rPr>
              <w:t>LLC)</w:t>
            </w:r>
            <w:r>
              <w:rPr>
                <w:rFonts w:ascii="Arial" w:cs="Arial" w:eastAsia="Arial" w:hAnsi="Arial"/>
                <w:sz w:val="13"/>
                <w:szCs w:val="13"/>
                <w:color w:val="auto"/>
              </w:rPr>
              <w:t>9, 11</w:t>
            </w: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Secured Loan — Initial Term Loan</w:t>
            </w:r>
          </w:p>
        </w:tc>
        <w:tc>
          <w:tcPr>
            <w:tcW w:w="1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Broadcasting &amp; Subscription</w:t>
            </w: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4.8% Cash, Due 6/19</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2,985,000</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2,957,575</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2,986,194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8"/>
              </w:rPr>
              <w:t>Harland Clarke Holdings Corp. (fka Clarke American</w:t>
            </w:r>
          </w:p>
        </w:tc>
        <w:tc>
          <w:tcPr>
            <w:tcW w:w="39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414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Corp.)</w:t>
            </w:r>
            <w:r>
              <w:rPr>
                <w:rFonts w:ascii="Arial" w:cs="Arial" w:eastAsia="Arial" w:hAnsi="Arial"/>
                <w:sz w:val="29"/>
                <w:szCs w:val="29"/>
                <w:color w:val="auto"/>
                <w:vertAlign w:val="superscript"/>
              </w:rPr>
              <w:t>9, 11</w:t>
            </w: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Senior Secured Loan — Tranche B-3 Term Loan</w:t>
            </w:r>
          </w:p>
        </w:tc>
        <w:tc>
          <w:tcPr>
            <w:tcW w:w="1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Media: Advertising, Printing &amp; Publishing</w:t>
            </w: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7.0% Cash, Due 5/18</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3,456,250</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3,424,170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3,488,341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14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Hunter Defense Technologies, Inc.</w:t>
            </w:r>
            <w:r>
              <w:rPr>
                <w:rFonts w:ascii="Arial" w:cs="Arial" w:eastAsia="Arial" w:hAnsi="Arial"/>
                <w:sz w:val="28"/>
                <w:szCs w:val="28"/>
                <w:color w:val="auto"/>
                <w:vertAlign w:val="superscript"/>
              </w:rPr>
              <w:t>9</w:t>
            </w: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Junior Secured Loan — Term Loan (Second Lien)</w:t>
            </w:r>
          </w:p>
        </w:tc>
        <w:tc>
          <w:tcPr>
            <w:tcW w:w="1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Aerospace and Defense</w:t>
            </w: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7.0% Cash, Due 2/15</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4,074,074</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4,049,553</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3,911,111</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20</w:t>
            </w:r>
          </w:p>
        </w:tc>
        <w:tc>
          <w:tcPr>
            <w:tcW w:w="1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type w:val="continuous"/>
        </w:sectPr>
      </w:pPr>
    </w:p>
    <w:bookmarkStart w:id="22" w:name="page23"/>
    <w:bookmarkEnd w:id="22"/>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 / Principal Business</w:t>
      </w:r>
    </w:p>
    <w:p>
      <w:pPr>
        <w:spacing w:after="0" w:line="208" w:lineRule="auto"/>
        <w:rPr>
          <w:sz w:val="20"/>
          <w:szCs w:val="20"/>
          <w:color w:val="auto"/>
        </w:rPr>
      </w:pPr>
      <w:r>
        <w:rPr>
          <w:rFonts w:ascii="Arial" w:cs="Arial" w:eastAsia="Arial" w:hAnsi="Arial"/>
          <w:sz w:val="18"/>
          <w:szCs w:val="18"/>
          <w:color w:val="auto"/>
        </w:rPr>
        <w:t>Iasis Healthcare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Healthcare, Education and Childcare</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International Architectural Products, Inc.</w:t>
      </w:r>
      <w:r>
        <w:rPr>
          <w:rFonts w:ascii="Arial" w:cs="Arial" w:eastAsia="Arial" w:hAnsi="Arial"/>
          <w:sz w:val="30"/>
          <w:szCs w:val="30"/>
          <w:color w:val="auto"/>
          <w:vertAlign w:val="superscript"/>
        </w:rPr>
        <w:t>7, 9</w:t>
      </w:r>
    </w:p>
    <w:p>
      <w:pPr>
        <w:ind w:left="180"/>
        <w:spacing w:after="0"/>
        <w:rPr>
          <w:sz w:val="20"/>
          <w:szCs w:val="20"/>
          <w:color w:val="auto"/>
        </w:rPr>
      </w:pPr>
      <w:r>
        <w:rPr>
          <w:rFonts w:ascii="Arial" w:cs="Arial" w:eastAsia="Arial" w:hAnsi="Arial"/>
          <w:sz w:val="18"/>
          <w:szCs w:val="18"/>
          <w:i w:val="1"/>
          <w:iCs w:val="1"/>
          <w:color w:val="auto"/>
        </w:rPr>
        <w:t>Metals &amp; Mining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Jones Stephens Corp.</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Jones Stephens Corp.</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Key Safety Systems, Inc.</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Automotive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Kinetic Concepts,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Healthcare, Education and Childcare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Kinetic Concepts, Inc.</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Healthcare, Education and Childcare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Landslide Holdings, Inc. (Crimson Acquisition Corp.)</w:t>
      </w:r>
      <w:r>
        <w:rPr>
          <w:rFonts w:ascii="Arial" w:cs="Arial" w:eastAsia="Arial" w:hAnsi="Arial"/>
          <w:sz w:val="26"/>
          <w:szCs w:val="26"/>
          <w:color w:val="auto"/>
          <w:vertAlign w:val="superscript"/>
        </w:rPr>
        <w:t>9,</w:t>
      </w:r>
    </w:p>
    <w:p>
      <w:pPr>
        <w:spacing w:after="0"/>
        <w:rPr>
          <w:sz w:val="20"/>
          <w:szCs w:val="20"/>
          <w:color w:val="auto"/>
        </w:rPr>
      </w:pPr>
      <w:r>
        <w:rPr>
          <w:rFonts w:ascii="Arial" w:cs="Arial" w:eastAsia="Arial" w:hAnsi="Arial"/>
          <w:sz w:val="15"/>
          <w:szCs w:val="15"/>
          <w:color w:val="auto"/>
        </w:rPr>
        <w:t>11</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LBREP/L-Suncal Master I LLC</w:t>
      </w:r>
      <w:r>
        <w:rPr>
          <w:rFonts w:ascii="Arial" w:cs="Arial" w:eastAsia="Arial" w:hAnsi="Arial"/>
          <w:sz w:val="30"/>
          <w:szCs w:val="30"/>
          <w:color w:val="auto"/>
          <w:vertAlign w:val="superscript"/>
        </w:rPr>
        <w:t>7, 9</w:t>
      </w:r>
    </w:p>
    <w:p>
      <w:pPr>
        <w:ind w:left="180"/>
        <w:spacing w:after="0"/>
        <w:rPr>
          <w:sz w:val="20"/>
          <w:szCs w:val="20"/>
          <w:color w:val="auto"/>
        </w:rPr>
      </w:pPr>
      <w:r>
        <w:rPr>
          <w:rFonts w:ascii="Arial" w:cs="Arial" w:eastAsia="Arial" w:hAnsi="Arial"/>
          <w:sz w:val="18"/>
          <w:szCs w:val="18"/>
          <w:i w:val="1"/>
          <w:iCs w:val="1"/>
          <w:color w:val="auto"/>
        </w:rPr>
        <w:t>Construction &amp; Building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LTS Buyer LLC (Sidera Networks,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MB Aerospace ACP Holdings III Corp.</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Aerospace and Defense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Medical Specialties Distributors, LLC</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900" w:type="dxa"/>
            <w:vAlign w:val="bottom"/>
            <w:gridSpan w:val="4"/>
          </w:tcPr>
          <w:p>
            <w:pPr>
              <w:spacing w:after="0"/>
              <w:rPr>
                <w:sz w:val="20"/>
                <w:szCs w:val="20"/>
                <w:color w:val="auto"/>
              </w:rPr>
            </w:pPr>
            <w:r>
              <w:rPr>
                <w:rFonts w:ascii="Arial" w:cs="Arial" w:eastAsia="Arial" w:hAnsi="Arial"/>
                <w:sz w:val="18"/>
                <w:szCs w:val="18"/>
                <w:b w:val="1"/>
                <w:bCs w:val="1"/>
                <w:color w:val="auto"/>
              </w:rPr>
              <w:t>Investment</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0"/>
              </w:rPr>
              <w:t>Fair Value</w:t>
            </w:r>
            <w:r>
              <w:rPr>
                <w:rFonts w:ascii="Arial" w:cs="Arial" w:eastAsia="Arial" w:hAnsi="Arial"/>
                <w:sz w:val="30"/>
                <w:szCs w:val="30"/>
                <w:color w:val="auto"/>
                <w:w w:val="90"/>
                <w:vertAlign w:val="superscript"/>
              </w:rPr>
              <w:t>2</w:t>
            </w:r>
          </w:p>
        </w:tc>
        <w:tc>
          <w:tcPr>
            <w:tcW w:w="0" w:type="dxa"/>
            <w:vAlign w:val="bottom"/>
          </w:tcPr>
          <w:p>
            <w:pPr>
              <w:spacing w:after="0"/>
              <w:rPr>
                <w:sz w:val="1"/>
                <w:szCs w:val="1"/>
                <w:color w:val="auto"/>
              </w:rPr>
            </w:pPr>
          </w:p>
        </w:tc>
      </w:tr>
      <w:tr>
        <w:trPr>
          <w:trHeight w:val="234"/>
        </w:trPr>
        <w:tc>
          <w:tcPr>
            <w:tcW w:w="3900" w:type="dxa"/>
            <w:vAlign w:val="bottom"/>
            <w:gridSpan w:val="4"/>
          </w:tcPr>
          <w:p>
            <w:pPr>
              <w:spacing w:after="0"/>
              <w:rPr>
                <w:sz w:val="20"/>
                <w:szCs w:val="20"/>
                <w:color w:val="auto"/>
              </w:rPr>
            </w:pPr>
            <w:r>
              <w:rPr>
                <w:rFonts w:ascii="Arial" w:cs="Arial" w:eastAsia="Arial" w:hAnsi="Arial"/>
                <w:sz w:val="18"/>
                <w:szCs w:val="18"/>
                <w:b w:val="1"/>
                <w:bCs w:val="1"/>
                <w:color w:val="auto"/>
              </w:rPr>
              <w:t>Interest Rate¹ / Maturity</w:t>
            </w: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Principal</w:t>
            </w:r>
          </w:p>
        </w:tc>
        <w:tc>
          <w:tcPr>
            <w:tcW w:w="1020" w:type="dxa"/>
            <w:vAlign w:val="bottom"/>
            <w:gridSpan w:val="2"/>
          </w:tcPr>
          <w:p>
            <w:pPr>
              <w:ind w:left="28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Senior Unsecured Bond — 8.375% - 05/2019 -</w:t>
            </w:r>
          </w:p>
        </w:tc>
        <w:tc>
          <w:tcPr>
            <w:tcW w:w="1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gridSpan w:val="4"/>
          </w:tcPr>
          <w:p>
            <w:pPr>
              <w:spacing w:after="0"/>
              <w:rPr>
                <w:sz w:val="20"/>
                <w:szCs w:val="20"/>
                <w:color w:val="auto"/>
              </w:rPr>
            </w:pPr>
            <w:r>
              <w:rPr>
                <w:rFonts w:ascii="Arial" w:cs="Arial" w:eastAsia="Arial" w:hAnsi="Arial"/>
                <w:sz w:val="18"/>
                <w:szCs w:val="18"/>
                <w:color w:val="auto"/>
              </w:rPr>
              <w:t>45072PAD4</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gridSpan w:val="2"/>
          </w:tcPr>
          <w:p>
            <w:pPr>
              <w:spacing w:after="0"/>
              <w:rPr>
                <w:sz w:val="20"/>
                <w:szCs w:val="20"/>
                <w:color w:val="auto"/>
              </w:rPr>
            </w:pPr>
            <w:r>
              <w:rPr>
                <w:rFonts w:ascii="Arial" w:cs="Arial" w:eastAsia="Arial" w:hAnsi="Arial"/>
                <w:sz w:val="18"/>
                <w:szCs w:val="18"/>
                <w:color w:val="auto"/>
                <w:w w:val="92"/>
              </w:rPr>
              <w:t>8.4%</w:t>
            </w:r>
          </w:p>
        </w:tc>
        <w:tc>
          <w:tcPr>
            <w:tcW w:w="3500" w:type="dxa"/>
            <w:vAlign w:val="bottom"/>
            <w:gridSpan w:val="2"/>
          </w:tcPr>
          <w:p>
            <w:pPr>
              <w:ind w:left="20"/>
              <w:spacing w:after="0"/>
              <w:rPr>
                <w:sz w:val="20"/>
                <w:szCs w:val="20"/>
                <w:color w:val="auto"/>
              </w:rPr>
            </w:pPr>
            <w:r>
              <w:rPr>
                <w:rFonts w:ascii="Arial" w:cs="Arial" w:eastAsia="Arial" w:hAnsi="Arial"/>
                <w:sz w:val="18"/>
                <w:szCs w:val="18"/>
                <w:color w:val="auto"/>
              </w:rPr>
              <w:t>Cash, Due 5/19</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  3,000,000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$ 2,892,521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$ 3,187,500</w:t>
            </w:r>
          </w:p>
        </w:tc>
        <w:tc>
          <w:tcPr>
            <w:tcW w:w="0" w:type="dxa"/>
            <w:vAlign w:val="bottom"/>
          </w:tcPr>
          <w:p>
            <w:pPr>
              <w:spacing w:after="0"/>
              <w:rPr>
                <w:sz w:val="1"/>
                <w:szCs w:val="1"/>
                <w:color w:val="auto"/>
              </w:rPr>
            </w:pPr>
          </w:p>
        </w:tc>
      </w:tr>
      <w:tr>
        <w:trPr>
          <w:trHeight w:val="458"/>
        </w:trPr>
        <w:tc>
          <w:tcPr>
            <w:tcW w:w="3900" w:type="dxa"/>
            <w:vAlign w:val="bottom"/>
            <w:gridSpan w:val="4"/>
          </w:tcPr>
          <w:p>
            <w:pPr>
              <w:spacing w:after="0"/>
              <w:rPr>
                <w:sz w:val="20"/>
                <w:szCs w:val="20"/>
                <w:color w:val="auto"/>
              </w:rPr>
            </w:pPr>
            <w:r>
              <w:rPr>
                <w:rFonts w:ascii="Arial" w:cs="Arial" w:eastAsia="Arial" w:hAnsi="Arial"/>
                <w:sz w:val="18"/>
                <w:szCs w:val="18"/>
                <w:color w:val="auto"/>
              </w:rPr>
              <w:t>Senior Secured Loan — Term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00" w:type="dxa"/>
            <w:vAlign w:val="bottom"/>
            <w:gridSpan w:val="4"/>
          </w:tcPr>
          <w:p>
            <w:pPr>
              <w:spacing w:after="0"/>
              <w:rPr>
                <w:sz w:val="20"/>
                <w:szCs w:val="20"/>
                <w:color w:val="auto"/>
              </w:rPr>
            </w:pPr>
            <w:r>
              <w:rPr>
                <w:rFonts w:ascii="Arial" w:cs="Arial" w:eastAsia="Arial" w:hAnsi="Arial"/>
                <w:sz w:val="18"/>
                <w:szCs w:val="18"/>
                <w:color w:val="auto"/>
              </w:rPr>
              <w:t>12.0% Cash, Due 5/15</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247,636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228,563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458"/>
        </w:trPr>
        <w:tc>
          <w:tcPr>
            <w:tcW w:w="3900" w:type="dxa"/>
            <w:vAlign w:val="bottom"/>
            <w:gridSpan w:val="4"/>
          </w:tcPr>
          <w:p>
            <w:pPr>
              <w:spacing w:after="0"/>
              <w:rPr>
                <w:sz w:val="20"/>
                <w:szCs w:val="20"/>
                <w:color w:val="auto"/>
              </w:rPr>
            </w:pPr>
            <w:r>
              <w:rPr>
                <w:rFonts w:ascii="Arial" w:cs="Arial" w:eastAsia="Arial" w:hAnsi="Arial"/>
                <w:sz w:val="18"/>
                <w:szCs w:val="18"/>
                <w:color w:val="auto"/>
              </w:rPr>
              <w:t>Senior Secured Loan — Term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gridSpan w:val="2"/>
          </w:tcPr>
          <w:p>
            <w:pPr>
              <w:spacing w:after="0"/>
              <w:rPr>
                <w:sz w:val="20"/>
                <w:szCs w:val="20"/>
                <w:color w:val="auto"/>
              </w:rPr>
            </w:pPr>
            <w:r>
              <w:rPr>
                <w:rFonts w:ascii="Arial" w:cs="Arial" w:eastAsia="Arial" w:hAnsi="Arial"/>
                <w:sz w:val="18"/>
                <w:szCs w:val="18"/>
                <w:color w:val="auto"/>
                <w:w w:val="92"/>
              </w:rPr>
              <w:t>7.0%</w:t>
            </w:r>
          </w:p>
        </w:tc>
        <w:tc>
          <w:tcPr>
            <w:tcW w:w="3500" w:type="dxa"/>
            <w:vAlign w:val="bottom"/>
            <w:gridSpan w:val="2"/>
          </w:tcPr>
          <w:p>
            <w:pPr>
              <w:ind w:left="20"/>
              <w:spacing w:after="0"/>
              <w:rPr>
                <w:sz w:val="20"/>
                <w:szCs w:val="20"/>
                <w:color w:val="auto"/>
              </w:rPr>
            </w:pPr>
            <w:r>
              <w:rPr>
                <w:rFonts w:ascii="Arial" w:cs="Arial" w:eastAsia="Arial" w:hAnsi="Arial"/>
                <w:sz w:val="18"/>
                <w:szCs w:val="18"/>
                <w:color w:val="auto"/>
              </w:rPr>
              <w:t>Cash, Due 9/15</w:t>
            </w:r>
          </w:p>
        </w:tc>
        <w:tc>
          <w:tcPr>
            <w:tcW w:w="940" w:type="dxa"/>
            <w:vAlign w:val="bottom"/>
          </w:tcPr>
          <w:p>
            <w:pPr>
              <w:jc w:val="right"/>
              <w:spacing w:after="0"/>
              <w:rPr>
                <w:sz w:val="20"/>
                <w:szCs w:val="20"/>
                <w:color w:val="auto"/>
              </w:rPr>
            </w:pPr>
            <w:r>
              <w:rPr>
                <w:rFonts w:ascii="Arial" w:cs="Arial" w:eastAsia="Arial" w:hAnsi="Arial"/>
                <w:sz w:val="18"/>
                <w:szCs w:val="18"/>
                <w:color w:val="auto"/>
              </w:rPr>
              <w:t>1,214,195</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1,214,195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1,214,195</w:t>
            </w:r>
          </w:p>
        </w:tc>
        <w:tc>
          <w:tcPr>
            <w:tcW w:w="0" w:type="dxa"/>
            <w:vAlign w:val="bottom"/>
          </w:tcPr>
          <w:p>
            <w:pPr>
              <w:spacing w:after="0"/>
              <w:rPr>
                <w:sz w:val="1"/>
                <w:szCs w:val="1"/>
                <w:color w:val="auto"/>
              </w:rPr>
            </w:pPr>
          </w:p>
        </w:tc>
      </w:tr>
      <w:tr>
        <w:trPr>
          <w:trHeight w:val="458"/>
        </w:trPr>
        <w:tc>
          <w:tcPr>
            <w:tcW w:w="3900" w:type="dxa"/>
            <w:vAlign w:val="bottom"/>
            <w:gridSpan w:val="4"/>
          </w:tcPr>
          <w:p>
            <w:pPr>
              <w:spacing w:after="0"/>
              <w:rPr>
                <w:sz w:val="20"/>
                <w:szCs w:val="20"/>
                <w:color w:val="auto"/>
              </w:rPr>
            </w:pPr>
            <w:r>
              <w:rPr>
                <w:rFonts w:ascii="Arial" w:cs="Arial" w:eastAsia="Arial" w:hAnsi="Arial"/>
                <w:sz w:val="18"/>
                <w:szCs w:val="18"/>
                <w:color w:val="auto"/>
              </w:rPr>
              <w:t>Senior Secured Loan — Term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gridSpan w:val="2"/>
          </w:tcPr>
          <w:p>
            <w:pPr>
              <w:spacing w:after="0"/>
              <w:rPr>
                <w:sz w:val="20"/>
                <w:szCs w:val="20"/>
                <w:color w:val="auto"/>
              </w:rPr>
            </w:pPr>
            <w:r>
              <w:rPr>
                <w:rFonts w:ascii="Arial" w:cs="Arial" w:eastAsia="Arial" w:hAnsi="Arial"/>
                <w:sz w:val="18"/>
                <w:szCs w:val="18"/>
                <w:color w:val="auto"/>
                <w:w w:val="92"/>
              </w:rPr>
              <w:t>7.0%</w:t>
            </w:r>
          </w:p>
        </w:tc>
        <w:tc>
          <w:tcPr>
            <w:tcW w:w="3500" w:type="dxa"/>
            <w:vAlign w:val="bottom"/>
            <w:gridSpan w:val="2"/>
          </w:tcPr>
          <w:p>
            <w:pPr>
              <w:ind w:left="20"/>
              <w:spacing w:after="0"/>
              <w:rPr>
                <w:sz w:val="20"/>
                <w:szCs w:val="20"/>
                <w:color w:val="auto"/>
              </w:rPr>
            </w:pPr>
            <w:r>
              <w:rPr>
                <w:rFonts w:ascii="Arial" w:cs="Arial" w:eastAsia="Arial" w:hAnsi="Arial"/>
                <w:sz w:val="18"/>
                <w:szCs w:val="18"/>
                <w:color w:val="auto"/>
              </w:rPr>
              <w:t>Cash, Due 9/15</w:t>
            </w:r>
          </w:p>
        </w:tc>
        <w:tc>
          <w:tcPr>
            <w:tcW w:w="940" w:type="dxa"/>
            <w:vAlign w:val="bottom"/>
          </w:tcPr>
          <w:p>
            <w:pPr>
              <w:jc w:val="right"/>
              <w:spacing w:after="0"/>
              <w:rPr>
                <w:sz w:val="20"/>
                <w:szCs w:val="20"/>
                <w:color w:val="auto"/>
              </w:rPr>
            </w:pPr>
            <w:r>
              <w:rPr>
                <w:rFonts w:ascii="Arial" w:cs="Arial" w:eastAsia="Arial" w:hAnsi="Arial"/>
                <w:sz w:val="18"/>
                <w:szCs w:val="18"/>
                <w:color w:val="auto"/>
              </w:rPr>
              <w:t>2,925,620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2,925,620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2,925,620</w:t>
            </w:r>
          </w:p>
        </w:tc>
        <w:tc>
          <w:tcPr>
            <w:tcW w:w="0" w:type="dxa"/>
            <w:vAlign w:val="bottom"/>
          </w:tcPr>
          <w:p>
            <w:pPr>
              <w:spacing w:after="0"/>
              <w:rPr>
                <w:sz w:val="1"/>
                <w:szCs w:val="1"/>
                <w:color w:val="auto"/>
              </w:rPr>
            </w:pPr>
          </w:p>
        </w:tc>
      </w:tr>
      <w:tr>
        <w:trPr>
          <w:trHeight w:val="458"/>
        </w:trPr>
        <w:tc>
          <w:tcPr>
            <w:tcW w:w="3900" w:type="dxa"/>
            <w:vAlign w:val="bottom"/>
            <w:gridSpan w:val="4"/>
          </w:tcPr>
          <w:p>
            <w:pPr>
              <w:spacing w:after="0"/>
              <w:rPr>
                <w:sz w:val="20"/>
                <w:szCs w:val="20"/>
                <w:color w:val="auto"/>
              </w:rPr>
            </w:pPr>
            <w:r>
              <w:rPr>
                <w:rFonts w:ascii="Arial" w:cs="Arial" w:eastAsia="Arial" w:hAnsi="Arial"/>
                <w:sz w:val="18"/>
                <w:szCs w:val="18"/>
                <w:color w:val="auto"/>
              </w:rPr>
              <w:t>Senior Secured Loan — Initial Term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gridSpan w:val="2"/>
          </w:tcPr>
          <w:p>
            <w:pPr>
              <w:spacing w:after="0"/>
              <w:rPr>
                <w:sz w:val="20"/>
                <w:szCs w:val="20"/>
                <w:color w:val="auto"/>
              </w:rPr>
            </w:pPr>
            <w:r>
              <w:rPr>
                <w:rFonts w:ascii="Arial" w:cs="Arial" w:eastAsia="Arial" w:hAnsi="Arial"/>
                <w:sz w:val="18"/>
                <w:szCs w:val="18"/>
                <w:color w:val="auto"/>
                <w:w w:val="92"/>
              </w:rPr>
              <w:t>4.8%</w:t>
            </w:r>
          </w:p>
        </w:tc>
        <w:tc>
          <w:tcPr>
            <w:tcW w:w="3500" w:type="dxa"/>
            <w:vAlign w:val="bottom"/>
            <w:gridSpan w:val="2"/>
          </w:tcPr>
          <w:p>
            <w:pPr>
              <w:ind w:left="20"/>
              <w:spacing w:after="0"/>
              <w:rPr>
                <w:sz w:val="20"/>
                <w:szCs w:val="20"/>
                <w:color w:val="auto"/>
              </w:rPr>
            </w:pPr>
            <w:r>
              <w:rPr>
                <w:rFonts w:ascii="Arial" w:cs="Arial" w:eastAsia="Arial" w:hAnsi="Arial"/>
                <w:sz w:val="18"/>
                <w:szCs w:val="18"/>
                <w:color w:val="auto"/>
              </w:rPr>
              <w:t>Cash, Due 5/18</w:t>
            </w:r>
          </w:p>
        </w:tc>
        <w:tc>
          <w:tcPr>
            <w:tcW w:w="940" w:type="dxa"/>
            <w:vAlign w:val="bottom"/>
          </w:tcPr>
          <w:p>
            <w:pPr>
              <w:jc w:val="right"/>
              <w:spacing w:after="0"/>
              <w:rPr>
                <w:sz w:val="20"/>
                <w:szCs w:val="20"/>
                <w:color w:val="auto"/>
              </w:rPr>
            </w:pPr>
            <w:r>
              <w:rPr>
                <w:rFonts w:ascii="Arial" w:cs="Arial" w:eastAsia="Arial" w:hAnsi="Arial"/>
                <w:sz w:val="18"/>
                <w:szCs w:val="18"/>
                <w:color w:val="auto"/>
              </w:rPr>
              <w:t>2,692,152</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2,679,887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2,696,459</w:t>
            </w:r>
          </w:p>
        </w:tc>
        <w:tc>
          <w:tcPr>
            <w:tcW w:w="0" w:type="dxa"/>
            <w:vAlign w:val="bottom"/>
          </w:tcPr>
          <w:p>
            <w:pPr>
              <w:spacing w:after="0"/>
              <w:rPr>
                <w:sz w:val="1"/>
                <w:szCs w:val="1"/>
                <w:color w:val="auto"/>
              </w:rPr>
            </w:pPr>
          </w:p>
        </w:tc>
      </w:tr>
      <w:tr>
        <w:trPr>
          <w:trHeight w:val="458"/>
        </w:trPr>
        <w:tc>
          <w:tcPr>
            <w:tcW w:w="3900" w:type="dxa"/>
            <w:vAlign w:val="bottom"/>
            <w:gridSpan w:val="4"/>
          </w:tcPr>
          <w:p>
            <w:pPr>
              <w:spacing w:after="0"/>
              <w:rPr>
                <w:sz w:val="20"/>
                <w:szCs w:val="20"/>
                <w:color w:val="auto"/>
              </w:rPr>
            </w:pPr>
            <w:r>
              <w:rPr>
                <w:rFonts w:ascii="Arial" w:cs="Arial" w:eastAsia="Arial" w:hAnsi="Arial"/>
                <w:sz w:val="18"/>
                <w:szCs w:val="18"/>
                <w:color w:val="auto"/>
              </w:rPr>
              <w:t>Senior Secured Loan — Dollar Term D-1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gridSpan w:val="2"/>
          </w:tcPr>
          <w:p>
            <w:pPr>
              <w:spacing w:after="0"/>
              <w:rPr>
                <w:sz w:val="20"/>
                <w:szCs w:val="20"/>
                <w:color w:val="auto"/>
              </w:rPr>
            </w:pPr>
            <w:r>
              <w:rPr>
                <w:rFonts w:ascii="Arial" w:cs="Arial" w:eastAsia="Arial" w:hAnsi="Arial"/>
                <w:sz w:val="18"/>
                <w:szCs w:val="18"/>
                <w:color w:val="auto"/>
                <w:w w:val="92"/>
              </w:rPr>
              <w:t>4.5%</w:t>
            </w:r>
          </w:p>
        </w:tc>
        <w:tc>
          <w:tcPr>
            <w:tcW w:w="3500" w:type="dxa"/>
            <w:vAlign w:val="bottom"/>
            <w:gridSpan w:val="2"/>
          </w:tcPr>
          <w:p>
            <w:pPr>
              <w:ind w:left="20"/>
              <w:spacing w:after="0"/>
              <w:rPr>
                <w:sz w:val="20"/>
                <w:szCs w:val="20"/>
                <w:color w:val="auto"/>
              </w:rPr>
            </w:pPr>
            <w:r>
              <w:rPr>
                <w:rFonts w:ascii="Arial" w:cs="Arial" w:eastAsia="Arial" w:hAnsi="Arial"/>
                <w:sz w:val="18"/>
                <w:szCs w:val="18"/>
                <w:color w:val="auto"/>
              </w:rPr>
              <w:t>Cash, Due 5/18</w:t>
            </w:r>
          </w:p>
        </w:tc>
        <w:tc>
          <w:tcPr>
            <w:tcW w:w="940" w:type="dxa"/>
            <w:vAlign w:val="bottom"/>
          </w:tcPr>
          <w:p>
            <w:pPr>
              <w:jc w:val="right"/>
              <w:spacing w:after="0"/>
              <w:rPr>
                <w:sz w:val="20"/>
                <w:szCs w:val="20"/>
                <w:color w:val="auto"/>
              </w:rPr>
            </w:pPr>
            <w:r>
              <w:rPr>
                <w:rFonts w:ascii="Arial" w:cs="Arial" w:eastAsia="Arial" w:hAnsi="Arial"/>
                <w:sz w:val="18"/>
                <w:szCs w:val="18"/>
                <w:color w:val="auto"/>
              </w:rPr>
              <w:t>1,989,979</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2,003,621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2,003,661</w:t>
            </w:r>
          </w:p>
        </w:tc>
        <w:tc>
          <w:tcPr>
            <w:tcW w:w="0" w:type="dxa"/>
            <w:vAlign w:val="bottom"/>
          </w:tcPr>
          <w:p>
            <w:pPr>
              <w:spacing w:after="0"/>
              <w:rPr>
                <w:sz w:val="1"/>
                <w:szCs w:val="1"/>
                <w:color w:val="auto"/>
              </w:rPr>
            </w:pPr>
          </w:p>
        </w:tc>
      </w:tr>
      <w:tr>
        <w:trPr>
          <w:trHeight w:val="458"/>
        </w:trPr>
        <w:tc>
          <w:tcPr>
            <w:tcW w:w="3900" w:type="dxa"/>
            <w:vAlign w:val="bottom"/>
            <w:gridSpan w:val="4"/>
          </w:tcPr>
          <w:p>
            <w:pPr>
              <w:spacing w:after="0"/>
              <w:rPr>
                <w:sz w:val="20"/>
                <w:szCs w:val="20"/>
                <w:color w:val="auto"/>
              </w:rPr>
            </w:pPr>
            <w:r>
              <w:rPr>
                <w:rFonts w:ascii="Arial" w:cs="Arial" w:eastAsia="Arial" w:hAnsi="Arial"/>
                <w:sz w:val="18"/>
                <w:szCs w:val="18"/>
                <w:color w:val="auto"/>
              </w:rPr>
              <w:t>Senior Secured Loan — Dollar Term D-1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gridSpan w:val="2"/>
          </w:tcPr>
          <w:p>
            <w:pPr>
              <w:spacing w:after="0"/>
              <w:rPr>
                <w:sz w:val="20"/>
                <w:szCs w:val="20"/>
                <w:color w:val="auto"/>
              </w:rPr>
            </w:pPr>
            <w:r>
              <w:rPr>
                <w:rFonts w:ascii="Arial" w:cs="Arial" w:eastAsia="Arial" w:hAnsi="Arial"/>
                <w:sz w:val="18"/>
                <w:szCs w:val="18"/>
                <w:color w:val="auto"/>
                <w:w w:val="92"/>
              </w:rPr>
              <w:t>4.5%</w:t>
            </w:r>
          </w:p>
        </w:tc>
        <w:tc>
          <w:tcPr>
            <w:tcW w:w="3500" w:type="dxa"/>
            <w:vAlign w:val="bottom"/>
            <w:gridSpan w:val="2"/>
          </w:tcPr>
          <w:p>
            <w:pPr>
              <w:ind w:left="20"/>
              <w:spacing w:after="0"/>
              <w:rPr>
                <w:sz w:val="20"/>
                <w:szCs w:val="20"/>
                <w:color w:val="auto"/>
              </w:rPr>
            </w:pPr>
            <w:r>
              <w:rPr>
                <w:rFonts w:ascii="Arial" w:cs="Arial" w:eastAsia="Arial" w:hAnsi="Arial"/>
                <w:sz w:val="18"/>
                <w:szCs w:val="18"/>
                <w:color w:val="auto"/>
              </w:rPr>
              <w:t>Cash, Due 5/18</w:t>
            </w:r>
          </w:p>
        </w:tc>
        <w:tc>
          <w:tcPr>
            <w:tcW w:w="940" w:type="dxa"/>
            <w:vAlign w:val="bottom"/>
          </w:tcPr>
          <w:p>
            <w:pPr>
              <w:jc w:val="right"/>
              <w:spacing w:after="0"/>
              <w:rPr>
                <w:sz w:val="20"/>
                <w:szCs w:val="20"/>
                <w:color w:val="auto"/>
              </w:rPr>
            </w:pPr>
            <w:r>
              <w:rPr>
                <w:rFonts w:ascii="Arial" w:cs="Arial" w:eastAsia="Arial" w:hAnsi="Arial"/>
                <w:sz w:val="18"/>
                <w:szCs w:val="18"/>
                <w:color w:val="auto"/>
              </w:rPr>
              <w:t>1,994,979</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2,012,272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2,008,695</w:t>
            </w:r>
          </w:p>
        </w:tc>
        <w:tc>
          <w:tcPr>
            <w:tcW w:w="0" w:type="dxa"/>
            <w:vAlign w:val="bottom"/>
          </w:tcPr>
          <w:p>
            <w:pPr>
              <w:spacing w:after="0"/>
              <w:rPr>
                <w:sz w:val="1"/>
                <w:szCs w:val="1"/>
                <w:color w:val="auto"/>
              </w:rPr>
            </w:pPr>
          </w:p>
        </w:tc>
      </w:tr>
      <w:tr>
        <w:trPr>
          <w:trHeight w:val="661"/>
        </w:trPr>
        <w:tc>
          <w:tcPr>
            <w:tcW w:w="3900" w:type="dxa"/>
            <w:vAlign w:val="bottom"/>
            <w:gridSpan w:val="4"/>
          </w:tcPr>
          <w:p>
            <w:pPr>
              <w:spacing w:after="0"/>
              <w:rPr>
                <w:sz w:val="20"/>
                <w:szCs w:val="20"/>
                <w:color w:val="auto"/>
              </w:rPr>
            </w:pPr>
            <w:r>
              <w:rPr>
                <w:rFonts w:ascii="Arial" w:cs="Arial" w:eastAsia="Arial" w:hAnsi="Arial"/>
                <w:sz w:val="18"/>
                <w:szCs w:val="18"/>
                <w:color w:val="auto"/>
              </w:rPr>
              <w:t>Senior Secured Loan — Initial Term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gridSpan w:val="2"/>
          </w:tcPr>
          <w:p>
            <w:pPr>
              <w:spacing w:after="0"/>
              <w:rPr>
                <w:sz w:val="20"/>
                <w:szCs w:val="20"/>
                <w:color w:val="auto"/>
              </w:rPr>
            </w:pPr>
            <w:r>
              <w:rPr>
                <w:rFonts w:ascii="Arial" w:cs="Arial" w:eastAsia="Arial" w:hAnsi="Arial"/>
                <w:sz w:val="18"/>
                <w:szCs w:val="18"/>
                <w:color w:val="auto"/>
                <w:w w:val="92"/>
              </w:rPr>
              <w:t>5.3%</w:t>
            </w:r>
          </w:p>
        </w:tc>
        <w:tc>
          <w:tcPr>
            <w:tcW w:w="3500" w:type="dxa"/>
            <w:vAlign w:val="bottom"/>
            <w:gridSpan w:val="2"/>
          </w:tcPr>
          <w:p>
            <w:pPr>
              <w:ind w:left="20"/>
              <w:spacing w:after="0"/>
              <w:rPr>
                <w:sz w:val="20"/>
                <w:szCs w:val="20"/>
                <w:color w:val="auto"/>
              </w:rPr>
            </w:pPr>
            <w:r>
              <w:rPr>
                <w:rFonts w:ascii="Arial" w:cs="Arial" w:eastAsia="Arial" w:hAnsi="Arial"/>
                <w:sz w:val="18"/>
                <w:szCs w:val="18"/>
                <w:color w:val="auto"/>
              </w:rPr>
              <w:t>Cash, Due 8/19</w:t>
            </w:r>
          </w:p>
        </w:tc>
        <w:tc>
          <w:tcPr>
            <w:tcW w:w="940" w:type="dxa"/>
            <w:vAlign w:val="bottom"/>
          </w:tcPr>
          <w:p>
            <w:pPr>
              <w:jc w:val="right"/>
              <w:spacing w:after="0"/>
              <w:rPr>
                <w:sz w:val="20"/>
                <w:szCs w:val="20"/>
                <w:color w:val="auto"/>
              </w:rPr>
            </w:pPr>
            <w:r>
              <w:rPr>
                <w:rFonts w:ascii="Arial" w:cs="Arial" w:eastAsia="Arial" w:hAnsi="Arial"/>
                <w:sz w:val="18"/>
                <w:szCs w:val="18"/>
                <w:color w:val="auto"/>
              </w:rPr>
              <w:t>3,482,500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3,492,130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3,483,893</w:t>
            </w:r>
          </w:p>
        </w:tc>
        <w:tc>
          <w:tcPr>
            <w:tcW w:w="0" w:type="dxa"/>
            <w:vAlign w:val="bottom"/>
          </w:tcPr>
          <w:p>
            <w:pPr>
              <w:spacing w:after="0"/>
              <w:rPr>
                <w:sz w:val="1"/>
                <w:szCs w:val="1"/>
                <w:color w:val="auto"/>
              </w:rPr>
            </w:pPr>
          </w:p>
        </w:tc>
      </w:tr>
      <w:tr>
        <w:trPr>
          <w:trHeight w:val="458"/>
        </w:trPr>
        <w:tc>
          <w:tcPr>
            <w:tcW w:w="3900" w:type="dxa"/>
            <w:vAlign w:val="bottom"/>
            <w:gridSpan w:val="4"/>
          </w:tcPr>
          <w:p>
            <w:pPr>
              <w:spacing w:after="0"/>
              <w:rPr>
                <w:sz w:val="20"/>
                <w:szCs w:val="20"/>
                <w:color w:val="auto"/>
              </w:rPr>
            </w:pPr>
            <w:r>
              <w:rPr>
                <w:rFonts w:ascii="Arial" w:cs="Arial" w:eastAsia="Arial" w:hAnsi="Arial"/>
                <w:sz w:val="18"/>
                <w:szCs w:val="18"/>
                <w:color w:val="auto"/>
              </w:rPr>
              <w:t>Senior Secured Loan — Term Loan (First Lien)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gridSpan w:val="2"/>
          </w:tcPr>
          <w:p>
            <w:pPr>
              <w:spacing w:after="0"/>
              <w:rPr>
                <w:sz w:val="20"/>
                <w:szCs w:val="20"/>
                <w:color w:val="auto"/>
              </w:rPr>
            </w:pPr>
            <w:r>
              <w:rPr>
                <w:rFonts w:ascii="Arial" w:cs="Arial" w:eastAsia="Arial" w:hAnsi="Arial"/>
                <w:sz w:val="18"/>
                <w:szCs w:val="18"/>
                <w:color w:val="auto"/>
                <w:w w:val="92"/>
              </w:rPr>
              <w:t>7.5%</w:t>
            </w:r>
          </w:p>
        </w:tc>
        <w:tc>
          <w:tcPr>
            <w:tcW w:w="3500" w:type="dxa"/>
            <w:vAlign w:val="bottom"/>
            <w:gridSpan w:val="2"/>
          </w:tcPr>
          <w:p>
            <w:pPr>
              <w:ind w:left="20"/>
              <w:spacing w:after="0"/>
              <w:rPr>
                <w:sz w:val="20"/>
                <w:szCs w:val="20"/>
                <w:color w:val="auto"/>
              </w:rPr>
            </w:pPr>
            <w:r>
              <w:rPr>
                <w:rFonts w:ascii="Arial" w:cs="Arial" w:eastAsia="Arial" w:hAnsi="Arial"/>
                <w:sz w:val="18"/>
                <w:szCs w:val="18"/>
                <w:color w:val="auto"/>
              </w:rPr>
              <w:t>Cash, Due 1/10</w:t>
            </w:r>
          </w:p>
        </w:tc>
        <w:tc>
          <w:tcPr>
            <w:tcW w:w="940" w:type="dxa"/>
            <w:vAlign w:val="bottom"/>
          </w:tcPr>
          <w:p>
            <w:pPr>
              <w:jc w:val="right"/>
              <w:spacing w:after="0"/>
              <w:rPr>
                <w:sz w:val="20"/>
                <w:szCs w:val="20"/>
                <w:color w:val="auto"/>
              </w:rPr>
            </w:pPr>
            <w:r>
              <w:rPr>
                <w:rFonts w:ascii="Arial" w:cs="Arial" w:eastAsia="Arial" w:hAnsi="Arial"/>
                <w:sz w:val="18"/>
                <w:szCs w:val="18"/>
                <w:color w:val="auto"/>
              </w:rPr>
              <w:t>3,034,968</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3,034,968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40,669</w:t>
            </w:r>
          </w:p>
        </w:tc>
        <w:tc>
          <w:tcPr>
            <w:tcW w:w="0" w:type="dxa"/>
            <w:vAlign w:val="bottom"/>
          </w:tcPr>
          <w:p>
            <w:pPr>
              <w:spacing w:after="0"/>
              <w:rPr>
                <w:sz w:val="1"/>
                <w:szCs w:val="1"/>
                <w:color w:val="auto"/>
              </w:rPr>
            </w:pPr>
          </w:p>
        </w:tc>
      </w:tr>
      <w:tr>
        <w:trPr>
          <w:trHeight w:val="458"/>
        </w:trPr>
        <w:tc>
          <w:tcPr>
            <w:tcW w:w="3900" w:type="dxa"/>
            <w:vAlign w:val="bottom"/>
            <w:gridSpan w:val="4"/>
          </w:tcPr>
          <w:p>
            <w:pPr>
              <w:spacing w:after="0"/>
              <w:rPr>
                <w:sz w:val="20"/>
                <w:szCs w:val="20"/>
                <w:color w:val="auto"/>
              </w:rPr>
            </w:pPr>
            <w:r>
              <w:rPr>
                <w:rFonts w:ascii="Arial" w:cs="Arial" w:eastAsia="Arial" w:hAnsi="Arial"/>
                <w:sz w:val="18"/>
                <w:szCs w:val="18"/>
                <w:color w:val="auto"/>
                <w:w w:val="98"/>
              </w:rPr>
              <w:t>Senior Secured Loan — Term B Loan (First Lien)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gridSpan w:val="2"/>
          </w:tcPr>
          <w:p>
            <w:pPr>
              <w:spacing w:after="0"/>
              <w:rPr>
                <w:sz w:val="20"/>
                <w:szCs w:val="20"/>
                <w:color w:val="auto"/>
              </w:rPr>
            </w:pPr>
            <w:r>
              <w:rPr>
                <w:rFonts w:ascii="Arial" w:cs="Arial" w:eastAsia="Arial" w:hAnsi="Arial"/>
                <w:sz w:val="18"/>
                <w:szCs w:val="18"/>
                <w:color w:val="auto"/>
                <w:w w:val="92"/>
              </w:rPr>
              <w:t>4.5%</w:t>
            </w:r>
          </w:p>
        </w:tc>
        <w:tc>
          <w:tcPr>
            <w:tcW w:w="3500" w:type="dxa"/>
            <w:vAlign w:val="bottom"/>
            <w:gridSpan w:val="2"/>
          </w:tcPr>
          <w:p>
            <w:pPr>
              <w:ind w:left="20"/>
              <w:spacing w:after="0"/>
              <w:rPr>
                <w:sz w:val="20"/>
                <w:szCs w:val="20"/>
                <w:color w:val="auto"/>
              </w:rPr>
            </w:pPr>
            <w:r>
              <w:rPr>
                <w:rFonts w:ascii="Arial" w:cs="Arial" w:eastAsia="Arial" w:hAnsi="Arial"/>
                <w:sz w:val="18"/>
                <w:szCs w:val="18"/>
                <w:color w:val="auto"/>
              </w:rPr>
              <w:t>Cash, Due 4/20</w:t>
            </w:r>
          </w:p>
        </w:tc>
        <w:tc>
          <w:tcPr>
            <w:tcW w:w="940" w:type="dxa"/>
            <w:vAlign w:val="bottom"/>
          </w:tcPr>
          <w:p>
            <w:pPr>
              <w:jc w:val="right"/>
              <w:spacing w:after="0"/>
              <w:rPr>
                <w:sz w:val="20"/>
                <w:szCs w:val="20"/>
                <w:color w:val="auto"/>
              </w:rPr>
            </w:pPr>
            <w:r>
              <w:rPr>
                <w:rFonts w:ascii="Arial" w:cs="Arial" w:eastAsia="Arial" w:hAnsi="Arial"/>
                <w:sz w:val="18"/>
                <w:szCs w:val="18"/>
                <w:color w:val="auto"/>
              </w:rPr>
              <w:t>3,980,000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3,974,154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4,003,024</w:t>
            </w:r>
          </w:p>
        </w:tc>
        <w:tc>
          <w:tcPr>
            <w:tcW w:w="0" w:type="dxa"/>
            <w:vAlign w:val="bottom"/>
          </w:tcPr>
          <w:p>
            <w:pPr>
              <w:spacing w:after="0"/>
              <w:rPr>
                <w:sz w:val="1"/>
                <w:szCs w:val="1"/>
                <w:color w:val="auto"/>
              </w:rPr>
            </w:pPr>
          </w:p>
        </w:tc>
      </w:tr>
      <w:tr>
        <w:trPr>
          <w:trHeight w:val="458"/>
        </w:trPr>
        <w:tc>
          <w:tcPr>
            <w:tcW w:w="3900" w:type="dxa"/>
            <w:vAlign w:val="bottom"/>
            <w:gridSpan w:val="4"/>
          </w:tcPr>
          <w:p>
            <w:pPr>
              <w:spacing w:after="0"/>
              <w:rPr>
                <w:sz w:val="20"/>
                <w:szCs w:val="20"/>
                <w:color w:val="auto"/>
              </w:rPr>
            </w:pPr>
            <w:r>
              <w:rPr>
                <w:rFonts w:ascii="Arial" w:cs="Arial" w:eastAsia="Arial" w:hAnsi="Arial"/>
                <w:sz w:val="18"/>
                <w:szCs w:val="18"/>
                <w:color w:val="auto"/>
              </w:rPr>
              <w:t>Senior Secured Loan — Term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gridSpan w:val="2"/>
          </w:tcPr>
          <w:p>
            <w:pPr>
              <w:spacing w:after="0"/>
              <w:rPr>
                <w:sz w:val="20"/>
                <w:szCs w:val="20"/>
                <w:color w:val="auto"/>
              </w:rPr>
            </w:pPr>
            <w:r>
              <w:rPr>
                <w:rFonts w:ascii="Arial" w:cs="Arial" w:eastAsia="Arial" w:hAnsi="Arial"/>
                <w:sz w:val="18"/>
                <w:szCs w:val="18"/>
                <w:color w:val="auto"/>
                <w:w w:val="92"/>
              </w:rPr>
              <w:t>6.0%</w:t>
            </w:r>
          </w:p>
        </w:tc>
        <w:tc>
          <w:tcPr>
            <w:tcW w:w="3500" w:type="dxa"/>
            <w:vAlign w:val="bottom"/>
            <w:gridSpan w:val="2"/>
          </w:tcPr>
          <w:p>
            <w:pPr>
              <w:ind w:left="20"/>
              <w:spacing w:after="0"/>
              <w:rPr>
                <w:sz w:val="20"/>
                <w:szCs w:val="20"/>
                <w:color w:val="auto"/>
              </w:rPr>
            </w:pPr>
            <w:r>
              <w:rPr>
                <w:rFonts w:ascii="Arial" w:cs="Arial" w:eastAsia="Arial" w:hAnsi="Arial"/>
                <w:sz w:val="18"/>
                <w:szCs w:val="18"/>
                <w:color w:val="auto"/>
              </w:rPr>
              <w:t>Cash, Due 5/19</w:t>
            </w:r>
          </w:p>
        </w:tc>
        <w:tc>
          <w:tcPr>
            <w:tcW w:w="940" w:type="dxa"/>
            <w:vAlign w:val="bottom"/>
          </w:tcPr>
          <w:p>
            <w:pPr>
              <w:jc w:val="right"/>
              <w:spacing w:after="0"/>
              <w:rPr>
                <w:sz w:val="20"/>
                <w:szCs w:val="20"/>
                <w:color w:val="auto"/>
              </w:rPr>
            </w:pPr>
            <w:r>
              <w:rPr>
                <w:rFonts w:ascii="Arial" w:cs="Arial" w:eastAsia="Arial" w:hAnsi="Arial"/>
                <w:sz w:val="18"/>
                <w:szCs w:val="18"/>
                <w:color w:val="auto"/>
              </w:rPr>
              <w:t>3,980,000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3,944,023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3,980,796</w:t>
            </w:r>
          </w:p>
        </w:tc>
        <w:tc>
          <w:tcPr>
            <w:tcW w:w="0" w:type="dxa"/>
            <w:vAlign w:val="bottom"/>
          </w:tcPr>
          <w:p>
            <w:pPr>
              <w:spacing w:after="0"/>
              <w:rPr>
                <w:sz w:val="1"/>
                <w:szCs w:val="1"/>
                <w:color w:val="auto"/>
              </w:rPr>
            </w:pPr>
          </w:p>
        </w:tc>
      </w:tr>
      <w:tr>
        <w:trPr>
          <w:trHeight w:val="458"/>
        </w:trPr>
        <w:tc>
          <w:tcPr>
            <w:tcW w:w="3900" w:type="dxa"/>
            <w:vAlign w:val="bottom"/>
            <w:gridSpan w:val="4"/>
          </w:tcPr>
          <w:p>
            <w:pPr>
              <w:spacing w:after="0"/>
              <w:rPr>
                <w:sz w:val="20"/>
                <w:szCs w:val="20"/>
                <w:color w:val="auto"/>
              </w:rPr>
            </w:pPr>
            <w:r>
              <w:rPr>
                <w:rFonts w:ascii="Arial" w:cs="Arial" w:eastAsia="Arial" w:hAnsi="Arial"/>
                <w:sz w:val="18"/>
                <w:szCs w:val="18"/>
                <w:color w:val="auto"/>
              </w:rPr>
              <w:t>Senior Secured Loan — Term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gridSpan w:val="2"/>
          </w:tcPr>
          <w:p>
            <w:pPr>
              <w:spacing w:after="0"/>
              <w:rPr>
                <w:sz w:val="20"/>
                <w:szCs w:val="20"/>
                <w:color w:val="auto"/>
              </w:rPr>
            </w:pPr>
            <w:r>
              <w:rPr>
                <w:rFonts w:ascii="Arial" w:cs="Arial" w:eastAsia="Arial" w:hAnsi="Arial"/>
                <w:sz w:val="18"/>
                <w:szCs w:val="18"/>
                <w:color w:val="auto"/>
                <w:w w:val="92"/>
              </w:rPr>
              <w:t>6.5%</w:t>
            </w:r>
          </w:p>
        </w:tc>
        <w:tc>
          <w:tcPr>
            <w:tcW w:w="3500" w:type="dxa"/>
            <w:vAlign w:val="bottom"/>
            <w:gridSpan w:val="2"/>
          </w:tcPr>
          <w:p>
            <w:pPr>
              <w:ind w:left="20"/>
              <w:spacing w:after="0"/>
              <w:rPr>
                <w:sz w:val="20"/>
                <w:szCs w:val="20"/>
                <w:color w:val="auto"/>
              </w:rPr>
            </w:pPr>
            <w:r>
              <w:rPr>
                <w:rFonts w:ascii="Arial" w:cs="Arial" w:eastAsia="Arial" w:hAnsi="Arial"/>
                <w:sz w:val="18"/>
                <w:szCs w:val="18"/>
                <w:color w:val="auto"/>
              </w:rPr>
              <w:t>Cash, Due 12/19</w:t>
            </w:r>
          </w:p>
        </w:tc>
        <w:tc>
          <w:tcPr>
            <w:tcW w:w="940" w:type="dxa"/>
            <w:vAlign w:val="bottom"/>
          </w:tcPr>
          <w:p>
            <w:pPr>
              <w:jc w:val="right"/>
              <w:spacing w:after="0"/>
              <w:rPr>
                <w:sz w:val="20"/>
                <w:szCs w:val="20"/>
                <w:color w:val="auto"/>
              </w:rPr>
            </w:pPr>
            <w:r>
              <w:rPr>
                <w:rFonts w:ascii="Arial" w:cs="Arial" w:eastAsia="Arial" w:hAnsi="Arial"/>
                <w:sz w:val="18"/>
                <w:szCs w:val="18"/>
                <w:color w:val="auto"/>
              </w:rPr>
              <w:t>4,000,000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3,960,421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3,999,200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-4801870</wp:posOffset>
            </wp:positionV>
            <wp:extent cx="7246620" cy="3003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-4364355</wp:posOffset>
            </wp:positionV>
            <wp:extent cx="7246620" cy="3003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-3926840</wp:posOffset>
            </wp:positionV>
            <wp:extent cx="7246620" cy="3003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-3489960</wp:posOffset>
            </wp:positionV>
            <wp:extent cx="7246620" cy="3003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-3052445</wp:posOffset>
            </wp:positionV>
            <wp:extent cx="7246620" cy="3003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-2614930</wp:posOffset>
            </wp:positionV>
            <wp:extent cx="7246620" cy="3003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-2177415</wp:posOffset>
            </wp:positionV>
            <wp:extent cx="7246620" cy="4286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-1611630</wp:posOffset>
            </wp:positionV>
            <wp:extent cx="7246620" cy="3003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-1174115</wp:posOffset>
            </wp:positionV>
            <wp:extent cx="7246620" cy="3003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-736600</wp:posOffset>
            </wp:positionV>
            <wp:extent cx="7246620" cy="3003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-299720</wp:posOffset>
            </wp:positionV>
            <wp:extent cx="7246620" cy="3003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-5359400</wp:posOffset>
            </wp:positionV>
            <wp:extent cx="7246620" cy="420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20" w:space="220"/>
            <w:col w:w="7080"/>
          </w:cols>
          <w:pgMar w:left="240" w:top="877" w:right="339" w:bottom="1440" w:gutter="0" w:footer="0" w:header="0"/>
        </w:sectPr>
      </w:pP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77" w:right="339" w:bottom="1440" w:gutter="0" w:footer="0" w:header="0"/>
          <w:type w:val="continuous"/>
        </w:sectPr>
      </w:pPr>
    </w:p>
    <w:bookmarkStart w:id="23" w:name="page24"/>
    <w:bookmarkEnd w:id="23"/>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 / Principal Business</w:t>
      </w:r>
    </w:p>
    <w:p>
      <w:pPr>
        <w:spacing w:after="0" w:line="27"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Michael Foods Group, Inc. (f/k/a M-Foods Holdings, Inc.)</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213" w:lineRule="exact"/>
        <w:rPr>
          <w:sz w:val="20"/>
          <w:szCs w:val="20"/>
          <w:color w:val="auto"/>
        </w:rPr>
      </w:pPr>
    </w:p>
    <w:p>
      <w:pPr>
        <w:jc w:val="right"/>
        <w:ind w:right="1540"/>
        <w:spacing w:after="0"/>
        <w:rPr>
          <w:sz w:val="20"/>
          <w:szCs w:val="20"/>
          <w:color w:val="auto"/>
        </w:rPr>
      </w:pPr>
      <w:r>
        <w:rPr>
          <w:rFonts w:ascii="Arial" w:cs="Arial" w:eastAsia="Arial" w:hAnsi="Arial"/>
          <w:sz w:val="16"/>
          <w:szCs w:val="16"/>
          <w:color w:val="auto"/>
        </w:rPr>
        <w:t>Nellson Nutraceutical, LLC</w:t>
      </w:r>
      <w:r>
        <w:rPr>
          <w:rFonts w:ascii="Arial" w:cs="Arial" w:eastAsia="Arial" w:hAnsi="Arial"/>
          <w:sz w:val="26"/>
          <w:szCs w:val="26"/>
          <w:color w:val="auto"/>
          <w:vertAlign w:val="superscript"/>
        </w:rPr>
        <w:t>9, 11</w:t>
      </w:r>
      <w:r>
        <w:rPr>
          <w:rFonts w:ascii="Arial" w:cs="Arial" w:eastAsia="Arial" w:hAnsi="Arial"/>
          <w:sz w:val="16"/>
          <w:szCs w:val="16"/>
          <w:color w:val="auto"/>
        </w:rPr>
        <w:t xml:space="preserve"> </w:t>
      </w:r>
      <w:r>
        <w:rPr>
          <w:rFonts w:ascii="Arial" w:cs="Arial" w:eastAsia="Arial" w:hAnsi="Arial"/>
          <w:sz w:val="16"/>
          <w:szCs w:val="16"/>
          <w:i w:val="1"/>
          <w:iCs w:val="1"/>
          <w:color w:val="auto"/>
        </w:rPr>
        <w:t>Beverage, Food and Tobacco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Ozburn-Hessey Holding Company LLC</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Transportation: Cargo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PetCo Animal Supplies, Inc.</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Retail</w:t>
      </w:r>
    </w:p>
    <w:p>
      <w:pPr>
        <w:spacing w:after="0" w:line="209" w:lineRule="exact"/>
        <w:rPr>
          <w:sz w:val="20"/>
          <w:szCs w:val="20"/>
          <w:color w:val="auto"/>
        </w:rPr>
      </w:pPr>
    </w:p>
    <w:p>
      <w:pPr>
        <w:ind w:right="160"/>
        <w:spacing w:after="0" w:line="212" w:lineRule="auto"/>
        <w:rPr>
          <w:sz w:val="20"/>
          <w:szCs w:val="20"/>
          <w:color w:val="auto"/>
        </w:rPr>
      </w:pPr>
      <w:r>
        <w:rPr>
          <w:rFonts w:ascii="Arial" w:cs="Arial" w:eastAsia="Arial" w:hAnsi="Arial"/>
          <w:sz w:val="18"/>
          <w:szCs w:val="18"/>
          <w:color w:val="auto"/>
        </w:rPr>
        <w:t>Pharmaceutical Product Development, Inc. (Jaguar Holdings, LLC)</w:t>
      </w:r>
      <w:r>
        <w:rPr>
          <w:rFonts w:ascii="Arial" w:cs="Arial" w:eastAsia="Arial" w:hAnsi="Arial"/>
          <w:sz w:val="30"/>
          <w:szCs w:val="30"/>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Puerto Rico Cable Acquisition Company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Media: Broadcasting &amp; Subscription</w:t>
      </w:r>
    </w:p>
    <w:p>
      <w:pPr>
        <w:spacing w:after="0" w:line="213" w:lineRule="exact"/>
        <w:rPr>
          <w:sz w:val="20"/>
          <w:szCs w:val="20"/>
          <w:color w:val="auto"/>
        </w:rPr>
      </w:pPr>
    </w:p>
    <w:p>
      <w:pPr>
        <w:ind w:left="180" w:right="260" w:hanging="161"/>
        <w:spacing w:after="0" w:line="180" w:lineRule="auto"/>
        <w:rPr>
          <w:sz w:val="20"/>
          <w:szCs w:val="20"/>
          <w:color w:val="auto"/>
        </w:rPr>
      </w:pPr>
      <w:r>
        <w:rPr>
          <w:rFonts w:ascii="Arial" w:cs="Arial" w:eastAsia="Arial" w:hAnsi="Arial"/>
          <w:sz w:val="17"/>
          <w:szCs w:val="17"/>
          <w:color w:val="auto"/>
        </w:rPr>
        <w:t>Puerto Rico Cable Acquisition Company Inc.</w:t>
      </w:r>
      <w:r>
        <w:rPr>
          <w:rFonts w:ascii="Arial" w:cs="Arial" w:eastAsia="Arial" w:hAnsi="Arial"/>
          <w:sz w:val="28"/>
          <w:szCs w:val="28"/>
          <w:color w:val="auto"/>
          <w:vertAlign w:val="superscript"/>
        </w:rPr>
        <w:t>9, 11</w:t>
      </w:r>
      <w:r>
        <w:rPr>
          <w:rFonts w:ascii="Arial" w:cs="Arial" w:eastAsia="Arial" w:hAnsi="Arial"/>
          <w:sz w:val="17"/>
          <w:szCs w:val="17"/>
          <w:color w:val="auto"/>
        </w:rPr>
        <w:t xml:space="preserve"> </w:t>
      </w:r>
      <w:r>
        <w:rPr>
          <w:rFonts w:ascii="Arial" w:cs="Arial" w:eastAsia="Arial" w:hAnsi="Arial"/>
          <w:sz w:val="17"/>
          <w:szCs w:val="17"/>
          <w:i w:val="1"/>
          <w:iCs w:val="1"/>
          <w:color w:val="auto"/>
        </w:rPr>
        <w:t>Media: Broadcasting &amp; Subscription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Sandy Creek Energy Associates, L.P.</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Utilities: Electric</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SGF Produce Holding Corp.(Frozsun,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SGF Produce Holding Corp.(Frozsun, Inc.)</w:t>
      </w:r>
      <w:r>
        <w:rPr>
          <w:rFonts w:ascii="Arial" w:cs="Arial" w:eastAsia="Arial" w:hAnsi="Arial"/>
          <w:sz w:val="29"/>
          <w:szCs w:val="29"/>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Spin Holdco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0"/>
              </w:rPr>
              <w:t>Fair Value</w:t>
            </w:r>
            <w:r>
              <w:rPr>
                <w:rFonts w:ascii="Arial" w:cs="Arial" w:eastAsia="Arial" w:hAnsi="Arial"/>
                <w:sz w:val="30"/>
                <w:szCs w:val="30"/>
                <w:color w:val="auto"/>
                <w:w w:val="90"/>
                <w:vertAlign w:val="superscript"/>
              </w:rPr>
              <w:t>2</w:t>
            </w:r>
          </w:p>
        </w:tc>
        <w:tc>
          <w:tcPr>
            <w:tcW w:w="0" w:type="dxa"/>
            <w:vAlign w:val="bottom"/>
          </w:tcPr>
          <w:p>
            <w:pPr>
              <w:spacing w:after="0"/>
              <w:rPr>
                <w:sz w:val="1"/>
                <w:szCs w:val="1"/>
                <w:color w:val="auto"/>
              </w:rPr>
            </w:pPr>
          </w:p>
        </w:tc>
      </w:tr>
      <w:tr>
        <w:trPr>
          <w:trHeight w:val="234"/>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Principal</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900" w:type="dxa"/>
            <w:vAlign w:val="bottom"/>
            <w:gridSpan w:val="3"/>
          </w:tcPr>
          <w:p>
            <w:pPr>
              <w:spacing w:after="0"/>
              <w:rPr>
                <w:sz w:val="20"/>
                <w:szCs w:val="20"/>
                <w:color w:val="auto"/>
              </w:rPr>
            </w:pPr>
            <w:r>
              <w:rPr>
                <w:rFonts w:ascii="Arial" w:cs="Arial" w:eastAsia="Arial" w:hAnsi="Arial"/>
                <w:sz w:val="18"/>
                <w:szCs w:val="18"/>
                <w:color w:val="auto"/>
              </w:rPr>
              <w:t>Senior Secured Loan — Term B Facility</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97"/>
              </w:rPr>
              <w:t>4.3%</w:t>
            </w:r>
          </w:p>
        </w:tc>
        <w:tc>
          <w:tcPr>
            <w:tcW w:w="3480" w:type="dxa"/>
            <w:vAlign w:val="bottom"/>
            <w:gridSpan w:val="2"/>
          </w:tcPr>
          <w:p>
            <w:pPr>
              <w:spacing w:after="0"/>
              <w:rPr>
                <w:sz w:val="20"/>
                <w:szCs w:val="20"/>
                <w:color w:val="auto"/>
              </w:rPr>
            </w:pPr>
            <w:r>
              <w:rPr>
                <w:rFonts w:ascii="Arial" w:cs="Arial" w:eastAsia="Arial" w:hAnsi="Arial"/>
                <w:sz w:val="18"/>
                <w:szCs w:val="18"/>
                <w:color w:val="auto"/>
              </w:rPr>
              <w:t>Cash, Due 2/18</w:t>
            </w:r>
          </w:p>
        </w:tc>
        <w:tc>
          <w:tcPr>
            <w:tcW w:w="940" w:type="dxa"/>
            <w:vAlign w:val="bottom"/>
          </w:tcPr>
          <w:p>
            <w:pPr>
              <w:jc w:val="right"/>
              <w:spacing w:after="0"/>
              <w:rPr>
                <w:sz w:val="20"/>
                <w:szCs w:val="20"/>
                <w:color w:val="auto"/>
              </w:rPr>
            </w:pPr>
            <w:r>
              <w:rPr>
                <w:rFonts w:ascii="Arial" w:cs="Arial" w:eastAsia="Arial" w:hAnsi="Arial"/>
                <w:sz w:val="18"/>
                <w:szCs w:val="18"/>
                <w:color w:val="auto"/>
              </w:rPr>
              <w:t>1,751,716</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1,761,555</w:t>
            </w:r>
          </w:p>
        </w:tc>
        <w:tc>
          <w:tcPr>
            <w:tcW w:w="920" w:type="dxa"/>
            <w:vAlign w:val="bottom"/>
          </w:tcPr>
          <w:p>
            <w:pPr>
              <w:jc w:val="right"/>
              <w:spacing w:after="0"/>
              <w:rPr>
                <w:sz w:val="20"/>
                <w:szCs w:val="20"/>
                <w:color w:val="auto"/>
              </w:rPr>
            </w:pPr>
            <w:r>
              <w:rPr>
                <w:rFonts w:ascii="Arial" w:cs="Arial" w:eastAsia="Arial" w:hAnsi="Arial"/>
                <w:sz w:val="18"/>
                <w:szCs w:val="18"/>
                <w:color w:val="auto"/>
              </w:rPr>
              <w:t>1,753,116</w:t>
            </w:r>
          </w:p>
        </w:tc>
        <w:tc>
          <w:tcPr>
            <w:tcW w:w="0" w:type="dxa"/>
            <w:vAlign w:val="bottom"/>
          </w:tcPr>
          <w:p>
            <w:pPr>
              <w:spacing w:after="0"/>
              <w:rPr>
                <w:sz w:val="1"/>
                <w:szCs w:val="1"/>
                <w:color w:val="auto"/>
              </w:rPr>
            </w:pPr>
          </w:p>
        </w:tc>
      </w:tr>
      <w:tr>
        <w:trPr>
          <w:trHeight w:val="458"/>
        </w:trPr>
        <w:tc>
          <w:tcPr>
            <w:tcW w:w="390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97"/>
              </w:rPr>
              <w:t>6.8%</w:t>
            </w:r>
          </w:p>
        </w:tc>
        <w:tc>
          <w:tcPr>
            <w:tcW w:w="3480" w:type="dxa"/>
            <w:vAlign w:val="bottom"/>
            <w:gridSpan w:val="2"/>
          </w:tcPr>
          <w:p>
            <w:pPr>
              <w:spacing w:after="0"/>
              <w:rPr>
                <w:sz w:val="20"/>
                <w:szCs w:val="20"/>
                <w:color w:val="auto"/>
              </w:rPr>
            </w:pPr>
            <w:r>
              <w:rPr>
                <w:rFonts w:ascii="Arial" w:cs="Arial" w:eastAsia="Arial" w:hAnsi="Arial"/>
                <w:sz w:val="18"/>
                <w:szCs w:val="18"/>
                <w:color w:val="auto"/>
              </w:rPr>
              <w:t>Cash, Due 8/18</w:t>
            </w:r>
          </w:p>
        </w:tc>
        <w:tc>
          <w:tcPr>
            <w:tcW w:w="940" w:type="dxa"/>
            <w:vAlign w:val="bottom"/>
          </w:tcPr>
          <w:p>
            <w:pPr>
              <w:jc w:val="right"/>
              <w:spacing w:after="0"/>
              <w:rPr>
                <w:sz w:val="20"/>
                <w:szCs w:val="20"/>
                <w:color w:val="auto"/>
              </w:rPr>
            </w:pPr>
            <w:r>
              <w:rPr>
                <w:rFonts w:ascii="Arial" w:cs="Arial" w:eastAsia="Arial" w:hAnsi="Arial"/>
                <w:sz w:val="18"/>
                <w:szCs w:val="18"/>
                <w:color w:val="auto"/>
              </w:rPr>
              <w:t>1,995,000</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1,981,056</w:t>
            </w:r>
          </w:p>
        </w:tc>
        <w:tc>
          <w:tcPr>
            <w:tcW w:w="920" w:type="dxa"/>
            <w:vAlign w:val="bottom"/>
          </w:tcPr>
          <w:p>
            <w:pPr>
              <w:jc w:val="right"/>
              <w:spacing w:after="0"/>
              <w:rPr>
                <w:sz w:val="20"/>
                <w:szCs w:val="20"/>
                <w:color w:val="auto"/>
              </w:rPr>
            </w:pPr>
            <w:r>
              <w:rPr>
                <w:rFonts w:ascii="Arial" w:cs="Arial" w:eastAsia="Arial" w:hAnsi="Arial"/>
                <w:sz w:val="18"/>
                <w:szCs w:val="18"/>
                <w:color w:val="auto"/>
              </w:rPr>
              <w:t>1,995,000</w:t>
            </w:r>
          </w:p>
        </w:tc>
        <w:tc>
          <w:tcPr>
            <w:tcW w:w="0" w:type="dxa"/>
            <w:vAlign w:val="bottom"/>
          </w:tcPr>
          <w:p>
            <w:pPr>
              <w:spacing w:after="0"/>
              <w:rPr>
                <w:sz w:val="1"/>
                <w:szCs w:val="1"/>
                <w:color w:val="auto"/>
              </w:rPr>
            </w:pPr>
          </w:p>
        </w:tc>
      </w:tr>
      <w:tr>
        <w:trPr>
          <w:trHeight w:val="458"/>
        </w:trPr>
        <w:tc>
          <w:tcPr>
            <w:tcW w:w="390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97"/>
              </w:rPr>
              <w:t>6.8%</w:t>
            </w:r>
          </w:p>
        </w:tc>
        <w:tc>
          <w:tcPr>
            <w:tcW w:w="3480" w:type="dxa"/>
            <w:vAlign w:val="bottom"/>
            <w:gridSpan w:val="2"/>
          </w:tcPr>
          <w:p>
            <w:pPr>
              <w:spacing w:after="0"/>
              <w:rPr>
                <w:sz w:val="20"/>
                <w:szCs w:val="20"/>
                <w:color w:val="auto"/>
              </w:rPr>
            </w:pPr>
            <w:r>
              <w:rPr>
                <w:rFonts w:ascii="Arial" w:cs="Arial" w:eastAsia="Arial" w:hAnsi="Arial"/>
                <w:sz w:val="18"/>
                <w:szCs w:val="18"/>
                <w:color w:val="auto"/>
              </w:rPr>
              <w:t>Cash, Due 5/19</w:t>
            </w:r>
          </w:p>
        </w:tc>
        <w:tc>
          <w:tcPr>
            <w:tcW w:w="940" w:type="dxa"/>
            <w:vAlign w:val="bottom"/>
          </w:tcPr>
          <w:p>
            <w:pPr>
              <w:jc w:val="right"/>
              <w:spacing w:after="0"/>
              <w:rPr>
                <w:sz w:val="20"/>
                <w:szCs w:val="20"/>
                <w:color w:val="auto"/>
              </w:rPr>
            </w:pPr>
            <w:r>
              <w:rPr>
                <w:rFonts w:ascii="Arial" w:cs="Arial" w:eastAsia="Arial" w:hAnsi="Arial"/>
                <w:sz w:val="18"/>
                <w:szCs w:val="18"/>
                <w:color w:val="auto"/>
              </w:rPr>
              <w:t>3,548,085</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3,536,235</w:t>
            </w:r>
          </w:p>
        </w:tc>
        <w:tc>
          <w:tcPr>
            <w:tcW w:w="920" w:type="dxa"/>
            <w:vAlign w:val="bottom"/>
          </w:tcPr>
          <w:p>
            <w:pPr>
              <w:jc w:val="right"/>
              <w:spacing w:after="0"/>
              <w:rPr>
                <w:sz w:val="20"/>
                <w:szCs w:val="20"/>
                <w:color w:val="auto"/>
              </w:rPr>
            </w:pPr>
            <w:r>
              <w:rPr>
                <w:rFonts w:ascii="Arial" w:cs="Arial" w:eastAsia="Arial" w:hAnsi="Arial"/>
                <w:sz w:val="18"/>
                <w:szCs w:val="18"/>
                <w:color w:val="auto"/>
              </w:rPr>
              <w:t>3,549,504</w:t>
            </w:r>
          </w:p>
        </w:tc>
        <w:tc>
          <w:tcPr>
            <w:tcW w:w="0" w:type="dxa"/>
            <w:vAlign w:val="bottom"/>
          </w:tcPr>
          <w:p>
            <w:pPr>
              <w:spacing w:after="0"/>
              <w:rPr>
                <w:sz w:val="1"/>
                <w:szCs w:val="1"/>
                <w:color w:val="auto"/>
              </w:rPr>
            </w:pPr>
          </w:p>
        </w:tc>
      </w:tr>
      <w:tr>
        <w:trPr>
          <w:trHeight w:val="458"/>
        </w:trPr>
        <w:tc>
          <w:tcPr>
            <w:tcW w:w="3900" w:type="dxa"/>
            <w:vAlign w:val="bottom"/>
            <w:gridSpan w:val="3"/>
          </w:tcPr>
          <w:p>
            <w:pPr>
              <w:spacing w:after="0"/>
              <w:rPr>
                <w:sz w:val="20"/>
                <w:szCs w:val="20"/>
                <w:color w:val="auto"/>
              </w:rPr>
            </w:pPr>
            <w:r>
              <w:rPr>
                <w:rFonts w:ascii="Arial" w:cs="Arial" w:eastAsia="Arial" w:hAnsi="Arial"/>
                <w:sz w:val="18"/>
                <w:szCs w:val="18"/>
                <w:color w:val="auto"/>
              </w:rPr>
              <w:t>Senior Secured Loan — New Loans</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97"/>
              </w:rPr>
              <w:t>4.0%</w:t>
            </w:r>
          </w:p>
        </w:tc>
        <w:tc>
          <w:tcPr>
            <w:tcW w:w="3480" w:type="dxa"/>
            <w:vAlign w:val="bottom"/>
            <w:gridSpan w:val="2"/>
          </w:tcPr>
          <w:p>
            <w:pPr>
              <w:spacing w:after="0"/>
              <w:rPr>
                <w:sz w:val="20"/>
                <w:szCs w:val="20"/>
                <w:color w:val="auto"/>
              </w:rPr>
            </w:pPr>
            <w:r>
              <w:rPr>
                <w:rFonts w:ascii="Arial" w:cs="Arial" w:eastAsia="Arial" w:hAnsi="Arial"/>
                <w:sz w:val="18"/>
                <w:szCs w:val="18"/>
                <w:color w:val="auto"/>
              </w:rPr>
              <w:t>Cash, Due 11/17</w:t>
            </w:r>
          </w:p>
        </w:tc>
        <w:tc>
          <w:tcPr>
            <w:tcW w:w="940" w:type="dxa"/>
            <w:vAlign w:val="bottom"/>
          </w:tcPr>
          <w:p>
            <w:pPr>
              <w:jc w:val="right"/>
              <w:spacing w:after="0"/>
              <w:rPr>
                <w:sz w:val="20"/>
                <w:szCs w:val="20"/>
                <w:color w:val="auto"/>
              </w:rPr>
            </w:pPr>
            <w:r>
              <w:rPr>
                <w:rFonts w:ascii="Arial" w:cs="Arial" w:eastAsia="Arial" w:hAnsi="Arial"/>
                <w:sz w:val="18"/>
                <w:szCs w:val="18"/>
                <w:color w:val="auto"/>
              </w:rPr>
              <w:t>1,979,592</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1,987,274</w:t>
            </w:r>
          </w:p>
        </w:tc>
        <w:tc>
          <w:tcPr>
            <w:tcW w:w="920" w:type="dxa"/>
            <w:vAlign w:val="bottom"/>
          </w:tcPr>
          <w:p>
            <w:pPr>
              <w:jc w:val="right"/>
              <w:spacing w:after="0"/>
              <w:rPr>
                <w:sz w:val="20"/>
                <w:szCs w:val="20"/>
                <w:color w:val="auto"/>
              </w:rPr>
            </w:pPr>
            <w:r>
              <w:rPr>
                <w:rFonts w:ascii="Arial" w:cs="Arial" w:eastAsia="Arial" w:hAnsi="Arial"/>
                <w:sz w:val="18"/>
                <w:szCs w:val="18"/>
                <w:color w:val="auto"/>
              </w:rPr>
              <w:t>1,992,746</w:t>
            </w:r>
          </w:p>
        </w:tc>
        <w:tc>
          <w:tcPr>
            <w:tcW w:w="0" w:type="dxa"/>
            <w:vAlign w:val="bottom"/>
          </w:tcPr>
          <w:p>
            <w:pPr>
              <w:spacing w:after="0"/>
              <w:rPr>
                <w:sz w:val="1"/>
                <w:szCs w:val="1"/>
                <w:color w:val="auto"/>
              </w:rPr>
            </w:pPr>
          </w:p>
        </w:tc>
      </w:tr>
      <w:tr>
        <w:trPr>
          <w:trHeight w:val="674"/>
        </w:trPr>
        <w:tc>
          <w:tcPr>
            <w:tcW w:w="3900" w:type="dxa"/>
            <w:vAlign w:val="bottom"/>
            <w:gridSpan w:val="3"/>
          </w:tcPr>
          <w:p>
            <w:pPr>
              <w:spacing w:after="0"/>
              <w:rPr>
                <w:sz w:val="20"/>
                <w:szCs w:val="20"/>
                <w:color w:val="auto"/>
              </w:rPr>
            </w:pPr>
            <w:r>
              <w:rPr>
                <w:rFonts w:ascii="Arial" w:cs="Arial" w:eastAsia="Arial" w:hAnsi="Arial"/>
                <w:sz w:val="18"/>
                <w:szCs w:val="18"/>
                <w:color w:val="auto"/>
              </w:rPr>
              <w:t>Senior Secured Loan — 2013 Term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97"/>
              </w:rPr>
              <w:t>4.0%</w:t>
            </w:r>
          </w:p>
        </w:tc>
        <w:tc>
          <w:tcPr>
            <w:tcW w:w="3480" w:type="dxa"/>
            <w:vAlign w:val="bottom"/>
            <w:gridSpan w:val="2"/>
          </w:tcPr>
          <w:p>
            <w:pPr>
              <w:spacing w:after="0"/>
              <w:rPr>
                <w:sz w:val="20"/>
                <w:szCs w:val="20"/>
                <w:color w:val="auto"/>
              </w:rPr>
            </w:pPr>
            <w:r>
              <w:rPr>
                <w:rFonts w:ascii="Arial" w:cs="Arial" w:eastAsia="Arial" w:hAnsi="Arial"/>
                <w:sz w:val="18"/>
                <w:szCs w:val="18"/>
                <w:color w:val="auto"/>
              </w:rPr>
              <w:t>Cash, Due 12/18</w:t>
            </w:r>
          </w:p>
        </w:tc>
        <w:tc>
          <w:tcPr>
            <w:tcW w:w="940" w:type="dxa"/>
            <w:vAlign w:val="bottom"/>
          </w:tcPr>
          <w:p>
            <w:pPr>
              <w:jc w:val="right"/>
              <w:spacing w:after="0"/>
              <w:rPr>
                <w:sz w:val="20"/>
                <w:szCs w:val="20"/>
                <w:color w:val="auto"/>
              </w:rPr>
            </w:pPr>
            <w:r>
              <w:rPr>
                <w:rFonts w:ascii="Arial" w:cs="Arial" w:eastAsia="Arial" w:hAnsi="Arial"/>
                <w:sz w:val="18"/>
                <w:szCs w:val="18"/>
                <w:color w:val="auto"/>
              </w:rPr>
              <w:t>3,517,594</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3,529,732</w:t>
            </w:r>
          </w:p>
        </w:tc>
        <w:tc>
          <w:tcPr>
            <w:tcW w:w="920" w:type="dxa"/>
            <w:vAlign w:val="bottom"/>
          </w:tcPr>
          <w:p>
            <w:pPr>
              <w:jc w:val="right"/>
              <w:spacing w:after="0"/>
              <w:rPr>
                <w:sz w:val="20"/>
                <w:szCs w:val="20"/>
                <w:color w:val="auto"/>
              </w:rPr>
            </w:pPr>
            <w:r>
              <w:rPr>
                <w:rFonts w:ascii="Arial" w:cs="Arial" w:eastAsia="Arial" w:hAnsi="Arial"/>
                <w:sz w:val="18"/>
                <w:szCs w:val="18"/>
                <w:color w:val="auto"/>
              </w:rPr>
              <w:t>3,546,526</w:t>
            </w:r>
          </w:p>
        </w:tc>
        <w:tc>
          <w:tcPr>
            <w:tcW w:w="0" w:type="dxa"/>
            <w:vAlign w:val="bottom"/>
          </w:tcPr>
          <w:p>
            <w:pPr>
              <w:spacing w:after="0"/>
              <w:rPr>
                <w:sz w:val="1"/>
                <w:szCs w:val="1"/>
                <w:color w:val="auto"/>
              </w:rPr>
            </w:pPr>
          </w:p>
        </w:tc>
      </w:tr>
      <w:tr>
        <w:trPr>
          <w:trHeight w:val="458"/>
        </w:trPr>
        <w:tc>
          <w:tcPr>
            <w:tcW w:w="390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97"/>
              </w:rPr>
              <w:t>5.5%</w:t>
            </w:r>
          </w:p>
        </w:tc>
        <w:tc>
          <w:tcPr>
            <w:tcW w:w="3480" w:type="dxa"/>
            <w:vAlign w:val="bottom"/>
            <w:gridSpan w:val="2"/>
          </w:tcPr>
          <w:p>
            <w:pPr>
              <w:spacing w:after="0"/>
              <w:rPr>
                <w:sz w:val="20"/>
                <w:szCs w:val="20"/>
                <w:color w:val="auto"/>
              </w:rPr>
            </w:pPr>
            <w:r>
              <w:rPr>
                <w:rFonts w:ascii="Arial" w:cs="Arial" w:eastAsia="Arial" w:hAnsi="Arial"/>
                <w:sz w:val="18"/>
                <w:szCs w:val="18"/>
                <w:color w:val="auto"/>
              </w:rPr>
              <w:t>Cash, Due 7/18</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980,693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982,374</w:t>
            </w:r>
          </w:p>
        </w:tc>
        <w:tc>
          <w:tcPr>
            <w:tcW w:w="920" w:type="dxa"/>
            <w:vAlign w:val="bottom"/>
          </w:tcPr>
          <w:p>
            <w:pPr>
              <w:jc w:val="right"/>
              <w:spacing w:after="0"/>
              <w:rPr>
                <w:sz w:val="20"/>
                <w:szCs w:val="20"/>
                <w:color w:val="auto"/>
              </w:rPr>
            </w:pPr>
            <w:r>
              <w:rPr>
                <w:rFonts w:ascii="Arial" w:cs="Arial" w:eastAsia="Arial" w:hAnsi="Arial"/>
                <w:sz w:val="18"/>
                <w:szCs w:val="18"/>
                <w:color w:val="auto"/>
              </w:rPr>
              <w:t>981,086</w:t>
            </w:r>
          </w:p>
        </w:tc>
        <w:tc>
          <w:tcPr>
            <w:tcW w:w="0" w:type="dxa"/>
            <w:vAlign w:val="bottom"/>
          </w:tcPr>
          <w:p>
            <w:pPr>
              <w:spacing w:after="0"/>
              <w:rPr>
                <w:sz w:val="1"/>
                <w:szCs w:val="1"/>
                <w:color w:val="auto"/>
              </w:rPr>
            </w:pPr>
          </w:p>
        </w:tc>
      </w:tr>
      <w:tr>
        <w:trPr>
          <w:trHeight w:val="458"/>
        </w:trPr>
        <w:tc>
          <w:tcPr>
            <w:tcW w:w="390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97"/>
              </w:rPr>
              <w:t>5.5%</w:t>
            </w:r>
          </w:p>
        </w:tc>
        <w:tc>
          <w:tcPr>
            <w:tcW w:w="3480" w:type="dxa"/>
            <w:vAlign w:val="bottom"/>
            <w:gridSpan w:val="2"/>
          </w:tcPr>
          <w:p>
            <w:pPr>
              <w:spacing w:after="0"/>
              <w:rPr>
                <w:sz w:val="20"/>
                <w:szCs w:val="20"/>
                <w:color w:val="auto"/>
              </w:rPr>
            </w:pPr>
            <w:r>
              <w:rPr>
                <w:rFonts w:ascii="Arial" w:cs="Arial" w:eastAsia="Arial" w:hAnsi="Arial"/>
                <w:sz w:val="18"/>
                <w:szCs w:val="18"/>
                <w:color w:val="auto"/>
              </w:rPr>
              <w:t>Cash, Due 7/18</w:t>
            </w:r>
          </w:p>
        </w:tc>
        <w:tc>
          <w:tcPr>
            <w:tcW w:w="940" w:type="dxa"/>
            <w:vAlign w:val="bottom"/>
          </w:tcPr>
          <w:p>
            <w:pPr>
              <w:jc w:val="right"/>
              <w:spacing w:after="0"/>
              <w:rPr>
                <w:sz w:val="20"/>
                <w:szCs w:val="20"/>
                <w:color w:val="auto"/>
              </w:rPr>
            </w:pPr>
            <w:r>
              <w:rPr>
                <w:rFonts w:ascii="Arial" w:cs="Arial" w:eastAsia="Arial" w:hAnsi="Arial"/>
                <w:sz w:val="18"/>
                <w:szCs w:val="18"/>
                <w:color w:val="auto"/>
              </w:rPr>
              <w:t>2,942,080</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2,928,491</w:t>
            </w:r>
          </w:p>
        </w:tc>
        <w:tc>
          <w:tcPr>
            <w:tcW w:w="920" w:type="dxa"/>
            <w:vAlign w:val="bottom"/>
          </w:tcPr>
          <w:p>
            <w:pPr>
              <w:jc w:val="right"/>
              <w:spacing w:after="0"/>
              <w:rPr>
                <w:sz w:val="20"/>
                <w:szCs w:val="20"/>
                <w:color w:val="auto"/>
              </w:rPr>
            </w:pPr>
            <w:r>
              <w:rPr>
                <w:rFonts w:ascii="Arial" w:cs="Arial" w:eastAsia="Arial" w:hAnsi="Arial"/>
                <w:sz w:val="18"/>
                <w:szCs w:val="18"/>
                <w:color w:val="auto"/>
              </w:rPr>
              <w:t>2,943,257</w:t>
            </w:r>
          </w:p>
        </w:tc>
        <w:tc>
          <w:tcPr>
            <w:tcW w:w="0" w:type="dxa"/>
            <w:vAlign w:val="bottom"/>
          </w:tcPr>
          <w:p>
            <w:pPr>
              <w:spacing w:after="0"/>
              <w:rPr>
                <w:sz w:val="1"/>
                <w:szCs w:val="1"/>
                <w:color w:val="auto"/>
              </w:rPr>
            </w:pPr>
          </w:p>
        </w:tc>
      </w:tr>
      <w:tr>
        <w:trPr>
          <w:trHeight w:val="458"/>
        </w:trPr>
        <w:tc>
          <w:tcPr>
            <w:tcW w:w="390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97"/>
              </w:rPr>
              <w:t>5.0%</w:t>
            </w:r>
          </w:p>
        </w:tc>
        <w:tc>
          <w:tcPr>
            <w:tcW w:w="3480" w:type="dxa"/>
            <w:vAlign w:val="bottom"/>
            <w:gridSpan w:val="2"/>
          </w:tcPr>
          <w:p>
            <w:pPr>
              <w:spacing w:after="0"/>
              <w:rPr>
                <w:sz w:val="20"/>
                <w:szCs w:val="20"/>
                <w:color w:val="auto"/>
              </w:rPr>
            </w:pPr>
            <w:r>
              <w:rPr>
                <w:rFonts w:ascii="Arial" w:cs="Arial" w:eastAsia="Arial" w:hAnsi="Arial"/>
                <w:sz w:val="18"/>
                <w:szCs w:val="18"/>
                <w:color w:val="auto"/>
              </w:rPr>
              <w:t>Cash, Due 11/20</w:t>
            </w:r>
          </w:p>
        </w:tc>
        <w:tc>
          <w:tcPr>
            <w:tcW w:w="940" w:type="dxa"/>
            <w:vAlign w:val="bottom"/>
          </w:tcPr>
          <w:p>
            <w:pPr>
              <w:jc w:val="right"/>
              <w:spacing w:after="0"/>
              <w:rPr>
                <w:sz w:val="20"/>
                <w:szCs w:val="20"/>
                <w:color w:val="auto"/>
              </w:rPr>
            </w:pPr>
            <w:r>
              <w:rPr>
                <w:rFonts w:ascii="Arial" w:cs="Arial" w:eastAsia="Arial" w:hAnsi="Arial"/>
                <w:sz w:val="18"/>
                <w:szCs w:val="18"/>
                <w:color w:val="auto"/>
              </w:rPr>
              <w:t>3,000,000</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2,985,253</w:t>
            </w:r>
          </w:p>
        </w:tc>
        <w:tc>
          <w:tcPr>
            <w:tcW w:w="920" w:type="dxa"/>
            <w:vAlign w:val="bottom"/>
          </w:tcPr>
          <w:p>
            <w:pPr>
              <w:jc w:val="right"/>
              <w:spacing w:after="0"/>
              <w:rPr>
                <w:sz w:val="20"/>
                <w:szCs w:val="20"/>
                <w:color w:val="auto"/>
              </w:rPr>
            </w:pPr>
            <w:r>
              <w:rPr>
                <w:rFonts w:ascii="Arial" w:cs="Arial" w:eastAsia="Arial" w:hAnsi="Arial"/>
                <w:sz w:val="18"/>
                <w:szCs w:val="18"/>
                <w:color w:val="auto"/>
              </w:rPr>
              <w:t>3,005,625</w:t>
            </w:r>
          </w:p>
        </w:tc>
        <w:tc>
          <w:tcPr>
            <w:tcW w:w="0" w:type="dxa"/>
            <w:vAlign w:val="bottom"/>
          </w:tcPr>
          <w:p>
            <w:pPr>
              <w:spacing w:after="0"/>
              <w:rPr>
                <w:sz w:val="1"/>
                <w:szCs w:val="1"/>
                <w:color w:val="auto"/>
              </w:rPr>
            </w:pPr>
          </w:p>
        </w:tc>
      </w:tr>
      <w:tr>
        <w:trPr>
          <w:trHeight w:val="458"/>
        </w:trPr>
        <w:tc>
          <w:tcPr>
            <w:tcW w:w="390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97"/>
              </w:rPr>
              <w:t>5.0%</w:t>
            </w:r>
          </w:p>
        </w:tc>
        <w:tc>
          <w:tcPr>
            <w:tcW w:w="3480" w:type="dxa"/>
            <w:vAlign w:val="bottom"/>
            <w:gridSpan w:val="2"/>
          </w:tcPr>
          <w:p>
            <w:pPr>
              <w:spacing w:after="0"/>
              <w:rPr>
                <w:sz w:val="20"/>
                <w:szCs w:val="20"/>
                <w:color w:val="auto"/>
              </w:rPr>
            </w:pPr>
            <w:r>
              <w:rPr>
                <w:rFonts w:ascii="Arial" w:cs="Arial" w:eastAsia="Arial" w:hAnsi="Arial"/>
                <w:sz w:val="18"/>
                <w:szCs w:val="18"/>
                <w:color w:val="auto"/>
              </w:rPr>
              <w:t>Cash, Due 3/19</w:t>
            </w:r>
          </w:p>
        </w:tc>
        <w:tc>
          <w:tcPr>
            <w:tcW w:w="940" w:type="dxa"/>
            <w:vAlign w:val="bottom"/>
          </w:tcPr>
          <w:p>
            <w:pPr>
              <w:jc w:val="right"/>
              <w:spacing w:after="0"/>
              <w:rPr>
                <w:sz w:val="20"/>
                <w:szCs w:val="20"/>
                <w:color w:val="auto"/>
              </w:rPr>
            </w:pPr>
            <w:r>
              <w:rPr>
                <w:rFonts w:ascii="Arial" w:cs="Arial" w:eastAsia="Arial" w:hAnsi="Arial"/>
                <w:sz w:val="18"/>
                <w:szCs w:val="18"/>
                <w:color w:val="auto"/>
              </w:rPr>
              <w:t>2,213,423</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2,193,867</w:t>
            </w:r>
          </w:p>
        </w:tc>
        <w:tc>
          <w:tcPr>
            <w:tcW w:w="920" w:type="dxa"/>
            <w:vAlign w:val="bottom"/>
          </w:tcPr>
          <w:p>
            <w:pPr>
              <w:jc w:val="right"/>
              <w:spacing w:after="0"/>
              <w:rPr>
                <w:sz w:val="20"/>
                <w:szCs w:val="20"/>
                <w:color w:val="auto"/>
              </w:rPr>
            </w:pPr>
            <w:r>
              <w:rPr>
                <w:rFonts w:ascii="Arial" w:cs="Arial" w:eastAsia="Arial" w:hAnsi="Arial"/>
                <w:sz w:val="18"/>
                <w:szCs w:val="18"/>
                <w:color w:val="auto"/>
              </w:rPr>
              <w:t>2,213,645</w:t>
            </w:r>
          </w:p>
        </w:tc>
        <w:tc>
          <w:tcPr>
            <w:tcW w:w="0" w:type="dxa"/>
            <w:vAlign w:val="bottom"/>
          </w:tcPr>
          <w:p>
            <w:pPr>
              <w:spacing w:after="0"/>
              <w:rPr>
                <w:sz w:val="1"/>
                <w:szCs w:val="1"/>
                <w:color w:val="auto"/>
              </w:rPr>
            </w:pPr>
          </w:p>
        </w:tc>
      </w:tr>
      <w:tr>
        <w:trPr>
          <w:trHeight w:val="458"/>
        </w:trPr>
        <w:tc>
          <w:tcPr>
            <w:tcW w:w="390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97"/>
              </w:rPr>
              <w:t>5.0%</w:t>
            </w:r>
          </w:p>
        </w:tc>
        <w:tc>
          <w:tcPr>
            <w:tcW w:w="3480" w:type="dxa"/>
            <w:vAlign w:val="bottom"/>
            <w:gridSpan w:val="2"/>
          </w:tcPr>
          <w:p>
            <w:pPr>
              <w:spacing w:after="0"/>
              <w:rPr>
                <w:sz w:val="20"/>
                <w:szCs w:val="20"/>
                <w:color w:val="auto"/>
              </w:rPr>
            </w:pPr>
            <w:r>
              <w:rPr>
                <w:rFonts w:ascii="Arial" w:cs="Arial" w:eastAsia="Arial" w:hAnsi="Arial"/>
                <w:sz w:val="18"/>
                <w:szCs w:val="18"/>
                <w:color w:val="auto"/>
              </w:rPr>
              <w:t>Cash, Due 3/19</w:t>
            </w:r>
          </w:p>
        </w:tc>
        <w:tc>
          <w:tcPr>
            <w:tcW w:w="940" w:type="dxa"/>
            <w:vAlign w:val="bottom"/>
          </w:tcPr>
          <w:p>
            <w:pPr>
              <w:jc w:val="right"/>
              <w:spacing w:after="0"/>
              <w:rPr>
                <w:sz w:val="20"/>
                <w:szCs w:val="20"/>
                <w:color w:val="auto"/>
              </w:rPr>
            </w:pPr>
            <w:r>
              <w:rPr>
                <w:rFonts w:ascii="Arial" w:cs="Arial" w:eastAsia="Arial" w:hAnsi="Arial"/>
                <w:sz w:val="18"/>
                <w:szCs w:val="18"/>
                <w:color w:val="auto"/>
              </w:rPr>
              <w:t>3,475,281</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3,454,967</w:t>
            </w:r>
          </w:p>
        </w:tc>
        <w:tc>
          <w:tcPr>
            <w:tcW w:w="920" w:type="dxa"/>
            <w:vAlign w:val="bottom"/>
          </w:tcPr>
          <w:p>
            <w:pPr>
              <w:jc w:val="right"/>
              <w:spacing w:after="0"/>
              <w:rPr>
                <w:sz w:val="20"/>
                <w:szCs w:val="20"/>
                <w:color w:val="auto"/>
              </w:rPr>
            </w:pPr>
            <w:r>
              <w:rPr>
                <w:rFonts w:ascii="Arial" w:cs="Arial" w:eastAsia="Arial" w:hAnsi="Arial"/>
                <w:sz w:val="18"/>
                <w:szCs w:val="18"/>
                <w:color w:val="auto"/>
              </w:rPr>
              <w:t>3,475,629</w:t>
            </w:r>
          </w:p>
        </w:tc>
        <w:tc>
          <w:tcPr>
            <w:tcW w:w="0" w:type="dxa"/>
            <w:vAlign w:val="bottom"/>
          </w:tcPr>
          <w:p>
            <w:pPr>
              <w:spacing w:after="0"/>
              <w:rPr>
                <w:sz w:val="1"/>
                <w:szCs w:val="1"/>
                <w:color w:val="auto"/>
              </w:rPr>
            </w:pPr>
          </w:p>
        </w:tc>
      </w:tr>
      <w:tr>
        <w:trPr>
          <w:trHeight w:val="418"/>
        </w:trPr>
        <w:tc>
          <w:tcPr>
            <w:tcW w:w="3900" w:type="dxa"/>
            <w:vAlign w:val="bottom"/>
            <w:gridSpan w:val="3"/>
          </w:tcPr>
          <w:p>
            <w:pPr>
              <w:spacing w:after="0"/>
              <w:rPr>
                <w:sz w:val="20"/>
                <w:szCs w:val="20"/>
                <w:color w:val="auto"/>
              </w:rPr>
            </w:pPr>
            <w:r>
              <w:rPr>
                <w:rFonts w:ascii="Arial" w:cs="Arial" w:eastAsia="Arial" w:hAnsi="Arial"/>
                <w:sz w:val="18"/>
                <w:szCs w:val="18"/>
                <w:color w:val="auto"/>
              </w:rPr>
              <w:t>Senior Secured Loan — Initial Term Loan (First</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Lien)</w:t>
            </w: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97"/>
              </w:rPr>
              <w:t>4.3%</w:t>
            </w:r>
          </w:p>
        </w:tc>
        <w:tc>
          <w:tcPr>
            <w:tcW w:w="3480" w:type="dxa"/>
            <w:vAlign w:val="bottom"/>
            <w:gridSpan w:val="2"/>
          </w:tcPr>
          <w:p>
            <w:pPr>
              <w:spacing w:after="0"/>
              <w:rPr>
                <w:sz w:val="20"/>
                <w:szCs w:val="20"/>
                <w:color w:val="auto"/>
              </w:rPr>
            </w:pPr>
            <w:r>
              <w:rPr>
                <w:rFonts w:ascii="Arial" w:cs="Arial" w:eastAsia="Arial" w:hAnsi="Arial"/>
                <w:sz w:val="18"/>
                <w:szCs w:val="18"/>
                <w:color w:val="auto"/>
              </w:rPr>
              <w:t>Cash, Due 11/19</w:t>
            </w:r>
          </w:p>
        </w:tc>
        <w:tc>
          <w:tcPr>
            <w:tcW w:w="940" w:type="dxa"/>
            <w:vAlign w:val="bottom"/>
          </w:tcPr>
          <w:p>
            <w:pPr>
              <w:jc w:val="right"/>
              <w:spacing w:after="0"/>
              <w:rPr>
                <w:sz w:val="20"/>
                <w:szCs w:val="20"/>
                <w:color w:val="auto"/>
              </w:rPr>
            </w:pPr>
            <w:r>
              <w:rPr>
                <w:rFonts w:ascii="Arial" w:cs="Arial" w:eastAsia="Arial" w:hAnsi="Arial"/>
                <w:sz w:val="18"/>
                <w:szCs w:val="18"/>
                <w:color w:val="auto"/>
              </w:rPr>
              <w:t>1,246,875</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1,245,425</w:t>
            </w:r>
          </w:p>
        </w:tc>
        <w:tc>
          <w:tcPr>
            <w:tcW w:w="920" w:type="dxa"/>
            <w:vAlign w:val="bottom"/>
          </w:tcPr>
          <w:p>
            <w:pPr>
              <w:jc w:val="right"/>
              <w:spacing w:after="0"/>
              <w:rPr>
                <w:sz w:val="20"/>
                <w:szCs w:val="20"/>
                <w:color w:val="auto"/>
              </w:rPr>
            </w:pPr>
            <w:r>
              <w:rPr>
                <w:rFonts w:ascii="Arial" w:cs="Arial" w:eastAsia="Arial" w:hAnsi="Arial"/>
                <w:sz w:val="18"/>
                <w:szCs w:val="18"/>
                <w:color w:val="auto"/>
              </w:rPr>
              <w:t>1,255,454</w:t>
            </w:r>
          </w:p>
        </w:tc>
        <w:tc>
          <w:tcPr>
            <w:tcW w:w="0" w:type="dxa"/>
            <w:vAlign w:val="bottom"/>
          </w:tcPr>
          <w:p>
            <w:pPr>
              <w:spacing w:after="0"/>
              <w:rPr>
                <w:sz w:val="1"/>
                <w:szCs w:val="1"/>
                <w:color w:val="auto"/>
              </w:rPr>
            </w:pPr>
          </w:p>
        </w:tc>
      </w:tr>
      <w:tr>
        <w:trPr>
          <w:trHeight w:val="648"/>
        </w:trPr>
        <w:tc>
          <w:tcPr>
            <w:tcW w:w="420" w:type="dxa"/>
            <w:vAlign w:val="bottom"/>
          </w:tcPr>
          <w:p>
            <w:pPr>
              <w:spacing w:after="0"/>
              <w:rPr>
                <w:sz w:val="24"/>
                <w:szCs w:val="24"/>
                <w:color w:val="auto"/>
              </w:rPr>
            </w:pPr>
          </w:p>
        </w:tc>
        <w:tc>
          <w:tcPr>
            <w:tcW w:w="3360" w:type="dxa"/>
            <w:vAlign w:val="bottom"/>
          </w:tcPr>
          <w:p>
            <w:pPr>
              <w:ind w:left="96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-4895850</wp:posOffset>
            </wp:positionV>
            <wp:extent cx="7246620" cy="3003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-4458970</wp:posOffset>
            </wp:positionV>
            <wp:extent cx="7246620" cy="3003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-4021455</wp:posOffset>
            </wp:positionV>
            <wp:extent cx="7246620" cy="3003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-3583940</wp:posOffset>
            </wp:positionV>
            <wp:extent cx="7246620" cy="4375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-3009265</wp:posOffset>
            </wp:positionV>
            <wp:extent cx="7246620" cy="3003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-2572385</wp:posOffset>
            </wp:positionV>
            <wp:extent cx="7246620" cy="3003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-2134870</wp:posOffset>
            </wp:positionV>
            <wp:extent cx="7246620" cy="3003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-1697355</wp:posOffset>
            </wp:positionV>
            <wp:extent cx="7246620" cy="3003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-1259840</wp:posOffset>
            </wp:positionV>
            <wp:extent cx="7246620" cy="3003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-822325</wp:posOffset>
            </wp:positionV>
            <wp:extent cx="7246620" cy="411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-5479415</wp:posOffset>
            </wp:positionV>
            <wp:extent cx="7246620" cy="4457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840" w:space="400"/>
            <w:col w:w="7080"/>
          </w:cols>
          <w:pgMar w:left="240" w:top="877" w:right="339" w:bottom="1440" w:gutter="0" w:footer="0" w:header="0"/>
        </w:sectPr>
      </w:pPr>
    </w:p>
    <w:bookmarkStart w:id="24" w:name="page25"/>
    <w:bookmarkEnd w:id="24"/>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 / Principal Business</w:t>
      </w:r>
    </w:p>
    <w:p>
      <w:pPr>
        <w:spacing w:after="0" w:line="208" w:lineRule="auto"/>
        <w:rPr>
          <w:sz w:val="20"/>
          <w:szCs w:val="20"/>
          <w:color w:val="auto"/>
        </w:rPr>
      </w:pPr>
      <w:r>
        <w:rPr>
          <w:rFonts w:ascii="Arial" w:cs="Arial" w:eastAsia="Arial" w:hAnsi="Arial"/>
          <w:sz w:val="18"/>
          <w:szCs w:val="18"/>
          <w:color w:val="auto"/>
        </w:rPr>
        <w:t>Spin Holdco Inc.</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Stafford Logistics, Inc.(dba Custom Ecology, Inc.)</w:t>
      </w:r>
      <w:r>
        <w:rPr>
          <w:rFonts w:ascii="Arial" w:cs="Arial" w:eastAsia="Arial" w:hAnsi="Arial"/>
          <w:sz w:val="26"/>
          <w:szCs w:val="26"/>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Environmental Industries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Steinway Musical Instruments,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Hotel, Gaming &amp; Leisure</w:t>
      </w:r>
    </w:p>
    <w:p>
      <w:pPr>
        <w:spacing w:after="0" w:line="209" w:lineRule="exact"/>
        <w:rPr>
          <w:sz w:val="20"/>
          <w:szCs w:val="20"/>
          <w:color w:val="auto"/>
        </w:rPr>
      </w:pPr>
    </w:p>
    <w:p>
      <w:pPr>
        <w:ind w:right="60"/>
        <w:spacing w:after="0" w:line="212" w:lineRule="auto"/>
        <w:rPr>
          <w:sz w:val="20"/>
          <w:szCs w:val="20"/>
          <w:color w:val="auto"/>
        </w:rPr>
      </w:pPr>
      <w:r>
        <w:rPr>
          <w:rFonts w:ascii="Arial" w:cs="Arial" w:eastAsia="Arial" w:hAnsi="Arial"/>
          <w:sz w:val="18"/>
          <w:szCs w:val="18"/>
          <w:color w:val="auto"/>
        </w:rPr>
        <w:t>Sun Products Corporation, The (fka Huish Detergents Inc.)</w:t>
      </w:r>
      <w:r>
        <w:rPr>
          <w:rFonts w:ascii="Arial" w:cs="Arial" w:eastAsia="Arial" w:hAnsi="Arial"/>
          <w:sz w:val="30"/>
          <w:szCs w:val="30"/>
          <w:color w:val="auto"/>
          <w:vertAlign w:val="superscript"/>
        </w:rPr>
        <w:t>9, 11</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213" w:lineRule="exact"/>
        <w:rPr>
          <w:sz w:val="20"/>
          <w:szCs w:val="20"/>
          <w:color w:val="auto"/>
        </w:rPr>
      </w:pPr>
    </w:p>
    <w:p>
      <w:pPr>
        <w:ind w:left="180" w:right="400" w:hanging="161"/>
        <w:spacing w:after="0" w:line="224" w:lineRule="auto"/>
        <w:rPr>
          <w:sz w:val="20"/>
          <w:szCs w:val="20"/>
          <w:color w:val="auto"/>
        </w:rPr>
      </w:pPr>
      <w:r>
        <w:rPr>
          <w:rFonts w:ascii="Arial" w:cs="Arial" w:eastAsia="Arial" w:hAnsi="Arial"/>
          <w:sz w:val="17"/>
          <w:szCs w:val="17"/>
          <w:color w:val="auto"/>
        </w:rPr>
        <w:t>TPF II LC, LLC (TPF II Rolling Hills, LLC)</w:t>
      </w:r>
      <w:r>
        <w:rPr>
          <w:rFonts w:ascii="Arial" w:cs="Arial" w:eastAsia="Arial" w:hAnsi="Arial"/>
          <w:sz w:val="28"/>
          <w:szCs w:val="28"/>
          <w:color w:val="auto"/>
          <w:vertAlign w:val="superscript"/>
        </w:rPr>
        <w:t>9, 11</w:t>
      </w:r>
      <w:r>
        <w:rPr>
          <w:rFonts w:ascii="Arial" w:cs="Arial" w:eastAsia="Arial" w:hAnsi="Arial"/>
          <w:sz w:val="17"/>
          <w:szCs w:val="17"/>
          <w:color w:val="auto"/>
        </w:rPr>
        <w:t xml:space="preserve"> </w:t>
      </w:r>
      <w:r>
        <w:rPr>
          <w:rFonts w:ascii="Arial" w:cs="Arial" w:eastAsia="Arial" w:hAnsi="Arial"/>
          <w:sz w:val="17"/>
          <w:szCs w:val="17"/>
          <w:i w:val="1"/>
          <w:iCs w:val="1"/>
          <w:color w:val="auto"/>
        </w:rPr>
        <w:t>Utilities: Electric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Trico Products Corporation</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Automotive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Trico Products Corporation</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Automotive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0"/>
              </w:rPr>
              <w:t>Fair Value</w:t>
            </w:r>
            <w:r>
              <w:rPr>
                <w:rFonts w:ascii="Arial" w:cs="Arial" w:eastAsia="Arial" w:hAnsi="Arial"/>
                <w:sz w:val="30"/>
                <w:szCs w:val="30"/>
                <w:color w:val="auto"/>
                <w:w w:val="90"/>
                <w:vertAlign w:val="superscript"/>
              </w:rPr>
              <w:t>2</w:t>
            </w:r>
          </w:p>
        </w:tc>
        <w:tc>
          <w:tcPr>
            <w:tcW w:w="0" w:type="dxa"/>
            <w:vAlign w:val="bottom"/>
          </w:tcPr>
          <w:p>
            <w:pPr>
              <w:spacing w:after="0"/>
              <w:rPr>
                <w:sz w:val="1"/>
                <w:szCs w:val="1"/>
                <w:color w:val="auto"/>
              </w:rPr>
            </w:pPr>
          </w:p>
        </w:tc>
      </w:tr>
      <w:tr>
        <w:trPr>
          <w:trHeight w:val="234"/>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Interest Rate¹ / Maturity</w:t>
            </w:r>
          </w:p>
        </w:tc>
        <w:tc>
          <w:tcPr>
            <w:tcW w:w="1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Principal</w:t>
            </w:r>
          </w:p>
        </w:tc>
        <w:tc>
          <w:tcPr>
            <w:tcW w:w="1140" w:type="dxa"/>
            <w:vAlign w:val="bottom"/>
            <w:gridSpan w:val="2"/>
          </w:tcPr>
          <w:p>
            <w:pPr>
              <w:ind w:left="280"/>
              <w:spacing w:after="0"/>
              <w:rPr>
                <w:sz w:val="20"/>
                <w:szCs w:val="20"/>
                <w:color w:val="auto"/>
              </w:rPr>
            </w:pPr>
            <w:r>
              <w:rPr>
                <w:rFonts w:ascii="Arial" w:cs="Arial" w:eastAsia="Arial" w:hAnsi="Arial"/>
                <w:sz w:val="18"/>
                <w:szCs w:val="18"/>
                <w:b w:val="1"/>
                <w:bCs w:val="1"/>
                <w:color w:val="auto"/>
              </w:rPr>
              <w:t>Cost</w:t>
            </w: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9"/>
              </w:rPr>
              <w:t>Senior Secured Loan — Initial Term Loan (First</w:t>
            </w: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 w:type="dxa"/>
            <w:vAlign w:val="bottom"/>
            <w:gridSpan w:val="2"/>
          </w:tcPr>
          <w:p>
            <w:pPr>
              <w:spacing w:after="0"/>
              <w:rPr>
                <w:sz w:val="20"/>
                <w:szCs w:val="20"/>
                <w:color w:val="auto"/>
              </w:rPr>
            </w:pPr>
            <w:r>
              <w:rPr>
                <w:rFonts w:ascii="Arial" w:cs="Arial" w:eastAsia="Arial" w:hAnsi="Arial"/>
                <w:sz w:val="18"/>
                <w:szCs w:val="18"/>
                <w:color w:val="auto"/>
                <w:w w:val="99"/>
              </w:rPr>
              <w:t>Lien)</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gridSpan w:val="2"/>
          </w:tcPr>
          <w:p>
            <w:pPr>
              <w:spacing w:after="0"/>
              <w:rPr>
                <w:sz w:val="20"/>
                <w:szCs w:val="20"/>
                <w:color w:val="auto"/>
              </w:rPr>
            </w:pPr>
            <w:r>
              <w:rPr>
                <w:rFonts w:ascii="Arial" w:cs="Arial" w:eastAsia="Arial" w:hAnsi="Arial"/>
                <w:sz w:val="18"/>
                <w:szCs w:val="18"/>
                <w:color w:val="auto"/>
                <w:w w:val="97"/>
              </w:rPr>
              <w:t>4.3%</w:t>
            </w:r>
          </w:p>
        </w:tc>
        <w:tc>
          <w:tcPr>
            <w:tcW w:w="3360" w:type="dxa"/>
            <w:vAlign w:val="bottom"/>
          </w:tcPr>
          <w:p>
            <w:pPr>
              <w:spacing w:after="0"/>
              <w:rPr>
                <w:sz w:val="20"/>
                <w:szCs w:val="20"/>
                <w:color w:val="auto"/>
              </w:rPr>
            </w:pPr>
            <w:r>
              <w:rPr>
                <w:rFonts w:ascii="Arial" w:cs="Arial" w:eastAsia="Arial" w:hAnsi="Arial"/>
                <w:sz w:val="18"/>
                <w:szCs w:val="18"/>
                <w:color w:val="auto"/>
              </w:rPr>
              <w:t>Cash, Due 11/19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$ 2,743,125</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2,742,255</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2,761,998</w:t>
            </w:r>
          </w:p>
        </w:tc>
        <w:tc>
          <w:tcPr>
            <w:tcW w:w="0" w:type="dxa"/>
            <w:vAlign w:val="bottom"/>
          </w:tcPr>
          <w:p>
            <w:pPr>
              <w:spacing w:after="0"/>
              <w:rPr>
                <w:sz w:val="1"/>
                <w:szCs w:val="1"/>
                <w:color w:val="auto"/>
              </w:rPr>
            </w:pPr>
          </w:p>
        </w:tc>
      </w:tr>
      <w:tr>
        <w:trPr>
          <w:trHeight w:val="458"/>
        </w:trPr>
        <w:tc>
          <w:tcPr>
            <w:tcW w:w="378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gridSpan w:val="2"/>
          </w:tcPr>
          <w:p>
            <w:pPr>
              <w:spacing w:after="0"/>
              <w:rPr>
                <w:sz w:val="20"/>
                <w:szCs w:val="20"/>
                <w:color w:val="auto"/>
              </w:rPr>
            </w:pPr>
            <w:r>
              <w:rPr>
                <w:rFonts w:ascii="Arial" w:cs="Arial" w:eastAsia="Arial" w:hAnsi="Arial"/>
                <w:sz w:val="18"/>
                <w:szCs w:val="18"/>
                <w:color w:val="auto"/>
                <w:w w:val="97"/>
              </w:rPr>
              <w:t>6.8%</w:t>
            </w:r>
          </w:p>
        </w:tc>
        <w:tc>
          <w:tcPr>
            <w:tcW w:w="3360" w:type="dxa"/>
            <w:vAlign w:val="bottom"/>
          </w:tcPr>
          <w:p>
            <w:pPr>
              <w:spacing w:after="0"/>
              <w:rPr>
                <w:sz w:val="20"/>
                <w:szCs w:val="20"/>
                <w:color w:val="auto"/>
              </w:rPr>
            </w:pPr>
            <w:r>
              <w:rPr>
                <w:rFonts w:ascii="Arial" w:cs="Arial" w:eastAsia="Arial" w:hAnsi="Arial"/>
                <w:sz w:val="18"/>
                <w:szCs w:val="18"/>
                <w:color w:val="auto"/>
              </w:rPr>
              <w:t>Cash, Due 6/19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2,985,000</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2,957,663</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2,985,896</w:t>
            </w:r>
          </w:p>
        </w:tc>
        <w:tc>
          <w:tcPr>
            <w:tcW w:w="0" w:type="dxa"/>
            <w:vAlign w:val="bottom"/>
          </w:tcPr>
          <w:p>
            <w:pPr>
              <w:spacing w:after="0"/>
              <w:rPr>
                <w:sz w:val="1"/>
                <w:szCs w:val="1"/>
                <w:color w:val="auto"/>
              </w:rPr>
            </w:pPr>
          </w:p>
        </w:tc>
      </w:tr>
      <w:tr>
        <w:trPr>
          <w:trHeight w:val="458"/>
        </w:trPr>
        <w:tc>
          <w:tcPr>
            <w:tcW w:w="3780" w:type="dxa"/>
            <w:vAlign w:val="bottom"/>
            <w:gridSpan w:val="3"/>
          </w:tcPr>
          <w:p>
            <w:pPr>
              <w:spacing w:after="0"/>
              <w:rPr>
                <w:sz w:val="20"/>
                <w:szCs w:val="20"/>
                <w:color w:val="auto"/>
              </w:rPr>
            </w:pPr>
            <w:r>
              <w:rPr>
                <w:rFonts w:ascii="Arial" w:cs="Arial" w:eastAsia="Arial" w:hAnsi="Arial"/>
                <w:sz w:val="18"/>
                <w:szCs w:val="18"/>
                <w:color w:val="auto"/>
              </w:rPr>
              <w:t>Junior Secured Loan — Loan (Second Lien)</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gridSpan w:val="2"/>
          </w:tcPr>
          <w:p>
            <w:pPr>
              <w:spacing w:after="0"/>
              <w:rPr>
                <w:sz w:val="20"/>
                <w:szCs w:val="20"/>
                <w:color w:val="auto"/>
              </w:rPr>
            </w:pPr>
            <w:r>
              <w:rPr>
                <w:rFonts w:ascii="Arial" w:cs="Arial" w:eastAsia="Arial" w:hAnsi="Arial"/>
                <w:sz w:val="18"/>
                <w:szCs w:val="18"/>
                <w:color w:val="auto"/>
                <w:w w:val="97"/>
              </w:rPr>
              <w:t>9.3%</w:t>
            </w:r>
          </w:p>
        </w:tc>
        <w:tc>
          <w:tcPr>
            <w:tcW w:w="3360" w:type="dxa"/>
            <w:vAlign w:val="bottom"/>
          </w:tcPr>
          <w:p>
            <w:pPr>
              <w:spacing w:after="0"/>
              <w:rPr>
                <w:sz w:val="20"/>
                <w:szCs w:val="20"/>
                <w:color w:val="auto"/>
              </w:rPr>
            </w:pPr>
            <w:r>
              <w:rPr>
                <w:rFonts w:ascii="Arial" w:cs="Arial" w:eastAsia="Arial" w:hAnsi="Arial"/>
                <w:sz w:val="18"/>
                <w:szCs w:val="18"/>
                <w:color w:val="auto"/>
              </w:rPr>
              <w:t>Cash, Due 9/20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990,403</w:t>
            </w:r>
          </w:p>
        </w:tc>
        <w:tc>
          <w:tcPr>
            <w:tcW w:w="920" w:type="dxa"/>
            <w:vAlign w:val="bottom"/>
          </w:tcPr>
          <w:p>
            <w:pPr>
              <w:jc w:val="right"/>
              <w:spacing w:after="0"/>
              <w:rPr>
                <w:sz w:val="20"/>
                <w:szCs w:val="20"/>
                <w:color w:val="auto"/>
              </w:rPr>
            </w:pPr>
            <w:r>
              <w:rPr>
                <w:rFonts w:ascii="Arial" w:cs="Arial" w:eastAsia="Arial" w:hAnsi="Arial"/>
                <w:sz w:val="18"/>
                <w:szCs w:val="18"/>
                <w:color w:val="auto"/>
              </w:rPr>
              <w:t>1,001,900</w:t>
            </w:r>
          </w:p>
        </w:tc>
        <w:tc>
          <w:tcPr>
            <w:tcW w:w="0" w:type="dxa"/>
            <w:vAlign w:val="bottom"/>
          </w:tcPr>
          <w:p>
            <w:pPr>
              <w:spacing w:after="0"/>
              <w:rPr>
                <w:sz w:val="1"/>
                <w:szCs w:val="1"/>
                <w:color w:val="auto"/>
              </w:rPr>
            </w:pPr>
          </w:p>
        </w:tc>
      </w:tr>
      <w:tr>
        <w:trPr>
          <w:trHeight w:val="674"/>
        </w:trPr>
        <w:tc>
          <w:tcPr>
            <w:tcW w:w="3780" w:type="dxa"/>
            <w:vAlign w:val="bottom"/>
            <w:gridSpan w:val="3"/>
          </w:tcPr>
          <w:p>
            <w:pPr>
              <w:spacing w:after="0"/>
              <w:rPr>
                <w:sz w:val="20"/>
                <w:szCs w:val="20"/>
                <w:color w:val="auto"/>
              </w:rPr>
            </w:pPr>
            <w:r>
              <w:rPr>
                <w:rFonts w:ascii="Arial" w:cs="Arial" w:eastAsia="Arial" w:hAnsi="Arial"/>
                <w:sz w:val="18"/>
                <w:szCs w:val="18"/>
                <w:color w:val="auto"/>
              </w:rPr>
              <w:t>Senior Secured Loan — Tranche B Term Loan</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gridSpan w:val="2"/>
          </w:tcPr>
          <w:p>
            <w:pPr>
              <w:spacing w:after="0"/>
              <w:rPr>
                <w:sz w:val="20"/>
                <w:szCs w:val="20"/>
                <w:color w:val="auto"/>
              </w:rPr>
            </w:pPr>
            <w:r>
              <w:rPr>
                <w:rFonts w:ascii="Arial" w:cs="Arial" w:eastAsia="Arial" w:hAnsi="Arial"/>
                <w:sz w:val="18"/>
                <w:szCs w:val="18"/>
                <w:color w:val="auto"/>
                <w:w w:val="97"/>
              </w:rPr>
              <w:t>5.5%</w:t>
            </w:r>
          </w:p>
        </w:tc>
        <w:tc>
          <w:tcPr>
            <w:tcW w:w="3360" w:type="dxa"/>
            <w:vAlign w:val="bottom"/>
          </w:tcPr>
          <w:p>
            <w:pPr>
              <w:spacing w:after="0"/>
              <w:rPr>
                <w:sz w:val="20"/>
                <w:szCs w:val="20"/>
                <w:color w:val="auto"/>
              </w:rPr>
            </w:pPr>
            <w:r>
              <w:rPr>
                <w:rFonts w:ascii="Arial" w:cs="Arial" w:eastAsia="Arial" w:hAnsi="Arial"/>
                <w:sz w:val="18"/>
                <w:szCs w:val="18"/>
                <w:color w:val="auto"/>
              </w:rPr>
              <w:t>Cash, Due 3/20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3,970,000</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3,941,540</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3,780,433</w:t>
            </w:r>
          </w:p>
        </w:tc>
        <w:tc>
          <w:tcPr>
            <w:tcW w:w="0" w:type="dxa"/>
            <w:vAlign w:val="bottom"/>
          </w:tcPr>
          <w:p>
            <w:pPr>
              <w:spacing w:after="0"/>
              <w:rPr>
                <w:sz w:val="1"/>
                <w:szCs w:val="1"/>
                <w:color w:val="auto"/>
              </w:rPr>
            </w:pPr>
          </w:p>
        </w:tc>
      </w:tr>
      <w:tr>
        <w:trPr>
          <w:trHeight w:val="458"/>
        </w:trPr>
        <w:tc>
          <w:tcPr>
            <w:tcW w:w="378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gridSpan w:val="2"/>
          </w:tcPr>
          <w:p>
            <w:pPr>
              <w:spacing w:after="0"/>
              <w:rPr>
                <w:sz w:val="20"/>
                <w:szCs w:val="20"/>
                <w:color w:val="auto"/>
              </w:rPr>
            </w:pPr>
            <w:r>
              <w:rPr>
                <w:rFonts w:ascii="Arial" w:cs="Arial" w:eastAsia="Arial" w:hAnsi="Arial"/>
                <w:sz w:val="18"/>
                <w:szCs w:val="18"/>
                <w:color w:val="auto"/>
                <w:w w:val="97"/>
              </w:rPr>
              <w:t>6.5%</w:t>
            </w:r>
          </w:p>
        </w:tc>
        <w:tc>
          <w:tcPr>
            <w:tcW w:w="3360" w:type="dxa"/>
            <w:vAlign w:val="bottom"/>
          </w:tcPr>
          <w:p>
            <w:pPr>
              <w:spacing w:after="0"/>
              <w:rPr>
                <w:sz w:val="20"/>
                <w:szCs w:val="20"/>
                <w:color w:val="auto"/>
              </w:rPr>
            </w:pPr>
            <w:r>
              <w:rPr>
                <w:rFonts w:ascii="Arial" w:cs="Arial" w:eastAsia="Arial" w:hAnsi="Arial"/>
                <w:sz w:val="18"/>
                <w:szCs w:val="18"/>
                <w:color w:val="auto"/>
              </w:rPr>
              <w:t>Cash, Due 8/19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2,985,000</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2,942,573</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2,987,985</w:t>
            </w:r>
          </w:p>
        </w:tc>
        <w:tc>
          <w:tcPr>
            <w:tcW w:w="0" w:type="dxa"/>
            <w:vAlign w:val="bottom"/>
          </w:tcPr>
          <w:p>
            <w:pPr>
              <w:spacing w:after="0"/>
              <w:rPr>
                <w:sz w:val="1"/>
                <w:szCs w:val="1"/>
                <w:color w:val="auto"/>
              </w:rPr>
            </w:pPr>
          </w:p>
        </w:tc>
      </w:tr>
      <w:tr>
        <w:trPr>
          <w:trHeight w:val="458"/>
        </w:trPr>
        <w:tc>
          <w:tcPr>
            <w:tcW w:w="378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gridSpan w:val="2"/>
          </w:tcPr>
          <w:p>
            <w:pPr>
              <w:spacing w:after="0"/>
              <w:rPr>
                <w:sz w:val="20"/>
                <w:szCs w:val="20"/>
                <w:color w:val="auto"/>
              </w:rPr>
            </w:pPr>
            <w:r>
              <w:rPr>
                <w:rFonts w:ascii="Arial" w:cs="Arial" w:eastAsia="Arial" w:hAnsi="Arial"/>
                <w:sz w:val="18"/>
                <w:szCs w:val="18"/>
                <w:color w:val="auto"/>
                <w:w w:val="97"/>
              </w:rPr>
              <w:t>6.3%</w:t>
            </w:r>
          </w:p>
        </w:tc>
        <w:tc>
          <w:tcPr>
            <w:tcW w:w="3360" w:type="dxa"/>
            <w:vAlign w:val="bottom"/>
          </w:tcPr>
          <w:p>
            <w:pPr>
              <w:spacing w:after="0"/>
              <w:rPr>
                <w:sz w:val="20"/>
                <w:szCs w:val="20"/>
                <w:color w:val="auto"/>
              </w:rPr>
            </w:pPr>
            <w:r>
              <w:rPr>
                <w:rFonts w:ascii="Arial" w:cs="Arial" w:eastAsia="Arial" w:hAnsi="Arial"/>
                <w:sz w:val="18"/>
                <w:szCs w:val="18"/>
                <w:color w:val="auto"/>
              </w:rPr>
              <w:t>Cash, Due 7/16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4,864,844</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4,843,792</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4,863,871</w:t>
            </w:r>
          </w:p>
        </w:tc>
        <w:tc>
          <w:tcPr>
            <w:tcW w:w="0" w:type="dxa"/>
            <w:vAlign w:val="bottom"/>
          </w:tcPr>
          <w:p>
            <w:pPr>
              <w:spacing w:after="0"/>
              <w:rPr>
                <w:sz w:val="1"/>
                <w:szCs w:val="1"/>
                <w:color w:val="auto"/>
              </w:rPr>
            </w:pPr>
          </w:p>
        </w:tc>
      </w:tr>
      <w:tr>
        <w:trPr>
          <w:trHeight w:val="458"/>
        </w:trPr>
        <w:tc>
          <w:tcPr>
            <w:tcW w:w="378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gridSpan w:val="2"/>
          </w:tcPr>
          <w:p>
            <w:pPr>
              <w:spacing w:after="0"/>
              <w:rPr>
                <w:sz w:val="20"/>
                <w:szCs w:val="20"/>
                <w:color w:val="auto"/>
              </w:rPr>
            </w:pPr>
            <w:r>
              <w:rPr>
                <w:rFonts w:ascii="Arial" w:cs="Arial" w:eastAsia="Arial" w:hAnsi="Arial"/>
                <w:sz w:val="18"/>
                <w:szCs w:val="18"/>
                <w:color w:val="auto"/>
                <w:w w:val="97"/>
              </w:rPr>
              <w:t>6.3%</w:t>
            </w:r>
          </w:p>
        </w:tc>
        <w:tc>
          <w:tcPr>
            <w:tcW w:w="3360" w:type="dxa"/>
            <w:vAlign w:val="bottom"/>
          </w:tcPr>
          <w:p>
            <w:pPr>
              <w:spacing w:after="0"/>
              <w:rPr>
                <w:sz w:val="20"/>
                <w:szCs w:val="20"/>
                <w:color w:val="auto"/>
              </w:rPr>
            </w:pPr>
            <w:r>
              <w:rPr>
                <w:rFonts w:ascii="Arial" w:cs="Arial" w:eastAsia="Arial" w:hAnsi="Arial"/>
                <w:sz w:val="18"/>
                <w:szCs w:val="18"/>
                <w:color w:val="auto"/>
              </w:rPr>
              <w:t>Cash, Due 7/16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3,891,875</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3,875,033</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3,891,097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-2623820</wp:posOffset>
            </wp:positionV>
            <wp:extent cx="7246620" cy="3003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-2186305</wp:posOffset>
            </wp:positionV>
            <wp:extent cx="7246620" cy="3003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-1748790</wp:posOffset>
            </wp:positionV>
            <wp:extent cx="7246620" cy="4375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-1174115</wp:posOffset>
            </wp:positionV>
            <wp:extent cx="7246620" cy="3003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-736600</wp:posOffset>
            </wp:positionV>
            <wp:extent cx="7246620" cy="3003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-299720</wp:posOffset>
            </wp:positionV>
            <wp:extent cx="7246620" cy="3003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-3180715</wp:posOffset>
            </wp:positionV>
            <wp:extent cx="7246620" cy="4203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3940" w:space="300"/>
            <w:col w:w="7180"/>
          </w:cols>
          <w:pgMar w:left="240" w:top="877" w:right="239" w:bottom="1440" w:gutter="0" w:footer="0" w:header="0"/>
        </w:sect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Trimaran Advisors, L.L.C.</w:t>
            </w:r>
            <w:r>
              <w:rPr>
                <w:rFonts w:ascii="Arial" w:cs="Arial" w:eastAsia="Arial" w:hAnsi="Arial"/>
                <w:sz w:val="30"/>
                <w:szCs w:val="30"/>
                <w:color w:val="auto"/>
                <w:vertAlign w:val="superscript"/>
              </w:rPr>
              <w:t>9</w:t>
            </w:r>
          </w:p>
        </w:tc>
        <w:tc>
          <w:tcPr>
            <w:tcW w:w="4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Senior Unsecured Loan — Revolving Credit</w:t>
            </w:r>
          </w:p>
        </w:tc>
        <w:tc>
          <w:tcPr>
            <w:tcW w:w="1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Portfolio Company Loan</w:t>
            </w:r>
          </w:p>
        </w:tc>
        <w:tc>
          <w:tcPr>
            <w:tcW w:w="4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Facility</w:t>
            </w:r>
          </w:p>
        </w:tc>
        <w:tc>
          <w:tcPr>
            <w:tcW w:w="11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23,000,000</w:t>
            </w:r>
          </w:p>
        </w:tc>
        <w:tc>
          <w:tcPr>
            <w:tcW w:w="11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23,000,000</w:t>
            </w: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23,000,000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CEEFF"/>
          </w:tcPr>
          <w:p>
            <w:pPr>
              <w:spacing w:after="0"/>
              <w:rPr>
                <w:sz w:val="19"/>
                <w:szCs w:val="19"/>
                <w:color w:val="auto"/>
              </w:rPr>
            </w:pPr>
          </w:p>
        </w:tc>
        <w:tc>
          <w:tcPr>
            <w:tcW w:w="4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9.0% Cash, Due 11/17</w:t>
            </w:r>
          </w:p>
        </w:tc>
        <w:tc>
          <w:tcPr>
            <w:tcW w:w="114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82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TriZetto Group, Inc. (TZ Merger Sub, Inc.)</w:t>
            </w:r>
            <w:r>
              <w:rPr>
                <w:rFonts w:ascii="Arial" w:cs="Arial" w:eastAsia="Arial" w:hAnsi="Arial"/>
                <w:sz w:val="28"/>
                <w:szCs w:val="28"/>
                <w:color w:val="auto"/>
                <w:vertAlign w:val="superscript"/>
              </w:rPr>
              <w:t>9, 11</w:t>
            </w:r>
          </w:p>
        </w:tc>
        <w:tc>
          <w:tcPr>
            <w:tcW w:w="4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Senior Secured Loan — Term Loan</w:t>
            </w:r>
          </w:p>
        </w:tc>
        <w:tc>
          <w:tcPr>
            <w:tcW w:w="1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High Tech Industries</w:t>
            </w:r>
          </w:p>
        </w:tc>
        <w:tc>
          <w:tcPr>
            <w:tcW w:w="4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4.8% Cash, Due 5/18</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3,676,604</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3,684,234</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3,639,857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82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TRSO I, Inc.</w:t>
            </w:r>
            <w:r>
              <w:rPr>
                <w:rFonts w:ascii="Arial" w:cs="Arial" w:eastAsia="Arial" w:hAnsi="Arial"/>
                <w:sz w:val="28"/>
                <w:szCs w:val="28"/>
                <w:color w:val="auto"/>
                <w:vertAlign w:val="superscript"/>
              </w:rPr>
              <w:t>9</w:t>
            </w:r>
          </w:p>
        </w:tc>
        <w:tc>
          <w:tcPr>
            <w:tcW w:w="42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5"/>
              </w:rPr>
              <w:t>Junior Secured Loan — Term Loan (Second Lien)</w:t>
            </w:r>
          </w:p>
        </w:tc>
        <w:tc>
          <w:tcPr>
            <w:tcW w:w="1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Energy: Oil &amp; Gas</w:t>
            </w:r>
          </w:p>
        </w:tc>
        <w:tc>
          <w:tcPr>
            <w:tcW w:w="4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11.0% Cash, Due 12/17</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10,400,000</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10,234,558</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10,608,000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82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TUI University, LLC</w:t>
            </w:r>
            <w:r>
              <w:rPr>
                <w:rFonts w:ascii="Arial" w:cs="Arial" w:eastAsia="Arial" w:hAnsi="Arial"/>
                <w:sz w:val="28"/>
                <w:szCs w:val="28"/>
                <w:color w:val="auto"/>
                <w:vertAlign w:val="superscript"/>
              </w:rPr>
              <w:t>9</w:t>
            </w:r>
          </w:p>
        </w:tc>
        <w:tc>
          <w:tcPr>
            <w:tcW w:w="4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Senior Secured Loan — Term Loan (First Lien)</w:t>
            </w:r>
          </w:p>
        </w:tc>
        <w:tc>
          <w:tcPr>
            <w:tcW w:w="1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Services: Business</w:t>
            </w:r>
          </w:p>
        </w:tc>
        <w:tc>
          <w:tcPr>
            <w:tcW w:w="4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7.3% Cash, Due 10/14</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1,647,733</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1,637,909</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1,614,779</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23</w:t>
            </w:r>
          </w:p>
        </w:tc>
        <w:tc>
          <w:tcPr>
            <w:tcW w:w="1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type w:val="continuous"/>
        </w:sectPr>
      </w:pPr>
    </w:p>
    <w:bookmarkStart w:id="25" w:name="page26"/>
    <w:bookmarkEnd w:id="25"/>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 / Principal Business</w:t>
      </w:r>
    </w:p>
    <w:p>
      <w:pPr>
        <w:spacing w:after="0" w:line="208" w:lineRule="auto"/>
        <w:rPr>
          <w:sz w:val="20"/>
          <w:szCs w:val="20"/>
          <w:color w:val="auto"/>
        </w:rPr>
      </w:pPr>
      <w:r>
        <w:rPr>
          <w:rFonts w:ascii="Arial" w:cs="Arial" w:eastAsia="Arial" w:hAnsi="Arial"/>
          <w:sz w:val="18"/>
          <w:szCs w:val="18"/>
          <w:color w:val="auto"/>
        </w:rPr>
        <w:t>TWCC Holding Corp.</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Media: Broadcasting &amp; Subscription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TWCC Holding Corp.</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Media: Broadcasting &amp; Subscription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Univar Inc.</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Chemicals, Plastics and Rubber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Vertafore, Inc.</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209"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Vestcom International, Inc. (fka Vector Investment Holdings, Inc.)</w:t>
      </w:r>
      <w:r>
        <w:rPr>
          <w:rFonts w:ascii="Arial" w:cs="Arial" w:eastAsia="Arial" w:hAnsi="Arial"/>
          <w:sz w:val="30"/>
          <w:szCs w:val="30"/>
          <w:color w:val="auto"/>
          <w:vertAlign w:val="superscript"/>
        </w:rPr>
        <w:t>9, 11</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Media: Advertising, Printing &amp; Publishing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Weiman Products,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Weiman Products, LLC</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Wholesome Sweeteners,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0"/>
              </w:rPr>
              <w:t>Fair Value</w:t>
            </w:r>
            <w:r>
              <w:rPr>
                <w:rFonts w:ascii="Arial" w:cs="Arial" w:eastAsia="Arial" w:hAnsi="Arial"/>
                <w:sz w:val="30"/>
                <w:szCs w:val="30"/>
                <w:b w:val="1"/>
                <w:bCs w:val="1"/>
                <w:color w:val="auto"/>
                <w:w w:val="90"/>
                <w:vertAlign w:val="superscript"/>
              </w:rPr>
              <w:t>2</w:t>
            </w:r>
          </w:p>
        </w:tc>
        <w:tc>
          <w:tcPr>
            <w:tcW w:w="0" w:type="dxa"/>
            <w:vAlign w:val="bottom"/>
          </w:tcPr>
          <w:p>
            <w:pPr>
              <w:spacing w:after="0"/>
              <w:rPr>
                <w:sz w:val="1"/>
                <w:szCs w:val="1"/>
                <w:color w:val="auto"/>
              </w:rPr>
            </w:pPr>
          </w:p>
        </w:tc>
      </w:tr>
      <w:tr>
        <w:trPr>
          <w:trHeight w:val="234"/>
        </w:trPr>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Principal</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120" w:type="dxa"/>
            <w:vAlign w:val="bottom"/>
            <w:gridSpan w:val="3"/>
          </w:tcPr>
          <w:p>
            <w:pPr>
              <w:spacing w:after="0"/>
              <w:rPr>
                <w:sz w:val="20"/>
                <w:szCs w:val="20"/>
                <w:color w:val="auto"/>
              </w:rPr>
            </w:pPr>
            <w:r>
              <w:rPr>
                <w:rFonts w:ascii="Arial" w:cs="Arial" w:eastAsia="Arial" w:hAnsi="Arial"/>
                <w:sz w:val="18"/>
                <w:szCs w:val="18"/>
                <w:color w:val="auto"/>
              </w:rPr>
              <w:t>Junior Secured Loan — Term Loan (Second Lien)</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7.0%</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Cash, Due 6/20</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  1,000,000</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1,004,735</w:t>
            </w:r>
          </w:p>
        </w:tc>
        <w:tc>
          <w:tcPr>
            <w:tcW w:w="920" w:type="dxa"/>
            <w:vAlign w:val="bottom"/>
          </w:tcPr>
          <w:p>
            <w:pPr>
              <w:jc w:val="right"/>
              <w:spacing w:after="0"/>
              <w:rPr>
                <w:sz w:val="20"/>
                <w:szCs w:val="20"/>
                <w:color w:val="auto"/>
              </w:rPr>
            </w:pPr>
            <w:r>
              <w:rPr>
                <w:rFonts w:ascii="Arial" w:cs="Arial" w:eastAsia="Arial" w:hAnsi="Arial"/>
                <w:sz w:val="18"/>
                <w:szCs w:val="18"/>
                <w:color w:val="auto"/>
              </w:rPr>
              <w:t>1,030,005</w:t>
            </w:r>
          </w:p>
        </w:tc>
        <w:tc>
          <w:tcPr>
            <w:tcW w:w="0" w:type="dxa"/>
            <w:vAlign w:val="bottom"/>
          </w:tcPr>
          <w:p>
            <w:pPr>
              <w:spacing w:after="0"/>
              <w:rPr>
                <w:sz w:val="1"/>
                <w:szCs w:val="1"/>
                <w:color w:val="auto"/>
              </w:rPr>
            </w:pPr>
          </w:p>
        </w:tc>
      </w:tr>
      <w:tr>
        <w:trPr>
          <w:trHeight w:val="458"/>
        </w:trPr>
        <w:tc>
          <w:tcPr>
            <w:tcW w:w="412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3.5%</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Cash, Due 2/17</w:t>
            </w:r>
          </w:p>
        </w:tc>
        <w:tc>
          <w:tcPr>
            <w:tcW w:w="940" w:type="dxa"/>
            <w:vAlign w:val="bottom"/>
          </w:tcPr>
          <w:p>
            <w:pPr>
              <w:jc w:val="right"/>
              <w:spacing w:after="0"/>
              <w:rPr>
                <w:sz w:val="20"/>
                <w:szCs w:val="20"/>
                <w:color w:val="auto"/>
              </w:rPr>
            </w:pPr>
            <w:r>
              <w:rPr>
                <w:rFonts w:ascii="Arial" w:cs="Arial" w:eastAsia="Arial" w:hAnsi="Arial"/>
                <w:sz w:val="18"/>
                <w:szCs w:val="18"/>
                <w:color w:val="auto"/>
              </w:rPr>
              <w:t>1,965,101</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1,980,166</w:t>
            </w:r>
          </w:p>
        </w:tc>
        <w:tc>
          <w:tcPr>
            <w:tcW w:w="920" w:type="dxa"/>
            <w:vAlign w:val="bottom"/>
          </w:tcPr>
          <w:p>
            <w:pPr>
              <w:jc w:val="right"/>
              <w:spacing w:after="0"/>
              <w:rPr>
                <w:sz w:val="20"/>
                <w:szCs w:val="20"/>
                <w:color w:val="auto"/>
              </w:rPr>
            </w:pPr>
            <w:r>
              <w:rPr>
                <w:rFonts w:ascii="Arial" w:cs="Arial" w:eastAsia="Arial" w:hAnsi="Arial"/>
                <w:sz w:val="18"/>
                <w:szCs w:val="18"/>
                <w:color w:val="auto"/>
              </w:rPr>
              <w:t>1,975,379</w:t>
            </w:r>
          </w:p>
        </w:tc>
        <w:tc>
          <w:tcPr>
            <w:tcW w:w="0" w:type="dxa"/>
            <w:vAlign w:val="bottom"/>
          </w:tcPr>
          <w:p>
            <w:pPr>
              <w:spacing w:after="0"/>
              <w:rPr>
                <w:sz w:val="1"/>
                <w:szCs w:val="1"/>
                <w:color w:val="auto"/>
              </w:rPr>
            </w:pPr>
          </w:p>
        </w:tc>
      </w:tr>
      <w:tr>
        <w:trPr>
          <w:trHeight w:val="458"/>
        </w:trPr>
        <w:tc>
          <w:tcPr>
            <w:tcW w:w="4120" w:type="dxa"/>
            <w:vAlign w:val="bottom"/>
            <w:gridSpan w:val="3"/>
          </w:tcPr>
          <w:p>
            <w:pPr>
              <w:spacing w:after="0"/>
              <w:rPr>
                <w:sz w:val="20"/>
                <w:szCs w:val="20"/>
                <w:color w:val="auto"/>
              </w:rPr>
            </w:pPr>
            <w:r>
              <w:rPr>
                <w:rFonts w:ascii="Arial" w:cs="Arial" w:eastAsia="Arial" w:hAnsi="Arial"/>
                <w:sz w:val="18"/>
                <w:szCs w:val="18"/>
                <w:color w:val="auto"/>
              </w:rPr>
              <w:t>Senior Secured Loan — Term B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5.0%</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Cash, Due 6/17</w:t>
            </w:r>
          </w:p>
        </w:tc>
        <w:tc>
          <w:tcPr>
            <w:tcW w:w="940" w:type="dxa"/>
            <w:vAlign w:val="bottom"/>
          </w:tcPr>
          <w:p>
            <w:pPr>
              <w:jc w:val="right"/>
              <w:spacing w:after="0"/>
              <w:rPr>
                <w:sz w:val="20"/>
                <w:szCs w:val="20"/>
                <w:color w:val="auto"/>
              </w:rPr>
            </w:pPr>
            <w:r>
              <w:rPr>
                <w:rFonts w:ascii="Arial" w:cs="Arial" w:eastAsia="Arial" w:hAnsi="Arial"/>
                <w:sz w:val="18"/>
                <w:szCs w:val="18"/>
                <w:color w:val="auto"/>
              </w:rPr>
              <w:t>2,924,675</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2,921,597</w:t>
            </w:r>
          </w:p>
        </w:tc>
        <w:tc>
          <w:tcPr>
            <w:tcW w:w="920" w:type="dxa"/>
            <w:vAlign w:val="bottom"/>
          </w:tcPr>
          <w:p>
            <w:pPr>
              <w:jc w:val="right"/>
              <w:spacing w:after="0"/>
              <w:rPr>
                <w:sz w:val="20"/>
                <w:szCs w:val="20"/>
                <w:color w:val="auto"/>
              </w:rPr>
            </w:pPr>
            <w:r>
              <w:rPr>
                <w:rFonts w:ascii="Arial" w:cs="Arial" w:eastAsia="Arial" w:hAnsi="Arial"/>
                <w:sz w:val="18"/>
                <w:szCs w:val="18"/>
                <w:color w:val="auto"/>
              </w:rPr>
              <w:t>2,906,601</w:t>
            </w:r>
          </w:p>
        </w:tc>
        <w:tc>
          <w:tcPr>
            <w:tcW w:w="0" w:type="dxa"/>
            <w:vAlign w:val="bottom"/>
          </w:tcPr>
          <w:p>
            <w:pPr>
              <w:spacing w:after="0"/>
              <w:rPr>
                <w:sz w:val="1"/>
                <w:szCs w:val="1"/>
                <w:color w:val="auto"/>
              </w:rPr>
            </w:pPr>
          </w:p>
        </w:tc>
      </w:tr>
      <w:tr>
        <w:trPr>
          <w:trHeight w:val="458"/>
        </w:trPr>
        <w:tc>
          <w:tcPr>
            <w:tcW w:w="4120" w:type="dxa"/>
            <w:vAlign w:val="bottom"/>
            <w:gridSpan w:val="3"/>
          </w:tcPr>
          <w:p>
            <w:pPr>
              <w:spacing w:after="0"/>
              <w:rPr>
                <w:sz w:val="20"/>
                <w:szCs w:val="20"/>
                <w:color w:val="auto"/>
              </w:rPr>
            </w:pPr>
            <w:r>
              <w:rPr>
                <w:rFonts w:ascii="Arial" w:cs="Arial" w:eastAsia="Arial" w:hAnsi="Arial"/>
                <w:sz w:val="18"/>
                <w:szCs w:val="18"/>
                <w:color w:val="auto"/>
              </w:rPr>
              <w:t>Senior Secured Loan — Term Loan (2013)</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4.3%</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Cash, Due 10/19</w:t>
            </w:r>
          </w:p>
        </w:tc>
        <w:tc>
          <w:tcPr>
            <w:tcW w:w="940" w:type="dxa"/>
            <w:vAlign w:val="bottom"/>
          </w:tcPr>
          <w:p>
            <w:pPr>
              <w:jc w:val="right"/>
              <w:spacing w:after="0"/>
              <w:rPr>
                <w:sz w:val="20"/>
                <w:szCs w:val="20"/>
                <w:color w:val="auto"/>
              </w:rPr>
            </w:pPr>
            <w:r>
              <w:rPr>
                <w:rFonts w:ascii="Arial" w:cs="Arial" w:eastAsia="Arial" w:hAnsi="Arial"/>
                <w:sz w:val="18"/>
                <w:szCs w:val="18"/>
                <w:color w:val="auto"/>
              </w:rPr>
              <w:t>1,202,077</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1,201,491</w:t>
            </w:r>
          </w:p>
        </w:tc>
        <w:tc>
          <w:tcPr>
            <w:tcW w:w="920" w:type="dxa"/>
            <w:vAlign w:val="bottom"/>
          </w:tcPr>
          <w:p>
            <w:pPr>
              <w:jc w:val="right"/>
              <w:spacing w:after="0"/>
              <w:rPr>
                <w:sz w:val="20"/>
                <w:szCs w:val="20"/>
                <w:color w:val="auto"/>
              </w:rPr>
            </w:pPr>
            <w:r>
              <w:rPr>
                <w:rFonts w:ascii="Arial" w:cs="Arial" w:eastAsia="Arial" w:hAnsi="Arial"/>
                <w:sz w:val="18"/>
                <w:szCs w:val="18"/>
                <w:color w:val="auto"/>
              </w:rPr>
              <w:t>1,203,039</w:t>
            </w:r>
          </w:p>
        </w:tc>
        <w:tc>
          <w:tcPr>
            <w:tcW w:w="0" w:type="dxa"/>
            <w:vAlign w:val="bottom"/>
          </w:tcPr>
          <w:p>
            <w:pPr>
              <w:spacing w:after="0"/>
              <w:rPr>
                <w:sz w:val="1"/>
                <w:szCs w:val="1"/>
                <w:color w:val="auto"/>
              </w:rPr>
            </w:pPr>
          </w:p>
        </w:tc>
      </w:tr>
      <w:tr>
        <w:trPr>
          <w:trHeight w:val="674"/>
        </w:trPr>
        <w:tc>
          <w:tcPr>
            <w:tcW w:w="412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7.0%</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Cash, Due 12/18</w:t>
            </w:r>
          </w:p>
        </w:tc>
        <w:tc>
          <w:tcPr>
            <w:tcW w:w="940" w:type="dxa"/>
            <w:vAlign w:val="bottom"/>
          </w:tcPr>
          <w:p>
            <w:pPr>
              <w:jc w:val="right"/>
              <w:spacing w:after="0"/>
              <w:rPr>
                <w:sz w:val="20"/>
                <w:szCs w:val="20"/>
                <w:color w:val="auto"/>
              </w:rPr>
            </w:pPr>
            <w:r>
              <w:rPr>
                <w:rFonts w:ascii="Arial" w:cs="Arial" w:eastAsia="Arial" w:hAnsi="Arial"/>
                <w:sz w:val="18"/>
                <w:szCs w:val="18"/>
                <w:color w:val="auto"/>
              </w:rPr>
              <w:t>2,977,500</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2,939,085</w:t>
            </w:r>
          </w:p>
        </w:tc>
        <w:tc>
          <w:tcPr>
            <w:tcW w:w="920" w:type="dxa"/>
            <w:vAlign w:val="bottom"/>
          </w:tcPr>
          <w:p>
            <w:pPr>
              <w:jc w:val="right"/>
              <w:spacing w:after="0"/>
              <w:rPr>
                <w:sz w:val="20"/>
                <w:szCs w:val="20"/>
                <w:color w:val="auto"/>
              </w:rPr>
            </w:pPr>
            <w:r>
              <w:rPr>
                <w:rFonts w:ascii="Arial" w:cs="Arial" w:eastAsia="Arial" w:hAnsi="Arial"/>
                <w:sz w:val="18"/>
                <w:szCs w:val="18"/>
                <w:color w:val="auto"/>
              </w:rPr>
              <w:t>2,978,095</w:t>
            </w:r>
          </w:p>
        </w:tc>
        <w:tc>
          <w:tcPr>
            <w:tcW w:w="0" w:type="dxa"/>
            <w:vAlign w:val="bottom"/>
          </w:tcPr>
          <w:p>
            <w:pPr>
              <w:spacing w:after="0"/>
              <w:rPr>
                <w:sz w:val="1"/>
                <w:szCs w:val="1"/>
                <w:color w:val="auto"/>
              </w:rPr>
            </w:pPr>
          </w:p>
        </w:tc>
      </w:tr>
      <w:tr>
        <w:trPr>
          <w:trHeight w:val="458"/>
        </w:trPr>
        <w:tc>
          <w:tcPr>
            <w:tcW w:w="412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6.3%</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Cash, Due 11/18</w:t>
            </w:r>
          </w:p>
        </w:tc>
        <w:tc>
          <w:tcPr>
            <w:tcW w:w="94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990,219</w:t>
            </w:r>
          </w:p>
        </w:tc>
        <w:tc>
          <w:tcPr>
            <w:tcW w:w="920" w:type="dxa"/>
            <w:vAlign w:val="bottom"/>
          </w:tcPr>
          <w:p>
            <w:pPr>
              <w:jc w:val="right"/>
              <w:spacing w:after="0"/>
              <w:rPr>
                <w:sz w:val="20"/>
                <w:szCs w:val="20"/>
                <w:color w:val="auto"/>
              </w:rPr>
            </w:pPr>
            <w:r>
              <w:rPr>
                <w:rFonts w:ascii="Arial" w:cs="Arial" w:eastAsia="Arial" w:hAnsi="Arial"/>
                <w:sz w:val="18"/>
                <w:szCs w:val="18"/>
                <w:color w:val="auto"/>
              </w:rPr>
              <w:t>990,000</w:t>
            </w:r>
          </w:p>
        </w:tc>
        <w:tc>
          <w:tcPr>
            <w:tcW w:w="0" w:type="dxa"/>
            <w:vAlign w:val="bottom"/>
          </w:tcPr>
          <w:p>
            <w:pPr>
              <w:spacing w:after="0"/>
              <w:rPr>
                <w:sz w:val="1"/>
                <w:szCs w:val="1"/>
                <w:color w:val="auto"/>
              </w:rPr>
            </w:pPr>
          </w:p>
        </w:tc>
      </w:tr>
      <w:tr>
        <w:trPr>
          <w:trHeight w:val="458"/>
        </w:trPr>
        <w:tc>
          <w:tcPr>
            <w:tcW w:w="412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6.3%</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Cash, Due 11/18</w:t>
            </w:r>
          </w:p>
        </w:tc>
        <w:tc>
          <w:tcPr>
            <w:tcW w:w="940" w:type="dxa"/>
            <w:vAlign w:val="bottom"/>
          </w:tcPr>
          <w:p>
            <w:pPr>
              <w:jc w:val="right"/>
              <w:spacing w:after="0"/>
              <w:rPr>
                <w:sz w:val="20"/>
                <w:szCs w:val="20"/>
                <w:color w:val="auto"/>
              </w:rPr>
            </w:pPr>
            <w:r>
              <w:rPr>
                <w:rFonts w:ascii="Arial" w:cs="Arial" w:eastAsia="Arial" w:hAnsi="Arial"/>
                <w:sz w:val="18"/>
                <w:szCs w:val="18"/>
                <w:color w:val="auto"/>
              </w:rPr>
              <w:t>4,000,000</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3,960,876</w:t>
            </w:r>
          </w:p>
        </w:tc>
        <w:tc>
          <w:tcPr>
            <w:tcW w:w="920" w:type="dxa"/>
            <w:vAlign w:val="bottom"/>
          </w:tcPr>
          <w:p>
            <w:pPr>
              <w:jc w:val="right"/>
              <w:spacing w:after="0"/>
              <w:rPr>
                <w:sz w:val="20"/>
                <w:szCs w:val="20"/>
                <w:color w:val="auto"/>
              </w:rPr>
            </w:pPr>
            <w:r>
              <w:rPr>
                <w:rFonts w:ascii="Arial" w:cs="Arial" w:eastAsia="Arial" w:hAnsi="Arial"/>
                <w:sz w:val="18"/>
                <w:szCs w:val="18"/>
                <w:color w:val="auto"/>
              </w:rPr>
              <w:t>3,960,000</w:t>
            </w:r>
          </w:p>
        </w:tc>
        <w:tc>
          <w:tcPr>
            <w:tcW w:w="0" w:type="dxa"/>
            <w:vAlign w:val="bottom"/>
          </w:tcPr>
          <w:p>
            <w:pPr>
              <w:spacing w:after="0"/>
              <w:rPr>
                <w:sz w:val="1"/>
                <w:szCs w:val="1"/>
                <w:color w:val="auto"/>
              </w:rPr>
            </w:pPr>
          </w:p>
        </w:tc>
      </w:tr>
      <w:tr>
        <w:trPr>
          <w:trHeight w:val="418"/>
        </w:trPr>
        <w:tc>
          <w:tcPr>
            <w:tcW w:w="4120" w:type="dxa"/>
            <w:vAlign w:val="bottom"/>
            <w:gridSpan w:val="3"/>
          </w:tcPr>
          <w:p>
            <w:pPr>
              <w:spacing w:after="0"/>
              <w:rPr>
                <w:sz w:val="20"/>
                <w:szCs w:val="20"/>
                <w:color w:val="auto"/>
              </w:rPr>
            </w:pPr>
            <w:r>
              <w:rPr>
                <w:rFonts w:ascii="Arial" w:cs="Arial" w:eastAsia="Arial" w:hAnsi="Arial"/>
                <w:sz w:val="18"/>
                <w:szCs w:val="18"/>
                <w:color w:val="auto"/>
                <w:w w:val="98"/>
              </w:rPr>
              <w:t>Junior Secured Loan — Subordinated Note (Second</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Lien)</w:t>
            </w: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14.0% Cash, Due 10/17</w:t>
            </w:r>
          </w:p>
        </w:tc>
        <w:tc>
          <w:tcPr>
            <w:tcW w:w="940" w:type="dxa"/>
            <w:vAlign w:val="bottom"/>
          </w:tcPr>
          <w:p>
            <w:pPr>
              <w:jc w:val="right"/>
              <w:spacing w:after="0"/>
              <w:rPr>
                <w:sz w:val="20"/>
                <w:szCs w:val="20"/>
                <w:color w:val="auto"/>
              </w:rPr>
            </w:pPr>
            <w:r>
              <w:rPr>
                <w:rFonts w:ascii="Arial" w:cs="Arial" w:eastAsia="Arial" w:hAnsi="Arial"/>
                <w:sz w:val="18"/>
                <w:szCs w:val="18"/>
                <w:color w:val="auto"/>
              </w:rPr>
              <w:t>6,648,596</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6,614,827</w:t>
            </w:r>
          </w:p>
        </w:tc>
        <w:tc>
          <w:tcPr>
            <w:tcW w:w="920" w:type="dxa"/>
            <w:vAlign w:val="bottom"/>
          </w:tcPr>
          <w:p>
            <w:pPr>
              <w:jc w:val="right"/>
              <w:spacing w:after="0"/>
              <w:rPr>
                <w:sz w:val="20"/>
                <w:szCs w:val="20"/>
                <w:color w:val="auto"/>
              </w:rPr>
            </w:pPr>
            <w:r>
              <w:rPr>
                <w:rFonts w:ascii="Arial" w:cs="Arial" w:eastAsia="Arial" w:hAnsi="Arial"/>
                <w:sz w:val="18"/>
                <w:szCs w:val="18"/>
                <w:color w:val="auto"/>
              </w:rPr>
              <w:t>6,715,082</w:t>
            </w:r>
          </w:p>
        </w:tc>
        <w:tc>
          <w:tcPr>
            <w:tcW w:w="0" w:type="dxa"/>
            <w:vAlign w:val="bottom"/>
          </w:tcPr>
          <w:p>
            <w:pPr>
              <w:spacing w:after="0"/>
              <w:rPr>
                <w:sz w:val="1"/>
                <w:szCs w:val="1"/>
                <w:color w:val="auto"/>
              </w:rPr>
            </w:pPr>
          </w:p>
        </w:tc>
      </w:tr>
      <w:tr>
        <w:trPr>
          <w:trHeight w:val="648"/>
        </w:trPr>
        <w:tc>
          <w:tcPr>
            <w:tcW w:w="400" w:type="dxa"/>
            <w:vAlign w:val="bottom"/>
          </w:tcPr>
          <w:p>
            <w:pPr>
              <w:spacing w:after="0"/>
              <w:rPr>
                <w:sz w:val="24"/>
                <w:szCs w:val="24"/>
                <w:color w:val="auto"/>
              </w:rPr>
            </w:pPr>
          </w:p>
        </w:tc>
        <w:tc>
          <w:tcPr>
            <w:tcW w:w="3600" w:type="dxa"/>
            <w:vAlign w:val="bottom"/>
          </w:tcPr>
          <w:p>
            <w:pPr>
              <w:ind w:left="12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-3583940</wp:posOffset>
            </wp:positionV>
            <wp:extent cx="7246620" cy="3003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-3146425</wp:posOffset>
            </wp:positionV>
            <wp:extent cx="7246620" cy="3003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-2709545</wp:posOffset>
            </wp:positionV>
            <wp:extent cx="7246620" cy="3003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-2272030</wp:posOffset>
            </wp:positionV>
            <wp:extent cx="7246620" cy="4375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-1697355</wp:posOffset>
            </wp:positionV>
            <wp:extent cx="7246620" cy="3003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-1259840</wp:posOffset>
            </wp:positionV>
            <wp:extent cx="7246620" cy="3003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-822325</wp:posOffset>
            </wp:positionV>
            <wp:extent cx="7246620" cy="4114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-4029710</wp:posOffset>
            </wp:positionV>
            <wp:extent cx="7246620" cy="3086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660" w:space="360"/>
            <w:col w:w="7300"/>
          </w:cols>
          <w:pgMar w:left="240" w:top="877" w:right="339" w:bottom="1440" w:gutter="0" w:footer="0" w:header="0"/>
        </w:sectPr>
      </w:pPr>
    </w:p>
    <w:bookmarkStart w:id="26" w:name="page27"/>
    <w:bookmarkEnd w:id="26"/>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Portfolio Company / Principal Business</w:t>
      </w:r>
    </w:p>
    <w:p>
      <w:pPr>
        <w:spacing w:after="0" w:line="224" w:lineRule="auto"/>
        <w:rPr>
          <w:sz w:val="20"/>
          <w:szCs w:val="20"/>
          <w:color w:val="auto"/>
        </w:rPr>
      </w:pPr>
      <w:r>
        <w:rPr>
          <w:rFonts w:ascii="Arial" w:cs="Arial" w:eastAsia="Arial" w:hAnsi="Arial"/>
          <w:sz w:val="18"/>
          <w:szCs w:val="18"/>
          <w:color w:val="auto"/>
        </w:rPr>
        <w:t>WideOpenWest Finance ,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WireCo WorldGroup Inc. </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Capital Equipment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WireCo WorldGroup Inc. </w:t>
      </w:r>
      <w:r>
        <w:rPr>
          <w:rFonts w:ascii="Arial" w:cs="Arial" w:eastAsia="Arial" w:hAnsi="Arial"/>
          <w:sz w:val="30"/>
          <w:szCs w:val="30"/>
          <w:color w:val="auto"/>
          <w:vertAlign w:val="superscript"/>
        </w:rPr>
        <w:t>9, 11</w:t>
      </w:r>
    </w:p>
    <w:p>
      <w:pPr>
        <w:ind w:left="180"/>
        <w:spacing w:after="0"/>
        <w:rPr>
          <w:sz w:val="20"/>
          <w:szCs w:val="20"/>
          <w:color w:val="auto"/>
        </w:rPr>
      </w:pPr>
      <w:r>
        <w:rPr>
          <w:rFonts w:ascii="Arial" w:cs="Arial" w:eastAsia="Arial" w:hAnsi="Arial"/>
          <w:sz w:val="18"/>
          <w:szCs w:val="18"/>
          <w:i w:val="1"/>
          <w:iCs w:val="1"/>
          <w:color w:val="auto"/>
        </w:rPr>
        <w:t>Capital Equipment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WTG Holdings III Corp.</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Environmental Industries</w:t>
      </w:r>
    </w:p>
    <w:p>
      <w:pPr>
        <w:spacing w:after="0" w:line="200" w:lineRule="exact"/>
        <w:rPr>
          <w:sz w:val="20"/>
          <w:szCs w:val="20"/>
          <w:color w:val="auto"/>
        </w:rPr>
      </w:pPr>
    </w:p>
    <w:p>
      <w:pPr>
        <w:spacing w:after="0" w:line="208" w:lineRule="exact"/>
        <w:rPr>
          <w:sz w:val="20"/>
          <w:szCs w:val="20"/>
          <w:color w:val="auto"/>
        </w:rPr>
      </w:pPr>
    </w:p>
    <w:p>
      <w:pPr>
        <w:ind w:left="140" w:right="360" w:hanging="129"/>
        <w:spacing w:after="0" w:line="347" w:lineRule="auto"/>
        <w:rPr>
          <w:sz w:val="20"/>
          <w:szCs w:val="20"/>
          <w:color w:val="auto"/>
        </w:rPr>
      </w:pPr>
      <w:r>
        <w:rPr>
          <w:rFonts w:ascii="Arial" w:cs="Arial" w:eastAsia="Arial" w:hAnsi="Arial"/>
          <w:sz w:val="16"/>
          <w:szCs w:val="16"/>
          <w:b w:val="1"/>
          <w:bCs w:val="1"/>
          <w:color w:val="auto"/>
        </w:rPr>
        <w:t>Total Investment in Debt Securities (107% of net asset value at fair value)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20"/>
                <w:szCs w:val="20"/>
                <w:color w:val="auto"/>
              </w:rPr>
            </w:pPr>
            <w:r>
              <w:rPr>
                <w:rFonts w:ascii="Arial" w:cs="Arial" w:eastAsia="Arial" w:hAnsi="Arial"/>
                <w:sz w:val="18"/>
                <w:szCs w:val="18"/>
                <w:b w:val="1"/>
                <w:bCs w:val="1"/>
                <w:color w:val="auto"/>
              </w:rPr>
              <w:t>Investment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color w:val="auto"/>
                <w:w w:val="94"/>
                <w:vertAlign w:val="superscript"/>
              </w:rPr>
              <w:t>2</w:t>
            </w: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r>
              <w:rPr>
                <w:rFonts w:ascii="Arial" w:cs="Arial" w:eastAsia="Arial" w:hAnsi="Arial"/>
                <w:sz w:val="18"/>
                <w:szCs w:val="18"/>
                <w:b w:val="1"/>
                <w:bCs w:val="1"/>
                <w:color w:val="auto"/>
              </w:rPr>
              <w:t>Interest Rate¹ / Maturity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Senior Secured Loan — Term B Loan</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4.8% Cash, Due 4/19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2,984,962</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3,005,566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3,005,111</w:t>
            </w:r>
          </w:p>
        </w:tc>
        <w:tc>
          <w:tcPr>
            <w:tcW w:w="0" w:type="dxa"/>
            <w:vAlign w:val="bottom"/>
          </w:tcPr>
          <w:p>
            <w:pPr>
              <w:spacing w:after="0"/>
              <w:rPr>
                <w:sz w:val="1"/>
                <w:szCs w:val="1"/>
                <w:color w:val="auto"/>
              </w:rPr>
            </w:pPr>
          </w:p>
        </w:tc>
      </w:tr>
      <w:tr>
        <w:trPr>
          <w:trHeight w:val="458"/>
        </w:trPr>
        <w:tc>
          <w:tcPr>
            <w:tcW w:w="3620" w:type="dxa"/>
            <w:vAlign w:val="bottom"/>
          </w:tcPr>
          <w:p>
            <w:pPr>
              <w:spacing w:after="0"/>
              <w:rPr>
                <w:sz w:val="20"/>
                <w:szCs w:val="20"/>
                <w:color w:val="auto"/>
              </w:rPr>
            </w:pPr>
            <w:r>
              <w:rPr>
                <w:rFonts w:ascii="Arial" w:cs="Arial" w:eastAsia="Arial" w:hAnsi="Arial"/>
                <w:sz w:val="18"/>
                <w:szCs w:val="18"/>
                <w:color w:val="auto"/>
                <w:w w:val="99"/>
              </w:rPr>
              <w:t>Senior Unsecured Bond — 11.75% - 05/2017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11.8% Cash, Due 5/17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4,977,052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5,121,000</w:t>
            </w:r>
          </w:p>
        </w:tc>
        <w:tc>
          <w:tcPr>
            <w:tcW w:w="0" w:type="dxa"/>
            <w:vAlign w:val="bottom"/>
          </w:tcPr>
          <w:p>
            <w:pPr>
              <w:spacing w:after="0"/>
              <w:rPr>
                <w:sz w:val="1"/>
                <w:szCs w:val="1"/>
                <w:color w:val="auto"/>
              </w:rPr>
            </w:pPr>
          </w:p>
        </w:tc>
      </w:tr>
      <w:tr>
        <w:trPr>
          <w:trHeight w:val="458"/>
        </w:trPr>
        <w:tc>
          <w:tcPr>
            <w:tcW w:w="3620" w:type="dxa"/>
            <w:vAlign w:val="bottom"/>
          </w:tcPr>
          <w:p>
            <w:pPr>
              <w:spacing w:after="0"/>
              <w:rPr>
                <w:sz w:val="20"/>
                <w:szCs w:val="20"/>
                <w:color w:val="auto"/>
              </w:rPr>
            </w:pPr>
            <w:r>
              <w:rPr>
                <w:rFonts w:ascii="Arial" w:cs="Arial" w:eastAsia="Arial" w:hAnsi="Arial"/>
                <w:sz w:val="18"/>
                <w:szCs w:val="18"/>
                <w:color w:val="auto"/>
                <w:w w:val="99"/>
              </w:rPr>
              <w:t>Senior Unsecured Bond — 11.75% - 05/2017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11.8% Cash, Due 5/17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2,986,231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3,072,600</w:t>
            </w:r>
          </w:p>
        </w:tc>
        <w:tc>
          <w:tcPr>
            <w:tcW w:w="0" w:type="dxa"/>
            <w:vAlign w:val="bottom"/>
          </w:tcPr>
          <w:p>
            <w:pPr>
              <w:spacing w:after="0"/>
              <w:rPr>
                <w:sz w:val="1"/>
                <w:szCs w:val="1"/>
                <w:color w:val="auto"/>
              </w:rPr>
            </w:pPr>
          </w:p>
        </w:tc>
      </w:tr>
      <w:tr>
        <w:trPr>
          <w:trHeight w:val="418"/>
        </w:trPr>
        <w:tc>
          <w:tcPr>
            <w:tcW w:w="3620" w:type="dxa"/>
            <w:vAlign w:val="bottom"/>
          </w:tcPr>
          <w:p>
            <w:pPr>
              <w:spacing w:after="0"/>
              <w:rPr>
                <w:sz w:val="20"/>
                <w:szCs w:val="20"/>
                <w:color w:val="auto"/>
              </w:rPr>
            </w:pPr>
            <w:r>
              <w:rPr>
                <w:rFonts w:ascii="Arial" w:cs="Arial" w:eastAsia="Arial" w:hAnsi="Arial"/>
                <w:sz w:val="18"/>
                <w:szCs w:val="18"/>
                <w:color w:val="auto"/>
              </w:rPr>
              <w:t>Junior Secured Loan — Term Loan (Second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Lien)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20" w:type="dxa"/>
            <w:vAlign w:val="bottom"/>
          </w:tcPr>
          <w:p>
            <w:pPr>
              <w:spacing w:after="0"/>
              <w:rPr>
                <w:sz w:val="20"/>
                <w:szCs w:val="20"/>
                <w:color w:val="auto"/>
              </w:rPr>
            </w:pPr>
            <w:r>
              <w:rPr>
                <w:rFonts w:ascii="Arial" w:cs="Arial" w:eastAsia="Arial" w:hAnsi="Arial"/>
                <w:sz w:val="18"/>
                <w:szCs w:val="18"/>
                <w:color w:val="auto"/>
              </w:rPr>
              <w:t>8.5% Cash, Due 1/22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3,980,000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3,980,000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276,978,279</w:t>
            </w:r>
          </w:p>
        </w:tc>
        <w:tc>
          <w:tcPr>
            <w:tcW w:w="100" w:type="dxa"/>
            <w:vAlign w:val="bottom"/>
          </w:tcPr>
          <w:p>
            <w:pPr>
              <w:spacing w:after="0"/>
              <w:rPr>
                <w:sz w:val="24"/>
                <w:szCs w:val="24"/>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w w:val="95"/>
              </w:rPr>
              <w:t>$ 275,213,594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5"/>
              </w:rPr>
              <w:t>$ 266,830,427</w:t>
            </w:r>
          </w:p>
        </w:tc>
        <w:tc>
          <w:tcPr>
            <w:tcW w:w="0" w:type="dxa"/>
            <w:vAlign w:val="bottom"/>
          </w:tcPr>
          <w:p>
            <w:pPr>
              <w:spacing w:after="0"/>
              <w:rPr>
                <w:sz w:val="1"/>
                <w:szCs w:val="1"/>
                <w:color w:val="auto"/>
              </w:rPr>
            </w:pPr>
          </w:p>
        </w:tc>
      </w:tr>
      <w:tr>
        <w:trPr>
          <w:trHeight w:val="642"/>
        </w:trPr>
        <w:tc>
          <w:tcPr>
            <w:tcW w:w="3620" w:type="dxa"/>
            <w:vAlign w:val="bottom"/>
          </w:tcPr>
          <w:p>
            <w:pPr>
              <w:ind w:left="150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-2143125</wp:posOffset>
            </wp:positionV>
            <wp:extent cx="7246620" cy="3003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-1706245</wp:posOffset>
            </wp:positionV>
            <wp:extent cx="7246620" cy="3003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-1268730</wp:posOffset>
            </wp:positionV>
            <wp:extent cx="7246620" cy="4203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-702310</wp:posOffset>
            </wp:positionV>
            <wp:extent cx="7246620" cy="2832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-2589530</wp:posOffset>
            </wp:positionV>
            <wp:extent cx="7246620" cy="3086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400" w:space="720"/>
            <w:col w:w="7200"/>
          </w:cols>
          <w:pgMar w:left="240" w:top="87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Equity Securities Portfolio</w:t>
            </w: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Percentage</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Interest/Shares</w:t>
            </w:r>
          </w:p>
        </w:tc>
        <w:tc>
          <w:tcPr>
            <w:tcW w:w="22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8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7"/>
                <w:szCs w:val="27"/>
                <w:color w:val="auto"/>
                <w:vertAlign w:val="superscript"/>
              </w:rPr>
              <w:t>5, 9</w:t>
            </w:r>
          </w:p>
        </w:tc>
        <w:tc>
          <w:tcPr>
            <w:tcW w:w="10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Partnership Interests</w:t>
            </w:r>
          </w:p>
        </w:tc>
        <w:tc>
          <w:tcPr>
            <w:tcW w:w="12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Aerospace and Defense</w:t>
            </w: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98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8"/>
                <w:szCs w:val="28"/>
                <w:color w:val="auto"/>
                <w:vertAlign w:val="superscript"/>
              </w:rPr>
              <w:t>5, 9</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 Preferred Interests</w:t>
            </w: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Aerospace and Defense</w:t>
            </w: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250,961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207,988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98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Bankruptcy Management Solutions, Inc.</w:t>
            </w:r>
            <w:r>
              <w:rPr>
                <w:rFonts w:ascii="Arial" w:cs="Arial" w:eastAsia="Arial" w:hAnsi="Arial"/>
                <w:sz w:val="28"/>
                <w:szCs w:val="28"/>
                <w:color w:val="auto"/>
                <w:vertAlign w:val="superscript"/>
              </w:rPr>
              <w:t>5, 9</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Warrants</w:t>
            </w: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Banking, Finance, Insurance &amp; Real Estate</w:t>
            </w: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98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Bankruptcy Management Solutions, Inc.</w:t>
            </w:r>
            <w:r>
              <w:rPr>
                <w:rFonts w:ascii="Arial" w:cs="Arial" w:eastAsia="Arial" w:hAnsi="Arial"/>
                <w:sz w:val="28"/>
                <w:szCs w:val="28"/>
                <w:color w:val="auto"/>
                <w:vertAlign w:val="superscript"/>
              </w:rPr>
              <w:t>5, 9</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Warrants</w:t>
            </w: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Banking, Finance, Insurance &amp; Real Estate</w:t>
            </w: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98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Bankruptcy Management Solutions, Inc.</w:t>
            </w:r>
            <w:r>
              <w:rPr>
                <w:rFonts w:ascii="Arial" w:cs="Arial" w:eastAsia="Arial" w:hAnsi="Arial"/>
                <w:sz w:val="28"/>
                <w:szCs w:val="28"/>
                <w:color w:val="auto"/>
                <w:vertAlign w:val="superscript"/>
              </w:rPr>
              <w:t>5, 9</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Warrants</w:t>
            </w: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Banking, Finance, Insurance &amp; Real Estate</w:t>
            </w: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98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Bankruptcy Management Solutions, Inc.</w:t>
            </w:r>
            <w:r>
              <w:rPr>
                <w:rFonts w:ascii="Arial" w:cs="Arial" w:eastAsia="Arial" w:hAnsi="Arial"/>
                <w:sz w:val="28"/>
                <w:szCs w:val="28"/>
                <w:color w:val="auto"/>
                <w:vertAlign w:val="superscript"/>
              </w:rPr>
              <w:t>5, 9</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2013</w:t>
            </w: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Banking, Finance, Insurance &amp; Real Estate</w:t>
            </w: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314,325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309,363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98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Caribe Media Inc. (fka Caribe Information Investments</w:t>
            </w:r>
          </w:p>
        </w:tc>
        <w:tc>
          <w:tcPr>
            <w:tcW w:w="240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Common</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498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Incorporated)</w:t>
            </w:r>
            <w:r>
              <w:rPr>
                <w:rFonts w:ascii="Arial" w:cs="Arial" w:eastAsia="Arial" w:hAnsi="Arial"/>
                <w:sz w:val="29"/>
                <w:szCs w:val="29"/>
                <w:color w:val="auto"/>
                <w:vertAlign w:val="superscript"/>
              </w:rPr>
              <w:t>5, 9</w:t>
            </w:r>
          </w:p>
        </w:tc>
        <w:tc>
          <w:tcPr>
            <w:tcW w:w="2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Media: Advertising, Printing &amp; Publishing</w:t>
            </w: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359,765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692,710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98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Coastal Concrete Holding II, LLC</w:t>
            </w:r>
            <w:r>
              <w:rPr>
                <w:rFonts w:ascii="Arial" w:cs="Arial" w:eastAsia="Arial" w:hAnsi="Arial"/>
                <w:sz w:val="28"/>
                <w:szCs w:val="28"/>
                <w:color w:val="auto"/>
                <w:vertAlign w:val="superscript"/>
              </w:rPr>
              <w:t>5, 9</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Units</w:t>
            </w: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Construction &amp; Building</w:t>
            </w: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8,625,626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98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eInstruction Acquisition, LLC</w:t>
            </w:r>
            <w:r>
              <w:rPr>
                <w:rFonts w:ascii="Arial" w:cs="Arial" w:eastAsia="Arial" w:hAnsi="Arial"/>
                <w:sz w:val="28"/>
                <w:szCs w:val="28"/>
                <w:color w:val="auto"/>
                <w:vertAlign w:val="superscript"/>
              </w:rPr>
              <w:t>5, 9</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Membership Units</w:t>
            </w: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Services: Consumer</w:t>
            </w: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1,079,617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98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FP WRCA Coinvestment Fund VII, Ltd.</w:t>
            </w:r>
            <w:r>
              <w:rPr>
                <w:rFonts w:ascii="Arial" w:cs="Arial" w:eastAsia="Arial" w:hAnsi="Arial"/>
                <w:sz w:val="28"/>
                <w:szCs w:val="28"/>
                <w:color w:val="auto"/>
                <w:vertAlign w:val="superscript"/>
              </w:rPr>
              <w:t>3, 5,</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Shares</w:t>
            </w: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Capital Equipment</w:t>
            </w: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1,735,604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98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Perseus Holding Corp.</w:t>
            </w:r>
            <w:r>
              <w:rPr>
                <w:rFonts w:ascii="Arial" w:cs="Arial" w:eastAsia="Arial" w:hAnsi="Arial"/>
                <w:sz w:val="28"/>
                <w:szCs w:val="28"/>
                <w:color w:val="auto"/>
                <w:vertAlign w:val="superscript"/>
              </w:rPr>
              <w:t>5, 9</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w:t>
            </w: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Hotel, Gaming &amp; Leisure</w:t>
            </w: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Percentage</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Interest/Shares</w:t>
            </w:r>
          </w:p>
        </w:tc>
        <w:tc>
          <w:tcPr>
            <w:tcW w:w="22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8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Plumbing Holdings Corporation</w:t>
            </w:r>
            <w:r>
              <w:rPr>
                <w:rFonts w:ascii="Arial" w:cs="Arial" w:eastAsia="Arial" w:hAnsi="Arial"/>
                <w:sz w:val="27"/>
                <w:szCs w:val="27"/>
                <w:color w:val="auto"/>
                <w:vertAlign w:val="superscript"/>
              </w:rPr>
              <w:t>5, 9</w:t>
            </w:r>
          </w:p>
        </w:tc>
        <w:tc>
          <w:tcPr>
            <w:tcW w:w="10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12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Consumer goods: Durable</w:t>
            </w: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1,581,481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gridSpan w:val="2"/>
          </w:tcPr>
          <w:p>
            <w:pPr>
              <w:spacing w:after="0"/>
              <w:rPr>
                <w:sz w:val="18"/>
                <w:szCs w:val="18"/>
                <w:color w:val="auto"/>
              </w:rPr>
            </w:pPr>
          </w:p>
        </w:tc>
        <w:tc>
          <w:tcPr>
            <w:tcW w:w="240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98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Plumbing Holdings Corporation</w:t>
            </w:r>
            <w:r>
              <w:rPr>
                <w:rFonts w:ascii="Arial" w:cs="Arial" w:eastAsia="Arial" w:hAnsi="Arial"/>
                <w:sz w:val="28"/>
                <w:szCs w:val="28"/>
                <w:color w:val="auto"/>
                <w:vertAlign w:val="superscript"/>
              </w:rPr>
              <w:t>5, 9</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w:t>
            </w: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Consumer goods: Durable</w:t>
            </w: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3,725,390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4,152,689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gridSpan w:val="2"/>
          </w:tcPr>
          <w:p>
            <w:pPr>
              <w:spacing w:after="0"/>
              <w:rPr>
                <w:sz w:val="18"/>
                <w:szCs w:val="18"/>
                <w:color w:val="auto"/>
              </w:rPr>
            </w:pPr>
          </w:p>
        </w:tc>
        <w:tc>
          <w:tcPr>
            <w:tcW w:w="240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98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TRSO II, Inc.</w:t>
            </w:r>
            <w:r>
              <w:rPr>
                <w:rFonts w:ascii="Arial" w:cs="Arial" w:eastAsia="Arial" w:hAnsi="Arial"/>
                <w:sz w:val="28"/>
                <w:szCs w:val="28"/>
                <w:color w:val="auto"/>
                <w:vertAlign w:val="superscript"/>
              </w:rPr>
              <w:t>5, 9</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Energy: Oil &amp; Gas</w:t>
            </w:r>
          </w:p>
        </w:tc>
        <w:tc>
          <w:tcPr>
            <w:tcW w:w="2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2,322,563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 in Equity Securities</w:t>
            </w: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(4% of net asset value at fair value)</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18,755,684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11,006,398</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94" w:right="2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CLO Fund Securities</w:t>
            </w: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CLO Equity Investments</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Percentage</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w:t>
            </w:r>
          </w:p>
        </w:tc>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Interest</w:t>
            </w:r>
          </w:p>
        </w:tc>
        <w:tc>
          <w:tcPr>
            <w:tcW w:w="22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Grant Grove CLO, Ltd.</w:t>
            </w:r>
            <w:r>
              <w:rPr>
                <w:rFonts w:ascii="Arial" w:cs="Arial" w:eastAsia="Arial" w:hAnsi="Arial"/>
                <w:sz w:val="28"/>
                <w:szCs w:val="28"/>
                <w:color w:val="auto"/>
                <w:vertAlign w:val="superscript"/>
              </w:rPr>
              <w:t>3</w:t>
            </w:r>
          </w:p>
        </w:tc>
        <w:tc>
          <w:tcPr>
            <w:tcW w:w="120" w:type="dxa"/>
            <w:vAlign w:val="bottom"/>
            <w:vMerge w:val="continue"/>
            <w:shd w:val="clear" w:color="auto" w:fill="CCEEFF"/>
          </w:tcPr>
          <w:p>
            <w:pPr>
              <w:spacing w:after="0"/>
              <w:rPr>
                <w:sz w:val="21"/>
                <w:szCs w:val="21"/>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Subordinated Securities</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4,715,553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1,052,164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gridSpan w:val="2"/>
          </w:tcPr>
          <w:p>
            <w:pPr>
              <w:spacing w:after="0" w:line="256" w:lineRule="exact"/>
              <w:rPr>
                <w:sz w:val="20"/>
                <w:szCs w:val="20"/>
                <w:color w:val="auto"/>
              </w:rPr>
            </w:pPr>
            <w:r>
              <w:rPr>
                <w:rFonts w:ascii="Arial" w:cs="Arial" w:eastAsia="Arial" w:hAnsi="Arial"/>
                <w:sz w:val="18"/>
                <w:szCs w:val="18"/>
                <w:color w:val="auto"/>
              </w:rPr>
              <w:t>Katonah III, Ltd.</w:t>
            </w:r>
            <w:r>
              <w:rPr>
                <w:rFonts w:ascii="Arial" w:cs="Arial" w:eastAsia="Arial" w:hAnsi="Arial"/>
                <w:sz w:val="29"/>
                <w:szCs w:val="29"/>
                <w:color w:val="auto"/>
                <w:vertAlign w:val="superscript"/>
              </w:rPr>
              <w:t>3, 10</w:t>
            </w:r>
          </w:p>
        </w:tc>
        <w:tc>
          <w:tcPr>
            <w:tcW w:w="2380" w:type="dxa"/>
            <w:vAlign w:val="bottom"/>
            <w:gridSpan w:val="2"/>
          </w:tcPr>
          <w:p>
            <w:pPr>
              <w:spacing w:after="0"/>
              <w:rPr>
                <w:sz w:val="20"/>
                <w:szCs w:val="20"/>
                <w:color w:val="auto"/>
              </w:rPr>
            </w:pPr>
            <w:r>
              <w:rPr>
                <w:rFonts w:ascii="Arial" w:cs="Arial" w:eastAsia="Arial" w:hAnsi="Arial"/>
                <w:sz w:val="18"/>
                <w:szCs w:val="18"/>
                <w:color w:val="auto"/>
              </w:rPr>
              <w:t>Preferred Shares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1,618,611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Katonah V, Ltd.</w:t>
            </w:r>
            <w:r>
              <w:rPr>
                <w:rFonts w:ascii="Arial" w:cs="Arial" w:eastAsia="Arial" w:hAnsi="Arial"/>
                <w:sz w:val="29"/>
                <w:szCs w:val="29"/>
                <w:color w:val="auto"/>
                <w:vertAlign w:val="superscript"/>
              </w:rPr>
              <w:t>3, 10</w:t>
            </w: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3,320,000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gridSpan w:val="2"/>
          </w:tcPr>
          <w:p>
            <w:pPr>
              <w:spacing w:after="0" w:line="256" w:lineRule="exact"/>
              <w:rPr>
                <w:sz w:val="20"/>
                <w:szCs w:val="20"/>
                <w:color w:val="auto"/>
              </w:rPr>
            </w:pPr>
            <w:r>
              <w:rPr>
                <w:rFonts w:ascii="Arial" w:cs="Arial" w:eastAsia="Arial" w:hAnsi="Arial"/>
                <w:sz w:val="18"/>
                <w:szCs w:val="18"/>
                <w:color w:val="auto"/>
              </w:rPr>
              <w:t>Katonah VII CLO Ltd.</w:t>
            </w:r>
            <w:r>
              <w:rPr>
                <w:rFonts w:ascii="Arial" w:cs="Arial" w:eastAsia="Arial" w:hAnsi="Arial"/>
                <w:sz w:val="29"/>
                <w:szCs w:val="29"/>
                <w:color w:val="auto"/>
                <w:vertAlign w:val="superscript"/>
              </w:rPr>
              <w:t>3, 6</w:t>
            </w:r>
          </w:p>
        </w:tc>
        <w:tc>
          <w:tcPr>
            <w:tcW w:w="2380" w:type="dxa"/>
            <w:vAlign w:val="bottom"/>
            <w:gridSpan w:val="2"/>
          </w:tcPr>
          <w:p>
            <w:pPr>
              <w:spacing w:after="0"/>
              <w:rPr>
                <w:sz w:val="20"/>
                <w:szCs w:val="20"/>
                <w:color w:val="auto"/>
              </w:rPr>
            </w:pPr>
            <w:r>
              <w:rPr>
                <w:rFonts w:ascii="Arial" w:cs="Arial" w:eastAsia="Arial" w:hAnsi="Arial"/>
                <w:sz w:val="18"/>
                <w:szCs w:val="18"/>
                <w:color w:val="auto"/>
              </w:rPr>
              <w:t>Subordinated Securities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4,499,793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1,478,978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Katonah VIII CLO Ltd</w:t>
            </w:r>
            <w:r>
              <w:rPr>
                <w:rFonts w:ascii="Arial" w:cs="Arial" w:eastAsia="Arial" w:hAnsi="Arial"/>
                <w:sz w:val="29"/>
                <w:szCs w:val="29"/>
                <w:color w:val="auto"/>
                <w:vertAlign w:val="superscript"/>
              </w:rPr>
              <w:t>3, 6</w:t>
            </w: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Securities</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3,390,005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1,230,731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gridSpan w:val="2"/>
          </w:tcPr>
          <w:p>
            <w:pPr>
              <w:spacing w:after="0" w:line="256" w:lineRule="exact"/>
              <w:rPr>
                <w:sz w:val="20"/>
                <w:szCs w:val="20"/>
                <w:color w:val="auto"/>
              </w:rPr>
            </w:pPr>
            <w:r>
              <w:rPr>
                <w:rFonts w:ascii="Arial" w:cs="Arial" w:eastAsia="Arial" w:hAnsi="Arial"/>
                <w:sz w:val="18"/>
                <w:szCs w:val="18"/>
                <w:color w:val="auto"/>
              </w:rPr>
              <w:t>Katonah IX CLO Ltd</w:t>
            </w:r>
            <w:r>
              <w:rPr>
                <w:rFonts w:ascii="Arial" w:cs="Arial" w:eastAsia="Arial" w:hAnsi="Arial"/>
                <w:sz w:val="29"/>
                <w:szCs w:val="29"/>
                <w:color w:val="auto"/>
                <w:vertAlign w:val="superscript"/>
              </w:rPr>
              <w:t>3, 6</w:t>
            </w:r>
          </w:p>
        </w:tc>
        <w:tc>
          <w:tcPr>
            <w:tcW w:w="2380" w:type="dxa"/>
            <w:vAlign w:val="bottom"/>
            <w:gridSpan w:val="2"/>
          </w:tcPr>
          <w:p>
            <w:pPr>
              <w:spacing w:after="0"/>
              <w:rPr>
                <w:sz w:val="20"/>
                <w:szCs w:val="20"/>
                <w:color w:val="auto"/>
              </w:rPr>
            </w:pPr>
            <w:r>
              <w:rPr>
                <w:rFonts w:ascii="Arial" w:cs="Arial" w:eastAsia="Arial" w:hAnsi="Arial"/>
                <w:sz w:val="18"/>
                <w:szCs w:val="18"/>
                <w:color w:val="auto"/>
              </w:rPr>
              <w:t>Preferred Shares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2,023,287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829,739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Katonah X CLO Ltd </w:t>
            </w:r>
            <w:r>
              <w:rPr>
                <w:rFonts w:ascii="Arial" w:cs="Arial" w:eastAsia="Arial" w:hAnsi="Arial"/>
                <w:sz w:val="29"/>
                <w:szCs w:val="29"/>
                <w:color w:val="auto"/>
                <w:vertAlign w:val="superscript"/>
              </w:rPr>
              <w:t>3, 6</w:t>
            </w: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Securities</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w:t>
            </w: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11,770,993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5,932,163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gridSpan w:val="2"/>
          </w:tcPr>
          <w:p>
            <w:pPr>
              <w:spacing w:after="0" w:line="256" w:lineRule="exact"/>
              <w:rPr>
                <w:sz w:val="20"/>
                <w:szCs w:val="20"/>
                <w:color w:val="auto"/>
              </w:rPr>
            </w:pPr>
            <w:r>
              <w:rPr>
                <w:rFonts w:ascii="Arial" w:cs="Arial" w:eastAsia="Arial" w:hAnsi="Arial"/>
                <w:sz w:val="18"/>
                <w:szCs w:val="18"/>
                <w:color w:val="auto"/>
              </w:rPr>
              <w:t>Katonah 2007-I CLO Ltd.</w:t>
            </w:r>
            <w:r>
              <w:rPr>
                <w:rFonts w:ascii="Arial" w:cs="Arial" w:eastAsia="Arial" w:hAnsi="Arial"/>
                <w:sz w:val="29"/>
                <w:szCs w:val="29"/>
                <w:color w:val="auto"/>
                <w:vertAlign w:val="superscript"/>
              </w:rPr>
              <w:t>3, 6</w:t>
            </w:r>
          </w:p>
        </w:tc>
        <w:tc>
          <w:tcPr>
            <w:tcW w:w="2380" w:type="dxa"/>
            <w:vAlign w:val="bottom"/>
            <w:gridSpan w:val="2"/>
          </w:tcPr>
          <w:p>
            <w:pPr>
              <w:spacing w:after="0"/>
              <w:rPr>
                <w:sz w:val="20"/>
                <w:szCs w:val="20"/>
                <w:color w:val="auto"/>
              </w:rPr>
            </w:pPr>
            <w:r>
              <w:rPr>
                <w:rFonts w:ascii="Arial" w:cs="Arial" w:eastAsia="Arial" w:hAnsi="Arial"/>
                <w:sz w:val="18"/>
                <w:szCs w:val="18"/>
                <w:color w:val="auto"/>
              </w:rPr>
              <w:t>Preferred Shares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31,064,973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27,758,379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Trimaran CLO IV, Ltd.</w:t>
            </w:r>
            <w:r>
              <w:rPr>
                <w:rFonts w:ascii="Arial" w:cs="Arial" w:eastAsia="Arial" w:hAnsi="Arial"/>
                <w:sz w:val="29"/>
                <w:szCs w:val="29"/>
                <w:color w:val="auto"/>
                <w:vertAlign w:val="superscript"/>
              </w:rPr>
              <w:t>3, 6</w:t>
            </w: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w:t>
            </w: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3,542,300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2,519,210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gridSpan w:val="2"/>
          </w:tcPr>
          <w:p>
            <w:pPr>
              <w:spacing w:after="0" w:line="256" w:lineRule="exact"/>
              <w:rPr>
                <w:sz w:val="20"/>
                <w:szCs w:val="20"/>
                <w:color w:val="auto"/>
              </w:rPr>
            </w:pPr>
            <w:r>
              <w:rPr>
                <w:rFonts w:ascii="Arial" w:cs="Arial" w:eastAsia="Arial" w:hAnsi="Arial"/>
                <w:sz w:val="18"/>
                <w:szCs w:val="18"/>
                <w:color w:val="auto"/>
              </w:rPr>
              <w:t>Trimaran CLO V, Ltd.</w:t>
            </w:r>
            <w:r>
              <w:rPr>
                <w:rFonts w:ascii="Arial" w:cs="Arial" w:eastAsia="Arial" w:hAnsi="Arial"/>
                <w:sz w:val="29"/>
                <w:szCs w:val="29"/>
                <w:color w:val="auto"/>
                <w:vertAlign w:val="superscript"/>
              </w:rPr>
              <w:t>3, 6</w:t>
            </w:r>
          </w:p>
        </w:tc>
        <w:tc>
          <w:tcPr>
            <w:tcW w:w="2380" w:type="dxa"/>
            <w:vAlign w:val="bottom"/>
            <w:gridSpan w:val="2"/>
          </w:tcPr>
          <w:p>
            <w:pPr>
              <w:spacing w:after="0"/>
              <w:rPr>
                <w:sz w:val="20"/>
                <w:szCs w:val="20"/>
                <w:color w:val="auto"/>
              </w:rPr>
            </w:pPr>
            <w:r>
              <w:rPr>
                <w:rFonts w:ascii="Arial" w:cs="Arial" w:eastAsia="Arial" w:hAnsi="Arial"/>
                <w:sz w:val="18"/>
                <w:szCs w:val="18"/>
                <w:color w:val="auto"/>
              </w:rPr>
              <w:t>Subordinate Notes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2,721,500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1,844,276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Trimaran CLO VI, Ltd.</w:t>
            </w:r>
            <w:r>
              <w:rPr>
                <w:rFonts w:ascii="Arial" w:cs="Arial" w:eastAsia="Arial" w:hAnsi="Arial"/>
                <w:sz w:val="29"/>
                <w:szCs w:val="29"/>
                <w:color w:val="auto"/>
                <w:vertAlign w:val="superscript"/>
              </w:rPr>
              <w:t>3, 6</w:t>
            </w: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Notes</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2,784,200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1,981,948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gridSpan w:val="2"/>
          </w:tcPr>
          <w:p>
            <w:pPr>
              <w:spacing w:after="0" w:line="256" w:lineRule="exact"/>
              <w:rPr>
                <w:sz w:val="20"/>
                <w:szCs w:val="20"/>
                <w:color w:val="auto"/>
              </w:rPr>
            </w:pPr>
            <w:r>
              <w:rPr>
                <w:rFonts w:ascii="Arial" w:cs="Arial" w:eastAsia="Arial" w:hAnsi="Arial"/>
                <w:sz w:val="18"/>
                <w:szCs w:val="18"/>
                <w:color w:val="auto"/>
              </w:rPr>
              <w:t>Trimaran CLO VII, Ltd.</w:t>
            </w:r>
            <w:r>
              <w:rPr>
                <w:rFonts w:ascii="Arial" w:cs="Arial" w:eastAsia="Arial" w:hAnsi="Arial"/>
                <w:sz w:val="29"/>
                <w:szCs w:val="29"/>
                <w:color w:val="auto"/>
                <w:vertAlign w:val="superscript"/>
              </w:rPr>
              <w:t>3, 6</w:t>
            </w:r>
          </w:p>
        </w:tc>
        <w:tc>
          <w:tcPr>
            <w:tcW w:w="2380" w:type="dxa"/>
            <w:vAlign w:val="bottom"/>
            <w:gridSpan w:val="2"/>
          </w:tcPr>
          <w:p>
            <w:pPr>
              <w:spacing w:after="0"/>
              <w:rPr>
                <w:sz w:val="20"/>
                <w:szCs w:val="20"/>
                <w:color w:val="auto"/>
              </w:rPr>
            </w:pPr>
            <w:r>
              <w:rPr>
                <w:rFonts w:ascii="Arial" w:cs="Arial" w:eastAsia="Arial" w:hAnsi="Arial"/>
                <w:sz w:val="18"/>
                <w:szCs w:val="18"/>
                <w:color w:val="auto"/>
              </w:rPr>
              <w:t>Income Notes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3,133,900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2,513,261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Catamaran CLO 2012-1 Ltd.</w:t>
            </w:r>
            <w:r>
              <w:rPr>
                <w:rFonts w:ascii="Arial" w:cs="Arial" w:eastAsia="Arial" w:hAnsi="Arial"/>
                <w:sz w:val="29"/>
                <w:szCs w:val="29"/>
                <w:color w:val="auto"/>
                <w:vertAlign w:val="superscript"/>
              </w:rPr>
              <w:t>3, 6</w:t>
            </w: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8,943,900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6,846,520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gridSpan w:val="2"/>
          </w:tcPr>
          <w:p>
            <w:pPr>
              <w:spacing w:after="0" w:line="256" w:lineRule="exact"/>
              <w:rPr>
                <w:sz w:val="20"/>
                <w:szCs w:val="20"/>
                <w:color w:val="auto"/>
              </w:rPr>
            </w:pPr>
            <w:r>
              <w:rPr>
                <w:rFonts w:ascii="Arial" w:cs="Arial" w:eastAsia="Arial" w:hAnsi="Arial"/>
                <w:sz w:val="18"/>
                <w:szCs w:val="18"/>
                <w:color w:val="auto"/>
              </w:rPr>
              <w:t>Catamaran CLO 2013-1 Ltd.</w:t>
            </w:r>
            <w:r>
              <w:rPr>
                <w:rFonts w:ascii="Arial" w:cs="Arial" w:eastAsia="Arial" w:hAnsi="Arial"/>
                <w:sz w:val="29"/>
                <w:szCs w:val="29"/>
                <w:color w:val="auto"/>
                <w:vertAlign w:val="superscript"/>
              </w:rPr>
              <w:t>3, 6</w:t>
            </w:r>
          </w:p>
        </w:tc>
        <w:tc>
          <w:tcPr>
            <w:tcW w:w="2380" w:type="dxa"/>
            <w:vAlign w:val="bottom"/>
            <w:gridSpan w:val="2"/>
          </w:tcPr>
          <w:p>
            <w:pPr>
              <w:spacing w:after="0"/>
              <w:rPr>
                <w:sz w:val="20"/>
                <w:szCs w:val="20"/>
                <w:color w:val="auto"/>
              </w:rPr>
            </w:pPr>
            <w:r>
              <w:rPr>
                <w:rFonts w:ascii="Arial" w:cs="Arial" w:eastAsia="Arial" w:hAnsi="Arial"/>
                <w:sz w:val="18"/>
                <w:szCs w:val="18"/>
                <w:color w:val="auto"/>
              </w:rPr>
              <w:t>Subordinated Notes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9,960,400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8,225,100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Dryden 30 Senior Loan Fund</w:t>
            </w:r>
            <w:r>
              <w:rPr>
                <w:rFonts w:ascii="Arial" w:cs="Arial" w:eastAsia="Arial" w:hAnsi="Arial"/>
                <w:sz w:val="30"/>
                <w:szCs w:val="30"/>
                <w:color w:val="auto"/>
                <w:vertAlign w:val="superscript"/>
              </w:rPr>
              <w:t>3</w:t>
            </w: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3,063,200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2,973,750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 in CLO Equity Securities</w:t>
            </w: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96,552,615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65,512,219</w:t>
            </w:r>
          </w:p>
        </w:tc>
        <w:tc>
          <w:tcPr>
            <w:tcW w:w="0" w:type="dxa"/>
            <w:vAlign w:val="bottom"/>
          </w:tcPr>
          <w:p>
            <w:pPr>
              <w:spacing w:after="0"/>
              <w:rPr>
                <w:sz w:val="1"/>
                <w:szCs w:val="1"/>
                <w:color w:val="auto"/>
              </w:rPr>
            </w:pPr>
          </w:p>
        </w:tc>
      </w:tr>
      <w:tr>
        <w:trPr>
          <w:trHeight w:val="426"/>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CLO Rated-Note Investment</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Katonah 2007-I CLO Ltd.</w:t>
      </w:r>
      <w:r>
        <w:rPr>
          <w:rFonts w:ascii="Arial" w:cs="Arial" w:eastAsia="Arial" w:hAnsi="Arial"/>
          <w:sz w:val="30"/>
          <w:szCs w:val="30"/>
          <w:color w:val="auto"/>
          <w:vertAlign w:val="superscript"/>
        </w:rPr>
        <w:t>3, 6</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Catamaran CLO 2012-1 Ltd.</w:t>
      </w:r>
      <w:r>
        <w:rPr>
          <w:rFonts w:ascii="Arial" w:cs="Arial" w:eastAsia="Arial" w:hAnsi="Arial"/>
          <w:sz w:val="30"/>
          <w:szCs w:val="30"/>
          <w:color w:val="auto"/>
          <w:vertAlign w:val="superscript"/>
        </w:rPr>
        <w:t>3, 6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Investment in CLO Rated-Note</w:t>
      </w:r>
    </w:p>
    <w:p>
      <w:pPr>
        <w:spacing w:after="0" w:line="252" w:lineRule="exact"/>
        <w:rPr>
          <w:sz w:val="20"/>
          <w:szCs w:val="20"/>
          <w:color w:val="auto"/>
        </w:rPr>
      </w:pPr>
    </w:p>
    <w:p>
      <w:pPr>
        <w:ind w:left="180" w:right="600" w:hanging="161"/>
        <w:spacing w:after="0" w:line="347" w:lineRule="auto"/>
        <w:rPr>
          <w:sz w:val="20"/>
          <w:szCs w:val="20"/>
          <w:color w:val="auto"/>
        </w:rPr>
      </w:pPr>
      <w:r>
        <w:rPr>
          <w:rFonts w:ascii="Arial" w:cs="Arial" w:eastAsia="Arial" w:hAnsi="Arial"/>
          <w:sz w:val="16"/>
          <w:szCs w:val="16"/>
          <w:b w:val="1"/>
          <w:bCs w:val="1"/>
          <w:color w:val="auto"/>
        </w:rPr>
        <w:t>Total Investment in CLO Fund Securities (32% of net asset value at fair value)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w w:val="96"/>
              </w:rPr>
              <w:t>Percentage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0"/>
              </w:rPr>
              <w:t>Fair Value</w:t>
            </w:r>
            <w:r>
              <w:rPr>
                <w:rFonts w:ascii="Arial" w:cs="Arial" w:eastAsia="Arial" w:hAnsi="Arial"/>
                <w:sz w:val="30"/>
                <w:szCs w:val="30"/>
                <w:color w:val="auto"/>
                <w:w w:val="90"/>
                <w:vertAlign w:val="superscript"/>
              </w:rPr>
              <w:t>2</w:t>
            </w:r>
          </w:p>
        </w:tc>
        <w:tc>
          <w:tcPr>
            <w:tcW w:w="0" w:type="dxa"/>
            <w:vAlign w:val="bottom"/>
          </w:tcPr>
          <w:p>
            <w:pPr>
              <w:spacing w:after="0"/>
              <w:rPr>
                <w:sz w:val="1"/>
                <w:szCs w:val="1"/>
                <w:color w:val="auto"/>
              </w:rPr>
            </w:pPr>
          </w:p>
        </w:tc>
      </w:tr>
      <w:tr>
        <w:trPr>
          <w:trHeight w:val="23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54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Interest</w:t>
            </w:r>
          </w:p>
        </w:tc>
        <w:tc>
          <w:tcPr>
            <w:tcW w:w="1180" w:type="dxa"/>
            <w:vAlign w:val="bottom"/>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Floating - 04/2022 - B2L -48602NAA8</w:t>
            </w: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Par Value of $10,500,000</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100.0%, Due 4/22</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960" w:type="dxa"/>
            <w:vAlign w:val="bottom"/>
          </w:tcPr>
          <w:p>
            <w:pPr>
              <w:jc w:val="right"/>
              <w:spacing w:after="0"/>
              <w:rPr>
                <w:sz w:val="20"/>
                <w:szCs w:val="20"/>
                <w:color w:val="auto"/>
              </w:rPr>
            </w:pPr>
            <w:r>
              <w:rPr>
                <w:rFonts w:ascii="Arial" w:cs="Arial" w:eastAsia="Arial" w:hAnsi="Arial"/>
                <w:sz w:val="18"/>
                <w:szCs w:val="18"/>
                <w:color w:val="auto"/>
              </w:rPr>
              <w:t>1,300,937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9,740,000</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Float - 12/2023 - F - 14889CAE0</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Par Value of $4,500,000</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980" w:type="dxa"/>
            <w:vAlign w:val="bottom"/>
            <w:gridSpan w:val="2"/>
          </w:tcPr>
          <w:p>
            <w:pPr>
              <w:spacing w:after="0"/>
              <w:rPr>
                <w:sz w:val="20"/>
                <w:szCs w:val="20"/>
                <w:color w:val="auto"/>
              </w:rPr>
            </w:pPr>
            <w:r>
              <w:rPr>
                <w:rFonts w:ascii="Arial" w:cs="Arial" w:eastAsia="Arial" w:hAnsi="Arial"/>
                <w:sz w:val="18"/>
                <w:szCs w:val="18"/>
                <w:color w:val="auto"/>
              </w:rPr>
              <w:t>42.9%, Due 12/23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42.9%</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3,843,398</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4,200,001</w:t>
            </w:r>
          </w:p>
        </w:tc>
        <w:tc>
          <w:tcPr>
            <w:tcW w:w="0" w:type="dxa"/>
            <w:vAlign w:val="bottom"/>
          </w:tcPr>
          <w:p>
            <w:pPr>
              <w:spacing w:after="0"/>
              <w:rPr>
                <w:sz w:val="1"/>
                <w:szCs w:val="1"/>
                <w:color w:val="auto"/>
              </w:rPr>
            </w:pPr>
          </w:p>
        </w:tc>
      </w:tr>
      <w:tr>
        <w:trPr>
          <w:trHeight w:val="439"/>
        </w:trPr>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5,144,335</w:t>
            </w:r>
          </w:p>
        </w:tc>
        <w:tc>
          <w:tcPr>
            <w:tcW w:w="2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13,940,001</w:t>
            </w:r>
          </w:p>
        </w:tc>
        <w:tc>
          <w:tcPr>
            <w:tcW w:w="0" w:type="dxa"/>
            <w:vAlign w:val="bottom"/>
          </w:tcPr>
          <w:p>
            <w:pPr>
              <w:spacing w:after="0"/>
              <w:rPr>
                <w:sz w:val="1"/>
                <w:szCs w:val="1"/>
                <w:color w:val="auto"/>
              </w:rPr>
            </w:pPr>
          </w:p>
        </w:tc>
      </w:tr>
      <w:tr>
        <w:trPr>
          <w:trHeight w:val="655"/>
        </w:trPr>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101,696,950</w:t>
            </w:r>
          </w:p>
        </w:tc>
        <w:tc>
          <w:tcPr>
            <w:tcW w:w="2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79,452,220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-728345</wp:posOffset>
            </wp:positionV>
            <wp:extent cx="7246620"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-436880</wp:posOffset>
            </wp:positionV>
            <wp:extent cx="7246620" cy="146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-1568450</wp:posOffset>
            </wp:positionV>
            <wp:extent cx="7246620" cy="4203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254" w:lineRule="exact"/>
        <w:rPr>
          <w:sz w:val="20"/>
          <w:szCs w:val="20"/>
          <w:color w:val="auto"/>
        </w:rPr>
      </w:pPr>
    </w:p>
    <w:p>
      <w:pPr>
        <w:sectPr>
          <w:pgSz w:w="11900" w:h="16838" w:orient="portrait"/>
          <w:cols w:equalWidth="0" w:num="2">
            <w:col w:w="3780" w:space="720"/>
            <w:col w:w="6920"/>
          </w:cols>
          <w:pgMar w:left="240" w:top="877" w:right="239" w:bottom="1440" w:gutter="0" w:footer="0" w:header="0"/>
          <w:type w:val="continuous"/>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Asset Manager Affiliates</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8"/>
              </w:rPr>
              <w:t>Percentage</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120" w:type="dxa"/>
            <w:vAlign w:val="bottom"/>
          </w:tcPr>
          <w:p>
            <w:pPr>
              <w:spacing w:after="0"/>
              <w:rPr>
                <w:sz w:val="20"/>
                <w:szCs w:val="20"/>
                <w:color w:val="auto"/>
              </w:rPr>
            </w:pPr>
          </w:p>
        </w:tc>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5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9"/>
              </w:rPr>
              <w:t>Interest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Asset Manager Affiliates</w:t>
            </w:r>
            <w:r>
              <w:rPr>
                <w:rFonts w:ascii="Arial" w:cs="Arial" w:eastAsia="Arial" w:hAnsi="Arial"/>
                <w:sz w:val="28"/>
                <w:szCs w:val="28"/>
                <w:color w:val="auto"/>
                <w:vertAlign w:val="superscript"/>
              </w:rPr>
              <w:t>9</w:t>
            </w:r>
          </w:p>
        </w:tc>
        <w:tc>
          <w:tcPr>
            <w:tcW w:w="12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5"/>
              </w:rPr>
              <w:t>Asset Management Company</w:t>
            </w:r>
          </w:p>
        </w:tc>
        <w:tc>
          <w:tcPr>
            <w:tcW w:w="100" w:type="dxa"/>
            <w:vAlign w:val="bottom"/>
            <w:shd w:val="clear" w:color="auto" w:fill="CCEEFF"/>
          </w:tcPr>
          <w:p>
            <w:pPr>
              <w:spacing w:after="0"/>
              <w:rPr>
                <w:sz w:val="21"/>
                <w:szCs w:val="21"/>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  $</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83,378,741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76,148,000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 in Asset Manager Affiliates</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83,378,741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76,148,000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(30% of net asset value at fair value)</w:t>
            </w:r>
          </w:p>
        </w:tc>
        <w:tc>
          <w:tcPr>
            <w:tcW w:w="1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Time Deposits and Money Market Account</w:t>
            </w: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Time Deposit and Money Market Accounts</w:t>
            </w:r>
          </w:p>
        </w:tc>
        <w:tc>
          <w:tcPr>
            <w:tcW w:w="12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5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7"/>
              </w:rPr>
              <w:t>Yield</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Par / Cost</w:t>
            </w:r>
          </w:p>
        </w:tc>
        <w:tc>
          <w:tcPr>
            <w:tcW w:w="10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JP Morgan Business Money Market Account</w:t>
            </w:r>
            <w:r>
              <w:rPr>
                <w:rFonts w:ascii="Arial" w:cs="Arial" w:eastAsia="Arial" w:hAnsi="Arial"/>
                <w:sz w:val="28"/>
                <w:szCs w:val="28"/>
                <w:color w:val="auto"/>
                <w:vertAlign w:val="superscript"/>
              </w:rPr>
              <w:t>8, 9</w:t>
            </w:r>
          </w:p>
        </w:tc>
        <w:tc>
          <w:tcPr>
            <w:tcW w:w="12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0.15%</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237,088</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237,088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tcPr>
          <w:p>
            <w:pPr>
              <w:spacing w:after="0" w:line="269" w:lineRule="exact"/>
              <w:rPr>
                <w:sz w:val="20"/>
                <w:szCs w:val="20"/>
                <w:color w:val="auto"/>
              </w:rPr>
            </w:pPr>
            <w:r>
              <w:rPr>
                <w:rFonts w:ascii="Arial" w:cs="Arial" w:eastAsia="Arial" w:hAnsi="Arial"/>
                <w:sz w:val="18"/>
                <w:szCs w:val="18"/>
                <w:color w:val="auto"/>
              </w:rPr>
              <w:t>US Bank Money Market Account</w:t>
            </w:r>
            <w:r>
              <w:rPr>
                <w:rFonts w:ascii="Arial" w:cs="Arial" w:eastAsia="Arial" w:hAnsi="Arial"/>
                <w:sz w:val="30"/>
                <w:szCs w:val="30"/>
                <w:color w:val="auto"/>
                <w:vertAlign w:val="superscript"/>
              </w:rPr>
              <w:t>9</w:t>
            </w:r>
          </w:p>
        </w:tc>
        <w:tc>
          <w:tcPr>
            <w:tcW w:w="120" w:type="dxa"/>
            <w:vAlign w:val="bottom"/>
          </w:tcPr>
          <w:p>
            <w:pPr>
              <w:spacing w:after="0"/>
              <w:rPr>
                <w:sz w:val="23"/>
                <w:szCs w:val="23"/>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Money Market Account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0.30%</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6,875,861</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6,875,861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900" w:type="dxa"/>
            <w:vAlign w:val="bottom"/>
          </w:tcPr>
          <w:p>
            <w:pPr>
              <w:spacing w:after="0" w:line="198" w:lineRule="exact"/>
              <w:rPr>
                <w:sz w:val="20"/>
                <w:szCs w:val="20"/>
                <w:color w:val="auto"/>
              </w:rPr>
            </w:pPr>
            <w:r>
              <w:rPr>
                <w:rFonts w:ascii="Arial" w:cs="Arial" w:eastAsia="Arial" w:hAnsi="Arial"/>
                <w:sz w:val="18"/>
                <w:szCs w:val="18"/>
                <w:b w:val="1"/>
                <w:bCs w:val="1"/>
                <w:color w:val="auto"/>
                <w:w w:val="91"/>
              </w:rPr>
              <w:t>Total Investment in Time Deposit and Money Market Accounts</w:t>
            </w: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900" w:type="dxa"/>
            <w:vAlign w:val="bottom"/>
          </w:tcPr>
          <w:p>
            <w:pPr>
              <w:ind w:left="160"/>
              <w:spacing w:after="0"/>
              <w:rPr>
                <w:sz w:val="20"/>
                <w:szCs w:val="20"/>
                <w:color w:val="auto"/>
              </w:rPr>
            </w:pPr>
            <w:r>
              <w:rPr>
                <w:rFonts w:ascii="Arial" w:cs="Arial" w:eastAsia="Arial" w:hAnsi="Arial"/>
                <w:sz w:val="18"/>
                <w:szCs w:val="18"/>
                <w:b w:val="1"/>
                <w:bCs w:val="1"/>
                <w:color w:val="auto"/>
              </w:rPr>
              <w:t>(3% of net asset value at fair value)</w:t>
            </w: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7,112,949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7,112,949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4900" w:type="dxa"/>
            <w:vAlign w:val="bottom"/>
          </w:tcPr>
          <w:p>
            <w:pPr>
              <w:spacing w:after="0" w:line="239" w:lineRule="exact"/>
              <w:rPr>
                <w:sz w:val="20"/>
                <w:szCs w:val="20"/>
                <w:color w:val="auto"/>
              </w:rPr>
            </w:pPr>
            <w:r>
              <w:rPr>
                <w:rFonts w:ascii="Arial" w:cs="Arial" w:eastAsia="Arial" w:hAnsi="Arial"/>
                <w:sz w:val="17"/>
                <w:szCs w:val="17"/>
                <w:b w:val="1"/>
                <w:bCs w:val="1"/>
                <w:color w:val="auto"/>
              </w:rPr>
              <w:t>Total Investments</w:t>
            </w:r>
            <w:r>
              <w:rPr>
                <w:rFonts w:ascii="Arial" w:cs="Arial" w:eastAsia="Arial" w:hAnsi="Arial"/>
                <w:sz w:val="27"/>
                <w:szCs w:val="27"/>
                <w:b w:val="1"/>
                <w:bCs w:val="1"/>
                <w:color w:val="auto"/>
                <w:vertAlign w:val="superscript"/>
              </w:rPr>
              <w:t>4</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900" w:type="dxa"/>
            <w:vAlign w:val="bottom"/>
          </w:tcPr>
          <w:p>
            <w:pPr>
              <w:ind w:left="200"/>
              <w:spacing w:after="0"/>
              <w:rPr>
                <w:sz w:val="20"/>
                <w:szCs w:val="20"/>
                <w:color w:val="auto"/>
              </w:rPr>
            </w:pPr>
            <w:r>
              <w:rPr>
                <w:rFonts w:ascii="Arial" w:cs="Arial" w:eastAsia="Arial" w:hAnsi="Arial"/>
                <w:sz w:val="18"/>
                <w:szCs w:val="18"/>
                <w:b w:val="1"/>
                <w:bCs w:val="1"/>
                <w:color w:val="auto"/>
              </w:rPr>
              <w:t>(176% of net asset value at fair value)</w:t>
            </w: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486,157,918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440,549,994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229" w:lineRule="exact"/>
        <w:rPr>
          <w:sz w:val="20"/>
          <w:szCs w:val="20"/>
          <w:color w:val="auto"/>
        </w:rPr>
      </w:pPr>
    </w:p>
    <w:p>
      <w:pPr>
        <w:ind w:left="460" w:right="100" w:hanging="430"/>
        <w:spacing w:after="0" w:line="238" w:lineRule="auto"/>
        <w:tabs>
          <w:tab w:leader="none" w:pos="460" w:val="left"/>
        </w:tabs>
        <w:numPr>
          <w:ilvl w:val="0"/>
          <w:numId w:val="14"/>
        </w:numPr>
        <w:rPr>
          <w:rFonts w:ascii="Arial" w:cs="Arial" w:eastAsia="Arial" w:hAnsi="Arial"/>
          <w:sz w:val="26"/>
          <w:szCs w:val="26"/>
          <w:color w:val="auto"/>
          <w:vertAlign w:val="superscript"/>
        </w:rPr>
      </w:pPr>
      <w:r>
        <w:rPr>
          <w:rFonts w:ascii="Arial" w:cs="Arial" w:eastAsia="Arial" w:hAnsi="Arial"/>
          <w:sz w:val="16"/>
          <w:szCs w:val="16"/>
          <w:color w:val="auto"/>
        </w:rPr>
        <w:t>A majority of the variable rate loans to the Company’s portfolio companies bear interest at a rate that may be determined by reference to either LIBOR or an alternate Base Rate (commonly based on the Federal Funds Rate or the Prime Rate), which typically resets semi-annually, quarterly, or monthly. For each such loan, the Company has provided the weighted average annual stated interest rate in effect at December 31, 2013.</w:t>
      </w:r>
    </w:p>
    <w:p>
      <w:pPr>
        <w:ind w:left="460" w:hanging="430"/>
        <w:spacing w:after="0" w:line="181" w:lineRule="auto"/>
        <w:tabs>
          <w:tab w:leader="none" w:pos="460" w:val="left"/>
        </w:tabs>
        <w:numPr>
          <w:ilvl w:val="0"/>
          <w:numId w:val="15"/>
        </w:numPr>
        <w:rPr>
          <w:rFonts w:ascii="Arial" w:cs="Arial" w:eastAsia="Arial" w:hAnsi="Arial"/>
          <w:sz w:val="25"/>
          <w:szCs w:val="25"/>
          <w:color w:val="auto"/>
          <w:vertAlign w:val="superscript"/>
        </w:rPr>
      </w:pPr>
      <w:r>
        <w:rPr>
          <w:rFonts w:ascii="Arial" w:cs="Arial" w:eastAsia="Arial" w:hAnsi="Arial"/>
          <w:sz w:val="16"/>
          <w:szCs w:val="16"/>
          <w:color w:val="auto"/>
        </w:rPr>
        <w:t>Reflects the fair market value of all investments as of December 31, 2013, as determined by the Company’s Board of Directors.</w:t>
      </w:r>
    </w:p>
    <w:p>
      <w:pPr>
        <w:ind w:left="460" w:hanging="430"/>
        <w:spacing w:after="0" w:line="180" w:lineRule="auto"/>
        <w:tabs>
          <w:tab w:leader="none" w:pos="460" w:val="left"/>
        </w:tabs>
        <w:numPr>
          <w:ilvl w:val="0"/>
          <w:numId w:val="16"/>
        </w:numPr>
        <w:rPr>
          <w:rFonts w:ascii="Arial" w:cs="Arial" w:eastAsia="Arial" w:hAnsi="Arial"/>
          <w:sz w:val="25"/>
          <w:szCs w:val="25"/>
          <w:color w:val="auto"/>
          <w:vertAlign w:val="superscript"/>
        </w:rPr>
      </w:pPr>
      <w:r>
        <w:rPr>
          <w:rFonts w:ascii="Arial" w:cs="Arial" w:eastAsia="Arial" w:hAnsi="Arial"/>
          <w:sz w:val="16"/>
          <w:szCs w:val="16"/>
          <w:color w:val="auto"/>
        </w:rPr>
        <w:t>Non-U.S. company or principal place of business outside the U.S.</w:t>
      </w:r>
    </w:p>
    <w:p>
      <w:pPr>
        <w:spacing w:after="0" w:line="2" w:lineRule="exact"/>
        <w:rPr>
          <w:sz w:val="20"/>
          <w:szCs w:val="20"/>
          <w:color w:val="auto"/>
        </w:rPr>
      </w:pPr>
    </w:p>
    <w:p>
      <w:pPr>
        <w:ind w:left="460" w:right="520" w:hanging="430"/>
        <w:spacing w:after="0" w:line="204" w:lineRule="auto"/>
        <w:tabs>
          <w:tab w:leader="none" w:pos="46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The aggregate cost of investments for federal income tax purposes is approximately $486 million. The aggregate gross unrealized appreciation is approximately $15 million, the aggregate gross unrealized depreciation is approximately $61 million, and the net unrealized depreciation is approximately $46 million.</w:t>
      </w:r>
    </w:p>
    <w:p>
      <w:pPr>
        <w:ind w:left="460" w:hanging="430"/>
        <w:spacing w:after="0" w:line="181" w:lineRule="auto"/>
        <w:tabs>
          <w:tab w:leader="none" w:pos="460" w:val="left"/>
        </w:tabs>
        <w:numPr>
          <w:ilvl w:val="0"/>
          <w:numId w:val="18"/>
        </w:numPr>
        <w:rPr>
          <w:rFonts w:ascii="Arial" w:cs="Arial" w:eastAsia="Arial" w:hAnsi="Arial"/>
          <w:sz w:val="25"/>
          <w:szCs w:val="25"/>
          <w:color w:val="auto"/>
          <w:vertAlign w:val="superscript"/>
        </w:rPr>
      </w:pPr>
      <w:r>
        <w:rPr>
          <w:rFonts w:ascii="Arial" w:cs="Arial" w:eastAsia="Arial" w:hAnsi="Arial"/>
          <w:sz w:val="16"/>
          <w:szCs w:val="16"/>
          <w:color w:val="auto"/>
        </w:rPr>
        <w:t>Non-income producing.</w:t>
      </w:r>
    </w:p>
    <w:p>
      <w:pPr>
        <w:ind w:left="460" w:hanging="430"/>
        <w:spacing w:after="0" w:line="181" w:lineRule="auto"/>
        <w:tabs>
          <w:tab w:leader="none" w:pos="460"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An affiliate CLO Fund managed by an Asset Manager Affiliate (as such term is defined in the notes to the consolidated financial statements).</w:t>
      </w:r>
    </w:p>
    <w:p>
      <w:pPr>
        <w:ind w:left="460" w:hanging="430"/>
        <w:spacing w:after="0" w:line="180" w:lineRule="auto"/>
        <w:tabs>
          <w:tab w:leader="none" w:pos="460" w:val="left"/>
        </w:tabs>
        <w:numPr>
          <w:ilvl w:val="0"/>
          <w:numId w:val="20"/>
        </w:numPr>
        <w:rPr>
          <w:rFonts w:ascii="Arial" w:cs="Arial" w:eastAsia="Arial" w:hAnsi="Arial"/>
          <w:sz w:val="25"/>
          <w:szCs w:val="25"/>
          <w:color w:val="auto"/>
          <w:vertAlign w:val="superscript"/>
        </w:rPr>
      </w:pPr>
      <w:r>
        <w:rPr>
          <w:rFonts w:ascii="Arial" w:cs="Arial" w:eastAsia="Arial" w:hAnsi="Arial"/>
          <w:sz w:val="16"/>
          <w:szCs w:val="16"/>
          <w:color w:val="auto"/>
        </w:rPr>
        <w:t>Loan or debt security is on non-accrual status and therefore is considered non-income producing.</w:t>
      </w:r>
    </w:p>
    <w:p>
      <w:pPr>
        <w:ind w:left="460" w:hanging="430"/>
        <w:spacing w:after="0" w:line="181" w:lineRule="auto"/>
        <w:tabs>
          <w:tab w:leader="none" w:pos="460" w:val="left"/>
        </w:tabs>
        <w:numPr>
          <w:ilvl w:val="0"/>
          <w:numId w:val="21"/>
        </w:numPr>
        <w:rPr>
          <w:rFonts w:ascii="Arial" w:cs="Arial" w:eastAsia="Arial" w:hAnsi="Arial"/>
          <w:sz w:val="25"/>
          <w:szCs w:val="25"/>
          <w:color w:val="auto"/>
          <w:vertAlign w:val="superscript"/>
        </w:rPr>
      </w:pPr>
      <w:r>
        <w:rPr>
          <w:rFonts w:ascii="Arial" w:cs="Arial" w:eastAsia="Arial" w:hAnsi="Arial"/>
          <w:sz w:val="16"/>
          <w:szCs w:val="16"/>
          <w:color w:val="auto"/>
        </w:rPr>
        <w:t>Money market account holding restricted cash and security deposits for employee benefit plans.</w:t>
      </w:r>
    </w:p>
    <w:p>
      <w:pPr>
        <w:ind w:left="460" w:hanging="430"/>
        <w:spacing w:after="0" w:line="180" w:lineRule="auto"/>
        <w:tabs>
          <w:tab w:leader="none" w:pos="460" w:val="left"/>
        </w:tabs>
        <w:numPr>
          <w:ilvl w:val="0"/>
          <w:numId w:val="22"/>
        </w:numPr>
        <w:rPr>
          <w:rFonts w:ascii="Arial" w:cs="Arial" w:eastAsia="Arial" w:hAnsi="Arial"/>
          <w:sz w:val="25"/>
          <w:szCs w:val="25"/>
          <w:color w:val="auto"/>
          <w:vertAlign w:val="superscript"/>
        </w:rPr>
      </w:pPr>
      <w:r>
        <w:rPr>
          <w:rFonts w:ascii="Arial" w:cs="Arial" w:eastAsia="Arial" w:hAnsi="Arial"/>
          <w:sz w:val="16"/>
          <w:szCs w:val="16"/>
          <w:color w:val="auto"/>
        </w:rPr>
        <w:t>Qualified asset for purposes of section 55(a) of the Investment Company Act of 1940.</w:t>
      </w:r>
    </w:p>
    <w:p>
      <w:pPr>
        <w:ind w:left="460" w:hanging="430"/>
        <w:spacing w:after="0" w:line="180" w:lineRule="auto"/>
        <w:tabs>
          <w:tab w:leader="none" w:pos="460" w:val="left"/>
        </w:tabs>
        <w:numPr>
          <w:ilvl w:val="0"/>
          <w:numId w:val="23"/>
        </w:numPr>
        <w:rPr>
          <w:rFonts w:ascii="Arial" w:cs="Arial" w:eastAsia="Arial" w:hAnsi="Arial"/>
          <w:sz w:val="25"/>
          <w:szCs w:val="25"/>
          <w:color w:val="auto"/>
          <w:vertAlign w:val="superscript"/>
        </w:rPr>
      </w:pPr>
      <w:r>
        <w:rPr>
          <w:rFonts w:ascii="Arial" w:cs="Arial" w:eastAsia="Arial" w:hAnsi="Arial"/>
          <w:sz w:val="16"/>
          <w:szCs w:val="16"/>
          <w:color w:val="auto"/>
        </w:rPr>
        <w:t>As of December 31, 2013, this CLO Fund Security was not providing a dividend distribution.</w:t>
      </w:r>
    </w:p>
    <w:p>
      <w:pPr>
        <w:spacing w:after="0" w:line="2" w:lineRule="exact"/>
        <w:rPr>
          <w:rFonts w:ascii="Arial" w:cs="Arial" w:eastAsia="Arial" w:hAnsi="Arial"/>
          <w:sz w:val="25"/>
          <w:szCs w:val="25"/>
          <w:color w:val="auto"/>
          <w:vertAlign w:val="superscript"/>
        </w:rPr>
      </w:pPr>
    </w:p>
    <w:p>
      <w:pPr>
        <w:ind w:left="460" w:right="300" w:hanging="430"/>
        <w:spacing w:after="0" w:line="187" w:lineRule="auto"/>
        <w:tabs>
          <w:tab w:leader="none" w:pos="46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As of December 31, 2013, investment was owned by KCAP Senior Funding I, LLC and has been pledged to secure KCAP Senior Funding I, LLC’s debt obligations.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HIGHLIGHTS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7.51</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26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9"/>
                <w:szCs w:val="29"/>
                <w:color w:val="auto"/>
                <w:vertAlign w:val="superscript"/>
              </w:rPr>
              <w:t>1</w:t>
            </w:r>
          </w:p>
        </w:tc>
        <w:tc>
          <w:tcPr>
            <w:tcW w:w="2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0.72</w:t>
            </w:r>
          </w:p>
        </w:tc>
        <w:tc>
          <w:tcPr>
            <w:tcW w:w="4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260" w:type="dxa"/>
            <w:vAlign w:val="bottom"/>
          </w:tcPr>
          <w:p>
            <w:pPr>
              <w:ind w:left="160"/>
              <w:spacing w:after="0" w:line="256" w:lineRule="exact"/>
              <w:rPr>
                <w:sz w:val="20"/>
                <w:szCs w:val="20"/>
                <w:color w:val="auto"/>
              </w:rPr>
            </w:pPr>
            <w:r>
              <w:rPr>
                <w:rFonts w:ascii="Arial" w:cs="Arial" w:eastAsia="Arial" w:hAnsi="Arial"/>
                <w:sz w:val="18"/>
                <w:szCs w:val="18"/>
                <w:color w:val="auto"/>
              </w:rPr>
              <w:t>Net realized losses from investments</w:t>
            </w:r>
            <w:r>
              <w:rPr>
                <w:rFonts w:ascii="Arial" w:cs="Arial" w:eastAsia="Arial" w:hAnsi="Arial"/>
                <w:sz w:val="29"/>
                <w:szCs w:val="29"/>
                <w:color w:val="auto"/>
                <w:vertAlign w:val="superscript"/>
              </w:rPr>
              <w:t>1</w:t>
            </w:r>
          </w:p>
        </w:tc>
        <w:tc>
          <w:tcPr>
            <w:tcW w:w="28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(0.06)</w:t>
            </w:r>
          </w:p>
        </w:tc>
        <w:tc>
          <w:tcPr>
            <w:tcW w:w="44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26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Realized losses from extinguishment of debt</w:t>
            </w:r>
            <w:r>
              <w:rPr>
                <w:rFonts w:ascii="Arial" w:cs="Arial" w:eastAsia="Arial" w:hAnsi="Arial"/>
                <w:sz w:val="29"/>
                <w:szCs w:val="29"/>
                <w:color w:val="auto"/>
                <w:vertAlign w:val="superscript"/>
              </w:rPr>
              <w:t>1</w:t>
            </w: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60" w:type="dxa"/>
            <w:vAlign w:val="bottom"/>
          </w:tcPr>
          <w:p>
            <w:pPr>
              <w:ind w:left="160"/>
              <w:spacing w:after="0" w:line="269" w:lineRule="exact"/>
              <w:rPr>
                <w:sz w:val="20"/>
                <w:szCs w:val="20"/>
                <w:color w:val="auto"/>
              </w:rPr>
            </w:pPr>
            <w:r>
              <w:rPr>
                <w:rFonts w:ascii="Arial" w:cs="Arial" w:eastAsia="Arial" w:hAnsi="Arial"/>
                <w:sz w:val="18"/>
                <w:szCs w:val="18"/>
                <w:color w:val="auto"/>
              </w:rPr>
              <w:t>Net change in unrealized depreciation on investments</w:t>
            </w:r>
            <w:r>
              <w:rPr>
                <w:rFonts w:ascii="Arial" w:cs="Arial" w:eastAsia="Arial" w:hAnsi="Arial"/>
                <w:sz w:val="30"/>
                <w:szCs w:val="30"/>
                <w:color w:val="auto"/>
                <w:vertAlign w:val="superscript"/>
              </w:rPr>
              <w:t>1</w:t>
            </w:r>
          </w:p>
        </w:tc>
        <w:tc>
          <w:tcPr>
            <w:tcW w:w="280" w:type="dxa"/>
            <w:vAlign w:val="bottom"/>
          </w:tcPr>
          <w:p>
            <w:pPr>
              <w:spacing w:after="0"/>
              <w:rPr>
                <w:sz w:val="23"/>
                <w:szCs w:val="23"/>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0.06</w:t>
            </w:r>
          </w:p>
        </w:tc>
        <w:tc>
          <w:tcPr>
            <w:tcW w:w="44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increase in net assets resulting from operations</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decrease in net assets resulting from distributions: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 of net investment income</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(0.48)</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Return of capital</w:t>
            </w:r>
          </w:p>
        </w:tc>
        <w:tc>
          <w:tcPr>
            <w:tcW w:w="2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4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decrease in net assets resulting from distributions</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(decrease) increase in net assets relating to stock-based transactions: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Offering of common stock</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Issuance of common stock under dividend reinvestment plan</w:t>
            </w:r>
          </w:p>
        </w:tc>
        <w:tc>
          <w:tcPr>
            <w:tcW w:w="2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0.02</w:t>
            </w: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based compensation</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(0.08)</w:t>
            </w: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Pr>
          <w:p>
            <w:pPr>
              <w:ind w:left="320"/>
              <w:spacing w:after="0"/>
              <w:rPr>
                <w:sz w:val="20"/>
                <w:szCs w:val="20"/>
                <w:color w:val="auto"/>
              </w:rPr>
            </w:pPr>
            <w:r>
              <w:rPr>
                <w:rFonts w:ascii="Arial" w:cs="Arial" w:eastAsia="Arial" w:hAnsi="Arial"/>
                <w:sz w:val="18"/>
                <w:szCs w:val="18"/>
                <w:color w:val="auto"/>
              </w:rPr>
              <w:t>Net (decrease) increase in net assets relating to stock-based transactions</w:t>
            </w: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asset value, end of period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2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Total net asset value return</w:t>
            </w:r>
            <w:r>
              <w:rPr>
                <w:rFonts w:ascii="Arial" w:cs="Arial" w:eastAsia="Arial" w:hAnsi="Arial"/>
                <w:sz w:val="24"/>
                <w:szCs w:val="24"/>
                <w:color w:val="auto"/>
                <w:vertAlign w:val="superscript"/>
              </w:rPr>
              <w:t>2</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at beginning of period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8.07</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8.31</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2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Total market return</w:t>
            </w:r>
            <w:r>
              <w:rPr>
                <w:rFonts w:ascii="Arial" w:cs="Arial" w:eastAsia="Arial" w:hAnsi="Arial"/>
                <w:sz w:val="29"/>
                <w:szCs w:val="29"/>
                <w:color w:val="auto"/>
                <w:vertAlign w:val="superscript"/>
              </w:rPr>
              <w:t>3</w:t>
            </w:r>
          </w:p>
        </w:tc>
        <w:tc>
          <w:tcPr>
            <w:tcW w:w="2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4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2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33,753,672</w:t>
            </w: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33,314,779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259,027,074</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265,082,728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260" w:type="dxa"/>
            <w:vAlign w:val="bottom"/>
          </w:tcPr>
          <w:p>
            <w:pPr>
              <w:spacing w:after="0" w:line="256" w:lineRule="exact"/>
              <w:rPr>
                <w:sz w:val="20"/>
                <w:szCs w:val="20"/>
                <w:color w:val="auto"/>
              </w:rPr>
            </w:pPr>
            <w:r>
              <w:rPr>
                <w:rFonts w:ascii="Arial" w:cs="Arial" w:eastAsia="Arial" w:hAnsi="Arial"/>
                <w:sz w:val="18"/>
                <w:szCs w:val="18"/>
                <w:color w:val="auto"/>
              </w:rPr>
              <w:t>Portfolio turnover rate</w:t>
            </w:r>
            <w:r>
              <w:rPr>
                <w:rFonts w:ascii="Arial" w:cs="Arial" w:eastAsia="Arial" w:hAnsi="Arial"/>
                <w:sz w:val="29"/>
                <w:szCs w:val="29"/>
                <w:color w:val="auto"/>
                <w:vertAlign w:val="superscript"/>
              </w:rPr>
              <w:t>4</w:t>
            </w:r>
          </w:p>
        </w:tc>
        <w:tc>
          <w:tcPr>
            <w:tcW w:w="280" w:type="dxa"/>
            <w:vAlign w:val="bottom"/>
          </w:tcPr>
          <w:p>
            <w:pPr>
              <w:spacing w:after="0"/>
              <w:rPr>
                <w:sz w:val="22"/>
                <w:szCs w:val="2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37.4%</w:t>
            </w:r>
          </w:p>
        </w:tc>
        <w:tc>
          <w:tcPr>
            <w:tcW w:w="44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Average par debt outstanding</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195,658,000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135,721,238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Asset coverage ratio</w:t>
            </w: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2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29"/>
                <w:szCs w:val="29"/>
                <w:color w:val="auto"/>
                <w:vertAlign w:val="superscript"/>
              </w:rPr>
              <w:t>5</w:t>
            </w:r>
          </w:p>
        </w:tc>
        <w:tc>
          <w:tcPr>
            <w:tcW w:w="2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4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260" w:type="dxa"/>
            <w:vAlign w:val="bottom"/>
          </w:tcPr>
          <w:p>
            <w:pPr>
              <w:spacing w:after="0" w:line="256" w:lineRule="exact"/>
              <w:rPr>
                <w:sz w:val="20"/>
                <w:szCs w:val="20"/>
                <w:color w:val="auto"/>
              </w:rPr>
            </w:pPr>
            <w:r>
              <w:rPr>
                <w:rFonts w:ascii="Arial" w:cs="Arial" w:eastAsia="Arial" w:hAnsi="Arial"/>
                <w:sz w:val="18"/>
                <w:szCs w:val="18"/>
                <w:color w:val="auto"/>
              </w:rPr>
              <w:t>Ratio of total expenses to average net assets</w:t>
            </w:r>
            <w:r>
              <w:rPr>
                <w:rFonts w:ascii="Arial" w:cs="Arial" w:eastAsia="Arial" w:hAnsi="Arial"/>
                <w:sz w:val="29"/>
                <w:szCs w:val="29"/>
                <w:color w:val="auto"/>
                <w:vertAlign w:val="superscript"/>
              </w:rPr>
              <w:t>5</w:t>
            </w:r>
          </w:p>
        </w:tc>
        <w:tc>
          <w:tcPr>
            <w:tcW w:w="280" w:type="dxa"/>
            <w:vAlign w:val="bottom"/>
          </w:tcPr>
          <w:p>
            <w:pPr>
              <w:spacing w:after="0"/>
              <w:rPr>
                <w:sz w:val="22"/>
                <w:szCs w:val="2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44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2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interest expense to average net assets</w:t>
            </w:r>
            <w:r>
              <w:rPr>
                <w:rFonts w:ascii="Arial" w:cs="Arial" w:eastAsia="Arial" w:hAnsi="Arial"/>
                <w:sz w:val="29"/>
                <w:szCs w:val="29"/>
                <w:color w:val="auto"/>
                <w:vertAlign w:val="superscript"/>
              </w:rPr>
              <w:t>5</w:t>
            </w:r>
          </w:p>
        </w:tc>
        <w:tc>
          <w:tcPr>
            <w:tcW w:w="2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4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Ratio of non-interest expenses to average net assets</w:t>
            </w:r>
            <w:r>
              <w:rPr>
                <w:rFonts w:ascii="Arial" w:cs="Arial" w:eastAsia="Arial" w:hAnsi="Arial"/>
                <w:sz w:val="30"/>
                <w:szCs w:val="30"/>
                <w:color w:val="auto"/>
                <w:vertAlign w:val="superscript"/>
              </w:rPr>
              <w:t>5</w:t>
            </w:r>
          </w:p>
        </w:tc>
        <w:tc>
          <w:tcPr>
            <w:tcW w:w="28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300" w:hanging="292"/>
        <w:spacing w:after="0"/>
        <w:tabs>
          <w:tab w:leader="none" w:pos="30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Based on weighted average number of common shares outstanding-basic for the period.</w:t>
      </w:r>
    </w:p>
    <w:p>
      <w:pPr>
        <w:spacing w:after="0" w:line="26" w:lineRule="exact"/>
        <w:rPr>
          <w:sz w:val="20"/>
          <w:szCs w:val="20"/>
          <w:color w:val="auto"/>
        </w:rPr>
      </w:pPr>
    </w:p>
    <w:p>
      <w:pPr>
        <w:ind w:right="160" w:firstLine="8"/>
        <w:spacing w:after="0" w:line="194" w:lineRule="auto"/>
        <w:tabs>
          <w:tab w:leader="none" w:pos="297"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Total net asset value return (not annualized) equals the change in the net asset value per share over the beginning of period net asset value per share plus distributions (including any return of capital), divided by the beginning net asset value per share.</w:t>
      </w:r>
    </w:p>
    <w:p>
      <w:pPr>
        <w:spacing w:after="0" w:line="27" w:lineRule="exact"/>
        <w:rPr>
          <w:sz w:val="20"/>
          <w:szCs w:val="20"/>
          <w:color w:val="auto"/>
        </w:rPr>
      </w:pPr>
    </w:p>
    <w:p>
      <w:pPr>
        <w:ind w:right="220" w:firstLine="8"/>
        <w:spacing w:after="0" w:line="194" w:lineRule="auto"/>
        <w:tabs>
          <w:tab w:leader="none" w:pos="297"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Total market return equals the change in the ending market price over the beginning of period price per share plus distributions (including any return of capital), divided by the beginning price.</w:t>
      </w:r>
    </w:p>
    <w:p>
      <w:pPr>
        <w:ind w:left="300" w:hanging="292"/>
        <w:spacing w:after="0" w:line="184" w:lineRule="auto"/>
        <w:tabs>
          <w:tab w:leader="none" w:pos="30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color w:val="auto"/>
        </w:rPr>
        <w:t>Not annualized. Portfolio turnover rate equals the year-to-date sales and paydowns over the average of the invested assets at fair value.</w:t>
      </w:r>
    </w:p>
    <w:p>
      <w:pPr>
        <w:spacing w:after="0" w:line="43" w:lineRule="exact"/>
        <w:rPr>
          <w:rFonts w:ascii="Arial" w:cs="Arial" w:eastAsia="Arial" w:hAnsi="Arial"/>
          <w:sz w:val="29"/>
          <w:szCs w:val="29"/>
          <w:color w:val="auto"/>
          <w:vertAlign w:val="superscript"/>
        </w:rPr>
      </w:pPr>
    </w:p>
    <w:p>
      <w:pPr>
        <w:spacing w:after="0" w:line="234" w:lineRule="auto"/>
        <w:rPr>
          <w:rFonts w:ascii="Arial" w:cs="Arial" w:eastAsia="Arial" w:hAnsi="Arial"/>
          <w:sz w:val="29"/>
          <w:szCs w:val="29"/>
          <w:color w:val="auto"/>
          <w:vertAlign w:val="superscript"/>
        </w:rPr>
      </w:pPr>
      <w:r>
        <w:rPr>
          <w:rFonts w:ascii="Arial" w:cs="Arial" w:eastAsia="Arial" w:hAnsi="Arial"/>
          <w:sz w:val="30"/>
          <w:szCs w:val="30"/>
          <w:color w:val="auto"/>
          <w:vertAlign w:val="superscript"/>
        </w:rPr>
        <w:t>5</w:t>
      </w:r>
      <w:r>
        <w:rPr>
          <w:rFonts w:ascii="Arial" w:cs="Arial" w:eastAsia="Arial" w:hAnsi="Arial"/>
          <w:sz w:val="18"/>
          <w:szCs w:val="18"/>
          <w:color w:val="auto"/>
        </w:rPr>
        <w:t xml:space="preserve">   Annualized</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KCAP Financial, Inc. (“KCAP” or the “Company”) is an internally managed, non-diversified closed-end investment company that is regulated as a business development company (“BDC”) under the Investment Company Act of 1940 (the “1940 Act”).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three principal areas of investment:</w:t>
      </w:r>
    </w:p>
    <w:p>
      <w:pPr>
        <w:spacing w:after="0" w:line="22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First, we originate, structure, and invest in senior secured term loans and mezzanine debt primarily in privately-held middle market companies (the “Debt Securities Portfolio”). In addition, from time to time we may invest in the equity securities of privately held middle market companies.</w:t>
      </w:r>
    </w:p>
    <w:p>
      <w:pPr>
        <w:spacing w:after="0" w:line="147"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Second, we have invested in asset management companies (Katonah Debt Advisors, L.L.C. and Trimaran Advisors, L.L.C., collectively the “Asset Manager Affiliates”) that manage collateralized loan obligation funds (“CLOs”).</w:t>
      </w:r>
    </w:p>
    <w:p>
      <w:pPr>
        <w:spacing w:after="0" w:line="17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Third, we invest in debt and subordinated securities issued by CLOs (“CLO Fund Securities”). These CLO Fund Securities are primarily managed by our Asset Manager Affiliates, but from time-to-time we make investments in CLO Fund Securities managed by other asset managers. The CLOs typically invest in broadly syndicated loans, high-yield bonds and other credit instruments.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may also invest in other investments such as loans to larger, publicly-traded companies, high-yield bonds and distressed debt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also receive warrants or options to purchase common stock in connection with its debt investments.</w:t>
      </w:r>
    </w:p>
    <w:p>
      <w:pPr>
        <w:spacing w:after="0" w:line="21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has elected to be treated as a regulated investment company (“RIC”) under Subchapter M of the Internal Revenue Code of 1986, as amended (the “Code”). To qualify as a RIC, the Company must, among other things, meet certain source-of-income, and asset diversification and annual distribution requirements. As a RIC, the Company generally will not have to pay corporate-level U.S. federal income taxes on any income that it distributes in a timely manner to its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60" w:firstLine="324"/>
        <w:spacing w:after="0" w:line="276" w:lineRule="auto"/>
        <w:rPr>
          <w:sz w:val="20"/>
          <w:szCs w:val="20"/>
          <w:color w:val="auto"/>
        </w:rPr>
      </w:pPr>
      <w:r>
        <w:rPr>
          <w:rFonts w:ascii="Arial" w:cs="Arial" w:eastAsia="Arial" w:hAnsi="Arial"/>
          <w:sz w:val="17"/>
          <w:szCs w:val="17"/>
          <w:color w:val="auto"/>
        </w:rPr>
        <w:t>The accompanying unaudited consolidated financial statements have been prepared on the accrual basis of accounting in conformity with accounting principles generally accepted in the United States of America (“GAAP”) for interim financial information. Accordingly, they do not include all of the information and footnotes required for annual consolidated financial statements. The unaudited interim consolidated financial statements and notes thereto should be read in conjunction with the consolidated financial statements and notes thereto in the Company’s Form 10-K for the year ended December 31, 2013, as filed with the U.S. Securities and Exchange Commission (the “Commission” or the “SEC”).</w:t>
      </w:r>
    </w:p>
    <w:p>
      <w:pPr>
        <w:spacing w:after="0" w:line="17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management to make significant estimates and assumptions including with respect to the fair value of investments that do not have a readily available market value. Actual results could differ from those estimates, and the differences could be material. The results of operations for the interim periods presented are not necessarily indicative of the operating results to be expected for the full year. Certain prior period amounts have been reclassified to conform to the current year’s presentation.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2" w:name="page33"/>
    <w:bookmarkEnd w:id="32"/>
    <w:p>
      <w:pPr>
        <w:ind w:firstLine="324"/>
        <w:spacing w:after="0" w:line="279" w:lineRule="auto"/>
        <w:rPr>
          <w:sz w:val="20"/>
          <w:szCs w:val="20"/>
          <w:color w:val="auto"/>
        </w:rPr>
      </w:pPr>
      <w:r>
        <w:rPr>
          <w:rFonts w:ascii="Arial" w:cs="Arial" w:eastAsia="Arial" w:hAnsi="Arial"/>
          <w:sz w:val="17"/>
          <w:szCs w:val="17"/>
          <w:color w:val="auto"/>
        </w:rPr>
        <w:t>The Company consolidates the financial statements of its wholly-owned special purpose financing subsidiaries KCAP Funding, Kolhberg Capital Funding LLC I, KCAP Senior Funding I, LLC and KCAP Senior Funding I Holdings, LLC in its consolidated financial statements as they are operated solely for investment activities of the Company. The creditors of KCAP Senior Funding I, LLC have received security interests in the assets owned by KCAP Senior Funding I, LLC and such assets are not intended to be available to the creditors of KCAP Financial, Inc., or any other affiliate.</w:t>
      </w:r>
    </w:p>
    <w:p>
      <w:pPr>
        <w:spacing w:after="0" w:line="17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unless the portfolio company is another investment company.</w:t>
      </w:r>
    </w:p>
    <w:p>
      <w:pPr>
        <w:spacing w:after="0" w:line="18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Asset Manager Affiliates are subject to Accounting Standards Codification Topic 810, “Consolidation” and although the Company cannot consolidate the financial statements of portfolio company investments, this guidance impacts the required disclosures relating to the Asset Manager Affiliates, as it requires the Asset Manager Affiliates to consolidate the financial statements of managed CLO Funds. As a result of the consolidation of the financial statements of the CLOs into the financial statements of the Asset Manager Affiliates, the Asset Manager Affiliates qualify as a “significant subsidiary” under Rules 3-09 and 1-02 of Regulation S-X promulgated by the SEC and, as a result, the Company is required to include additional financial information regarding the Asset Manager Affiliates in its filings with the SEC. In addition, in accordance with Rules 3-09, Rule 4-08(g) and 1-02 of Regulation S-X, additional financial information with respect to two of the CLO Funds in which the Company has an investment, Katonah 2007-I CLO Ltd. (“Katonah 2007-I CLO”) and Katonah X CLO Ltd. (“Katonah X CLO”), are required to be included in the Company’s SEC filings. The additional financial information regarding the Asset Manager Affiliates, Katonah 2007-I CLO (pursuant to Rule 3-09) and Katonah X CLO (pursuant to Rule 4-08(g)), is set forth in Note 5 to these consolidated financial statements. This additional financial information does not directly impact the financial position or results of operations of the Company.</w:t>
      </w:r>
    </w:p>
    <w:p>
      <w:pPr>
        <w:spacing w:after="0" w:line="193"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Stockholder distributions on the Statement of Changes in Net Assets reflect the estimated allocation, between net investment income and return of capital, of distributions made during the reporting period, excluding the distribution declared in current quarter with a record date occurring after the quarter-end. The tax character of distributions is made on an annual (full calendar-year) basis. The determination of the tax attributes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10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June 2013, the FASB issued Accounting Standards Update 2013-08 “Financial Services-Investment Companies (Topic 946) Amendments to the Scope, Measurement, and Disclosure Requirements” (“ASU 2013-08”). ASU 2013-08 clarifies the characteristics of an investment company and requires reporting entities to disclose information about the following items: (i) the type and amount of financial support provided to investee companies, including situations in which the Company assisted an investee in obtaining financial support, (ii) the primary reasons for providing the financial support, (iii) the type and amount of financial support the Company is contractually required to provide to an investee, but has not yet provided, and (iv) the primary reasons for the contractual requirement to provide the financial support. The Company adopted ASU 2013-08 effective January 1, 2014.</w:t>
      </w:r>
    </w:p>
    <w:p>
      <w:pPr>
        <w:spacing w:after="0" w:line="17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It is the Company’s primary investment objective to generate current income and capital appreciation by lending directly to privately-held middle market companies. During the nine months ended September 30, 2014, the Company invested $165 million in portfolio companies to support their growth objectives. None of this support was contractually obligated. See also Note 8 – Commitments and Contingencies. As of September 30, 2014, the Company holds loans it has made to 81 investee companies with aggregate principal amounts of $237 million. The details of such loans have been disclosed on the consolidated schedule of investments as well as in Note 4 – Investments and Fair Value Measurements. In addition to providing loans to investee companies, from time to time the Company assists investee companies in securing financing from other sources by introducing such investee companies to sponsors or by leading a syndicate of lenders to provide the investee companies with financing. During the nine months month period ended September 30, 2014, the Company did not make any such introductions or lead any syndicates.</w:t>
      </w:r>
    </w:p>
    <w:p>
      <w:pPr>
        <w:spacing w:after="0" w:line="17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 xml:space="preserve">In August 2014, the Financial Accounting Standards Board (“FASB”) </w:t>
      </w:r>
      <w:r>
        <w:rPr>
          <w:rFonts w:ascii="Arial" w:cs="Arial" w:eastAsia="Arial" w:hAnsi="Arial"/>
          <w:sz w:val="16"/>
          <w:szCs w:val="16"/>
          <w:color w:val="252525"/>
        </w:rPr>
        <w:t>issued Accounting Standards Update (“ASU”)</w:t>
      </w:r>
      <w:r>
        <w:rPr>
          <w:rFonts w:ascii="Arial" w:cs="Arial" w:eastAsia="Arial" w:hAnsi="Arial"/>
          <w:sz w:val="16"/>
          <w:szCs w:val="16"/>
          <w:color w:val="auto"/>
        </w:rPr>
        <w:t xml:space="preserve"> 2014-15, </w:t>
      </w:r>
      <w:r>
        <w:rPr>
          <w:rFonts w:ascii="Arial" w:cs="Arial" w:eastAsia="Arial" w:hAnsi="Arial"/>
          <w:sz w:val="16"/>
          <w:szCs w:val="16"/>
          <w:i w:val="1"/>
          <w:iCs w:val="1"/>
          <w:color w:val="auto"/>
        </w:rPr>
        <w:t>“Presentation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Statements - Going Concern (Subtopic 205-40): Disclosure of Uncertainties about an Entity’s Ability to Continue as a Going Concern” </w:t>
      </w:r>
      <w:r>
        <w:rPr>
          <w:rFonts w:ascii="Arial" w:cs="Arial" w:eastAsia="Arial" w:hAnsi="Arial"/>
          <w:sz w:val="16"/>
          <w:szCs w:val="16"/>
          <w:color w:val="auto"/>
        </w:rPr>
        <w:t>(“ASU</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2014-15”). The standard requires management to evaluate, at each interim and annual reporting period, </w:t>
      </w:r>
      <w:r>
        <w:rPr>
          <w:rFonts w:ascii="Arial" w:cs="Arial" w:eastAsia="Arial" w:hAnsi="Arial"/>
          <w:sz w:val="16"/>
          <w:szCs w:val="16"/>
          <w:color w:val="252525"/>
        </w:rPr>
        <w:t>whether there are conditions or events that raise</w:t>
      </w:r>
      <w:r>
        <w:rPr>
          <w:rFonts w:ascii="Arial" w:cs="Arial" w:eastAsia="Arial" w:hAnsi="Arial"/>
          <w:sz w:val="16"/>
          <w:szCs w:val="16"/>
          <w:color w:val="auto"/>
        </w:rPr>
        <w:t xml:space="preserve"> </w:t>
      </w:r>
      <w:r>
        <w:rPr>
          <w:rFonts w:ascii="Arial" w:cs="Arial" w:eastAsia="Arial" w:hAnsi="Arial"/>
          <w:sz w:val="16"/>
          <w:szCs w:val="16"/>
          <w:color w:val="252525"/>
        </w:rPr>
        <w:t xml:space="preserve">substantial doubt about the entity’s ability to continue as a going concern within one year after the date the financial statements are issued, and provide related disclosures. </w:t>
      </w:r>
      <w:r>
        <w:rPr>
          <w:rFonts w:ascii="Arial" w:cs="Arial" w:eastAsia="Arial" w:hAnsi="Arial"/>
          <w:sz w:val="16"/>
          <w:szCs w:val="16"/>
          <w:color w:val="000000"/>
        </w:rPr>
        <w:t>ASU 2014-15 is effective for annual periods ending after December 15, 2016, and for annual and interim periods thereafter, and early adoption is</w:t>
      </w:r>
      <w:r>
        <w:rPr>
          <w:rFonts w:ascii="Arial" w:cs="Arial" w:eastAsia="Arial" w:hAnsi="Arial"/>
          <w:sz w:val="16"/>
          <w:szCs w:val="16"/>
          <w:color w:val="252525"/>
        </w:rPr>
        <w:t xml:space="preserve"> </w:t>
      </w:r>
      <w:r>
        <w:rPr>
          <w:rFonts w:ascii="Arial" w:cs="Arial" w:eastAsia="Arial" w:hAnsi="Arial"/>
          <w:sz w:val="16"/>
          <w:szCs w:val="16"/>
          <w:color w:val="000000"/>
        </w:rPr>
        <w:t>permitted. We do not expect to adopt ASU 2014-15 early, and we do not believe the standard will have a material impact on our financial statements.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Investment transactions are recorded on the applicable trade date. Realized gains or losses are determined using the specific identification method.</w:t>
      </w:r>
    </w:p>
    <w:p>
      <w:pPr>
        <w:spacing w:after="0" w:line="24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Investment Income. </w:t>
      </w:r>
      <w:r>
        <w:rPr>
          <w:rFonts w:ascii="Arial" w:cs="Arial" w:eastAsia="Arial" w:hAnsi="Arial"/>
          <w:sz w:val="18"/>
          <w:szCs w:val="18"/>
          <w:color w:val="auto"/>
        </w:rPr>
        <w:t>Interest income is recorded on an accrual basis and includes the accretion of discounts and amortization of premiums. Discounts from</w:t>
      </w:r>
      <w:r>
        <w:rPr>
          <w:rFonts w:ascii="Arial" w:cs="Arial" w:eastAsia="Arial" w:hAnsi="Arial"/>
          <w:sz w:val="18"/>
          <w:szCs w:val="18"/>
          <w:i w:val="1"/>
          <w:iCs w:val="1"/>
          <w:color w:val="auto"/>
        </w:rPr>
        <w:t xml:space="preserve"> </w:t>
      </w:r>
      <w:r>
        <w:rPr>
          <w:rFonts w:ascii="Arial" w:cs="Arial" w:eastAsia="Arial" w:hAnsi="Arial"/>
          <w:sz w:val="18"/>
          <w:szCs w:val="18"/>
          <w:color w:val="auto"/>
        </w:rPr>
        <w:t>and premiums to par value on debt securities purchased are accreted into or amortized as a reduction of interest income over the life of the respective debt security using the effective yield method. The amortized cost of debt securities represents the original cost adjusted for the accretion of discounts and amortization of premiums, if any.</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Generally, when interest and/or principal payments on a debt security become past due, or if the Company otherwise does not expect the borrower to be able to service its debt and other obligations, the Company will place the debt security on non-accrual status and will generally cease recognizing interest income on that debt security for financial reporting purposes until all principal and interest have been brought current through payment or due to restructuring such that the interest income is deemed to be collectible</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3" w:name="page34"/>
    <w:bookmarkEnd w:id="33"/>
    <w:p>
      <w:pPr>
        <w:ind w:right="20" w:firstLine="324"/>
        <w:spacing w:after="0" w:line="270" w:lineRule="auto"/>
        <w:rPr>
          <w:sz w:val="20"/>
          <w:szCs w:val="20"/>
          <w:color w:val="auto"/>
        </w:rPr>
      </w:pPr>
      <w:r>
        <w:rPr>
          <w:rFonts w:ascii="Arial" w:cs="Arial" w:eastAsia="Arial" w:hAnsi="Arial"/>
          <w:sz w:val="17"/>
          <w:szCs w:val="17"/>
          <w:i w:val="1"/>
          <w:iCs w:val="1"/>
          <w:color w:val="auto"/>
        </w:rPr>
        <w:t>Valuation of Portfolio Investments</w:t>
      </w:r>
      <w:r>
        <w:rPr>
          <w:rFonts w:ascii="Arial" w:cs="Arial" w:eastAsia="Arial" w:hAnsi="Arial"/>
          <w:sz w:val="17"/>
          <w:szCs w:val="17"/>
          <w:color w:val="auto"/>
        </w:rPr>
        <w:t>. The Company’s Board of Directors is ultimately and solely responsible for making a good faith determination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portfolio investments on a quarterly basis. Debt and equity securities for which market quotations are readily available are generally valued at such market quotations. Debt and equity securities that are not publicly traded or that have a market price not readily available are valued by the Board of Directors based on detailed analyses prepared by management, the Valuation Committee of the Board of Directors, and, in certain circumstances, third parties with valuation expertise. Valuations are conducted by management and approved by the Board of Directors on 100% of the investment portfolio at the end of each quarter. The Company follows the provisions of ASC 820: Fair Value Measurements and Disclosures (“ASC 820: 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Subsequent to the adoption of ASC 820: Fair Value, the FASB has issued various staff positions clarifying the initial standard, as noted below.</w:t>
      </w:r>
    </w:p>
    <w:p>
      <w:pPr>
        <w:spacing w:after="0" w:line="17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FASB issued guidance that clarified and required disclosures about fair value measurements. These include requirements to disclose the amounts and reasons for significant transfers between Level I and Level II, as well as significant transfers in and out of Level III of the fair value hierarchy. The guidance also required that purchases, sales, issuances and settlements be presented gross in the Level III reconciliation.</w:t>
      </w:r>
    </w:p>
    <w:p>
      <w:pPr>
        <w:spacing w:after="0" w:line="18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ASC 820: Fair Value requires the disclosure in interim and annual periods of the inputs and valuation techniques used to measure fair value and a discussion of changes in valuation techniques and related inputs, if any, during the period.</w:t>
      </w:r>
    </w:p>
    <w:p>
      <w:pPr>
        <w:spacing w:after="0" w:line="17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 utilizes an independent valuation firm to provide third party valuation consulting services. Each quarter the independent valuation firm performs third party valuations of the Company’s investments in material illiquid securities such that they are reviewed at least once during the calendar year. These third party valuation estimates are considered as one of the relevant data inputs in the Board of Directors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8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Board of Directors may consider other methods of valuation than those set forth below to determine the fair value of Level III 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17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majority of the Company’s investment portfolio is composed of debt and equity securities with unique contract terms and conditions and/or complexity that requires a valuation of each individual investment taking into account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relies on several techniques for valuing its portfolio of investments, including:</w:t>
      </w:r>
    </w:p>
    <w:p>
      <w:pPr>
        <w:spacing w:after="0" w:line="225" w:lineRule="exact"/>
        <w:rPr>
          <w:sz w:val="20"/>
          <w:szCs w:val="20"/>
          <w:color w:val="auto"/>
        </w:rPr>
      </w:pPr>
    </w:p>
    <w:p>
      <w:pPr>
        <w:ind w:left="340" w:right="60" w:hanging="8"/>
        <w:spacing w:after="0" w:line="264" w:lineRule="auto"/>
        <w:tabs>
          <w:tab w:leader="none" w:pos="62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“Income Approach” – 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w:t>
      </w:r>
    </w:p>
    <w:p>
      <w:pPr>
        <w:spacing w:after="0" w:line="181" w:lineRule="exact"/>
        <w:rPr>
          <w:rFonts w:ascii="Arial" w:cs="Arial" w:eastAsia="Arial" w:hAnsi="Arial"/>
          <w:sz w:val="18"/>
          <w:szCs w:val="18"/>
          <w:color w:val="auto"/>
        </w:rPr>
      </w:pPr>
    </w:p>
    <w:p>
      <w:pPr>
        <w:ind w:left="340" w:right="100" w:hanging="8"/>
        <w:spacing w:after="0" w:line="308" w:lineRule="auto"/>
        <w:tabs>
          <w:tab w:leader="none" w:pos="62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“Market Approach” – if market quotations are readily available, valuations are based upon the closing public market prices on the balance sheet date. Securities that carry certain restrictions on sale are typically valued at a discount from the public market value of the security.</w:t>
      </w:r>
    </w:p>
    <w:p>
      <w:pPr>
        <w:spacing w:after="0" w:line="146" w:lineRule="exact"/>
        <w:rPr>
          <w:rFonts w:ascii="Arial" w:cs="Arial" w:eastAsia="Arial" w:hAnsi="Arial"/>
          <w:sz w:val="17"/>
          <w:szCs w:val="17"/>
          <w:color w:val="auto"/>
        </w:rPr>
      </w:pPr>
    </w:p>
    <w:p>
      <w:pPr>
        <w:ind w:left="340" w:right="240" w:hanging="8"/>
        <w:spacing w:after="0" w:line="277" w:lineRule="auto"/>
        <w:tabs>
          <w:tab w:leader="none" w:pos="6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“Discounted Cash Flow” - a discounted cash flow model is based on the net present value of future cash flows, discounted at a rate appropriate for each cash flow.</w:t>
      </w:r>
    </w:p>
    <w:p>
      <w:pPr>
        <w:spacing w:after="0" w:line="170" w:lineRule="exact"/>
        <w:rPr>
          <w:rFonts w:ascii="Arial" w:cs="Arial" w:eastAsia="Arial" w:hAnsi="Arial"/>
          <w:sz w:val="18"/>
          <w:szCs w:val="18"/>
          <w:color w:val="auto"/>
        </w:rPr>
      </w:pPr>
    </w:p>
    <w:p>
      <w:pPr>
        <w:ind w:left="340" w:right="360" w:hanging="8"/>
        <w:spacing w:after="0" w:line="264" w:lineRule="auto"/>
        <w:tabs>
          <w:tab w:leader="none" w:pos="6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“Enterprise Value” – when there is no liquid public market, the investment is carried at fair value based on the enterprise value of the portfolio company, which is determined using (i) valuation data from publicly traded comparables, and (ii) a discounted cash flow analysis based on projected performance of an investment.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Debt Securities</w:t>
      </w:r>
      <w:r>
        <w:rPr>
          <w:rFonts w:ascii="Arial" w:cs="Arial" w:eastAsia="Arial" w:hAnsi="Arial"/>
          <w:sz w:val="18"/>
          <w:szCs w:val="18"/>
          <w:color w:val="auto"/>
        </w:rPr>
        <w:t>. The Company values its debt securities using primarily Income Approach, Market Approach and Enterprise Value.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4" w:name="page35"/>
    <w:bookmarkEnd w:id="34"/>
    <w:p>
      <w:pPr>
        <w:ind w:right="200" w:firstLine="324"/>
        <w:spacing w:after="0" w:line="255" w:lineRule="auto"/>
        <w:rPr>
          <w:sz w:val="20"/>
          <w:szCs w:val="20"/>
          <w:color w:val="auto"/>
        </w:rPr>
      </w:pPr>
      <w:r>
        <w:rPr>
          <w:rFonts w:ascii="Arial" w:cs="Arial" w:eastAsia="Arial" w:hAnsi="Arial"/>
          <w:sz w:val="18"/>
          <w:szCs w:val="18"/>
          <w:color w:val="auto"/>
        </w:rPr>
        <w:t>To the extent that the Company’s investments are exchange traded and are priced or have sufficient price indications from normal course trading at or around the valuation date (financial reporting date), such pricing will determine fair value.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is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189"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several indices, a leveraged loan index and a high-yield bond index, both at the valuation date and/or the closing date of the subject transaction. The Company has identified these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Schedules of Investments.</w:t>
      </w:r>
    </w:p>
    <w:p>
      <w:pPr>
        <w:spacing w:after="0" w:line="16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Equity Securities</w:t>
      </w:r>
      <w:r>
        <w:rPr>
          <w:rFonts w:ascii="Arial" w:cs="Arial" w:eastAsia="Arial" w:hAnsi="Arial"/>
          <w:sz w:val="18"/>
          <w:szCs w:val="18"/>
          <w:color w:val="auto"/>
        </w:rPr>
        <w:t>. The Company’s equity securities in portfolio companies for which there is no liquid public market are carried at fair value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In cases where the Company receives warrants to purchase equity securities, a market standard Black-Scholes model is utilized.</w:t>
      </w:r>
    </w:p>
    <w:p>
      <w:pPr>
        <w:spacing w:after="0" w:line="18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Asset Manager Affiliates</w:t>
      </w:r>
      <w:r>
        <w:rPr>
          <w:rFonts w:ascii="Arial" w:cs="Arial" w:eastAsia="Arial" w:hAnsi="Arial"/>
          <w:sz w:val="18"/>
          <w:szCs w:val="18"/>
          <w:color w:val="auto"/>
        </w:rPr>
        <w:t>. The Company’s investments in its wholly-owned asset management companies, the Asset Manager Affiliates, are carried at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which is primarily determined utilizing the Discounted Cash Flow approach, which incorporates different levels of discount rates depending on the hierarchy of fees earned (including the likelihood of realization of senior, subordinate and incentive fees) and prospective modeled performance. Such valuation takes into consideration an analysis of comparable asset management companies and a percentage of assets under management. The Asset Manager Affiliates are classified as a Level III investment. Any change in value from period to period is recognized as net change in unrealized appreciation or depreciation.</w:t>
      </w:r>
    </w:p>
    <w:p>
      <w:pPr>
        <w:spacing w:after="0" w:line="193"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i w:val="1"/>
          <w:iCs w:val="1"/>
          <w:color w:val="auto"/>
        </w:rPr>
        <w:t>CLO Fund Securities</w:t>
      </w:r>
      <w:r>
        <w:rPr>
          <w:rFonts w:ascii="Arial" w:cs="Arial" w:eastAsia="Arial" w:hAnsi="Arial"/>
          <w:sz w:val="18"/>
          <w:szCs w:val="18"/>
          <w:color w:val="auto"/>
        </w:rPr>
        <w:t>. The Company typically makes a minority investment in the most junior class of securities of CLO Funds raised and managed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Manager Affiliates and may selectively invest in securities issued by funds managed by other asset management companies. The investments held by CLO Funds generally relate to non-investment grade credit instruments issued by corporations.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5" w:name="page36"/>
    <w:bookmarkEnd w:id="35"/>
    <w:p>
      <w:pPr>
        <w:ind w:right="120" w:firstLine="324"/>
        <w:spacing w:after="0" w:line="287" w:lineRule="auto"/>
        <w:rPr>
          <w:sz w:val="20"/>
          <w:szCs w:val="20"/>
          <w:color w:val="auto"/>
        </w:rPr>
      </w:pPr>
      <w:r>
        <w:rPr>
          <w:rFonts w:ascii="Arial" w:cs="Arial" w:eastAsia="Arial" w:hAnsi="Arial"/>
          <w:sz w:val="16"/>
          <w:szCs w:val="16"/>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16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16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229"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In accordance with the provisions of ASC 260: Earnings per Share,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8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(decrease) in stockholders’ equity per share for the three and nine months ended September 30, 2014 and 2013 (unaudited):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(unaudited)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4"/>
          </w:tcPr>
          <w:p>
            <w:pPr>
              <w:jc w:val="center"/>
              <w:ind w:left="670"/>
              <w:spacing w:after="0"/>
              <w:rPr>
                <w:sz w:val="20"/>
                <w:szCs w:val="20"/>
                <w:color w:val="auto"/>
              </w:rPr>
            </w:pPr>
            <w:r>
              <w:rPr>
                <w:rFonts w:ascii="Arial" w:cs="Arial" w:eastAsia="Arial" w:hAnsi="Arial"/>
                <w:sz w:val="18"/>
                <w:szCs w:val="18"/>
                <w:b w:val="1"/>
                <w:bCs w:val="1"/>
                <w:color w:val="auto"/>
                <w:w w:val="91"/>
              </w:rPr>
              <w:t>(unaudited)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Nine Months Ended September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920" w:type="dxa"/>
            <w:vAlign w:val="bottom"/>
            <w:gridSpan w:val="7"/>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4"/>
          </w:tcPr>
          <w:p>
            <w:pPr>
              <w:jc w:val="center"/>
              <w:ind w:left="650"/>
              <w:spacing w:after="0"/>
              <w:rPr>
                <w:sz w:val="20"/>
                <w:szCs w:val="20"/>
                <w:color w:val="auto"/>
              </w:rPr>
            </w:pPr>
            <w:r>
              <w:rPr>
                <w:rFonts w:ascii="Arial" w:cs="Arial" w:eastAsia="Arial" w:hAnsi="Arial"/>
                <w:sz w:val="18"/>
                <w:szCs w:val="18"/>
                <w:b w:val="1"/>
                <w:bCs w:val="1"/>
                <w:color w:val="auto"/>
                <w:w w:val="95"/>
              </w:rPr>
              <w:t>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8,236,473</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(92,779)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23,930,726</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15,649,325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decrease in net assets allocated to unvested share awards</w:t>
            </w:r>
          </w:p>
        </w:tc>
        <w:tc>
          <w:tcPr>
            <w:tcW w:w="3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(151,517)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(288,671)</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(79,480)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on Convertible Notes</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1,072,050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3,216,150</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Amortization of Capitalized Costs on Convertible Notes</w:t>
            </w:r>
          </w:p>
        </w:tc>
        <w:tc>
          <w:tcPr>
            <w:tcW w:w="3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106,460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313,327</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6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increase in net assets available to common stockholders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9,263,466</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(92,025)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27,171,532</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15,569,845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w w:val="93"/>
              </w:rPr>
              <w:t>Weighted average number of common shares outstanding for basic shares</w:t>
            </w:r>
          </w:p>
        </w:tc>
        <w:tc>
          <w:tcPr>
            <w:tcW w:w="3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computation</w:t>
            </w:r>
          </w:p>
        </w:tc>
        <w:tc>
          <w:tcPr>
            <w:tcW w:w="3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33,746,159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33,312,328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33,497,934</w:t>
            </w: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31,887,711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Effect of dilutive securities - stock options</w:t>
            </w:r>
          </w:p>
        </w:tc>
        <w:tc>
          <w:tcPr>
            <w:tcW w:w="3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12,058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14,606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11,949</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15,519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Convertible Notes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6,367,443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6,367,443</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6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Weighted average number of common and common stock equivalent shares</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outstanding for diluted shares computation</w:t>
            </w:r>
          </w:p>
        </w:tc>
        <w:tc>
          <w:tcPr>
            <w:tcW w:w="3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40,125,660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33,326,934</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39,877,326</w:t>
            </w: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31,903,230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per basic common shares: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increase in net assets from operations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0.71</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per diluted shares: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increase in net assets from operations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0.23</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0.68</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34</w:t>
            </w: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36" w:name="page37"/>
    <w:bookmarkEnd w:id="36"/>
    <w:p>
      <w:pPr>
        <w:ind w:right="120" w:firstLine="324"/>
        <w:spacing w:after="0" w:line="259" w:lineRule="auto"/>
        <w:rPr>
          <w:sz w:val="20"/>
          <w:szCs w:val="20"/>
          <w:color w:val="auto"/>
        </w:rPr>
      </w:pPr>
      <w:r>
        <w:rPr>
          <w:rFonts w:ascii="Arial" w:cs="Arial" w:eastAsia="Arial" w:hAnsi="Arial"/>
          <w:sz w:val="18"/>
          <w:szCs w:val="18"/>
          <w:color w:val="auto"/>
        </w:rPr>
        <w:t>Share-based awards that contain non-forfeitable rights to dividends or dividend equivalents, whether paid or unpaid, are participating securities and included in the computation of both basic and diluted earnings per share. Grants of restricted stock awards to the Company’s employees and directors are considered participating securities when there are earnings in the period and the earnings per share calculations include outstanding unvested restricted stock awards in the basic weighted average shares outstanding calculation.</w:t>
      </w:r>
    </w:p>
    <w:p>
      <w:pPr>
        <w:spacing w:after="0" w:line="18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For the three months ended September 30, 2014 and 2013, options to purchase 12,058 and 14,606 shares of common stock, respectively, were considered in the computation of diluted earnings per share. For the nine months ended September 30, 2014 and 2013, options to purchase 11,949 and 15,519 shares of common stock, respectively, were considered in the computation of diluted earnings per share.</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Company’s Convertible Notes are included in the computation of the diluted net increase or decrease in net assets resulting from operations per share by application of the “if-converted method.” Under the if-converted method, interest charges applicable to the convertible notes for the period are added to the reported net increase or decrease in net assets resulting from operations and the full amount of shares (pro-rata if not outstanding for the full period) that would be issued are added to weighted average basic shares. Convertible notes are considered anti-dilutive only when its interest per share upon conversion exceeds the basic net increase or decrease in net assets resulting from operations per share. For the three months and nine months ended September 30, 2014, the effects of the convertible notes are dilutive.</w:t>
      </w:r>
    </w:p>
    <w:p>
      <w:pPr>
        <w:spacing w:after="0" w:line="19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if-converted method of computing the dilutive effects on convertible notes assumes a conversion even if the contracted conversion price exceeds the market value of the shares. As of September 30, 2014 the current conversion rate of the Convertible Notes is approximately 129.9266 shares of our common stock per $1,000 principal amount of the conversion rate, equivalent to a conversion price of approximately $7.70 per share of the Company’s common stock. Upon conversion, the Company may issue the full amount of common stock and retire the full amount of debt outstanding or, at its option, settle the conversion in cash.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portfolio by security type at September 30, 2014 and December 31, 2013: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Security Type</w:t>
            </w:r>
          </w:p>
        </w:tc>
        <w:tc>
          <w:tcPr>
            <w:tcW w:w="2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7"/>
          </w:tcPr>
          <w:p>
            <w:pPr>
              <w:ind w:left="340"/>
              <w:spacing w:after="0"/>
              <w:rPr>
                <w:sz w:val="20"/>
                <w:szCs w:val="20"/>
                <w:color w:val="auto"/>
              </w:rPr>
            </w:pPr>
            <w:r>
              <w:rPr>
                <w:rFonts w:ascii="Arial" w:cs="Arial" w:eastAsia="Arial" w:hAnsi="Arial"/>
                <w:sz w:val="18"/>
                <w:szCs w:val="18"/>
                <w:b w:val="1"/>
                <w:bCs w:val="1"/>
                <w:color w:val="auto"/>
                <w:w w:val="92"/>
              </w:rPr>
              <w:t>September 30, 2014 (unaudited)</w:t>
            </w:r>
          </w:p>
        </w:tc>
        <w:tc>
          <w:tcPr>
            <w:tcW w:w="5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8"/>
                <w:szCs w:val="18"/>
                <w:b w:val="1"/>
                <w:bCs w:val="1"/>
                <w:color w:val="auto"/>
              </w:rPr>
              <w:t>December 31, 2013</w:t>
            </w: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9"/>
                <w:szCs w:val="19"/>
                <w:color w:val="auto"/>
              </w:rPr>
            </w:pPr>
          </w:p>
        </w:tc>
        <w:tc>
          <w:tcPr>
            <w:tcW w:w="1460" w:type="dxa"/>
            <w:vAlign w:val="bottom"/>
            <w:gridSpan w:val="4"/>
          </w:tcPr>
          <w:p>
            <w:pPr>
              <w:ind w:left="60"/>
              <w:spacing w:after="0"/>
              <w:rPr>
                <w:sz w:val="20"/>
                <w:szCs w:val="20"/>
                <w:color w:val="auto"/>
              </w:rPr>
            </w:pPr>
            <w:r>
              <w:rPr>
                <w:rFonts w:ascii="Arial" w:cs="Arial" w:eastAsia="Arial" w:hAnsi="Arial"/>
                <w:sz w:val="18"/>
                <w:szCs w:val="18"/>
                <w:b w:val="1"/>
                <w:bCs w:val="1"/>
                <w:color w:val="auto"/>
              </w:rPr>
              <w:t>Fair Value</w:t>
            </w:r>
          </w:p>
        </w:tc>
        <w:tc>
          <w:tcPr>
            <w:tcW w:w="520" w:type="dxa"/>
            <w:vAlign w:val="bottom"/>
          </w:tcPr>
          <w:p>
            <w:pPr>
              <w:jc w:val="right"/>
              <w:ind w:right="130"/>
              <w:spacing w:after="0"/>
              <w:rPr>
                <w:sz w:val="20"/>
                <w:szCs w:val="20"/>
                <w:color w:val="auto"/>
              </w:rPr>
            </w:pPr>
            <w:r>
              <w:rPr>
                <w:rFonts w:ascii="Arial" w:cs="Arial" w:eastAsia="Arial" w:hAnsi="Arial"/>
                <w:sz w:val="18"/>
                <w:szCs w:val="18"/>
                <w:b w:val="1"/>
                <w:bCs w:val="1"/>
                <w:color w:val="auto"/>
              </w:rPr>
              <w:t>%¹</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Fair Value</w:t>
            </w: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%¹</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Accounts²</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341,694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341,694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7,112,949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7,112,949</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Senior Secured Loan</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170,002,011</w:t>
            </w: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168,920,608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175,021,272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168,188,453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38,253,207</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38,662,312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50,831,407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48,443,384</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Senior Unsecured Loan</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27,034,116</w:t>
            </w:r>
          </w:p>
        </w:tc>
        <w:tc>
          <w:tcPr>
            <w:tcW w:w="160" w:type="dxa"/>
            <w:vAlign w:val="bottom"/>
          </w:tcPr>
          <w:p>
            <w:pPr>
              <w:spacing w:after="0"/>
              <w:rPr>
                <w:sz w:val="18"/>
                <w:szCs w:val="18"/>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27,034,116</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23,000,000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23,000,000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First Lien Bond</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2,957,441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2,553,900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2,948,332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2,546,400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Senior Subordinated Bond</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4,283,742</w:t>
            </w: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4,366,788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1,037,707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1,051,540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Senior Unsecured Bond</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11,075,392</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11,346,613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10,855,804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11,381,100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Senior Secured Bond</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1,516,376</w:t>
            </w: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1,571,250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1,519,072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1,619,550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119,453,082</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87,382,253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101,696,950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79,452,220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17,454,438</w:t>
            </w:r>
          </w:p>
        </w:tc>
        <w:tc>
          <w:tcPr>
            <w:tcW w:w="160" w:type="dxa"/>
            <w:vAlign w:val="bottom"/>
          </w:tcPr>
          <w:p>
            <w:pPr>
              <w:spacing w:after="0"/>
              <w:rPr>
                <w:sz w:val="18"/>
                <w:szCs w:val="18"/>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11,140,167</w:t>
            </w:r>
          </w:p>
        </w:tc>
        <w:tc>
          <w:tcPr>
            <w:tcW w:w="1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18,755,684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11,006,398</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Preferred</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10,155,240</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10,358,345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10,600,000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Asset Manager Affiliates</w:t>
            </w:r>
          </w:p>
        </w:tc>
        <w:tc>
          <w:tcPr>
            <w:tcW w:w="2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83,924,720</w:t>
            </w:r>
          </w:p>
        </w:tc>
        <w:tc>
          <w:tcPr>
            <w:tcW w:w="160" w:type="dxa"/>
            <w:vAlign w:val="bottom"/>
          </w:tcPr>
          <w:p>
            <w:pPr>
              <w:spacing w:after="0"/>
              <w:rPr>
                <w:sz w:val="19"/>
                <w:szCs w:val="19"/>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78,737,000</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83,378,741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76,148,000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486,451,459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442,415,046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486,157,918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440,549,994</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37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¹ Calculated as a percentage of Net Asset Value.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² Includes restricted cash held under employee benefit plans.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p>
      <w:pPr>
        <w:ind w:right="300" w:firstLine="324"/>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September 30, 2014 and December 31, 2013,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ind w:left="340"/>
              <w:spacing w:after="0"/>
              <w:rPr>
                <w:sz w:val="20"/>
                <w:szCs w:val="20"/>
                <w:color w:val="auto"/>
              </w:rPr>
            </w:pPr>
            <w:r>
              <w:rPr>
                <w:rFonts w:ascii="Arial" w:cs="Arial" w:eastAsia="Arial" w:hAnsi="Arial"/>
                <w:sz w:val="18"/>
                <w:szCs w:val="18"/>
                <w:b w:val="1"/>
                <w:bCs w:val="1"/>
                <w:color w:val="auto"/>
                <w:w w:val="92"/>
              </w:rPr>
              <w:t>September 30, 2014 (unaudited)</w:t>
            </w:r>
          </w:p>
        </w:tc>
        <w:tc>
          <w:tcPr>
            <w:tcW w:w="5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8"/>
                <w:szCs w:val="18"/>
                <w:b w:val="1"/>
                <w:bCs w:val="1"/>
                <w:color w:val="auto"/>
              </w:rPr>
              <w:t>December 31, 2013³</w:t>
            </w: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50"/>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Industry Classification</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30"/>
              <w:spacing w:after="0" w:line="251"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b w:val="1"/>
                <w:bCs w:val="1"/>
                <w:color w:val="auto"/>
                <w:vertAlign w:val="superscript"/>
              </w:rPr>
              <w:t>1</w:t>
            </w:r>
          </w:p>
        </w:tc>
        <w:tc>
          <w:tcPr>
            <w:tcW w:w="2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130"/>
              <w:spacing w:after="0" w:line="251"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color w:val="auto"/>
                <w:vertAlign w:val="superscript"/>
              </w:rPr>
              <w:t>1</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19,414,235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18,815,401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9,244,538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8,100,895</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57"/>
        </w:trPr>
        <w:tc>
          <w:tcPr>
            <w:tcW w:w="3780" w:type="dxa"/>
            <w:vAlign w:val="bottom"/>
          </w:tcPr>
          <w:p>
            <w:pPr>
              <w:spacing w:after="0" w:line="256" w:lineRule="exact"/>
              <w:rPr>
                <w:sz w:val="20"/>
                <w:szCs w:val="20"/>
                <w:color w:val="auto"/>
              </w:rPr>
            </w:pPr>
            <w:r>
              <w:rPr>
                <w:rFonts w:ascii="Arial" w:cs="Arial" w:eastAsia="Arial" w:hAnsi="Arial"/>
                <w:sz w:val="18"/>
                <w:szCs w:val="18"/>
                <w:color w:val="auto"/>
              </w:rPr>
              <w:t>Asset Management Company</w:t>
            </w:r>
            <w:r>
              <w:rPr>
                <w:rFonts w:ascii="Arial" w:cs="Arial" w:eastAsia="Arial" w:hAnsi="Arial"/>
                <w:sz w:val="29"/>
                <w:szCs w:val="29"/>
                <w:color w:val="auto"/>
                <w:vertAlign w:val="superscript"/>
              </w:rPr>
              <w:t>2</w:t>
            </w:r>
          </w:p>
        </w:tc>
        <w:tc>
          <w:tcPr>
            <w:tcW w:w="2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83,924,720</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78,737,000</w:t>
            </w: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83,378,741</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76,148,000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2"/>
                <w:szCs w:val="22"/>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Portfolio Company Loan</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18,000,000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18,000,000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23,000,000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23,000,000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Automotive</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12,995,734</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13,034,329</w:t>
            </w:r>
          </w:p>
        </w:tc>
        <w:tc>
          <w:tcPr>
            <w:tcW w:w="160" w:type="dxa"/>
            <w:vAlign w:val="bottom"/>
          </w:tcPr>
          <w:p>
            <w:pPr>
              <w:spacing w:after="0"/>
              <w:rPr>
                <w:sz w:val="18"/>
                <w:szCs w:val="18"/>
                <w:color w:val="auto"/>
              </w:rPr>
            </w:pPr>
          </w:p>
        </w:tc>
        <w:tc>
          <w:tcPr>
            <w:tcW w:w="780" w:type="dxa"/>
            <w:vAlign w:val="bottom"/>
            <w:gridSpan w:val="2"/>
          </w:tcPr>
          <w:p>
            <w:pPr>
              <w:jc w:val="right"/>
              <w:ind w:right="17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15,248,090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15,306,403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Banking, Finance, Insurance &amp; Real Estate</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6,682,769</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6,719,658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7,859,619.87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8,011,964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18,479,435</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18,269,962</w:t>
            </w:r>
          </w:p>
        </w:tc>
        <w:tc>
          <w:tcPr>
            <w:tcW w:w="160" w:type="dxa"/>
            <w:vAlign w:val="bottom"/>
          </w:tcPr>
          <w:p>
            <w:pPr>
              <w:spacing w:after="0"/>
              <w:rPr>
                <w:sz w:val="18"/>
                <w:szCs w:val="18"/>
                <w:color w:val="auto"/>
              </w:rPr>
            </w:pPr>
          </w:p>
        </w:tc>
        <w:tc>
          <w:tcPr>
            <w:tcW w:w="780" w:type="dxa"/>
            <w:vAlign w:val="bottom"/>
            <w:gridSpan w:val="2"/>
          </w:tcPr>
          <w:p>
            <w:pPr>
              <w:jc w:val="right"/>
              <w:ind w:right="17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33,758,684</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34,026,889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11,084,403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11,947,532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11,450,641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11,792,925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Chemicals, Plastics and Rubber</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3,375,501</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3,355,132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7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2,921,597</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2,906,601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119,453,082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87,382,253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101,696,950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79,452,220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Construction &amp; Building</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8,625,626</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18,224,720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190,244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5,930,396</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7,713,071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9,751,622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Consumer goods: Non-durable</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16,511,865</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15,904,767</w:t>
            </w:r>
          </w:p>
        </w:tc>
        <w:tc>
          <w:tcPr>
            <w:tcW w:w="160" w:type="dxa"/>
            <w:vAlign w:val="bottom"/>
          </w:tcPr>
          <w:p>
            <w:pPr>
              <w:spacing w:after="0"/>
              <w:rPr>
                <w:sz w:val="18"/>
                <w:szCs w:val="18"/>
                <w:color w:val="auto"/>
              </w:rPr>
            </w:pPr>
          </w:p>
        </w:tc>
        <w:tc>
          <w:tcPr>
            <w:tcW w:w="780" w:type="dxa"/>
            <w:vAlign w:val="bottom"/>
            <w:gridSpan w:val="2"/>
          </w:tcPr>
          <w:p>
            <w:pPr>
              <w:jc w:val="right"/>
              <w:ind w:right="17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18,864,695</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18,266,939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Energy: Oil &amp; Gas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2,487,087</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4,667,898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11,734,558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12,930,563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Environmental Industries</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11,110,805</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11,199,801</w:t>
            </w:r>
          </w:p>
        </w:tc>
        <w:tc>
          <w:tcPr>
            <w:tcW w:w="160" w:type="dxa"/>
            <w:vAlign w:val="bottom"/>
          </w:tcPr>
          <w:p>
            <w:pPr>
              <w:spacing w:after="0"/>
              <w:rPr>
                <w:sz w:val="18"/>
                <w:szCs w:val="18"/>
                <w:color w:val="auto"/>
              </w:rPr>
            </w:pPr>
          </w:p>
        </w:tc>
        <w:tc>
          <w:tcPr>
            <w:tcW w:w="780" w:type="dxa"/>
            <w:vAlign w:val="bottom"/>
            <w:gridSpan w:val="2"/>
          </w:tcPr>
          <w:p>
            <w:pPr>
              <w:jc w:val="right"/>
              <w:ind w:right="17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6,937,663</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6,965,896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Forest Products &amp; Paper</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5,924,197</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5,899,406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Healthcare &amp; Pharmaceuticals</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41,238,729</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42,125,897</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24,146,383</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24,061,764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6,908,414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7,199,856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High Tech Industries</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14,264,601</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14,284,533</w:t>
            </w:r>
          </w:p>
        </w:tc>
        <w:tc>
          <w:tcPr>
            <w:tcW w:w="160" w:type="dxa"/>
            <w:vAlign w:val="bottom"/>
          </w:tcPr>
          <w:p>
            <w:pPr>
              <w:spacing w:after="0"/>
              <w:rPr>
                <w:sz w:val="18"/>
                <w:szCs w:val="18"/>
                <w:color w:val="auto"/>
              </w:rPr>
            </w:pPr>
          </w:p>
        </w:tc>
        <w:tc>
          <w:tcPr>
            <w:tcW w:w="780" w:type="dxa"/>
            <w:vAlign w:val="bottom"/>
            <w:gridSpan w:val="2"/>
          </w:tcPr>
          <w:p>
            <w:pPr>
              <w:jc w:val="right"/>
              <w:ind w:right="17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17,989,624</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17,989,034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Hotel, Gaming &amp; Leisure</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2,813,131</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2,402,931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3,825,126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3,466,520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Media: Advertising, Printing &amp; Publishing</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12,521,029</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12,643,146</w:t>
            </w:r>
          </w:p>
        </w:tc>
        <w:tc>
          <w:tcPr>
            <w:tcW w:w="160" w:type="dxa"/>
            <w:vAlign w:val="bottom"/>
          </w:tcPr>
          <w:p>
            <w:pPr>
              <w:spacing w:after="0"/>
              <w:rPr>
                <w:sz w:val="18"/>
                <w:szCs w:val="18"/>
                <w:color w:val="auto"/>
              </w:rPr>
            </w:pPr>
          </w:p>
        </w:tc>
        <w:tc>
          <w:tcPr>
            <w:tcW w:w="780" w:type="dxa"/>
            <w:vAlign w:val="bottom"/>
            <w:gridSpan w:val="2"/>
          </w:tcPr>
          <w:p>
            <w:pPr>
              <w:jc w:val="right"/>
              <w:ind w:right="17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12,797,615</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13,035,590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Media: Broadcasting &amp; Subscription</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8,536,279</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8,528,993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9,853,341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9,915,921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Metals &amp; Mining</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228,563</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228,563</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1,386,473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948,588</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3,364,579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3,325,032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Services: Business</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9,626,631</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10,602,109</w:t>
            </w:r>
          </w:p>
        </w:tc>
        <w:tc>
          <w:tcPr>
            <w:tcW w:w="160" w:type="dxa"/>
            <w:vAlign w:val="bottom"/>
          </w:tcPr>
          <w:p>
            <w:pPr>
              <w:spacing w:after="0"/>
              <w:rPr>
                <w:sz w:val="18"/>
                <w:szCs w:val="18"/>
                <w:color w:val="auto"/>
              </w:rPr>
            </w:pPr>
          </w:p>
        </w:tc>
        <w:tc>
          <w:tcPr>
            <w:tcW w:w="780" w:type="dxa"/>
            <w:vAlign w:val="bottom"/>
            <w:gridSpan w:val="2"/>
          </w:tcPr>
          <w:p>
            <w:pPr>
              <w:jc w:val="right"/>
              <w:ind w:right="17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2,984,555</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2,999,791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Services: Consumer</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9,547,327</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8,470,461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5,703,581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4,616,678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Telecommunications</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13,069,407</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13,158,821</w:t>
            </w:r>
          </w:p>
        </w:tc>
        <w:tc>
          <w:tcPr>
            <w:tcW w:w="160" w:type="dxa"/>
            <w:vAlign w:val="bottom"/>
          </w:tcPr>
          <w:p>
            <w:pPr>
              <w:spacing w:after="0"/>
              <w:rPr>
                <w:sz w:val="18"/>
                <w:szCs w:val="18"/>
                <w:color w:val="auto"/>
              </w:rPr>
            </w:pPr>
          </w:p>
        </w:tc>
        <w:tc>
          <w:tcPr>
            <w:tcW w:w="780" w:type="dxa"/>
            <w:vAlign w:val="bottom"/>
            <w:gridSpan w:val="2"/>
          </w:tcPr>
          <w:p>
            <w:pPr>
              <w:jc w:val="right"/>
              <w:ind w:right="17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17,251,743</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17,337,834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r>
      <w:tr>
        <w:trPr>
          <w:trHeight w:val="257"/>
        </w:trPr>
        <w:tc>
          <w:tcPr>
            <w:tcW w:w="3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Time Deposit and Money Market Accounts</w:t>
            </w:r>
            <w:r>
              <w:rPr>
                <w:rFonts w:ascii="Arial" w:cs="Arial" w:eastAsia="Arial" w:hAnsi="Arial"/>
                <w:sz w:val="29"/>
                <w:szCs w:val="29"/>
                <w:color w:val="auto"/>
                <w:vertAlign w:val="superscript"/>
              </w:rPr>
              <w:t>4</w:t>
            </w:r>
          </w:p>
        </w:tc>
        <w:tc>
          <w:tcPr>
            <w:tcW w:w="2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341,694</w:t>
            </w: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341,693</w:t>
            </w:r>
          </w:p>
        </w:tc>
        <w:tc>
          <w:tcPr>
            <w:tcW w:w="1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7,112,949</w:t>
            </w: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7,112,949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2"/>
                <w:szCs w:val="22"/>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Transportation: Cargo</w:t>
            </w: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20,122,701</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20,222,058</w:t>
            </w:r>
          </w:p>
        </w:tc>
        <w:tc>
          <w:tcPr>
            <w:tcW w:w="160" w:type="dxa"/>
            <w:vAlign w:val="bottom"/>
          </w:tcPr>
          <w:p>
            <w:pPr>
              <w:spacing w:after="0"/>
              <w:rPr>
                <w:sz w:val="18"/>
                <w:szCs w:val="18"/>
                <w:color w:val="auto"/>
              </w:rPr>
            </w:pPr>
          </w:p>
        </w:tc>
        <w:tc>
          <w:tcPr>
            <w:tcW w:w="780" w:type="dxa"/>
            <w:vAlign w:val="bottom"/>
            <w:gridSpan w:val="2"/>
          </w:tcPr>
          <w:p>
            <w:pPr>
              <w:jc w:val="right"/>
              <w:ind w:right="17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16,030,051</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16,643,254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r>
      <w:tr>
        <w:trPr>
          <w:trHeight w:val="23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Utilities: Electric</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8,755,039</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8,800,677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5,927,826</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5,993,610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486,451,459</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442,415,046</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486,157,918</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440,549,994</w:t>
            </w: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3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01"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Net Asset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34124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ind w:left="340" w:hanging="332"/>
        <w:spacing w:after="0" w:line="180" w:lineRule="auto"/>
        <w:tabs>
          <w:tab w:leader="none" w:pos="340" w:val="left"/>
        </w:tabs>
        <w:numPr>
          <w:ilvl w:val="0"/>
          <w:numId w:val="30"/>
        </w:numPr>
        <w:rPr>
          <w:rFonts w:ascii="Arial" w:cs="Arial" w:eastAsia="Arial" w:hAnsi="Arial"/>
          <w:sz w:val="25"/>
          <w:szCs w:val="25"/>
          <w:color w:val="auto"/>
          <w:vertAlign w:val="superscript"/>
        </w:rPr>
      </w:pPr>
      <w:r>
        <w:rPr>
          <w:rFonts w:ascii="Arial" w:cs="Arial" w:eastAsia="Arial" w:hAnsi="Arial"/>
          <w:sz w:val="16"/>
          <w:szCs w:val="16"/>
          <w:color w:val="auto"/>
        </w:rPr>
        <w:t>Represents the Asset Manager Affiliates.</w:t>
      </w:r>
    </w:p>
    <w:p>
      <w:pPr>
        <w:ind w:left="340" w:hanging="332"/>
        <w:spacing w:after="0" w:line="180" w:lineRule="auto"/>
        <w:tabs>
          <w:tab w:leader="none" w:pos="340" w:val="left"/>
        </w:tabs>
        <w:numPr>
          <w:ilvl w:val="0"/>
          <w:numId w:val="31"/>
        </w:numPr>
        <w:rPr>
          <w:rFonts w:ascii="Arial" w:cs="Arial" w:eastAsia="Arial" w:hAnsi="Arial"/>
          <w:sz w:val="25"/>
          <w:szCs w:val="25"/>
          <w:color w:val="auto"/>
          <w:vertAlign w:val="superscript"/>
        </w:rPr>
      </w:pPr>
      <w:r>
        <w:rPr>
          <w:rFonts w:ascii="Arial" w:cs="Arial" w:eastAsia="Arial" w:hAnsi="Arial"/>
          <w:sz w:val="16"/>
          <w:szCs w:val="16"/>
          <w:color w:val="auto"/>
        </w:rPr>
        <w:t>Certain prior year amounts have been reclassified to conform to the current year presentation.</w:t>
      </w:r>
    </w:p>
    <w:p>
      <w:pPr>
        <w:ind w:left="340" w:hanging="332"/>
        <w:spacing w:after="0" w:line="181" w:lineRule="auto"/>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6"/>
          <w:szCs w:val="16"/>
          <w:color w:val="auto"/>
        </w:rPr>
        <w:t>Includes restricted cash held under employee benefit plans.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ind w:right="220" w:firstLine="324"/>
        <w:spacing w:after="0" w:line="259" w:lineRule="auto"/>
        <w:rPr>
          <w:sz w:val="20"/>
          <w:szCs w:val="20"/>
          <w:color w:val="auto"/>
        </w:rPr>
      </w:pPr>
      <w:r>
        <w:rPr>
          <w:rFonts w:ascii="Arial" w:cs="Arial" w:eastAsia="Arial" w:hAnsi="Arial"/>
          <w:sz w:val="18"/>
          <w:szCs w:val="18"/>
          <w:color w:val="auto"/>
        </w:rPr>
        <w:t>The Company may invest up to 30% of the investment portfolio in “non-qualifying” opportunistic investments in debt and equity securities of CLO Funds, distressed debt or debt and equity securities of public companies. The Company expects that these public companies generally will have debt that is non-investment grade. Within this 30% of the portfolio, the Company also may invest in debt of middle market companies located outside of the United States.</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At September 30, 2014 and December 31, 2013, the total amount of non-qualifying assets was approximately 21% and 19% of total assets, respectively. The majority of non-qualifying assets were foreign investments which were approximately 19% and 18% of the Company’s total assets, respectively (primarily the Company’s investments in CLO Funds, which are typically domiciled outside the U.S. and represented approximately 19% and 18% of its total assets as of September 30, 2014 and December 31, 2013).</w:t>
      </w:r>
    </w:p>
    <w:p>
      <w:pPr>
        <w:spacing w:after="0" w:line="18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At September 30, 2014 and December 31, 2013, the Company’s ten largest portfolio companies represented approximately 42% of the total fair value of its investments for both periods. The Company’s largest investment, the Asset Manager Affiliates, represented 18% and 17% of the total fair value of the Company’s investments at September 30, 2014 and December 31, 2013, respectively. Excluding the Asset Manager Affiliates and CLO Fund securities, the Company’s ten largest portfolio companies represented approximately 18% of the total fair value of the Company’s investments at both September 30, 2014 and December 31, 2013.</w:t>
      </w:r>
    </w:p>
    <w:p>
      <w:pPr>
        <w:spacing w:after="0" w:line="188"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All CLO Funds managed by the Asset Manager Affiliates are currently making quarterly distributions to the Company with respect to its interests in the CLO Funds and are paying all senior and subordinate management fees to the Asset Manager Affiliates. Additionally, five managed funds made incentive fee distributions during the quarter ended September 30, 2014. With the exception of Katonah III, Ltd., all third-party managed CLO Funds are making dividend distributions to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 “Significant Accounting Policies —Investments”).</w:t>
      </w:r>
    </w:p>
    <w:p>
      <w:pPr>
        <w:spacing w:after="0" w:line="18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70" w:lineRule="exact"/>
        <w:rPr>
          <w:sz w:val="20"/>
          <w:szCs w:val="20"/>
          <w:color w:val="auto"/>
        </w:rPr>
      </w:pPr>
    </w:p>
    <w:p>
      <w:pPr>
        <w:ind w:left="340" w:right="280" w:firstLine="324"/>
        <w:spacing w:after="0" w:line="312" w:lineRule="auto"/>
        <w:rPr>
          <w:sz w:val="20"/>
          <w:szCs w:val="20"/>
          <w:color w:val="auto"/>
        </w:rPr>
      </w:pPr>
      <w:r>
        <w:rPr>
          <w:rFonts w:ascii="Arial" w:cs="Arial" w:eastAsia="Arial" w:hAnsi="Arial"/>
          <w:sz w:val="16"/>
          <w:szCs w:val="16"/>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47" w:lineRule="exact"/>
        <w:rPr>
          <w:sz w:val="20"/>
          <w:szCs w:val="20"/>
          <w:color w:val="auto"/>
        </w:rPr>
      </w:pPr>
    </w:p>
    <w:p>
      <w:pPr>
        <w:ind w:left="340" w:right="40" w:firstLine="324"/>
        <w:spacing w:after="0" w:line="276"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73" w:lineRule="exact"/>
        <w:rPr>
          <w:sz w:val="20"/>
          <w:szCs w:val="20"/>
          <w:color w:val="auto"/>
        </w:rPr>
      </w:pPr>
    </w:p>
    <w:p>
      <w:pPr>
        <w:ind w:left="340" w:right="20" w:firstLine="324"/>
        <w:spacing w:after="0" w:line="293" w:lineRule="auto"/>
        <w:rPr>
          <w:sz w:val="20"/>
          <w:szCs w:val="20"/>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9" w:name="page40"/>
    <w:bookmarkEnd w:id="39"/>
    <w:p>
      <w:pPr>
        <w:ind w:right="20" w:firstLine="324"/>
        <w:spacing w:after="0" w:line="289"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Ongoing reviews by the Company’s investment analysts, Chief Investment Officer, Valuation Committee and independent valuation firms (if engaged)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fair value of investments by the above ASC 820: Fair Value hierarchy levels as of September 30, 2014 (unaudited)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December 31, 2013,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40" w:type="dxa"/>
            <w:vAlign w:val="bottom"/>
            <w:gridSpan w:val="7"/>
          </w:tcPr>
          <w:p>
            <w:pPr>
              <w:jc w:val="right"/>
              <w:ind w:right="100"/>
              <w:spacing w:after="0"/>
              <w:rPr>
                <w:sz w:val="20"/>
                <w:szCs w:val="20"/>
                <w:color w:val="auto"/>
              </w:rPr>
            </w:pPr>
            <w:r>
              <w:rPr>
                <w:rFonts w:ascii="Arial" w:cs="Arial" w:eastAsia="Arial" w:hAnsi="Arial"/>
                <w:sz w:val="18"/>
                <w:szCs w:val="18"/>
                <w:b w:val="1"/>
                <w:bCs w:val="1"/>
                <w:color w:val="auto"/>
                <w:w w:val="90"/>
              </w:rPr>
              <w:t>As of September 30, 2014 (unaudited)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40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I</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II</w:t>
            </w:r>
          </w:p>
        </w:tc>
        <w:tc>
          <w:tcPr>
            <w:tcW w:w="20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III</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341,694</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341,694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Debt securities</w:t>
            </w:r>
          </w:p>
        </w:tc>
        <w:tc>
          <w:tcPr>
            <w:tcW w:w="1000" w:type="dxa"/>
            <w:vAlign w:val="bottom"/>
          </w:tcPr>
          <w:p>
            <w:pPr>
              <w:spacing w:after="0"/>
              <w:rPr>
                <w:sz w:val="18"/>
                <w:szCs w:val="18"/>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127,833,768</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136,980,164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264,813,932</w:t>
            </w:r>
          </w:p>
        </w:tc>
        <w:tc>
          <w:tcPr>
            <w:tcW w:w="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10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87,382,253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87,382,253</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Equity securities</w:t>
            </w:r>
          </w:p>
        </w:tc>
        <w:tc>
          <w:tcPr>
            <w:tcW w:w="1000" w:type="dxa"/>
            <w:vAlign w:val="bottom"/>
          </w:tcPr>
          <w:p>
            <w:pPr>
              <w:spacing w:after="0"/>
              <w:rPr>
                <w:sz w:val="18"/>
                <w:szCs w:val="18"/>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1,165,205</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9,974,962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11,140,167</w:t>
            </w: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10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78,737,000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78,737,000</w:t>
            </w: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129,340,667</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313,074,379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442,415,046</w:t>
            </w:r>
          </w:p>
        </w:tc>
        <w:tc>
          <w:tcPr>
            <w:tcW w:w="8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w w:val="97"/>
              </w:rPr>
              <w:t>As of December 31, 2013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40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I</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II</w:t>
            </w:r>
          </w:p>
        </w:tc>
        <w:tc>
          <w:tcPr>
            <w:tcW w:w="20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III</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7,112,949</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7,112,949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Debt securities</w:t>
            </w:r>
          </w:p>
        </w:tc>
        <w:tc>
          <w:tcPr>
            <w:tcW w:w="10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68,733,053</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198,097,374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266,830,427</w:t>
            </w:r>
          </w:p>
        </w:tc>
        <w:tc>
          <w:tcPr>
            <w:tcW w:w="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10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79,452,220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79,452,220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Equity securities</w:t>
            </w:r>
          </w:p>
        </w:tc>
        <w:tc>
          <w:tcPr>
            <w:tcW w:w="10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11,006,398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11,006,398</w:t>
            </w: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10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76,148,000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76,148,000</w:t>
            </w: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75,846,002</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364,703,992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440,549,994</w:t>
            </w:r>
          </w:p>
        </w:tc>
        <w:tc>
          <w:tcPr>
            <w:tcW w:w="8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As a BDC, the Company is required to invest primarily in the debt and equity of non-public companies for which there is little, if any, market-observable information. As a result, a significant portion of the Company’s investments at any given time will likely be deemed Level III investments.</w:t>
      </w:r>
    </w:p>
    <w:p>
      <w:pPr>
        <w:spacing w:after="0" w:line="147"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Investment values derived by a third party pricing service are generally deemed to be Level III values. For those that have observable trades, the Company considers them to be Level II.</w:t>
      </w:r>
    </w:p>
    <w:p>
      <w:pPr>
        <w:spacing w:after="0" w:line="17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Values derived for debt and equity securities using comparable public/private companies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40" w:name="page41"/>
    <w:bookmarkEnd w:id="40"/>
    <w:p>
      <w:pPr>
        <w:ind w:right="40" w:firstLine="324"/>
        <w:spacing w:after="0" w:line="273" w:lineRule="auto"/>
        <w:rPr>
          <w:sz w:val="20"/>
          <w:szCs w:val="20"/>
          <w:color w:val="auto"/>
        </w:rPr>
      </w:pPr>
      <w:r>
        <w:rPr>
          <w:rFonts w:ascii="Arial" w:cs="Arial" w:eastAsia="Arial" w:hAnsi="Arial"/>
          <w:sz w:val="17"/>
          <w:szCs w:val="17"/>
          <w:color w:val="auto"/>
        </w:rPr>
        <w:t>Values derived for the Asset Manager Affiliates using comparable public/private companies generally utilize market-observable data and specific, non-public and non-observable financial measures (such as assets under management, historical and prospective earnings) for the Asset Manager Affiliates. The Company recognizes that comparable asset managers may not be fully comparable to the Asset Manager Affiliates and typically identifies a range of performance measures and/or adjustments within the comparable population with which to determine value. Since any such ranges and adjustments are entity specific they are not considered market-observable data and thus require a Level III grouping. Illiquid investments that have values derived through the use of discounted cash flow models and residual enterprise value models are grouped as Level III assets.</w:t>
      </w:r>
    </w:p>
    <w:p>
      <w:pPr>
        <w:spacing w:after="0" w:line="178"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Investments measured at fair value for which the Company has used unobservable inputs to determine fair value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10"/>
          </w:tcPr>
          <w:p>
            <w:pPr>
              <w:ind w:left="60"/>
              <w:spacing w:after="0"/>
              <w:rPr>
                <w:sz w:val="20"/>
                <w:szCs w:val="20"/>
                <w:color w:val="auto"/>
              </w:rPr>
            </w:pPr>
            <w:r>
              <w:rPr>
                <w:rFonts w:ascii="Arial" w:cs="Arial" w:eastAsia="Arial" w:hAnsi="Arial"/>
                <w:sz w:val="18"/>
                <w:szCs w:val="18"/>
                <w:b w:val="1"/>
                <w:bCs w:val="1"/>
                <w:color w:val="auto"/>
                <w:w w:val="97"/>
              </w:rPr>
              <w:t>Nine Months Ended September 30, 2014 (unaudited)</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CLO Fund</w:t>
            </w:r>
          </w:p>
        </w:tc>
        <w:tc>
          <w:tcPr>
            <w:tcW w:w="160" w:type="dxa"/>
            <w:vAlign w:val="bottom"/>
          </w:tcPr>
          <w:p>
            <w:pPr>
              <w:spacing w:after="0"/>
              <w:rPr>
                <w:sz w:val="16"/>
                <w:szCs w:val="16"/>
                <w:color w:val="auto"/>
              </w:rPr>
            </w:pPr>
          </w:p>
        </w:tc>
        <w:tc>
          <w:tcPr>
            <w:tcW w:w="122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6"/>
                <w:szCs w:val="16"/>
                <w:color w:val="auto"/>
              </w:rPr>
            </w:pPr>
          </w:p>
        </w:tc>
        <w:tc>
          <w:tcPr>
            <w:tcW w:w="144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88"/>
              </w:rPr>
              <w:t>Asset Manager</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1"/>
              </w:rPr>
              <w:t>Debt Securities</w:t>
            </w:r>
          </w:p>
        </w:tc>
        <w:tc>
          <w:tcPr>
            <w:tcW w:w="16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5"/>
              </w:rPr>
              <w:t>Securities</w:t>
            </w:r>
          </w:p>
        </w:tc>
        <w:tc>
          <w:tcPr>
            <w:tcW w:w="1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Affiliate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198,097,374</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79,452,220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11,006,398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76,148,000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364,703,992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4120" w:type="dxa"/>
            <w:vAlign w:val="bottom"/>
            <w:shd w:val="clear" w:color="auto" w:fill="CCEEFF"/>
          </w:tcPr>
          <w:p>
            <w:pPr>
              <w:spacing w:after="0"/>
              <w:rPr>
                <w:sz w:val="20"/>
                <w:szCs w:val="20"/>
                <w:color w:val="auto"/>
              </w:rPr>
            </w:pPr>
            <w:r>
              <w:rPr>
                <w:rFonts w:ascii="Arial" w:cs="Arial" w:eastAsia="Arial" w:hAnsi="Arial"/>
                <w:sz w:val="1"/>
                <w:szCs w:val="1"/>
                <w:color w:val="auto"/>
              </w:rPr>
              <w:t>Transfers out of Level III</w:t>
            </w:r>
          </w:p>
        </w:tc>
        <w:tc>
          <w:tcPr>
            <w:tcW w:w="220" w:type="dxa"/>
            <w:vAlign w:val="bottom"/>
            <w:shd w:val="clear" w:color="auto" w:fill="CCEEFF"/>
          </w:tcPr>
          <w:p>
            <w:pPr>
              <w:spacing w:after="0" w:line="20" w:lineRule="exact"/>
              <w:rPr>
                <w:sz w:val="1"/>
                <w:szCs w:val="1"/>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
                <w:szCs w:val="1"/>
                <w:color w:val="auto"/>
              </w:rPr>
              <w:t>(52,805,092)</w:t>
            </w:r>
          </w:p>
        </w:tc>
        <w:tc>
          <w:tcPr>
            <w:tcW w:w="160" w:type="dxa"/>
            <w:vAlign w:val="bottom"/>
            <w:shd w:val="clear" w:color="auto" w:fill="CCEEFF"/>
          </w:tcPr>
          <w:p>
            <w:pPr>
              <w:spacing w:after="0" w:line="20" w:lineRule="exact"/>
              <w:rPr>
                <w:sz w:val="1"/>
                <w:szCs w:val="1"/>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
                <w:szCs w:val="1"/>
                <w:color w:val="auto"/>
              </w:rPr>
              <w:t>—</w:t>
            </w:r>
          </w:p>
        </w:tc>
        <w:tc>
          <w:tcPr>
            <w:tcW w:w="160" w:type="dxa"/>
            <w:vAlign w:val="bottom"/>
            <w:shd w:val="clear" w:color="auto" w:fill="CCEEFF"/>
          </w:tcPr>
          <w:p>
            <w:pPr>
              <w:spacing w:after="0" w:line="20" w:lineRule="exact"/>
              <w:rPr>
                <w:sz w:val="1"/>
                <w:szCs w:val="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
                <w:szCs w:val="1"/>
                <w:color w:val="auto"/>
              </w:rPr>
              <w:t>—</w:t>
            </w: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
                <w:szCs w:val="1"/>
                <w:color w:val="auto"/>
              </w:rPr>
              <w:t>—</w:t>
            </w: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
                <w:szCs w:val="1"/>
                <w:color w:val="auto"/>
              </w:rPr>
              <w:t>(52,805,092)</w:t>
            </w:r>
          </w:p>
        </w:tc>
        <w:tc>
          <w:tcPr>
            <w:tcW w:w="0" w:type="dxa"/>
            <w:vAlign w:val="bottom"/>
          </w:tcPr>
          <w:p>
            <w:pPr>
              <w:spacing w:after="0" w:line="20" w:lineRule="exact"/>
              <w:rPr>
                <w:sz w:val="1"/>
                <w:szCs w:val="1"/>
                <w:color w:val="auto"/>
              </w:rPr>
            </w:pPr>
          </w:p>
        </w:tc>
      </w:tr>
      <w:tr>
        <w:trPr>
          <w:trHeight w:val="190"/>
        </w:trPr>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III</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2,401,931</w:t>
            </w:r>
            <w:r>
              <w:rPr>
                <w:rFonts w:ascii="Arial" w:cs="Arial" w:eastAsia="Arial" w:hAnsi="Arial"/>
                <w:sz w:val="15"/>
                <w:szCs w:val="15"/>
                <w:color w:val="auto"/>
              </w:rPr>
              <w:t>2</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2,401,931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accretion of discount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122,427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120,405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242,832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93,131,002</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22,421,847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1,051,642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545,979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117,150,470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Sales / Paydowns</w:t>
            </w:r>
          </w:p>
        </w:tc>
        <w:tc>
          <w:tcPr>
            <w:tcW w:w="2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(99,518,414)</w:t>
            </w:r>
          </w:p>
        </w:tc>
        <w:tc>
          <w:tcPr>
            <w:tcW w:w="1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(10,361,620)</w:t>
            </w: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(5,007,311)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(114,887,345)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realized gain (loss) included in earnings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(8,927,875)</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5,575,498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1,489,219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(1,863,158)</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Total unrealized gain (loss) included in earnings</w:t>
            </w:r>
          </w:p>
        </w:tc>
        <w:tc>
          <w:tcPr>
            <w:tcW w:w="2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4,478,811</w:t>
            </w: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(9,826,097)</w:t>
            </w: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1,435,014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2,043,021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(1,869,251)</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2014</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136,980,164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87,382,253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9,974,962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78,737,000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313,074,379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line="195" w:lineRule="exact"/>
              <w:rPr>
                <w:sz w:val="20"/>
                <w:szCs w:val="20"/>
                <w:color w:val="auto"/>
              </w:rPr>
            </w:pPr>
            <w:r>
              <w:rPr>
                <w:rFonts w:ascii="Arial" w:cs="Arial" w:eastAsia="Arial" w:hAnsi="Arial"/>
                <w:sz w:val="18"/>
                <w:szCs w:val="18"/>
                <w:color w:val="auto"/>
              </w:rPr>
              <w:t>Changes in unrealized gains (losses) included in</w:t>
            </w: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8"/>
              </w:rPr>
              <w:t>earnings related to investments still held at reporting</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date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(4,942,892)</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(4,706,033)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3,443,795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2,043,021</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(4,162,109)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¹Transfers out of Level III represent debt securities for which pricing inputs, such as, observed trades, expected payoffs and refinancings, were observable as of September 30, 2014</w:t>
      </w:r>
    </w:p>
    <w:p>
      <w:pPr>
        <w:spacing w:after="0" w:line="17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²Transfers into Level III represent debt securities for which pricing inputs, other than their quoted prices in active markets were, unobservable as of September 30,2014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9"/>
          </w:tcPr>
          <w:p>
            <w:pPr>
              <w:jc w:val="right"/>
              <w:ind w:right="1140"/>
              <w:spacing w:after="0"/>
              <w:rPr>
                <w:sz w:val="20"/>
                <w:szCs w:val="20"/>
                <w:color w:val="auto"/>
              </w:rPr>
            </w:pPr>
            <w:r>
              <w:rPr>
                <w:rFonts w:ascii="Arial" w:cs="Arial" w:eastAsia="Arial" w:hAnsi="Arial"/>
                <w:sz w:val="18"/>
                <w:szCs w:val="18"/>
                <w:b w:val="1"/>
                <w:bCs w:val="1"/>
                <w:color w:val="auto"/>
              </w:rPr>
              <w:t>Year Ended December 31, 2013</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CLO Fund</w:t>
            </w:r>
          </w:p>
        </w:tc>
        <w:tc>
          <w:tcPr>
            <w:tcW w:w="160" w:type="dxa"/>
            <w:vAlign w:val="bottom"/>
          </w:tcPr>
          <w:p>
            <w:pPr>
              <w:spacing w:after="0"/>
              <w:rPr>
                <w:sz w:val="16"/>
                <w:szCs w:val="16"/>
                <w:color w:val="auto"/>
              </w:rPr>
            </w:pPr>
          </w:p>
        </w:tc>
        <w:tc>
          <w:tcPr>
            <w:tcW w:w="122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6"/>
                <w:szCs w:val="16"/>
                <w:color w:val="auto"/>
              </w:rPr>
            </w:pPr>
          </w:p>
        </w:tc>
        <w:tc>
          <w:tcPr>
            <w:tcW w:w="1440" w:type="dxa"/>
            <w:vAlign w:val="bottom"/>
            <w:gridSpan w:val="3"/>
          </w:tcPr>
          <w:p>
            <w:pPr>
              <w:jc w:val="right"/>
              <w:ind w:right="260"/>
              <w:spacing w:after="0" w:line="191" w:lineRule="exact"/>
              <w:rPr>
                <w:sz w:val="20"/>
                <w:szCs w:val="20"/>
                <w:color w:val="auto"/>
              </w:rPr>
            </w:pPr>
            <w:r>
              <w:rPr>
                <w:rFonts w:ascii="Arial" w:cs="Arial" w:eastAsia="Arial" w:hAnsi="Arial"/>
                <w:sz w:val="18"/>
                <w:szCs w:val="18"/>
                <w:b w:val="1"/>
                <w:bCs w:val="1"/>
                <w:color w:val="auto"/>
                <w:w w:val="90"/>
              </w:rPr>
              <w:t>Asset Manager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Debt Securities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Securities</w:t>
            </w:r>
          </w:p>
        </w:tc>
        <w:tc>
          <w:tcPr>
            <w:tcW w:w="1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Affiliate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51,865,406</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83,257,507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8,020,716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77,242,000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220,385,629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Transfers out of Level III</w:t>
            </w:r>
          </w:p>
        </w:tc>
        <w:tc>
          <w:tcPr>
            <w:tcW w:w="240" w:type="dxa"/>
            <w:vAlign w:val="bottom"/>
          </w:tcPr>
          <w:p>
            <w:pPr>
              <w:spacing w:after="0"/>
              <w:rPr>
                <w:sz w:val="22"/>
                <w:szCs w:val="22"/>
                <w:color w:val="auto"/>
              </w:rPr>
            </w:pPr>
          </w:p>
        </w:tc>
        <w:tc>
          <w:tcPr>
            <w:tcW w:w="124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rPr>
              <w:t>(2,783,195)</w:t>
            </w:r>
            <w:r>
              <w:rPr>
                <w:rFonts w:ascii="Arial" w:cs="Arial" w:eastAsia="Arial" w:hAnsi="Arial"/>
                <w:sz w:val="29"/>
                <w:szCs w:val="29"/>
                <w:color w:val="auto"/>
                <w:vertAlign w:val="superscript"/>
              </w:rPr>
              <w:t>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(2,783,195)</w:t>
            </w:r>
          </w:p>
        </w:tc>
        <w:tc>
          <w:tcPr>
            <w:tcW w:w="0" w:type="dxa"/>
            <w:vAlign w:val="bottom"/>
          </w:tcPr>
          <w:p>
            <w:pPr>
              <w:spacing w:after="0"/>
              <w:rPr>
                <w:sz w:val="1"/>
                <w:szCs w:val="1"/>
                <w:color w:val="auto"/>
              </w:rPr>
            </w:pPr>
          </w:p>
        </w:tc>
      </w:tr>
      <w:tr>
        <w:trPr>
          <w:trHeight w:val="15"/>
        </w:trPr>
        <w:tc>
          <w:tcPr>
            <w:tcW w:w="4120" w:type="dxa"/>
            <w:vAlign w:val="bottom"/>
            <w:shd w:val="clear" w:color="auto" w:fill="CCEEFF"/>
          </w:tcPr>
          <w:p>
            <w:pPr>
              <w:spacing w:after="0"/>
              <w:rPr>
                <w:sz w:val="20"/>
                <w:szCs w:val="20"/>
                <w:color w:val="auto"/>
              </w:rPr>
            </w:pPr>
            <w:r>
              <w:rPr>
                <w:rFonts w:ascii="Arial" w:cs="Arial" w:eastAsia="Arial" w:hAnsi="Arial"/>
                <w:sz w:val="1"/>
                <w:szCs w:val="1"/>
                <w:color w:val="auto"/>
              </w:rPr>
              <w:t>Transfers into Level III</w:t>
            </w:r>
          </w:p>
        </w:tc>
        <w:tc>
          <w:tcPr>
            <w:tcW w:w="240" w:type="dxa"/>
            <w:vAlign w:val="bottom"/>
            <w:shd w:val="clear" w:color="auto" w:fill="CCEEFF"/>
          </w:tcPr>
          <w:p>
            <w:pPr>
              <w:spacing w:after="0" w:line="20" w:lineRule="exact"/>
              <w:rPr>
                <w:sz w:val="1"/>
                <w:szCs w:val="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
                <w:szCs w:val="1"/>
                <w:color w:val="auto"/>
              </w:rPr>
              <w:t>34,070,557</w:t>
            </w: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
                <w:szCs w:val="1"/>
                <w:color w:val="auto"/>
              </w:rPr>
              <w:t>—</w:t>
            </w:r>
          </w:p>
        </w:tc>
        <w:tc>
          <w:tcPr>
            <w:tcW w:w="160" w:type="dxa"/>
            <w:vAlign w:val="bottom"/>
            <w:shd w:val="clear" w:color="auto" w:fill="CCEEFF"/>
          </w:tcPr>
          <w:p>
            <w:pPr>
              <w:spacing w:after="0" w:line="20" w:lineRule="exact"/>
              <w:rPr>
                <w:sz w:val="1"/>
                <w:szCs w:val="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
                <w:szCs w:val="1"/>
                <w:color w:val="auto"/>
              </w:rPr>
              <w:t>—</w:t>
            </w: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
                <w:szCs w:val="1"/>
                <w:color w:val="auto"/>
              </w:rPr>
              <w:t>—</w:t>
            </w: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
                <w:szCs w:val="1"/>
                <w:color w:val="auto"/>
              </w:rPr>
              <w:t>34,070,557</w:t>
            </w: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accretion of discount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174,977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216,443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217,212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608,632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192,112,854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11,957,500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3,813,838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207,884,192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Sales/Paydowns</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(70,461,486)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(623,403)</w:t>
            </w: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(2,882,107)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(73,966,996)</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realized gain (loss) included in earnings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2,972,071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(551,636)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2,420,435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Total unrealized gain (loss) included in earnings</w:t>
            </w:r>
          </w:p>
        </w:tc>
        <w:tc>
          <w:tcPr>
            <w:tcW w:w="2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(9,853,810)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(15,355,827)</w:t>
            </w: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2,605,588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(1,311,212)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(23,915,261)</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198,097,374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79,452,220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11,006,399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76,148,000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364,703,993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line="195" w:lineRule="exact"/>
              <w:rPr>
                <w:sz w:val="20"/>
                <w:szCs w:val="20"/>
                <w:color w:val="auto"/>
              </w:rPr>
            </w:pPr>
            <w:r>
              <w:rPr>
                <w:rFonts w:ascii="Arial" w:cs="Arial" w:eastAsia="Arial" w:hAnsi="Arial"/>
                <w:sz w:val="18"/>
                <w:szCs w:val="18"/>
                <w:color w:val="auto"/>
              </w:rPr>
              <w:t>Changes in unrealized gains (losses) included in</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8"/>
              </w:rPr>
              <w:t>earnings related to investments still held at reporting</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date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(9,853,810)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(15,355,827)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2,605,588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(1,311,212)</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(23,915,261)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¹Transfers out of Level III represent debt securities for which pricing inputs, other than their quoted prices in active markets were, observable as of December 31, 2013</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²Transfers into Level III represent debt securities for which pricing inputs, other than their quoted prices in active markets were, unobservable as of December 31, 2013.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1" w:name="page42"/>
    <w:bookmarkEnd w:id="41"/>
    <w:p>
      <w:pPr>
        <w:ind w:right="20" w:firstLine="324"/>
        <w:spacing w:after="0" w:line="259" w:lineRule="auto"/>
        <w:rPr>
          <w:sz w:val="20"/>
          <w:szCs w:val="20"/>
          <w:color w:val="auto"/>
        </w:rPr>
      </w:pPr>
      <w:r>
        <w:rPr>
          <w:rFonts w:ascii="Arial" w:cs="Arial" w:eastAsia="Arial" w:hAnsi="Arial"/>
          <w:sz w:val="18"/>
          <w:szCs w:val="18"/>
          <w:color w:val="auto"/>
        </w:rPr>
        <w:t>As of September 30, 2014, the Company’s Level II portfolio investments were valued by a third 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 II portfolio investments was $129,340,667 as of September 30, 2014.</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2014, the Company’s Level III portfolio investments had the following valuation techniques and significant inputs: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220" w:type="dxa"/>
            <w:vAlign w:val="bottom"/>
            <w:tcBorders>
              <w:top w:val="single" w:sz="8" w:color="auto"/>
              <w:left w:val="single" w:sz="8" w:color="auto"/>
              <w:right w:val="single" w:sz="8" w:color="auto"/>
            </w:tcBorders>
            <w:vMerge w:val="restart"/>
            <w:shd w:val="clear" w:color="auto" w:fill="DAEEF3"/>
          </w:tcPr>
          <w:p>
            <w:pPr>
              <w:jc w:val="center"/>
              <w:spacing w:after="0"/>
              <w:rPr>
                <w:sz w:val="20"/>
                <w:szCs w:val="20"/>
                <w:color w:val="auto"/>
              </w:rPr>
            </w:pPr>
            <w:r>
              <w:rPr>
                <w:rFonts w:ascii="Arial" w:cs="Arial" w:eastAsia="Arial" w:hAnsi="Arial"/>
                <w:sz w:val="18"/>
                <w:szCs w:val="18"/>
                <w:b w:val="1"/>
                <w:bCs w:val="1"/>
                <w:color w:val="auto"/>
                <w:w w:val="90"/>
              </w:rPr>
              <w:t>Type</w:t>
            </w:r>
          </w:p>
        </w:tc>
        <w:tc>
          <w:tcPr>
            <w:tcW w:w="260" w:type="dxa"/>
            <w:vAlign w:val="bottom"/>
            <w:tcBorders>
              <w:top w:val="single" w:sz="8" w:color="auto"/>
            </w:tcBorders>
            <w:shd w:val="clear" w:color="auto" w:fill="DAEEF3"/>
          </w:tcPr>
          <w:p>
            <w:pPr>
              <w:spacing w:after="0"/>
              <w:rPr>
                <w:sz w:val="18"/>
                <w:szCs w:val="18"/>
                <w:color w:val="auto"/>
              </w:rPr>
            </w:pPr>
          </w:p>
        </w:tc>
        <w:tc>
          <w:tcPr>
            <w:tcW w:w="1240" w:type="dxa"/>
            <w:vAlign w:val="bottom"/>
            <w:tcBorders>
              <w:top w:val="single" w:sz="8" w:color="auto"/>
              <w:right w:val="single" w:sz="8" w:color="auto"/>
            </w:tcBorders>
            <w:vMerge w:val="restart"/>
            <w:shd w:val="clear" w:color="auto" w:fill="DAEEF3"/>
          </w:tcPr>
          <w:p>
            <w:pPr>
              <w:jc w:val="right"/>
              <w:ind w:right="270"/>
              <w:spacing w:after="0"/>
              <w:rPr>
                <w:sz w:val="20"/>
                <w:szCs w:val="20"/>
                <w:color w:val="auto"/>
              </w:rPr>
            </w:pPr>
            <w:r>
              <w:rPr>
                <w:rFonts w:ascii="Arial" w:cs="Arial" w:eastAsia="Arial" w:hAnsi="Arial"/>
                <w:sz w:val="18"/>
                <w:szCs w:val="18"/>
                <w:b w:val="1"/>
                <w:bCs w:val="1"/>
                <w:color w:val="auto"/>
                <w:w w:val="99"/>
              </w:rPr>
              <w:t>Fair Value</w:t>
            </w:r>
          </w:p>
        </w:tc>
        <w:tc>
          <w:tcPr>
            <w:tcW w:w="2300" w:type="dxa"/>
            <w:vAlign w:val="bottom"/>
            <w:tcBorders>
              <w:top w:val="single" w:sz="8" w:color="auto"/>
              <w:right w:val="single" w:sz="8" w:color="auto"/>
            </w:tcBorders>
            <w:shd w:val="clear" w:color="auto" w:fill="DAEEF3"/>
          </w:tcPr>
          <w:p>
            <w:pPr>
              <w:ind w:left="420"/>
              <w:spacing w:after="0"/>
              <w:rPr>
                <w:sz w:val="20"/>
                <w:szCs w:val="20"/>
                <w:color w:val="auto"/>
              </w:rPr>
            </w:pPr>
            <w:r>
              <w:rPr>
                <w:rFonts w:ascii="Arial" w:cs="Arial" w:eastAsia="Arial" w:hAnsi="Arial"/>
                <w:sz w:val="18"/>
                <w:szCs w:val="18"/>
                <w:b w:val="1"/>
                <w:bCs w:val="1"/>
                <w:color w:val="auto"/>
              </w:rPr>
              <w:t>Primary Valuation</w:t>
            </w:r>
          </w:p>
        </w:tc>
        <w:tc>
          <w:tcPr>
            <w:tcW w:w="1820" w:type="dxa"/>
            <w:vAlign w:val="bottom"/>
            <w:tcBorders>
              <w:top w:val="single" w:sz="8" w:color="auto"/>
              <w:right w:val="single" w:sz="8" w:color="auto"/>
            </w:tcBorders>
            <w:shd w:val="clear" w:color="auto" w:fill="DAEEF3"/>
          </w:tcPr>
          <w:p>
            <w:pPr>
              <w:ind w:left="360"/>
              <w:spacing w:after="0"/>
              <w:rPr>
                <w:sz w:val="20"/>
                <w:szCs w:val="20"/>
                <w:color w:val="auto"/>
              </w:rPr>
            </w:pPr>
            <w:r>
              <w:rPr>
                <w:rFonts w:ascii="Arial" w:cs="Arial" w:eastAsia="Arial" w:hAnsi="Arial"/>
                <w:sz w:val="18"/>
                <w:szCs w:val="18"/>
                <w:b w:val="1"/>
                <w:bCs w:val="1"/>
                <w:color w:val="auto"/>
              </w:rPr>
              <w:t>Unobservable</w:t>
            </w:r>
          </w:p>
        </w:tc>
        <w:tc>
          <w:tcPr>
            <w:tcW w:w="2500" w:type="dxa"/>
            <w:vAlign w:val="bottom"/>
            <w:tcBorders>
              <w:top w:val="single" w:sz="8" w:color="auto"/>
              <w:right w:val="single" w:sz="8" w:color="auto"/>
            </w:tcBorders>
            <w:shd w:val="clear" w:color="auto" w:fill="DAEEF3"/>
          </w:tcPr>
          <w:p>
            <w:pPr>
              <w:ind w:left="620"/>
              <w:spacing w:after="0"/>
              <w:rPr>
                <w:sz w:val="20"/>
                <w:szCs w:val="20"/>
                <w:color w:val="auto"/>
              </w:rPr>
            </w:pPr>
            <w:r>
              <w:rPr>
                <w:rFonts w:ascii="Arial" w:cs="Arial" w:eastAsia="Arial" w:hAnsi="Arial"/>
                <w:sz w:val="18"/>
                <w:szCs w:val="18"/>
                <w:b w:val="1"/>
                <w:bCs w:val="1"/>
                <w:color w:val="auto"/>
              </w:rPr>
              <w:t>Range of Inputs</w:t>
            </w:r>
          </w:p>
        </w:tc>
        <w:tc>
          <w:tcPr>
            <w:tcW w:w="0" w:type="dxa"/>
            <w:vAlign w:val="bottom"/>
          </w:tcPr>
          <w:p>
            <w:pPr>
              <w:spacing w:after="0"/>
              <w:rPr>
                <w:sz w:val="1"/>
                <w:szCs w:val="1"/>
                <w:color w:val="auto"/>
              </w:rPr>
            </w:pPr>
          </w:p>
        </w:tc>
      </w:tr>
      <w:tr>
        <w:trPr>
          <w:trHeight w:val="126"/>
        </w:trPr>
        <w:tc>
          <w:tcPr>
            <w:tcW w:w="3220" w:type="dxa"/>
            <w:vAlign w:val="bottom"/>
            <w:tcBorders>
              <w:left w:val="single" w:sz="8" w:color="auto"/>
              <w:right w:val="single" w:sz="8" w:color="auto"/>
            </w:tcBorders>
            <w:vMerge w:val="continue"/>
            <w:shd w:val="clear" w:color="auto" w:fill="DAEEF3"/>
          </w:tcPr>
          <w:p>
            <w:pPr>
              <w:spacing w:after="0"/>
              <w:rPr>
                <w:sz w:val="10"/>
                <w:szCs w:val="10"/>
                <w:color w:val="auto"/>
              </w:rPr>
            </w:pPr>
          </w:p>
        </w:tc>
        <w:tc>
          <w:tcPr>
            <w:tcW w:w="260" w:type="dxa"/>
            <w:vAlign w:val="bottom"/>
            <w:shd w:val="clear" w:color="auto" w:fill="DAEEF3"/>
          </w:tcPr>
          <w:p>
            <w:pPr>
              <w:spacing w:after="0"/>
              <w:rPr>
                <w:sz w:val="10"/>
                <w:szCs w:val="10"/>
                <w:color w:val="auto"/>
              </w:rPr>
            </w:pPr>
          </w:p>
        </w:tc>
        <w:tc>
          <w:tcPr>
            <w:tcW w:w="1240" w:type="dxa"/>
            <w:vAlign w:val="bottom"/>
            <w:tcBorders>
              <w:right w:val="single" w:sz="8" w:color="auto"/>
            </w:tcBorders>
            <w:vMerge w:val="continue"/>
            <w:shd w:val="clear" w:color="auto" w:fill="DAEEF3"/>
          </w:tcPr>
          <w:p>
            <w:pPr>
              <w:spacing w:after="0"/>
              <w:rPr>
                <w:sz w:val="10"/>
                <w:szCs w:val="10"/>
                <w:color w:val="auto"/>
              </w:rPr>
            </w:pPr>
          </w:p>
        </w:tc>
        <w:tc>
          <w:tcPr>
            <w:tcW w:w="2300" w:type="dxa"/>
            <w:vAlign w:val="bottom"/>
            <w:tcBorders>
              <w:right w:val="single" w:sz="8" w:color="auto"/>
            </w:tcBorders>
            <w:vMerge w:val="restart"/>
            <w:shd w:val="clear" w:color="auto" w:fill="DAEEF3"/>
          </w:tcPr>
          <w:p>
            <w:pPr>
              <w:ind w:left="640"/>
              <w:spacing w:after="0"/>
              <w:rPr>
                <w:sz w:val="20"/>
                <w:szCs w:val="20"/>
                <w:color w:val="auto"/>
              </w:rPr>
            </w:pPr>
            <w:r>
              <w:rPr>
                <w:rFonts w:ascii="Arial" w:cs="Arial" w:eastAsia="Arial" w:hAnsi="Arial"/>
                <w:sz w:val="18"/>
                <w:szCs w:val="18"/>
                <w:b w:val="1"/>
                <w:bCs w:val="1"/>
                <w:color w:val="auto"/>
              </w:rPr>
              <w:t>Methodology</w:t>
            </w:r>
          </w:p>
        </w:tc>
        <w:tc>
          <w:tcPr>
            <w:tcW w:w="1820" w:type="dxa"/>
            <w:vAlign w:val="bottom"/>
            <w:tcBorders>
              <w:right w:val="single" w:sz="8" w:color="auto"/>
            </w:tcBorders>
            <w:vMerge w:val="restart"/>
            <w:shd w:val="clear" w:color="auto" w:fill="DAEEF3"/>
          </w:tcPr>
          <w:p>
            <w:pPr>
              <w:ind w:left="640"/>
              <w:spacing w:after="0"/>
              <w:rPr>
                <w:sz w:val="20"/>
                <w:szCs w:val="20"/>
                <w:color w:val="auto"/>
              </w:rPr>
            </w:pPr>
            <w:r>
              <w:rPr>
                <w:rFonts w:ascii="Arial" w:cs="Arial" w:eastAsia="Arial" w:hAnsi="Arial"/>
                <w:sz w:val="18"/>
                <w:szCs w:val="18"/>
                <w:b w:val="1"/>
                <w:bCs w:val="1"/>
                <w:color w:val="auto"/>
              </w:rPr>
              <w:t>Inputs</w:t>
            </w:r>
          </w:p>
        </w:tc>
        <w:tc>
          <w:tcPr>
            <w:tcW w:w="2500" w:type="dxa"/>
            <w:vAlign w:val="bottom"/>
            <w:tcBorders>
              <w:right w:val="single" w:sz="8" w:color="auto"/>
            </w:tcBorders>
            <w:vMerge w:val="restart"/>
            <w:shd w:val="clear" w:color="auto" w:fill="DAEEF3"/>
          </w:tcPr>
          <w:p>
            <w:pPr>
              <w:ind w:left="46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108"/>
        </w:trPr>
        <w:tc>
          <w:tcPr>
            <w:tcW w:w="3220" w:type="dxa"/>
            <w:vAlign w:val="bottom"/>
            <w:tcBorders>
              <w:left w:val="single" w:sz="8" w:color="auto"/>
              <w:bottom w:val="single" w:sz="8" w:color="auto"/>
              <w:right w:val="single" w:sz="8" w:color="auto"/>
            </w:tcBorders>
            <w:shd w:val="clear" w:color="auto" w:fill="DAEEF3"/>
          </w:tcPr>
          <w:p>
            <w:pPr>
              <w:spacing w:after="0"/>
              <w:rPr>
                <w:sz w:val="9"/>
                <w:szCs w:val="9"/>
                <w:color w:val="auto"/>
              </w:rPr>
            </w:pPr>
          </w:p>
        </w:tc>
        <w:tc>
          <w:tcPr>
            <w:tcW w:w="260" w:type="dxa"/>
            <w:vAlign w:val="bottom"/>
            <w:tcBorders>
              <w:bottom w:val="single" w:sz="8" w:color="auto"/>
            </w:tcBorders>
            <w:shd w:val="clear" w:color="auto" w:fill="DAEEF3"/>
          </w:tcPr>
          <w:p>
            <w:pPr>
              <w:spacing w:after="0"/>
              <w:rPr>
                <w:sz w:val="9"/>
                <w:szCs w:val="9"/>
                <w:color w:val="auto"/>
              </w:rPr>
            </w:pPr>
          </w:p>
        </w:tc>
        <w:tc>
          <w:tcPr>
            <w:tcW w:w="1240" w:type="dxa"/>
            <w:vAlign w:val="bottom"/>
            <w:tcBorders>
              <w:bottom w:val="single" w:sz="8" w:color="auto"/>
              <w:right w:val="single" w:sz="8" w:color="auto"/>
            </w:tcBorders>
            <w:shd w:val="clear" w:color="auto" w:fill="DAEEF3"/>
          </w:tcPr>
          <w:p>
            <w:pPr>
              <w:spacing w:after="0"/>
              <w:rPr>
                <w:sz w:val="9"/>
                <w:szCs w:val="9"/>
                <w:color w:val="auto"/>
              </w:rPr>
            </w:pPr>
          </w:p>
        </w:tc>
        <w:tc>
          <w:tcPr>
            <w:tcW w:w="2300" w:type="dxa"/>
            <w:vAlign w:val="bottom"/>
            <w:tcBorders>
              <w:bottom w:val="single" w:sz="8" w:color="auto"/>
              <w:right w:val="single" w:sz="8" w:color="auto"/>
            </w:tcBorders>
            <w:vMerge w:val="continue"/>
            <w:shd w:val="clear" w:color="auto" w:fill="DAEEF3"/>
          </w:tcPr>
          <w:p>
            <w:pPr>
              <w:spacing w:after="0"/>
              <w:rPr>
                <w:sz w:val="9"/>
                <w:szCs w:val="9"/>
                <w:color w:val="auto"/>
              </w:rPr>
            </w:pPr>
          </w:p>
        </w:tc>
        <w:tc>
          <w:tcPr>
            <w:tcW w:w="1820" w:type="dxa"/>
            <w:vAlign w:val="bottom"/>
            <w:tcBorders>
              <w:bottom w:val="single" w:sz="8" w:color="auto"/>
              <w:right w:val="single" w:sz="8" w:color="auto"/>
            </w:tcBorders>
            <w:vMerge w:val="continue"/>
            <w:shd w:val="clear" w:color="auto" w:fill="DAEEF3"/>
          </w:tcPr>
          <w:p>
            <w:pPr>
              <w:spacing w:after="0"/>
              <w:rPr>
                <w:sz w:val="9"/>
                <w:szCs w:val="9"/>
                <w:color w:val="auto"/>
              </w:rPr>
            </w:pPr>
          </w:p>
        </w:tc>
        <w:tc>
          <w:tcPr>
            <w:tcW w:w="2500" w:type="dxa"/>
            <w:vAlign w:val="bottom"/>
            <w:tcBorders>
              <w:bottom w:val="single" w:sz="8" w:color="auto"/>
              <w:right w:val="single" w:sz="8" w:color="auto"/>
            </w:tcBorders>
            <w:vMerge w:val="continue"/>
            <w:shd w:val="clear" w:color="auto" w:fill="DAEEF3"/>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220" w:type="dxa"/>
            <w:vAlign w:val="bottom"/>
            <w:tcBorders>
              <w:left w:val="single" w:sz="8" w:color="auto"/>
              <w:right w:val="single" w:sz="8" w:color="auto"/>
            </w:tcBorders>
          </w:tcPr>
          <w:p>
            <w:pPr>
              <w:spacing w:after="0"/>
              <w:rPr>
                <w:sz w:val="16"/>
                <w:szCs w:val="16"/>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2,553,900</w:t>
            </w:r>
          </w:p>
        </w:tc>
        <w:tc>
          <w:tcPr>
            <w:tcW w:w="2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Enterprise Value</w:t>
            </w:r>
          </w:p>
        </w:tc>
        <w:tc>
          <w:tcPr>
            <w:tcW w:w="18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Average EBITDA</w:t>
            </w:r>
          </w:p>
        </w:tc>
        <w:tc>
          <w:tcPr>
            <w:tcW w:w="2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8.5x/6.2%</w:t>
            </w:r>
          </w:p>
        </w:tc>
        <w:tc>
          <w:tcPr>
            <w:tcW w:w="0" w:type="dxa"/>
            <w:vAlign w:val="bottom"/>
          </w:tcPr>
          <w:p>
            <w:pPr>
              <w:spacing w:after="0"/>
              <w:rPr>
                <w:sz w:val="1"/>
                <w:szCs w:val="1"/>
                <w:color w:val="auto"/>
              </w:rPr>
            </w:pPr>
          </w:p>
        </w:tc>
      </w:tr>
      <w:tr>
        <w:trPr>
          <w:trHeight w:val="122"/>
        </w:trPr>
        <w:tc>
          <w:tcPr>
            <w:tcW w:w="3220" w:type="dxa"/>
            <w:vAlign w:val="bottom"/>
            <w:tcBorders>
              <w:left w:val="single" w:sz="8" w:color="auto"/>
              <w:right w:val="single" w:sz="8" w:color="auto"/>
            </w:tcBorders>
          </w:tcPr>
          <w:p>
            <w:pPr>
              <w:spacing w:after="0"/>
              <w:rPr>
                <w:sz w:val="10"/>
                <w:szCs w:val="10"/>
                <w:color w:val="auto"/>
              </w:rPr>
            </w:pPr>
          </w:p>
        </w:tc>
        <w:tc>
          <w:tcPr>
            <w:tcW w:w="260" w:type="dxa"/>
            <w:vAlign w:val="bottom"/>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230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Multiple/WAAC</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20" w:type="dxa"/>
            <w:vAlign w:val="bottom"/>
            <w:tcBorders>
              <w:left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230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808080"/>
              <w:right w:val="single" w:sz="8" w:color="auto"/>
            </w:tcBorders>
            <w:vMerge w:val="continue"/>
          </w:tcPr>
          <w:p>
            <w:pPr>
              <w:spacing w:after="0"/>
              <w:rPr>
                <w:sz w:val="9"/>
                <w:szCs w:val="9"/>
                <w:color w:val="auto"/>
              </w:rPr>
            </w:pPr>
          </w:p>
        </w:tc>
        <w:tc>
          <w:tcPr>
            <w:tcW w:w="2500" w:type="dxa"/>
            <w:vAlign w:val="bottom"/>
            <w:tcBorders>
              <w:bottom w:val="single" w:sz="8" w:color="808080"/>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2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8"/>
              </w:rPr>
              <w:t>Debt Securities</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134,425,264</w:t>
            </w:r>
          </w:p>
        </w:tc>
        <w:tc>
          <w:tcPr>
            <w:tcW w:w="2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Income Approach</w:t>
            </w:r>
          </w:p>
        </w:tc>
        <w:tc>
          <w:tcPr>
            <w:tcW w:w="18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Implied Discount</w:t>
            </w:r>
          </w:p>
        </w:tc>
        <w:tc>
          <w:tcPr>
            <w:tcW w:w="2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4.1% - 13.2% (8.5%)</w:t>
            </w:r>
          </w:p>
        </w:tc>
        <w:tc>
          <w:tcPr>
            <w:tcW w:w="0" w:type="dxa"/>
            <w:vAlign w:val="bottom"/>
          </w:tcPr>
          <w:p>
            <w:pPr>
              <w:spacing w:after="0"/>
              <w:rPr>
                <w:sz w:val="1"/>
                <w:szCs w:val="1"/>
                <w:color w:val="auto"/>
              </w:rPr>
            </w:pPr>
          </w:p>
        </w:tc>
      </w:tr>
      <w:tr>
        <w:trPr>
          <w:trHeight w:val="122"/>
        </w:trPr>
        <w:tc>
          <w:tcPr>
            <w:tcW w:w="3220" w:type="dxa"/>
            <w:vAlign w:val="bottom"/>
            <w:tcBorders>
              <w:left w:val="single" w:sz="8" w:color="auto"/>
              <w:right w:val="single" w:sz="8" w:color="auto"/>
            </w:tcBorders>
          </w:tcPr>
          <w:p>
            <w:pPr>
              <w:spacing w:after="0"/>
              <w:rPr>
                <w:sz w:val="10"/>
                <w:szCs w:val="10"/>
                <w:color w:val="auto"/>
              </w:rPr>
            </w:pPr>
          </w:p>
        </w:tc>
        <w:tc>
          <w:tcPr>
            <w:tcW w:w="260" w:type="dxa"/>
            <w:vAlign w:val="bottom"/>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230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Rate</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20" w:type="dxa"/>
            <w:vAlign w:val="bottom"/>
            <w:tcBorders>
              <w:left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230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vMerge w:val="continue"/>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220" w:type="dxa"/>
            <w:vAlign w:val="bottom"/>
            <w:tcBorders>
              <w:left w:val="single" w:sz="8" w:color="auto"/>
              <w:bottom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Options Value</w:t>
            </w:r>
          </w:p>
        </w:tc>
        <w:tc>
          <w:tcPr>
            <w:tcW w:w="1820" w:type="dxa"/>
            <w:vAlign w:val="bottom"/>
            <w:tcBorders>
              <w:bottom w:val="single" w:sz="8" w:color="auto"/>
              <w:right w:val="single" w:sz="8" w:color="auto"/>
            </w:tcBorders>
          </w:tcPr>
          <w:p>
            <w:pPr>
              <w:ind w:left="80"/>
              <w:spacing w:after="0" w:line="251" w:lineRule="exact"/>
              <w:rPr>
                <w:sz w:val="20"/>
                <w:szCs w:val="20"/>
                <w:color w:val="auto"/>
              </w:rPr>
            </w:pPr>
            <w:r>
              <w:rPr>
                <w:rFonts w:ascii="Arial" w:cs="Arial" w:eastAsia="Arial" w:hAnsi="Arial"/>
                <w:sz w:val="18"/>
                <w:szCs w:val="18"/>
                <w:color w:val="auto"/>
              </w:rPr>
              <w:t>Qualitative Inputs</w:t>
            </w:r>
            <w:r>
              <w:rPr>
                <w:rFonts w:ascii="Arial" w:cs="Arial" w:eastAsia="Arial" w:hAnsi="Arial"/>
                <w:sz w:val="29"/>
                <w:szCs w:val="29"/>
                <w:color w:val="auto"/>
                <w:vertAlign w:val="superscript"/>
              </w:rPr>
              <w:t>1</w:t>
            </w:r>
          </w:p>
        </w:tc>
        <w:tc>
          <w:tcPr>
            <w:tcW w:w="25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3220" w:type="dxa"/>
            <w:vAlign w:val="bottom"/>
            <w:tcBorders>
              <w:left w:val="single" w:sz="8" w:color="auto"/>
              <w:right w:val="single" w:sz="8" w:color="auto"/>
            </w:tcBorders>
          </w:tcPr>
          <w:p>
            <w:pPr>
              <w:spacing w:after="0"/>
              <w:rPr>
                <w:sz w:val="16"/>
                <w:szCs w:val="16"/>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9,970,962</w:t>
            </w:r>
          </w:p>
        </w:tc>
        <w:tc>
          <w:tcPr>
            <w:tcW w:w="2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Enterprise Value</w:t>
            </w:r>
          </w:p>
        </w:tc>
        <w:tc>
          <w:tcPr>
            <w:tcW w:w="18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Average EBITDA</w:t>
            </w:r>
          </w:p>
        </w:tc>
        <w:tc>
          <w:tcPr>
            <w:tcW w:w="25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4.0x/10.9% - 11.7x/14.3%</w:t>
            </w:r>
          </w:p>
        </w:tc>
        <w:tc>
          <w:tcPr>
            <w:tcW w:w="0" w:type="dxa"/>
            <w:vAlign w:val="bottom"/>
          </w:tcPr>
          <w:p>
            <w:pPr>
              <w:spacing w:after="0"/>
              <w:rPr>
                <w:sz w:val="1"/>
                <w:szCs w:val="1"/>
                <w:color w:val="auto"/>
              </w:rPr>
            </w:pPr>
          </w:p>
        </w:tc>
      </w:tr>
      <w:tr>
        <w:trPr>
          <w:trHeight w:val="122"/>
        </w:trPr>
        <w:tc>
          <w:tcPr>
            <w:tcW w:w="3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Equity Securities</w:t>
            </w:r>
          </w:p>
        </w:tc>
        <w:tc>
          <w:tcPr>
            <w:tcW w:w="260" w:type="dxa"/>
            <w:vAlign w:val="bottom"/>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230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Multiple/WAAC</w:t>
            </w:r>
          </w:p>
        </w:tc>
        <w:tc>
          <w:tcPr>
            <w:tcW w:w="2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(8.1x/13.2%)</w:t>
            </w:r>
          </w:p>
        </w:tc>
        <w:tc>
          <w:tcPr>
            <w:tcW w:w="0" w:type="dxa"/>
            <w:vAlign w:val="bottom"/>
          </w:tcPr>
          <w:p>
            <w:pPr>
              <w:spacing w:after="0"/>
              <w:rPr>
                <w:sz w:val="1"/>
                <w:szCs w:val="1"/>
                <w:color w:val="auto"/>
              </w:rPr>
            </w:pPr>
          </w:p>
        </w:tc>
      </w:tr>
      <w:tr>
        <w:trPr>
          <w:trHeight w:val="108"/>
        </w:trPr>
        <w:tc>
          <w:tcPr>
            <w:tcW w:w="3220" w:type="dxa"/>
            <w:vAlign w:val="bottom"/>
            <w:tcBorders>
              <w:left w:val="single" w:sz="8" w:color="auto"/>
              <w:right w:val="single" w:sz="8" w:color="auto"/>
            </w:tcBorders>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230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vMerge w:val="continue"/>
          </w:tcPr>
          <w:p>
            <w:pPr>
              <w:spacing w:after="0"/>
              <w:rPr>
                <w:sz w:val="9"/>
                <w:szCs w:val="9"/>
                <w:color w:val="auto"/>
              </w:rPr>
            </w:pPr>
          </w:p>
        </w:tc>
        <w:tc>
          <w:tcPr>
            <w:tcW w:w="25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220" w:type="dxa"/>
            <w:vAlign w:val="bottom"/>
            <w:tcBorders>
              <w:left w:val="single" w:sz="8" w:color="auto"/>
              <w:bottom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Options Value</w:t>
            </w:r>
          </w:p>
        </w:tc>
        <w:tc>
          <w:tcPr>
            <w:tcW w:w="182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1</w:t>
            </w:r>
          </w:p>
        </w:tc>
        <w:tc>
          <w:tcPr>
            <w:tcW w:w="25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220" w:type="dxa"/>
            <w:vAlign w:val="bottom"/>
            <w:tcBorders>
              <w:left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Discount Rate</w:t>
            </w:r>
          </w:p>
        </w:tc>
        <w:tc>
          <w:tcPr>
            <w:tcW w:w="2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 - 11% (10.5%)</w:t>
            </w:r>
          </w:p>
        </w:tc>
        <w:tc>
          <w:tcPr>
            <w:tcW w:w="0" w:type="dxa"/>
            <w:vAlign w:val="bottom"/>
          </w:tcPr>
          <w:p>
            <w:pPr>
              <w:spacing w:after="0"/>
              <w:rPr>
                <w:sz w:val="1"/>
                <w:szCs w:val="1"/>
                <w:color w:val="auto"/>
              </w:rPr>
            </w:pPr>
          </w:p>
        </w:tc>
      </w:tr>
      <w:tr>
        <w:trPr>
          <w:trHeight w:val="210"/>
        </w:trPr>
        <w:tc>
          <w:tcPr>
            <w:tcW w:w="3220" w:type="dxa"/>
            <w:vAlign w:val="bottom"/>
            <w:tcBorders>
              <w:left w:val="single" w:sz="8" w:color="auto"/>
              <w:right w:val="single" w:sz="8" w:color="auto"/>
            </w:tcBorders>
          </w:tcPr>
          <w:p>
            <w:pPr>
              <w:spacing w:after="0"/>
              <w:rPr>
                <w:sz w:val="18"/>
                <w:szCs w:val="18"/>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67,874,892</w:t>
            </w:r>
          </w:p>
        </w:tc>
        <w:tc>
          <w:tcPr>
            <w:tcW w:w="2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Discounted Cash Flow</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Probability of Default</w:t>
            </w:r>
          </w:p>
        </w:tc>
        <w:tc>
          <w:tcPr>
            <w:tcW w:w="2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2.0%-2.5% (2.4%)</w:t>
            </w:r>
          </w:p>
        </w:tc>
        <w:tc>
          <w:tcPr>
            <w:tcW w:w="0" w:type="dxa"/>
            <w:vAlign w:val="bottom"/>
          </w:tcPr>
          <w:p>
            <w:pPr>
              <w:spacing w:after="0"/>
              <w:rPr>
                <w:sz w:val="1"/>
                <w:szCs w:val="1"/>
                <w:color w:val="auto"/>
              </w:rPr>
            </w:pPr>
          </w:p>
        </w:tc>
      </w:tr>
      <w:tr>
        <w:trPr>
          <w:trHeight w:val="210"/>
        </w:trPr>
        <w:tc>
          <w:tcPr>
            <w:tcW w:w="3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CLO Fund Securities</w:t>
            </w:r>
          </w:p>
        </w:tc>
        <w:tc>
          <w:tcPr>
            <w:tcW w:w="260" w:type="dxa"/>
            <w:vAlign w:val="bottom"/>
            <w:vMerge w:val="continue"/>
          </w:tcPr>
          <w:p>
            <w:pPr>
              <w:spacing w:after="0"/>
              <w:rPr>
                <w:sz w:val="18"/>
                <w:szCs w:val="18"/>
                <w:color w:val="auto"/>
              </w:rPr>
            </w:pPr>
          </w:p>
        </w:tc>
        <w:tc>
          <w:tcPr>
            <w:tcW w:w="1240" w:type="dxa"/>
            <w:vAlign w:val="bottom"/>
            <w:tcBorders>
              <w:right w:val="single" w:sz="8" w:color="auto"/>
            </w:tcBorders>
            <w:vMerge w:val="continue"/>
          </w:tcPr>
          <w:p>
            <w:pPr>
              <w:spacing w:after="0"/>
              <w:rPr>
                <w:sz w:val="18"/>
                <w:szCs w:val="18"/>
                <w:color w:val="auto"/>
              </w:rPr>
            </w:pPr>
          </w:p>
        </w:tc>
        <w:tc>
          <w:tcPr>
            <w:tcW w:w="2300" w:type="dxa"/>
            <w:vAlign w:val="bottom"/>
            <w:tcBorders>
              <w:right w:val="single" w:sz="8" w:color="auto"/>
            </w:tcBorders>
            <w:vMerge w:val="continue"/>
          </w:tcPr>
          <w:p>
            <w:pPr>
              <w:spacing w:after="0"/>
              <w:rPr>
                <w:sz w:val="18"/>
                <w:szCs w:val="18"/>
                <w:color w:val="auto"/>
              </w:rPr>
            </w:pP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Loss Severity</w:t>
            </w:r>
          </w:p>
        </w:tc>
        <w:tc>
          <w:tcPr>
            <w:tcW w:w="2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88"/>
        </w:trPr>
        <w:tc>
          <w:tcPr>
            <w:tcW w:w="3220" w:type="dxa"/>
            <w:vAlign w:val="bottom"/>
            <w:tcBorders>
              <w:left w:val="single" w:sz="8" w:color="auto"/>
              <w:right w:val="single" w:sz="8" w:color="auto"/>
            </w:tcBorders>
            <w:vMerge w:val="continue"/>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2300" w:type="dxa"/>
            <w:vAlign w:val="bottom"/>
            <w:tcBorders>
              <w:right w:val="single" w:sz="8" w:color="auto"/>
            </w:tcBorders>
          </w:tcPr>
          <w:p>
            <w:pPr>
              <w:spacing w:after="0"/>
              <w:rPr>
                <w:sz w:val="7"/>
                <w:szCs w:val="7"/>
                <w:color w:val="auto"/>
              </w:rPr>
            </w:pPr>
          </w:p>
        </w:tc>
        <w:tc>
          <w:tcPr>
            <w:tcW w:w="18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Recovery Rate</w:t>
            </w:r>
          </w:p>
        </w:tc>
        <w:tc>
          <w:tcPr>
            <w:tcW w:w="2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27"/>
        </w:trPr>
        <w:tc>
          <w:tcPr>
            <w:tcW w:w="3220" w:type="dxa"/>
            <w:vAlign w:val="bottom"/>
            <w:tcBorders>
              <w:left w:val="single" w:sz="8" w:color="auto"/>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2300" w:type="dxa"/>
            <w:vAlign w:val="bottom"/>
            <w:tcBorders>
              <w:right w:val="single" w:sz="8" w:color="auto"/>
            </w:tcBorders>
          </w:tcPr>
          <w:p>
            <w:pPr>
              <w:spacing w:after="0"/>
              <w:rPr>
                <w:sz w:val="10"/>
                <w:szCs w:val="10"/>
                <w:color w:val="auto"/>
              </w:rPr>
            </w:pPr>
          </w:p>
        </w:tc>
        <w:tc>
          <w:tcPr>
            <w:tcW w:w="1820" w:type="dxa"/>
            <w:vAlign w:val="bottom"/>
            <w:tcBorders>
              <w:bottom w:val="single" w:sz="8" w:color="auto"/>
              <w:right w:val="single" w:sz="8" w:color="auto"/>
            </w:tcBorders>
            <w:vMerge w:val="continue"/>
          </w:tcPr>
          <w:p>
            <w:pPr>
              <w:spacing w:after="0"/>
              <w:rPr>
                <w:sz w:val="10"/>
                <w:szCs w:val="10"/>
                <w:color w:val="auto"/>
              </w:rPr>
            </w:pPr>
          </w:p>
        </w:tc>
        <w:tc>
          <w:tcPr>
            <w:tcW w:w="2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322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Prepayment Rate</w:t>
            </w:r>
          </w:p>
        </w:tc>
        <w:tc>
          <w:tcPr>
            <w:tcW w:w="2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3220" w:type="dxa"/>
            <w:vAlign w:val="bottom"/>
            <w:tcBorders>
              <w:left w:val="single" w:sz="8" w:color="auto"/>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19,507,361</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Market Approach</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Third Party Quote</w:t>
            </w:r>
          </w:p>
        </w:tc>
        <w:tc>
          <w:tcPr>
            <w:tcW w:w="2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86 - 87 (86.5)</w:t>
            </w:r>
          </w:p>
        </w:tc>
        <w:tc>
          <w:tcPr>
            <w:tcW w:w="0" w:type="dxa"/>
            <w:vAlign w:val="bottom"/>
          </w:tcPr>
          <w:p>
            <w:pPr>
              <w:spacing w:after="0"/>
              <w:rPr>
                <w:sz w:val="1"/>
                <w:szCs w:val="1"/>
                <w:color w:val="auto"/>
              </w:rPr>
            </w:pPr>
          </w:p>
        </w:tc>
      </w:tr>
      <w:tr>
        <w:trPr>
          <w:trHeight w:val="210"/>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Asset Manager Affiliate</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78,737,000</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Discounted Cash Flow</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Discount Rate</w:t>
            </w:r>
          </w:p>
        </w:tc>
        <w:tc>
          <w:tcPr>
            <w:tcW w:w="2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1.85 - 8.13 (6.78)</w:t>
            </w:r>
          </w:p>
        </w:tc>
        <w:tc>
          <w:tcPr>
            <w:tcW w:w="0" w:type="dxa"/>
            <w:vAlign w:val="bottom"/>
          </w:tcPr>
          <w:p>
            <w:pPr>
              <w:spacing w:after="0"/>
              <w:rPr>
                <w:sz w:val="1"/>
                <w:szCs w:val="1"/>
                <w:color w:val="auto"/>
              </w:rPr>
            </w:pPr>
          </w:p>
        </w:tc>
      </w:tr>
      <w:tr>
        <w:trPr>
          <w:trHeight w:val="210"/>
        </w:trPr>
        <w:tc>
          <w:tcPr>
            <w:tcW w:w="3220" w:type="dxa"/>
            <w:vAlign w:val="bottom"/>
          </w:tcPr>
          <w:p>
            <w:pPr>
              <w:ind w:left="1020"/>
              <w:spacing w:after="0"/>
              <w:rPr>
                <w:sz w:val="20"/>
                <w:szCs w:val="20"/>
                <w:color w:val="auto"/>
              </w:rPr>
            </w:pPr>
            <w:r>
              <w:rPr>
                <w:rFonts w:ascii="Arial" w:cs="Arial" w:eastAsia="Arial" w:hAnsi="Arial"/>
                <w:sz w:val="18"/>
                <w:szCs w:val="18"/>
                <w:b w:val="1"/>
                <w:bCs w:val="1"/>
                <w:color w:val="auto"/>
                <w:w w:val="96"/>
              </w:rPr>
              <w:t>Total Level III Investments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313,074,379</w:t>
            </w:r>
          </w:p>
        </w:tc>
        <w:tc>
          <w:tcPr>
            <w:tcW w:w="2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60" w:firstLine="8"/>
        <w:spacing w:after="0" w:line="277" w:lineRule="auto"/>
        <w:tabs>
          <w:tab w:leader="none" w:pos="9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qualitative inputs used in the fair value measurements of the Debt Securities include estimates of the distressed liquidation value of the pledged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w:t>
      </w:r>
    </w:p>
    <w:p>
      <w:pPr>
        <w:spacing w:after="0" w:line="147"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81" w:right="339" w:bottom="1440" w:gutter="0" w:footer="0" w:header="0"/>
        </w:sectPr>
      </w:pPr>
    </w:p>
    <w:bookmarkStart w:id="42" w:name="page43"/>
    <w:bookmarkEnd w:id="42"/>
    <w:p>
      <w:pPr>
        <w:ind w:firstLine="324"/>
        <w:spacing w:after="0" w:line="270" w:lineRule="auto"/>
        <w:rPr>
          <w:sz w:val="20"/>
          <w:szCs w:val="20"/>
          <w:color w:val="auto"/>
        </w:rPr>
      </w:pPr>
      <w:r>
        <w:rPr>
          <w:rFonts w:ascii="Arial" w:cs="Arial" w:eastAsia="Arial" w:hAnsi="Arial"/>
          <w:sz w:val="17"/>
          <w:szCs w:val="17"/>
          <w:color w:val="auto"/>
        </w:rPr>
        <w:t>Significant unobservable inputs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17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significant unobservable input used in the fair value measurement of the Asset Manager Affiliates is the discount rate used to present value prospective cash flows. Prospective revenues are generally based on a fixed percentage of the par value of CLO Fund assets under management and are recurring in nature for the term of the CLO Fund so long as the Asset Manager Affiliates manage the fund. As a result, the fees earned by the Asset Manager Affiliates are generally not subject to market value fluctuations in the underlying collateral. The discounted cash flow model incorporates different levels of discount rates depending on the hierarchy of fees earned (including the likelihood of realization of senior, subordinate and incentive fees) and prospective modeled performance. Significant increases or decreases in such discount rate would result in a significantly lower or higher fair value measurement.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ASSET MANAGER AFFILIATES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Wholly-Owned Asset Managers</w:t>
      </w:r>
    </w:p>
    <w:p>
      <w:pPr>
        <w:spacing w:after="0" w:line="225"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Asset Manager Affiliates are wholly-owned portfolio companies. The Asset Manager Affiliates manage CLO Funds primarily for third party investors that invest in broadly syndicated loans, high yield bonds and other credit instruments issued by corporations. At September 30, 2014 and December 31, 2013, the Asset Manager Affiliates had approximately $3.3 billion and $3.2 billion, respectively, of par value of assets under management, and the Company’s 100% equity interest in the Asset Manager Affiliates had a fair value of approximately $79 million and $76 million, respectively.</w:t>
      </w:r>
    </w:p>
    <w:p>
      <w:pPr>
        <w:spacing w:after="0" w:line="15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As a manager of the CLO Funds, the Asset Manager Affiliates receive contractual and recurring management fees from the CLO Funds for their management and advisory services. The annual fees which the Asset Manager Affiliates receive are generally based on a fixed percentage of assets under management (at par value and not subject to changes in market value), and the Asset Manager Affiliates generate net operating income equal to the amount by which their fee income exceeds their operating expenses, including compensation of their employees. The management fees the Asset Manager Affiliates receive have three components - a senior management fee, a subordinated management fee and an incentive fee. Currently, all CLO Funds managed by the Asset Manager Affiliates are paying both their senior and subordinated management fees on a current basis. Additionally, five managed funds made incentive fee distributions during the quarter ended September 30, 2014.</w:t>
      </w:r>
    </w:p>
    <w:p>
      <w:pPr>
        <w:spacing w:after="0" w:line="17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Any distributions from the Asset Manager Affiliates are recorded as “Distributions from Asset Manager Affiliates” on the Company’s statement of operations and are recorded as declared (where declaration date represents ex-dividend date) by the Asset Manager Affiliates. For the nine months ended September 30, 2014 and 2013, the Asset Manager Affiliates declared distributions of $9.1 million and $9.6 million, respectively. Distributions receivable, if any, are reflected in the Due from Affiliates account on the consolidated balance sheet.</w:t>
      </w:r>
    </w:p>
    <w:p>
      <w:pPr>
        <w:spacing w:after="0" w:line="187"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The Asset Manager Affiliates’ fair value is determined quarterly. The valuation is primarily determined utilizing a discounted cash flow model. See Note 2, “Significant Accounting Policies” and Note 4, “Investments” for further information relating to the Company’s valuation methodology.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43" w:name="page44"/>
    <w:bookmarkEnd w:id="43"/>
    <w:p>
      <w:pPr>
        <w:ind w:right="20" w:firstLine="324"/>
        <w:spacing w:after="0" w:line="253" w:lineRule="auto"/>
        <w:rPr>
          <w:sz w:val="20"/>
          <w:szCs w:val="20"/>
          <w:color w:val="auto"/>
        </w:rPr>
      </w:pPr>
      <w:r>
        <w:rPr>
          <w:rFonts w:ascii="Arial" w:cs="Arial" w:eastAsia="Arial" w:hAnsi="Arial"/>
          <w:sz w:val="18"/>
          <w:szCs w:val="18"/>
          <w:color w:val="auto"/>
        </w:rPr>
        <w:t>The Asset Manager Affiliates are subject to Accounting Standards Codification Topic 810, “Consolidation” and although the Company cannot consolidate the financial statements of portfolio company investments, this guidance impacts the required disclosures relating to the Asset Manager Affiliates, as it requires the Asset Manager Affiliates to consolidate the financial statements of managed CLO Funds. As a result of the consolidation of the financial statements of the CLOs into the financial statements of the Asset Manager Affiliates, the Asset Manager Affiliates qualify as a “significant subsidiary” under Rules 3-09 and 1-02 of Regulation S-X promulgated by the SEC and, as a result, the Company is required to include additional financial information regarding the Asset Manager Affiliates in its filings with the SEC. In addition, in accordance with Rules 3-09, Rule 4-08(g) and 1-02 of Regulation S-X, additional financial information with respect to two of the CLO Funds in which the Company has an investment, Katonah 2007-I CLO Ltd. (“Katonah 2007-I CLO”) and Katonah X CLO Ltd. (“Katonah X CLO”), are required to be included in the Company’s SEC filings. The additional financial information regarding the Asset Manager Affiliates, Katonah 2007-I CLO (pursuant to Rule 3-09) and Katonah X CLO (pursuant to Rule 4-08(g)) is set forth in Note 5 to these consolidated financial statements. This additional financial information does not directly impact the financial position or results of operations of the Company.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Balance Sheet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As of</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As of</w:t>
            </w:r>
          </w:p>
        </w:tc>
      </w:tr>
      <w:tr>
        <w:trPr>
          <w:trHeight w:val="216"/>
        </w:trPr>
        <w:tc>
          <w:tcPr>
            <w:tcW w:w="4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920" w:type="dxa"/>
            <w:vAlign w:val="bottom"/>
          </w:tcPr>
          <w:p>
            <w:pPr>
              <w:spacing w:after="0"/>
              <w:rPr>
                <w:sz w:val="20"/>
                <w:szCs w:val="20"/>
                <w:color w:val="auto"/>
              </w:rPr>
            </w:pPr>
          </w:p>
        </w:tc>
        <w:tc>
          <w:tcPr>
            <w:tcW w:w="2260" w:type="dxa"/>
            <w:vAlign w:val="bottom"/>
            <w:gridSpan w:val="2"/>
          </w:tcPr>
          <w:p>
            <w:pPr>
              <w:jc w:val="center"/>
              <w:ind w:left="1050"/>
              <w:spacing w:after="0"/>
              <w:rPr>
                <w:sz w:val="20"/>
                <w:szCs w:val="20"/>
                <w:color w:val="auto"/>
              </w:rPr>
            </w:pPr>
            <w:r>
              <w:rPr>
                <w:rFonts w:ascii="Arial" w:cs="Arial" w:eastAsia="Arial" w:hAnsi="Arial"/>
                <w:sz w:val="18"/>
                <w:szCs w:val="18"/>
                <w:b w:val="1"/>
                <w:bCs w:val="1"/>
                <w:color w:val="auto"/>
                <w:w w:val="89"/>
              </w:rPr>
              <w:t>2014</w:t>
            </w:r>
          </w:p>
        </w:tc>
        <w:tc>
          <w:tcPr>
            <w:tcW w:w="1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80" w:type="dxa"/>
            <w:vAlign w:val="bottom"/>
          </w:tcPr>
          <w:p>
            <w:pPr>
              <w:spacing w:after="0"/>
              <w:rPr>
                <w:sz w:val="20"/>
                <w:szCs w:val="20"/>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of CLO Funds, at fair value</w:t>
            </w:r>
          </w:p>
        </w:tc>
        <w:tc>
          <w:tcPr>
            <w:tcW w:w="1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$3,091,154,402</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$2,964,229,086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Restricted cash of CLO Funds</w:t>
            </w:r>
          </w:p>
        </w:tc>
        <w:tc>
          <w:tcPr>
            <w:tcW w:w="2420" w:type="dxa"/>
            <w:vAlign w:val="bottom"/>
            <w:gridSpan w:val="3"/>
          </w:tcPr>
          <w:p>
            <w:pPr>
              <w:jc w:val="right"/>
              <w:ind w:right="160"/>
              <w:spacing w:after="0"/>
              <w:rPr>
                <w:sz w:val="20"/>
                <w:szCs w:val="20"/>
                <w:color w:val="auto"/>
              </w:rPr>
            </w:pPr>
            <w:r>
              <w:rPr>
                <w:rFonts w:ascii="Arial" w:cs="Arial" w:eastAsia="Arial" w:hAnsi="Arial"/>
                <w:sz w:val="18"/>
                <w:szCs w:val="18"/>
                <w:color w:val="auto"/>
              </w:rPr>
              <w:t>258,776,686</w:t>
            </w:r>
          </w:p>
        </w:tc>
        <w:tc>
          <w:tcPr>
            <w:tcW w:w="1140" w:type="dxa"/>
            <w:vAlign w:val="bottom"/>
          </w:tcPr>
          <w:p>
            <w:pPr>
              <w:jc w:val="right"/>
              <w:spacing w:after="0"/>
              <w:rPr>
                <w:sz w:val="20"/>
                <w:szCs w:val="20"/>
                <w:color w:val="auto"/>
              </w:rPr>
            </w:pPr>
            <w:r>
              <w:rPr>
                <w:rFonts w:ascii="Arial" w:cs="Arial" w:eastAsia="Arial" w:hAnsi="Arial"/>
                <w:sz w:val="18"/>
                <w:szCs w:val="18"/>
                <w:color w:val="auto"/>
              </w:rPr>
              <w:t>278,813,923</w:t>
            </w:r>
          </w:p>
        </w:tc>
        <w:tc>
          <w:tcPr>
            <w:tcW w:w="8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3,421,162,155</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3,299,810,068</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CLO Fund liabilities at fair value</w:t>
            </w:r>
          </w:p>
        </w:tc>
        <w:tc>
          <w:tcPr>
            <w:tcW w:w="2420" w:type="dxa"/>
            <w:vAlign w:val="bottom"/>
            <w:gridSpan w:val="3"/>
          </w:tcPr>
          <w:p>
            <w:pPr>
              <w:jc w:val="right"/>
              <w:ind w:right="160"/>
              <w:spacing w:after="0"/>
              <w:rPr>
                <w:sz w:val="20"/>
                <w:szCs w:val="20"/>
                <w:color w:val="auto"/>
              </w:rPr>
            </w:pPr>
            <w:r>
              <w:rPr>
                <w:rFonts w:ascii="Arial" w:cs="Arial" w:eastAsia="Arial" w:hAnsi="Arial"/>
                <w:sz w:val="18"/>
                <w:szCs w:val="18"/>
                <w:color w:val="auto"/>
              </w:rPr>
              <w:t>3,223,748,224</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3,079,835,713</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3,369,328,197</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3,176,654,741</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Total Asset Manager Affiliates equity</w:t>
            </w:r>
          </w:p>
        </w:tc>
        <w:tc>
          <w:tcPr>
            <w:tcW w:w="2420" w:type="dxa"/>
            <w:vAlign w:val="bottom"/>
            <w:gridSpan w:val="3"/>
          </w:tcPr>
          <w:p>
            <w:pPr>
              <w:jc w:val="right"/>
              <w:ind w:right="160"/>
              <w:spacing w:after="0"/>
              <w:rPr>
                <w:sz w:val="20"/>
                <w:szCs w:val="20"/>
                <w:color w:val="auto"/>
              </w:rPr>
            </w:pPr>
            <w:r>
              <w:rPr>
                <w:rFonts w:ascii="Arial" w:cs="Arial" w:eastAsia="Arial" w:hAnsi="Arial"/>
                <w:sz w:val="18"/>
                <w:szCs w:val="18"/>
                <w:color w:val="auto"/>
              </w:rPr>
              <w:t>34,240,185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38,855,099</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Appropriated retained earnings of consolidated VIEs</w:t>
            </w:r>
          </w:p>
        </w:tc>
        <w:tc>
          <w:tcPr>
            <w:tcW w:w="2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17,593,773</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84,300,228</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Statements of Operations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0"/>
              </w:rPr>
              <w:t>For the three months ended</w:t>
            </w:r>
          </w:p>
        </w:tc>
        <w:tc>
          <w:tcPr>
            <w:tcW w:w="200" w:type="dxa"/>
            <w:vAlign w:val="bottom"/>
          </w:tcPr>
          <w:p>
            <w:pPr>
              <w:spacing w:after="0"/>
              <w:rPr>
                <w:sz w:val="19"/>
                <w:szCs w:val="19"/>
                <w:color w:val="auto"/>
              </w:rPr>
            </w:pPr>
          </w:p>
        </w:tc>
        <w:tc>
          <w:tcPr>
            <w:tcW w:w="26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3"/>
              </w:rPr>
              <w:t>For the nine months ended</w:t>
            </w:r>
          </w:p>
        </w:tc>
      </w:tr>
      <w:tr>
        <w:trPr>
          <w:trHeight w:val="234"/>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40" w:type="dxa"/>
            <w:vAlign w:val="bottom"/>
            <w:gridSpan w:val="5"/>
          </w:tcPr>
          <w:p>
            <w:pPr>
              <w:jc w:val="right"/>
              <w:ind w:right="106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60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6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 investments of CLO Funds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31,042,540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33,199,077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89,607,622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97,056,892</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Total income</w:t>
            </w: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32,777,736</w:t>
            </w:r>
          </w:p>
        </w:tc>
        <w:tc>
          <w:tcPr>
            <w:tcW w:w="2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35,534,142</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94,460,828</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106,002,617</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of CLO Fund liabilities</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25,477,833</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25,862,607</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74,533,029</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83,083,023</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Total expenses</w:t>
            </w: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37,468,325</w:t>
            </w:r>
          </w:p>
        </w:tc>
        <w:tc>
          <w:tcPr>
            <w:tcW w:w="2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30,116,957</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103,677,330</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104,705,089</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 (losses)</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(40,493,821)</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(113,010,013)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(50,167,488)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(27,443,229)</w:t>
            </w: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w w:val="99"/>
              </w:rPr>
              <w:t>Net loss attributable to noncontrolling interests in consolidated Variable</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Interest Entities</w:t>
            </w:r>
          </w:p>
        </w:tc>
        <w:tc>
          <w:tcPr>
            <w:tcW w:w="2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(47,301,969)</w:t>
            </w:r>
          </w:p>
        </w:tc>
        <w:tc>
          <w:tcPr>
            <w:tcW w:w="2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(110,067,391)</w:t>
            </w:r>
          </w:p>
        </w:tc>
        <w:tc>
          <w:tcPr>
            <w:tcW w:w="2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(65,558,757)</w:t>
            </w:r>
          </w:p>
        </w:tc>
        <w:tc>
          <w:tcPr>
            <w:tcW w:w="2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(32,032,457)</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Asset Manager Affiliates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1,274,518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657,770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3,949,287</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3,673,360</w:t>
            </w:r>
          </w:p>
        </w:tc>
      </w:tr>
      <w:tr>
        <w:trPr>
          <w:trHeight w:val="648"/>
        </w:trPr>
        <w:tc>
          <w:tcPr>
            <w:tcW w:w="5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42</w:t>
            </w: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2" w:right="2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00" w:type="dxa"/>
            <w:vAlign w:val="bottom"/>
          </w:tcPr>
          <w:p>
            <w:pPr>
              <w:spacing w:after="0"/>
              <w:rPr>
                <w:sz w:val="19"/>
                <w:szCs w:val="19"/>
                <w:color w:val="auto"/>
              </w:rPr>
            </w:pPr>
          </w:p>
        </w:tc>
        <w:tc>
          <w:tcPr>
            <w:tcW w:w="434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96"/>
              </w:rPr>
              <w:t>Katonah 2007-I CLO Ltd.</w:t>
            </w: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000" w:type="dxa"/>
            <w:vAlign w:val="bottom"/>
          </w:tcPr>
          <w:p>
            <w:pPr>
              <w:spacing w:after="0"/>
              <w:rPr>
                <w:sz w:val="20"/>
                <w:szCs w:val="20"/>
                <w:color w:val="auto"/>
              </w:rPr>
            </w:pPr>
          </w:p>
        </w:tc>
        <w:tc>
          <w:tcPr>
            <w:tcW w:w="5560" w:type="dxa"/>
            <w:vAlign w:val="bottom"/>
            <w:gridSpan w:val="6"/>
          </w:tcPr>
          <w:p>
            <w:pPr>
              <w:jc w:val="center"/>
              <w:ind w:right="120"/>
              <w:spacing w:after="0"/>
              <w:rPr>
                <w:sz w:val="20"/>
                <w:szCs w:val="20"/>
                <w:color w:val="auto"/>
              </w:rPr>
            </w:pPr>
            <w:r>
              <w:rPr>
                <w:rFonts w:ascii="Arial" w:cs="Arial" w:eastAsia="Arial" w:hAnsi="Arial"/>
                <w:sz w:val="18"/>
                <w:szCs w:val="18"/>
                <w:color w:val="auto"/>
                <w:w w:val="90"/>
              </w:rPr>
              <w:t>Summarized Balance Sheet Information (unaudited)</w:t>
            </w:r>
          </w:p>
        </w:tc>
      </w:tr>
      <w:tr>
        <w:trPr>
          <w:trHeight w:val="414"/>
        </w:trPr>
        <w:tc>
          <w:tcPr>
            <w:tcW w:w="30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of</w:t>
            </w:r>
          </w:p>
        </w:tc>
        <w:tc>
          <w:tcPr>
            <w:tcW w:w="40" w:type="dxa"/>
            <w:vAlign w:val="bottom"/>
          </w:tcPr>
          <w:p>
            <w:pPr>
              <w:spacing w:after="0"/>
              <w:rPr>
                <w:sz w:val="24"/>
                <w:szCs w:val="2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As of</w:t>
            </w:r>
          </w:p>
        </w:tc>
      </w:tr>
      <w:tr>
        <w:trPr>
          <w:trHeight w:val="216"/>
        </w:trPr>
        <w:tc>
          <w:tcPr>
            <w:tcW w:w="30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c>
          <w:tcPr>
            <w:tcW w:w="4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3000" w:type="dxa"/>
            <w:vAlign w:val="bottom"/>
          </w:tcPr>
          <w:p>
            <w:pPr>
              <w:spacing w:after="0"/>
              <w:rPr>
                <w:sz w:val="20"/>
                <w:szCs w:val="20"/>
                <w:color w:val="auto"/>
              </w:rPr>
            </w:pPr>
          </w:p>
        </w:tc>
        <w:tc>
          <w:tcPr>
            <w:tcW w:w="4220" w:type="dxa"/>
            <w:vAlign w:val="bottom"/>
            <w:gridSpan w:val="2"/>
          </w:tcPr>
          <w:p>
            <w:pPr>
              <w:jc w:val="center"/>
              <w:ind w:left="305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2013</w:t>
            </w:r>
          </w:p>
        </w:tc>
        <w:tc>
          <w:tcPr>
            <w:tcW w:w="80" w:type="dxa"/>
            <w:vAlign w:val="bottom"/>
          </w:tcPr>
          <w:p>
            <w:pPr>
              <w:spacing w:after="0"/>
              <w:rPr>
                <w:sz w:val="20"/>
                <w:szCs w:val="20"/>
                <w:color w:val="auto"/>
              </w:rPr>
            </w:pP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3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$ 291,890,297</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$ 310,427,788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Cash</w:t>
            </w:r>
          </w:p>
        </w:tc>
        <w:tc>
          <w:tcPr>
            <w:tcW w:w="4340" w:type="dxa"/>
            <w:vAlign w:val="bottom"/>
            <w:gridSpan w:val="3"/>
          </w:tcPr>
          <w:p>
            <w:pPr>
              <w:jc w:val="right"/>
              <w:ind w:right="120"/>
              <w:spacing w:after="0"/>
              <w:rPr>
                <w:sz w:val="20"/>
                <w:szCs w:val="20"/>
                <w:color w:val="auto"/>
              </w:rPr>
            </w:pPr>
            <w:r>
              <w:rPr>
                <w:rFonts w:ascii="Arial" w:cs="Arial" w:eastAsia="Arial" w:hAnsi="Arial"/>
                <w:sz w:val="18"/>
                <w:szCs w:val="18"/>
                <w:color w:val="auto"/>
              </w:rPr>
              <w:t>11,451,765</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15,260,243</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303,984,766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326,362,942</w:t>
            </w:r>
          </w:p>
        </w:tc>
        <w:tc>
          <w:tcPr>
            <w:tcW w:w="80" w:type="dxa"/>
            <w:vAlign w:val="bottom"/>
            <w:shd w:val="clear" w:color="auto" w:fill="CCEEFF"/>
          </w:tcPr>
          <w:p>
            <w:pPr>
              <w:spacing w:after="0"/>
              <w:rPr>
                <w:sz w:val="18"/>
                <w:szCs w:val="18"/>
                <w:color w:val="auto"/>
              </w:rPr>
            </w:pPr>
          </w:p>
        </w:tc>
      </w:tr>
      <w:tr>
        <w:trPr>
          <w:trHeight w:val="257"/>
        </w:trPr>
        <w:tc>
          <w:tcPr>
            <w:tcW w:w="3000" w:type="dxa"/>
            <w:vAlign w:val="bottom"/>
          </w:tcPr>
          <w:p>
            <w:pPr>
              <w:spacing w:after="0" w:line="256" w:lineRule="exact"/>
              <w:rPr>
                <w:sz w:val="20"/>
                <w:szCs w:val="20"/>
                <w:color w:val="auto"/>
              </w:rPr>
            </w:pPr>
            <w:r>
              <w:rPr>
                <w:rFonts w:ascii="Arial" w:cs="Arial" w:eastAsia="Arial" w:hAnsi="Arial"/>
                <w:sz w:val="18"/>
                <w:szCs w:val="18"/>
                <w:color w:val="auto"/>
              </w:rPr>
              <w:t>CLO Debt at fair value</w:t>
            </w:r>
            <w:r>
              <w:rPr>
                <w:rFonts w:ascii="Arial" w:cs="Arial" w:eastAsia="Arial" w:hAnsi="Arial"/>
                <w:sz w:val="29"/>
                <w:szCs w:val="29"/>
                <w:color w:val="auto"/>
                <w:vertAlign w:val="superscript"/>
              </w:rPr>
              <w:t>1</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305,729,130</w:t>
            </w:r>
          </w:p>
        </w:tc>
        <w:tc>
          <w:tcPr>
            <w:tcW w:w="12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314,549,615</w:t>
            </w:r>
          </w:p>
        </w:tc>
        <w:tc>
          <w:tcPr>
            <w:tcW w:w="80" w:type="dxa"/>
            <w:vAlign w:val="bottom"/>
          </w:tcPr>
          <w:p>
            <w:pPr>
              <w:spacing w:after="0"/>
              <w:rPr>
                <w:sz w:val="22"/>
                <w:szCs w:val="22"/>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307,871,173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320,828,003</w:t>
            </w:r>
          </w:p>
        </w:tc>
        <w:tc>
          <w:tcPr>
            <w:tcW w:w="80" w:type="dxa"/>
            <w:vAlign w:val="bottom"/>
            <w:shd w:val="clear" w:color="auto" w:fill="CCEEFF"/>
          </w:tcPr>
          <w:p>
            <w:pPr>
              <w:spacing w:after="0"/>
              <w:rPr>
                <w:sz w:val="18"/>
                <w:szCs w:val="18"/>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Total Net Assets</w:t>
            </w:r>
          </w:p>
        </w:tc>
        <w:tc>
          <w:tcPr>
            <w:tcW w:w="4340" w:type="dxa"/>
            <w:vAlign w:val="bottom"/>
            <w:gridSpan w:val="3"/>
          </w:tcPr>
          <w:p>
            <w:pPr>
              <w:jc w:val="right"/>
              <w:ind w:right="60"/>
              <w:spacing w:after="0"/>
              <w:rPr>
                <w:sz w:val="20"/>
                <w:szCs w:val="20"/>
                <w:color w:val="auto"/>
              </w:rPr>
            </w:pPr>
            <w:r>
              <w:rPr>
                <w:rFonts w:ascii="Arial" w:cs="Arial" w:eastAsia="Arial" w:hAnsi="Arial"/>
                <w:sz w:val="18"/>
                <w:szCs w:val="18"/>
                <w:color w:val="auto"/>
              </w:rPr>
              <w:t>(3,886,407)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5,534,939</w:t>
            </w:r>
          </w:p>
        </w:tc>
        <w:tc>
          <w:tcPr>
            <w:tcW w:w="8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¹Includes preferred shares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Katonah 2007-I CLO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Statements of Operations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For the three months ended</w:t>
            </w:r>
          </w:p>
        </w:tc>
        <w:tc>
          <w:tcPr>
            <w:tcW w:w="200" w:type="dxa"/>
            <w:vAlign w:val="bottom"/>
          </w:tcPr>
          <w:p>
            <w:pPr>
              <w:spacing w:after="0"/>
              <w:rPr>
                <w:sz w:val="19"/>
                <w:szCs w:val="19"/>
                <w:color w:val="auto"/>
              </w:rPr>
            </w:pPr>
          </w:p>
        </w:tc>
        <w:tc>
          <w:tcPr>
            <w:tcW w:w="26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3"/>
              </w:rPr>
              <w:t>For the nine months ended</w:t>
            </w:r>
          </w:p>
        </w:tc>
      </w:tr>
      <w:tr>
        <w:trPr>
          <w:trHeight w:val="234"/>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6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investments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2,925,473</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3,159,181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8,944,967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9,475,779</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Total income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2,554,342</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3,275,769</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8,938,951</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10,040,995</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2,667,429</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2,945,246</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8,188,894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8,788,530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Total expenses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2,949,332</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3,178,899</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9,144,902</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9,663,333</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(2,698,937)</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481,017</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(9,215,396)</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(3,902,972)</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Decrease in net assets resulting from operations</w:t>
            </w: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(3,093,927)</w:t>
            </w: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577,887</w:t>
            </w:r>
          </w:p>
        </w:tc>
        <w:tc>
          <w:tcPr>
            <w:tcW w:w="2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(9,421,347)</w:t>
            </w:r>
          </w:p>
        </w:tc>
        <w:tc>
          <w:tcPr>
            <w:tcW w:w="2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(3,525,310)</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00" w:type="dxa"/>
            <w:vAlign w:val="bottom"/>
          </w:tcPr>
          <w:p>
            <w:pPr>
              <w:spacing w:after="0"/>
              <w:rPr>
                <w:sz w:val="19"/>
                <w:szCs w:val="19"/>
                <w:color w:val="auto"/>
              </w:rPr>
            </w:pPr>
          </w:p>
        </w:tc>
        <w:tc>
          <w:tcPr>
            <w:tcW w:w="4040" w:type="dxa"/>
            <w:vAlign w:val="bottom"/>
            <w:gridSpan w:val="4"/>
          </w:tcPr>
          <w:p>
            <w:pPr>
              <w:jc w:val="center"/>
              <w:ind w:left="1290"/>
              <w:spacing w:after="0"/>
              <w:rPr>
                <w:sz w:val="20"/>
                <w:szCs w:val="20"/>
                <w:color w:val="auto"/>
              </w:rPr>
            </w:pPr>
            <w:r>
              <w:rPr>
                <w:rFonts w:ascii="Arial" w:cs="Arial" w:eastAsia="Arial" w:hAnsi="Arial"/>
                <w:sz w:val="18"/>
                <w:szCs w:val="18"/>
                <w:b w:val="1"/>
                <w:bCs w:val="1"/>
                <w:color w:val="auto"/>
                <w:w w:val="97"/>
              </w:rPr>
              <w:t>Katonah X CLO Ltd.</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000" w:type="dxa"/>
            <w:vAlign w:val="bottom"/>
          </w:tcPr>
          <w:p>
            <w:pPr>
              <w:spacing w:after="0"/>
              <w:rPr>
                <w:sz w:val="20"/>
                <w:szCs w:val="20"/>
                <w:color w:val="auto"/>
              </w:rPr>
            </w:pPr>
          </w:p>
        </w:tc>
        <w:tc>
          <w:tcPr>
            <w:tcW w:w="5560" w:type="dxa"/>
            <w:vAlign w:val="bottom"/>
            <w:gridSpan w:val="7"/>
          </w:tcPr>
          <w:p>
            <w:pPr>
              <w:jc w:val="center"/>
              <w:ind w:right="120"/>
              <w:spacing w:after="0"/>
              <w:rPr>
                <w:sz w:val="20"/>
                <w:szCs w:val="20"/>
                <w:color w:val="auto"/>
              </w:rPr>
            </w:pPr>
            <w:r>
              <w:rPr>
                <w:rFonts w:ascii="Arial" w:cs="Arial" w:eastAsia="Arial" w:hAnsi="Arial"/>
                <w:sz w:val="18"/>
                <w:szCs w:val="18"/>
                <w:color w:val="auto"/>
                <w:w w:val="90"/>
              </w:rPr>
              <w:t>Summarized Balance Sheet Information (unaudited)</w:t>
            </w:r>
          </w:p>
        </w:tc>
      </w:tr>
      <w:tr>
        <w:trPr>
          <w:trHeight w:val="427"/>
        </w:trPr>
        <w:tc>
          <w:tcPr>
            <w:tcW w:w="30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As of</w:t>
            </w:r>
          </w:p>
        </w:tc>
        <w:tc>
          <w:tcPr>
            <w:tcW w:w="300" w:type="dxa"/>
            <w:vAlign w:val="bottom"/>
          </w:tcPr>
          <w:p>
            <w:pPr>
              <w:spacing w:after="0"/>
              <w:rPr>
                <w:sz w:val="24"/>
                <w:szCs w:val="24"/>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As of</w:t>
            </w:r>
          </w:p>
        </w:tc>
      </w:tr>
      <w:tr>
        <w:trPr>
          <w:trHeight w:val="234"/>
        </w:trPr>
        <w:tc>
          <w:tcPr>
            <w:tcW w:w="3000" w:type="dxa"/>
            <w:vAlign w:val="bottom"/>
          </w:tcPr>
          <w:p>
            <w:pPr>
              <w:spacing w:after="0"/>
              <w:rPr>
                <w:sz w:val="20"/>
                <w:szCs w:val="20"/>
                <w:color w:val="auto"/>
              </w:rPr>
            </w:pPr>
          </w:p>
        </w:tc>
        <w:tc>
          <w:tcPr>
            <w:tcW w:w="4040" w:type="dxa"/>
            <w:vAlign w:val="bottom"/>
            <w:gridSpan w:val="4"/>
          </w:tcPr>
          <w:p>
            <w:pPr>
              <w:ind w:left="2360"/>
              <w:spacing w:after="0"/>
              <w:rPr>
                <w:sz w:val="20"/>
                <w:szCs w:val="20"/>
                <w:color w:val="auto"/>
              </w:rPr>
            </w:pPr>
            <w:r>
              <w:rPr>
                <w:rFonts w:ascii="Arial" w:cs="Arial" w:eastAsia="Arial" w:hAnsi="Arial"/>
                <w:sz w:val="18"/>
                <w:szCs w:val="18"/>
                <w:b w:val="1"/>
                <w:bCs w:val="1"/>
                <w:color w:val="auto"/>
                <w:w w:val="98"/>
              </w:rPr>
              <w:t>September 30, 2014</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2"/>
              </w:rPr>
              <w:t>December 31, 2013</w:t>
            </w: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2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316,272,077</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408,698,814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Cash</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8,307,622</w:t>
            </w: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26,050,568</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325,638,991</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435,799,911</w:t>
            </w:r>
          </w:p>
        </w:tc>
      </w:tr>
      <w:tr>
        <w:trPr>
          <w:trHeight w:val="257"/>
        </w:trPr>
        <w:tc>
          <w:tcPr>
            <w:tcW w:w="3000" w:type="dxa"/>
            <w:vAlign w:val="bottom"/>
          </w:tcPr>
          <w:p>
            <w:pPr>
              <w:spacing w:after="0" w:line="256" w:lineRule="exact"/>
              <w:rPr>
                <w:sz w:val="20"/>
                <w:szCs w:val="20"/>
                <w:color w:val="auto"/>
              </w:rPr>
            </w:pPr>
            <w:r>
              <w:rPr>
                <w:rFonts w:ascii="Arial" w:cs="Arial" w:eastAsia="Arial" w:hAnsi="Arial"/>
                <w:sz w:val="18"/>
                <w:szCs w:val="18"/>
                <w:color w:val="auto"/>
              </w:rPr>
              <w:t>CLO Debt at fair value</w:t>
            </w:r>
            <w:r>
              <w:rPr>
                <w:rFonts w:ascii="Arial" w:cs="Arial" w:eastAsia="Arial" w:hAnsi="Arial"/>
                <w:sz w:val="29"/>
                <w:szCs w:val="29"/>
                <w:color w:val="auto"/>
                <w:vertAlign w:val="superscript"/>
              </w:rPr>
              <w:t>1</w:t>
            </w:r>
          </w:p>
        </w:tc>
        <w:tc>
          <w:tcPr>
            <w:tcW w:w="2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317,451,391</w:t>
            </w: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416,405,403</w:t>
            </w:r>
          </w:p>
        </w:tc>
        <w:tc>
          <w:tcPr>
            <w:tcW w:w="80" w:type="dxa"/>
            <w:vAlign w:val="bottom"/>
          </w:tcPr>
          <w:p>
            <w:pPr>
              <w:spacing w:after="0"/>
              <w:rPr>
                <w:sz w:val="22"/>
                <w:szCs w:val="22"/>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318,451,484</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417,800,701</w:t>
            </w:r>
          </w:p>
        </w:tc>
        <w:tc>
          <w:tcPr>
            <w:tcW w:w="80" w:type="dxa"/>
            <w:vAlign w:val="bottom"/>
            <w:shd w:val="clear" w:color="auto" w:fill="CCEEFF"/>
          </w:tcPr>
          <w:p>
            <w:pPr>
              <w:spacing w:after="0"/>
              <w:rPr>
                <w:sz w:val="18"/>
                <w:szCs w:val="18"/>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Total Net Assets</w:t>
            </w:r>
          </w:p>
        </w:tc>
        <w:tc>
          <w:tcPr>
            <w:tcW w:w="2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7,187,507</w:t>
            </w:r>
          </w:p>
        </w:tc>
        <w:tc>
          <w:tcPr>
            <w:tcW w:w="30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17,999,210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¹Includes subordinated securities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Katonah X CLO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Statements of Operations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19"/>
                <w:szCs w:val="19"/>
                <w:color w:val="auto"/>
              </w:rPr>
            </w:pPr>
          </w:p>
        </w:tc>
        <w:tc>
          <w:tcPr>
            <w:tcW w:w="4020" w:type="dxa"/>
            <w:vAlign w:val="bottom"/>
            <w:gridSpan w:val="6"/>
          </w:tcPr>
          <w:p>
            <w:pPr>
              <w:jc w:val="right"/>
              <w:ind w:right="60"/>
              <w:spacing w:after="0"/>
              <w:rPr>
                <w:sz w:val="20"/>
                <w:szCs w:val="20"/>
                <w:color w:val="auto"/>
              </w:rPr>
            </w:pPr>
            <w:r>
              <w:rPr>
                <w:rFonts w:ascii="Arial" w:cs="Arial" w:eastAsia="Arial" w:hAnsi="Arial"/>
                <w:sz w:val="18"/>
                <w:szCs w:val="18"/>
                <w:b w:val="1"/>
                <w:bCs w:val="1"/>
                <w:color w:val="auto"/>
              </w:rPr>
              <w:t>For the three months ended</w:t>
            </w:r>
          </w:p>
        </w:tc>
        <w:tc>
          <w:tcPr>
            <w:tcW w:w="2860" w:type="dxa"/>
            <w:vAlign w:val="bottom"/>
          </w:tcPr>
          <w:p>
            <w:pPr>
              <w:spacing w:after="0"/>
              <w:rPr>
                <w:sz w:val="19"/>
                <w:szCs w:val="19"/>
                <w:color w:val="auto"/>
              </w:rPr>
            </w:pPr>
          </w:p>
        </w:tc>
      </w:tr>
      <w:tr>
        <w:trPr>
          <w:trHeight w:val="234"/>
        </w:trPr>
        <w:tc>
          <w:tcPr>
            <w:tcW w:w="45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September 30,</w:t>
            </w:r>
          </w:p>
        </w:tc>
        <w:tc>
          <w:tcPr>
            <w:tcW w:w="2860" w:type="dxa"/>
            <w:vAlign w:val="bottom"/>
          </w:tcPr>
          <w:p>
            <w:pPr>
              <w:spacing w:after="0"/>
              <w:rPr>
                <w:sz w:val="20"/>
                <w:szCs w:val="20"/>
                <w:color w:val="auto"/>
              </w:rPr>
            </w:pPr>
          </w:p>
        </w:tc>
      </w:tr>
      <w:tr>
        <w:trPr>
          <w:trHeight w:val="223"/>
        </w:trPr>
        <w:tc>
          <w:tcPr>
            <w:tcW w:w="454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80" w:type="dxa"/>
            <w:vAlign w:val="bottom"/>
            <w:tcBorders>
              <w:bottom w:val="single" w:sz="8" w:color="CCEEFF"/>
            </w:tcBorders>
          </w:tcPr>
          <w:p>
            <w:pPr>
              <w:spacing w:after="0"/>
              <w:rPr>
                <w:sz w:val="19"/>
                <w:szCs w:val="19"/>
                <w:color w:val="auto"/>
              </w:rPr>
            </w:pPr>
          </w:p>
        </w:tc>
        <w:tc>
          <w:tcPr>
            <w:tcW w:w="2860" w:type="dxa"/>
            <w:vAlign w:val="bottom"/>
          </w:tcPr>
          <w:p>
            <w:pPr>
              <w:spacing w:after="0"/>
              <w:rPr>
                <w:sz w:val="19"/>
                <w:szCs w:val="19"/>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investments</w:t>
            </w:r>
          </w:p>
        </w:tc>
        <w:tc>
          <w:tcPr>
            <w:tcW w:w="18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3,003,899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4,518,507</w:t>
            </w:r>
          </w:p>
        </w:tc>
        <w:tc>
          <w:tcPr>
            <w:tcW w:w="80" w:type="dxa"/>
            <w:vAlign w:val="bottom"/>
            <w:shd w:val="clear" w:color="auto" w:fill="CCEEFF"/>
          </w:tcPr>
          <w:p>
            <w:pPr>
              <w:spacing w:after="0"/>
              <w:rPr>
                <w:sz w:val="18"/>
                <w:szCs w:val="18"/>
                <w:color w:val="auto"/>
              </w:rPr>
            </w:pPr>
          </w:p>
        </w:tc>
        <w:tc>
          <w:tcPr>
            <w:tcW w:w="2860" w:type="dxa"/>
            <w:vAlign w:val="bottom"/>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Total income</w:t>
            </w:r>
          </w:p>
        </w:tc>
        <w:tc>
          <w:tcPr>
            <w:tcW w:w="2960" w:type="dxa"/>
            <w:vAlign w:val="bottom"/>
            <w:gridSpan w:val="3"/>
          </w:tcPr>
          <w:p>
            <w:pPr>
              <w:jc w:val="right"/>
              <w:ind w:right="160"/>
              <w:spacing w:after="0"/>
              <w:rPr>
                <w:sz w:val="20"/>
                <w:szCs w:val="20"/>
                <w:color w:val="auto"/>
              </w:rPr>
            </w:pPr>
            <w:r>
              <w:rPr>
                <w:rFonts w:ascii="Arial" w:cs="Arial" w:eastAsia="Arial" w:hAnsi="Arial"/>
                <w:sz w:val="18"/>
                <w:szCs w:val="18"/>
                <w:color w:val="auto"/>
              </w:rPr>
              <w:t>3,336,162</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4,589,267</w:t>
            </w:r>
          </w:p>
        </w:tc>
        <w:tc>
          <w:tcPr>
            <w:tcW w:w="8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2,115,332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3,542,724</w:t>
            </w:r>
          </w:p>
        </w:tc>
        <w:tc>
          <w:tcPr>
            <w:tcW w:w="80" w:type="dxa"/>
            <w:vAlign w:val="bottom"/>
            <w:shd w:val="clear" w:color="auto" w:fill="CCEEFF"/>
          </w:tcPr>
          <w:p>
            <w:pPr>
              <w:spacing w:after="0"/>
              <w:rPr>
                <w:sz w:val="18"/>
                <w:szCs w:val="18"/>
                <w:color w:val="auto"/>
              </w:rPr>
            </w:pPr>
          </w:p>
        </w:tc>
        <w:tc>
          <w:tcPr>
            <w:tcW w:w="2860" w:type="dxa"/>
            <w:vAlign w:val="bottom"/>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Total expenses</w:t>
            </w:r>
          </w:p>
        </w:tc>
        <w:tc>
          <w:tcPr>
            <w:tcW w:w="2960" w:type="dxa"/>
            <w:vAlign w:val="bottom"/>
            <w:gridSpan w:val="3"/>
          </w:tcPr>
          <w:p>
            <w:pPr>
              <w:jc w:val="right"/>
              <w:ind w:right="160"/>
              <w:spacing w:after="0"/>
              <w:rPr>
                <w:sz w:val="20"/>
                <w:szCs w:val="20"/>
                <w:color w:val="auto"/>
              </w:rPr>
            </w:pPr>
            <w:r>
              <w:rPr>
                <w:rFonts w:ascii="Arial" w:cs="Arial" w:eastAsia="Arial" w:hAnsi="Arial"/>
                <w:sz w:val="18"/>
                <w:szCs w:val="18"/>
                <w:color w:val="auto"/>
              </w:rPr>
              <w:t>3,116,388</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4,672,343</w:t>
            </w:r>
          </w:p>
        </w:tc>
        <w:tc>
          <w:tcPr>
            <w:tcW w:w="8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losses</w:t>
            </w:r>
          </w:p>
        </w:tc>
        <w:tc>
          <w:tcPr>
            <w:tcW w:w="2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(8,810,202)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(3,365,246)</w:t>
            </w:r>
          </w:p>
        </w:tc>
        <w:tc>
          <w:tcPr>
            <w:tcW w:w="2860" w:type="dxa"/>
            <w:vAlign w:val="bottom"/>
          </w:tcPr>
          <w:p>
            <w:pPr>
              <w:spacing w:after="0"/>
              <w:rPr>
                <w:sz w:val="18"/>
                <w:szCs w:val="18"/>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Decrease in net assets resulting from operations</w:t>
            </w:r>
          </w:p>
        </w:tc>
        <w:tc>
          <w:tcPr>
            <w:tcW w:w="2960" w:type="dxa"/>
            <w:vAlign w:val="bottom"/>
            <w:gridSpan w:val="3"/>
          </w:tcPr>
          <w:p>
            <w:pPr>
              <w:jc w:val="right"/>
              <w:ind w:right="100"/>
              <w:spacing w:after="0"/>
              <w:rPr>
                <w:sz w:val="20"/>
                <w:szCs w:val="20"/>
                <w:color w:val="auto"/>
              </w:rPr>
            </w:pPr>
            <w:r>
              <w:rPr>
                <w:rFonts w:ascii="Arial" w:cs="Arial" w:eastAsia="Arial" w:hAnsi="Arial"/>
                <w:sz w:val="18"/>
                <w:szCs w:val="18"/>
                <w:color w:val="auto"/>
              </w:rPr>
              <w:t>(8,590,427)</w:t>
            </w:r>
          </w:p>
        </w:tc>
        <w:tc>
          <w:tcPr>
            <w:tcW w:w="1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(3,448,323)</w:t>
            </w:r>
          </w:p>
        </w:tc>
        <w:tc>
          <w:tcPr>
            <w:tcW w:w="2860" w:type="dxa"/>
            <w:vAlign w:val="bottom"/>
          </w:tcPr>
          <w:p>
            <w:pPr>
              <w:spacing w:after="0"/>
              <w:rPr>
                <w:sz w:val="20"/>
                <w:szCs w:val="20"/>
                <w:color w:val="auto"/>
              </w:rPr>
            </w:pPr>
          </w:p>
        </w:tc>
      </w:tr>
      <w:tr>
        <w:trPr>
          <w:trHeight w:val="634"/>
        </w:trPr>
        <w:tc>
          <w:tcPr>
            <w:tcW w:w="45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43</w:t>
            </w: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45" w:name="page46"/>
    <w:bookmarkEnd w:id="45"/>
    <w:p>
      <w:pPr>
        <w:ind w:firstLine="324"/>
        <w:spacing w:after="0" w:line="255" w:lineRule="auto"/>
        <w:rPr>
          <w:sz w:val="20"/>
          <w:szCs w:val="20"/>
          <w:color w:val="auto"/>
        </w:rPr>
      </w:pPr>
      <w:r>
        <w:rPr>
          <w:rFonts w:ascii="Arial" w:cs="Arial" w:eastAsia="Arial" w:hAnsi="Arial"/>
          <w:sz w:val="18"/>
          <w:szCs w:val="18"/>
          <w:color w:val="auto"/>
        </w:rPr>
        <w:t>As separately regarded entities for tax purposes, the Asset Manager Affiliates are taxed at normal corporate rates. For tax purposes, any distributions by the Asset Manager Affiliates to the Company would generally need to be distributed to the Company’s shareholders. Generally, such distributions of the Asset Manager Affiliates’ income to the Company’s shareholders will be considered as qualified dividends for tax purposes. The Asset Manager Affiliates’ taxable net income will differ from U.S. GAAP net income because of deferred tax temporary differences and permanent tax adjustments. Deferred tax temporary differences may include differences for the recognition and timing of amortization and depreciation, and compensation related expenses, among other things. Permanent differences may include adjustments, limitations or disallowances for meals and entertainment expenses, penalties, tax goodwill amortization and net operating loss carryforward.</w:t>
      </w:r>
    </w:p>
    <w:p>
      <w:pPr>
        <w:spacing w:after="0" w:line="18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Goodwill amortization for tax purposes was created upon the purchase of 100% of the equity interests in Katonah Debt Advisors prior to the Company’s IPO in exchange for shares of the Company’s stock valued at $33 million. Although this transaction was a stock transaction rather than an asset purchase and thus no goodwill was recognized for U.S. GAAP purposes, such exchange was considered an asset purchase under Section 351(a) of the Code. At the time of the transfer, Katonah Debt Advisors had equity of approximately $1 million resulting in tax goodwill of approximately $32 million which is being amortized for tax purposes on a straight-line basis over 15 years, which accounts for an annual difference between U.S. GAAP income and taxable income by approximately $2 million per year over such period.</w:t>
      </w:r>
    </w:p>
    <w:p>
      <w:pPr>
        <w:spacing w:after="0" w:line="19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Additional goodwill amortization for tax purposes was created upon the purchase of 100% of the equity interests in Trimaran Advisors by one of KCAP’s affiliates in exchange for shares of the KCAP Financial’s stock valued at $25.5 million and cash of $13.0 million. The transaction was considered an asset purchase under Section 351(a) of the Code and resulted in tax goodwill of approximately $22.8 million which is being amortized for tax purposes on a straight-line basis over 15 years, which accounts for an annual difference between GAAP income and taxable income by approximately $1.5 million per year over such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On February 26, 2013, the Company entered into a senior unsecured credit agreement (the “Trimaran Credit Facility”) with Trimaran Advisors, pursuant to which Trimaran Advisors may borrow from time to time up to $20 million from the Company for general corporate purposes, which could include working capital in connection with Trimaran Advisors’ warehouse activities. The Trimaran Credit Facility expires on November 20, 2017 and bears interest at an annual rate of 9.0%. On April 15, 2013, the Trimaran Credit Facility was amended and upsized from $20 million to $23 million. At September 30, 2014, there was $18 million outstanding under the Trimaran Credit Facility, which is included in the Company’s Schedule of Investments. For the nine months ended September 30, 2014, the Company recognized interest income of $1.5 million related to the Trimaran Credit Facility.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6. BORROWINGS</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320" w:type="dxa"/>
            <w:vAlign w:val="bottom"/>
          </w:tcPr>
          <w:p>
            <w:pPr>
              <w:ind w:left="340"/>
              <w:spacing w:after="0"/>
              <w:rPr>
                <w:sz w:val="20"/>
                <w:szCs w:val="20"/>
                <w:color w:val="auto"/>
              </w:rPr>
            </w:pPr>
            <w:r>
              <w:rPr>
                <w:rFonts w:ascii="Arial" w:cs="Arial" w:eastAsia="Arial" w:hAnsi="Arial"/>
                <w:sz w:val="18"/>
                <w:szCs w:val="18"/>
                <w:color w:val="auto"/>
              </w:rPr>
              <w:t>The Company’s debt obligations consist of the following:</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5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As of</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320" w:type="dxa"/>
            <w:vAlign w:val="bottom"/>
          </w:tcPr>
          <w:p>
            <w:pPr>
              <w:spacing w:after="0"/>
              <w:rPr>
                <w:sz w:val="18"/>
                <w:szCs w:val="18"/>
                <w:color w:val="auto"/>
              </w:rPr>
            </w:pPr>
          </w:p>
        </w:tc>
        <w:tc>
          <w:tcPr>
            <w:tcW w:w="17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September 30, 2014</w:t>
            </w:r>
          </w:p>
        </w:tc>
        <w:tc>
          <w:tcPr>
            <w:tcW w:w="28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As of</w:t>
            </w:r>
          </w:p>
        </w:tc>
      </w:tr>
      <w:tr>
        <w:trPr>
          <w:trHeight w:val="234"/>
        </w:trPr>
        <w:tc>
          <w:tcPr>
            <w:tcW w:w="5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(unaudited)</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2"/>
              </w:rPr>
              <w:t>December 31, 2013</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Notes, due March 15, 2016</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49,008,000</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49,008,000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7.375% Notes Due 2019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41,400,000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41,400,000</w:t>
            </w:r>
          </w:p>
        </w:tc>
      </w:tr>
      <w:tr>
        <w:trPr>
          <w:trHeight w:val="202"/>
        </w:trPr>
        <w:tc>
          <w:tcPr>
            <w:tcW w:w="5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Notes Issued by KCAP Senior Funding I, LLC (net of discount: 2014 -</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$2,736,789; 2013 - $3,065,627)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102,513,211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102,184,373</w:t>
            </w:r>
          </w:p>
        </w:tc>
        <w:tc>
          <w:tcPr>
            <w:tcW w:w="8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weighted average stated interest rate and weighted average maturity on all our debt outstanding as of September 30, 2014 were 5.08% and 6.67 years, respectively, and as of December 31, 2013 were 5.08% and 7.43 years,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6" w:name="page47"/>
    <w:bookmarkEnd w:id="46"/>
    <w:p>
      <w:pPr>
        <w:ind w:left="340"/>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On March 16, 2011, the Company issued $55 million in aggregate principal amount of unsecured 8.75% convertible notes due March 2016 (“Convertible Notes”). On March 23, 2011, pursuant to an over-allotment option, the Company issued an additional $5 million of such Convertible Notes for a total of $60 million in aggregate principal amount. The net proceeds from the sale of the Convertible Notes, following underwriting expenses, were approximately $57.7 million. Interest on the Convertible Notes is paid semi-annually in arrears on March 15 and September 15, at a rate of 8.75%, commencing September 15, 2011. The Convertible Notes mature on March 15, 2016 unless converted earlier. The Convertible Notes are senior unsecured obligations of the Company.</w:t>
      </w:r>
    </w:p>
    <w:p>
      <w:pPr>
        <w:spacing w:after="0" w:line="15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Convertible Notes are convertible into shares of Company’s common stock. As of September 30, 2014, the conversion rate was 129.9266 shares of common stock per $1,000 principal amount of Convertible Notes, which is equivalent to a conversion price of approximately $7.70 per share of common stock. Upon conversion, the Company would issue the full amount of common stock or settle the conversion in cash, at its option, and retire the full amount of debt outstanding.</w:t>
      </w:r>
    </w:p>
    <w:p>
      <w:pPr>
        <w:spacing w:after="0" w:line="187"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Upon conversion, unless a holder converts after a record date for an interest payment but prior to the corresponding interest payment date, the holder will receive a separate cash payment with respect to the Convertible Notes surrendered for conversion representing accrued and unpaid interest to, but not including the conversion date. Any such payment will be made on the settlement date applicable to the relevant conversion on the Convertible Notes.</w:t>
      </w:r>
    </w:p>
    <w:p>
      <w:pPr>
        <w:spacing w:after="0" w:line="147"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No holder of Convertible Notes will be entitled to receive shares of the Company’s common stock upon conversion to the extent (but only to the extent) that such receipt would cause such converting holder to become, directly or indirectly, a beneficial owner (within the meaning of Section 13(d) of the Securities Exchange Act of 1934 and the rules and regulations promulgated thereunder) of more than 5.0% of the shares of the Company’s common stock outstanding at such time. The 5.0% limitation shall no longer apply following the effective date of any fundamental change.</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Subject to certain exceptions, holders may require us to repurchase, for cash, all or part of their Convertible Notes upon a fundamental change at a price equal to 100% of the principal amount of the Convertible Notes being repurchased plus any accrued and unpaid interest up to, but excluding, the fundamental change repurchase date. In addition, in the case of certain fundamental changes and without duplication of the foregoing amount, the Company will also pay holders an amount in cash (or, in certain circumstances, shares of the Company’s common stock) equal to the present value of the remaining interest payments on such Convertible Notes through, and including, the maturity date.</w:t>
      </w:r>
    </w:p>
    <w:p>
      <w:pPr>
        <w:spacing w:after="0" w:line="18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 xml:space="preserve">In connection with the issuance of the Convertible Notes, the Company incurred approximately $2.4 million of debt offering costs, which are being amortized over the term of the facility on an effective yield method, of which approximately $635,000 remains to be amortized. On April 4, 2013, approximately $9.0 million of the Company’s 8.75% Convertible Notes were converted at a price basis per share of $8.159 into 1,102,093 shares of KCAP common stock. On September 4, 2013, the Company purchased $2.0 million face value of its own Convertible Notes at $114.50 plus accrued interest. KCAP subsequently surrendered these notes to the Trustee for cancellation effective September 13, 2013. Due to the cash conversion option embedded in the Convertible Notes, the Company applied the guidance in ASC 470-40-20, </w:t>
      </w:r>
      <w:r>
        <w:rPr>
          <w:rFonts w:ascii="Arial" w:cs="Arial" w:eastAsia="Arial" w:hAnsi="Arial"/>
          <w:sz w:val="18"/>
          <w:szCs w:val="18"/>
          <w:i w:val="1"/>
          <w:iCs w:val="1"/>
          <w:color w:val="auto"/>
        </w:rPr>
        <w:t>Debt with Conversion and Other Options</w:t>
      </w:r>
      <w:r>
        <w:rPr>
          <w:rFonts w:ascii="Arial" w:cs="Arial" w:eastAsia="Arial" w:hAnsi="Arial"/>
          <w:sz w:val="18"/>
          <w:szCs w:val="18"/>
          <w:color w:val="auto"/>
        </w:rPr>
        <w:t xml:space="preserve"> and realized a loss on the extinguishment of this debt. For the nine months ended September 30, 2014 there were no realized losses on extinguishment of debt. The indenture governing the Convertible Notes contains certain restrictive covenants, including compliance with certain provisions of the 1940 Act and conditions governing the undertaking of new debt.</w:t>
      </w:r>
    </w:p>
    <w:p>
      <w:pPr>
        <w:spacing w:after="0" w:line="197"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For the three months ended September 30, 2014 and 2013, interest expense related to the Convertible Notes was $1.1 million for both periods. For the nine months ended September 30, 2014 and 2013, interest expense related to the Convertible Notes was $3.2 million and $3.5 million, respectively.</w:t>
      </w:r>
    </w:p>
    <w:p>
      <w:pPr>
        <w:spacing w:after="0" w:line="124" w:lineRule="exact"/>
        <w:rPr>
          <w:sz w:val="20"/>
          <w:szCs w:val="20"/>
          <w:color w:val="auto"/>
        </w:rPr>
      </w:pPr>
    </w:p>
    <w:p>
      <w:pPr>
        <w:jc w:val="both"/>
        <w:ind w:right="700" w:firstLine="324"/>
        <w:spacing w:after="0" w:line="264" w:lineRule="auto"/>
        <w:rPr>
          <w:sz w:val="20"/>
          <w:szCs w:val="20"/>
          <w:color w:val="auto"/>
        </w:rPr>
      </w:pPr>
      <w:r>
        <w:rPr>
          <w:rFonts w:ascii="Arial" w:cs="Arial" w:eastAsia="Arial" w:hAnsi="Arial"/>
          <w:sz w:val="18"/>
          <w:szCs w:val="18"/>
          <w:color w:val="auto"/>
        </w:rPr>
        <w:t>The Convertible Notes have been analyzed for any features that would require its accounting to be bifurcated. There are no features that require accounting to be bifurcated, and as a result, they are recorded as a liability at their contractual amounts. At September 30, 2014, the Company was in compliance with all of its debt covenants.</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Fair Value of Convertible Notes. </w:t>
      </w:r>
      <w:r>
        <w:rPr>
          <w:rFonts w:ascii="Arial" w:cs="Arial" w:eastAsia="Arial" w:hAnsi="Arial"/>
          <w:sz w:val="18"/>
          <w:szCs w:val="18"/>
          <w:color w:val="auto"/>
        </w:rPr>
        <w:t>The Company carries the Convertible Notes at cost. The Convertible Notes were issued in a private placement and there</w:t>
      </w:r>
      <w:r>
        <w:rPr>
          <w:rFonts w:ascii="Arial" w:cs="Arial" w:eastAsia="Arial" w:hAnsi="Arial"/>
          <w:sz w:val="18"/>
          <w:szCs w:val="18"/>
          <w:i w:val="1"/>
          <w:iCs w:val="1"/>
          <w:color w:val="auto"/>
        </w:rPr>
        <w:t xml:space="preserve"> </w:t>
      </w:r>
      <w:r>
        <w:rPr>
          <w:rFonts w:ascii="Arial" w:cs="Arial" w:eastAsia="Arial" w:hAnsi="Arial"/>
          <w:sz w:val="18"/>
          <w:szCs w:val="18"/>
          <w:color w:val="auto"/>
        </w:rPr>
        <w:t>is no active trading of these notes. The estimated fair value of the Company’s outstanding Convertible Notes was approximately $56.8 million at September 30, 2014. The fair value was determined based on an indicative closing price as of September 30, 2014. The Convertible Notes are categorized as Level III following ASC 820: Fair Value.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7" w:name="page48"/>
    <w:bookmarkEnd w:id="47"/>
    <w:p>
      <w:pPr>
        <w:ind w:left="340"/>
        <w:spacing w:after="0"/>
        <w:rPr>
          <w:sz w:val="20"/>
          <w:szCs w:val="20"/>
          <w:color w:val="auto"/>
        </w:rPr>
      </w:pPr>
      <w:r>
        <w:rPr>
          <w:rFonts w:ascii="Arial" w:cs="Arial" w:eastAsia="Arial" w:hAnsi="Arial"/>
          <w:sz w:val="18"/>
          <w:szCs w:val="18"/>
          <w:i w:val="1"/>
          <w:iCs w:val="1"/>
          <w:color w:val="auto"/>
        </w:rPr>
        <w:t>7.375% Notes Due 2019</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On October 10, 2012, the Company issued $41.4 million in aggregate principal amount of unsecured 7.375% Notes due 2019. The net proceeds for these Notes, following underwriting expenses, were approximately $39.9 million. Interest on the 7.375% Notes Due 2019 is paid quarterly in arrears on March 30, June 30, September 30 and December 30, at a rate of 7.375%, commencing December 30, 2012. The 7.375% Notes Due 2019 mature on September, 30, 2019 and are senior unsecured obligations of the Company. In addition, due to the asset coverage test applicable to the Company as a BDC and a covenant that the Company agreed to in connection with the issuance of the 7.375% Notes Due 2019, the Company is limited in its ability to make distributions in certain circumstances. The indenture governing the 7.375% Notes Due contains certain restrictive covenants, including compliance with certain provisions of the 1940 Act relating to borrowing and dividends. At September 30, 2014, the Company was in compliance with all of its debt covenants.</w:t>
      </w:r>
    </w:p>
    <w:p>
      <w:pPr>
        <w:spacing w:after="0" w:line="167"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For the three months ended September 30, 2014 and 2013, interest expense related to the 7.375% Notes Due 2019 was $763,000 for both periods. For the nine months ended September 30, 2014 and 2013, interest expense related to the 7.375% Notes Due 2019 was $2.3 million for both periods.</w:t>
      </w:r>
    </w:p>
    <w:p>
      <w:pPr>
        <w:spacing w:after="0" w:line="124"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In connection with the issuance of the 7.375% Notes Due 2019, the Company incurred approximately $1.5 million of debt offering costs which are being amortized over the term of the facility on an effective yield method, of which approximately $1.1 million remains to be amortized.</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of 7.375% Notes Due 2019.</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7.375% Notes Due 2019 were issued in a public offering on October 10, 2012 and are carried at cost. The fair value of the Company’s outstanding 7.375% Notes Due 2019 was approximately $43.1 million at September 30, 2014. The fair value was determined based on the closing price on September 30, 2014 for the 7.375% Notes Due 2019. The 7.375% Notes Due 2019 are categorized as Level I under ASC 820: Fair Value.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KCAP Senior Funding I, LLC (Debt Securitization)</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On June 18, 2013, the Company completed the sale of notes in a $140,000,000 debt securitization financing transaction. The notes offered in this transaction (the “KCAP Senior Funding I Notes”) were issued by KCAP Senior Funding I, LLC, a newly formed special purpose vehicle (the “Issuer”), in which KCAP Senior Funding I Holdings, LLC, a wholly-owned subsidiary of the Company (the “Depositor”), owns all of the KCAP Senior Funding I Subordinated Notes (as defined below), and are backed by a diversified portfolio of bank loans. The indenture governing the KCAP Senior Funding I Notes contains an event of default that is triggered in the event that certain coverage tests are not met.</w:t>
      </w:r>
    </w:p>
    <w:p>
      <w:pPr>
        <w:spacing w:after="0" w:line="188" w:lineRule="exact"/>
        <w:rPr>
          <w:sz w:val="20"/>
          <w:szCs w:val="20"/>
          <w:color w:val="auto"/>
        </w:rPr>
      </w:pPr>
    </w:p>
    <w:p>
      <w:pPr>
        <w:ind w:right="200" w:firstLine="324"/>
        <w:spacing w:after="0" w:line="286" w:lineRule="auto"/>
        <w:rPr>
          <w:sz w:val="20"/>
          <w:szCs w:val="20"/>
          <w:color w:val="auto"/>
        </w:rPr>
      </w:pPr>
      <w:r>
        <w:rPr>
          <w:rFonts w:ascii="Arial" w:cs="Arial" w:eastAsia="Arial" w:hAnsi="Arial"/>
          <w:sz w:val="16"/>
          <w:szCs w:val="16"/>
          <w:color w:val="auto"/>
        </w:rPr>
        <w:t>The secured notes (the “KCAP Senior Funding I Secured Notes”) were issued as Class A-1 senior secured floating rate notes which have an initial face amount of $77,250,000, are rated AAA (sf)/Aaa (sf) by Standard &amp; Poor’s Ratings Services and Moody’s Investors Service, Inc., respectively, and bear interest at the three-month LIBOR plus 1.50%, Class B-1 senior secured floating rate notes which have an initial face amount of $9,000,000, are rated AA (sf)/Aa2 (sf) by Standard &amp; Poor’s Ratings Services and Moody’s Investors Service, Inc., respectively, and bear interest at the three-month LIBOR plus</w:t>
      </w:r>
    </w:p>
    <w:p>
      <w:pPr>
        <w:spacing w:after="0" w:line="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3.25%, Class C-1 secured deferrable floating rate notes which have an initial face amount of $10,000,000, are rated A (sf)/A2 (sf) by Standard &amp; Poor’s Ratings Services and Moody’s Investors Service, Inc., respectively, and bear interest at three-month LIBOR plus 4.25%, and Class D-1 secured deferrable floating rate notes which have an initial face amount of $9,000,000, are rated BBB (sf)/Baa2 (sf) by Standard &amp; Poor’s Ratings Services and Moody’s Investors Service, Inc., respectively, and bear interest at three-month LIBOR plus 5.25%. The Depositor retained all of the subordinated notes of the Issuer (the “KCAP Senior Funding I Subordinated Notes”), which have an initial face amount of $34,750,000. The KCAP Senior Funding I Subordinated Notes do not bear interest and are not rated. Both the KCAP Senior Funding I Secured Notes and the KCAP Senior Funding I Subordinated Notes have a stated maturity on the payment date occurring in July, 2024, and are subject to a two year non-call period. The Issuer has a four year reinvestment period. The stated interest rate re-sets on a quarterly basis based upon the then-current level of the benchmark three-month LIBOR.</w:t>
      </w:r>
    </w:p>
    <w:p>
      <w:pPr>
        <w:spacing w:after="0" w:line="17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As part of this transaction, the Company entered into a master loan sale agreement with the Depositor and the Issuer under which the Company sold or contributed certain bank loans to the Depositor, and the Depositor sold such loans to the Issuer in exchange for a combination of cash and the issuance of the KCAP Senior Funding I Subordinated Notes to the Depositor.</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connection with the issuance and sale of the KCAP Senior Funding I Notes, the Company has made customary representations, warranties and covenants in the purchase agreement by and between the Company, the Depositor, the Issuer and Guggenheim Securities, LLC, which served as the initial purchaser of the KCAP Senior Funding I Secured Notes. The KCAP Senior Funding I Secured Notes are the secured obligations of the Issuer, and an indenture governing the KCAP Senior Funding I Notes includes customary covenants and events of default. The KCAP Senior Funding I Notes were sold in a private placement transaction and have not been, and will not be, registered under the Securities Act of 1933, as amended, or any state “blue sky” laws and may not be offered or sold in the United States absent registration with the Securities and Exchange Commission or an applicable exemption from registration.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8" w:name="page49"/>
    <w:bookmarkEnd w:id="48"/>
    <w:p>
      <w:pPr>
        <w:ind w:right="500" w:firstLine="324"/>
        <w:spacing w:after="0" w:line="312" w:lineRule="auto"/>
        <w:rPr>
          <w:sz w:val="20"/>
          <w:szCs w:val="20"/>
          <w:color w:val="auto"/>
        </w:rPr>
      </w:pPr>
      <w:r>
        <w:rPr>
          <w:rFonts w:ascii="Arial" w:cs="Arial" w:eastAsia="Arial" w:hAnsi="Arial"/>
          <w:sz w:val="16"/>
          <w:szCs w:val="16"/>
          <w:color w:val="auto"/>
        </w:rPr>
        <w:t>The Company will serve as collateral manager to the Issuer under a collateral management agreement, which contains customary representations, warranties and covenants. Under the collateral management agreement, the Company will perform certain investment management functions, including supervising and directing the investment and reinvestment of the Issuer’s assets, as well as perform certain administrative and advisory functions.</w:t>
      </w:r>
    </w:p>
    <w:p>
      <w:pPr>
        <w:spacing w:after="0" w:line="14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addition, because each of the Issuer and the Depositor are consolidated subsidiaries, the Company did not recognize any gain or loss on the transfer of any of our portfolio assets to such vehicles in connection with the issuance and sale of the KCAP Senior Funding I Notes.</w:t>
      </w:r>
    </w:p>
    <w:p>
      <w:pPr>
        <w:spacing w:after="0" w:line="170"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As of September 30, 2014, there were 54 investments in portfolio companies with a total fair value of approximately $143 million plus cash of $5.4 million, collateralizing the secured notes of the Issuer. At September 30, 2014, there were unamortized issuance costs of approximately $3.2 million included in other assets, and unamortized original issue discount, (“OID”) costs of approximately $2.7 million included in Notes issued by KCAP Senior Funding I, LLC liabilities in the accompanying consolidated balance sheet. The pool of loans in the securitization must meet certain requirements, including asset mix and concentration, collateral coverage, term, agency rating, minimum coupon, minimum spread and sector diversity requirements.</w:t>
      </w:r>
    </w:p>
    <w:p>
      <w:pPr>
        <w:spacing w:after="0" w:line="173"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For the period ended September 30, 2014, interest expense, including the amortization of deferred debt issuance costs and the discount on the face amount of the notes, was approximately $2.8 million consisting of stated interest expense of approximately $2.1 million, accreted discount of approximately $329,000, and deferred debt issuance costs of approximately $385,000. As of September 30, 2014, the stated interest charged under the securitization was based on current three month LIBOR, which was 0.23%. The classes, stated interest rates, spread over LIBOR, and stated interest expense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Stated Interest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5"/>
              </w:rPr>
              <w:t>LIBOR Spread</w:t>
            </w:r>
          </w:p>
        </w:tc>
        <w:tc>
          <w:tcPr>
            <w:tcW w:w="6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Stated Interest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Rate</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(basis points)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Expense (1)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A-1 Notes</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KCAP Senior Funding LLC Class B-1 Notes</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3.48%</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62,705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C-1 Notes</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89,672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KCAP Senior Funding LLC Class D-1 Notes</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5.48%</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98,705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518,923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340" w:firstLine="8"/>
        <w:spacing w:after="0" w:line="277"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Stated Interest Rate and Stated Interest Expense will vary based upon prevailing 3 month LIBOR as of the reset date. Stated Interest Expense amounts above represent the amounts accrued and payable at September 30, 2014 using prevailing rates.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amounts, ratings and interest rates (expressed as a spread to LIBOR) of the Class A-1, B-1, C-1, and D-1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Class A-1 Notes</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Class B-1 Notes</w:t>
            </w:r>
          </w:p>
        </w:tc>
        <w:tc>
          <w:tcPr>
            <w:tcW w:w="13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Class C-1 Notes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Class D-1 Notes</w:t>
            </w:r>
          </w:p>
        </w:tc>
        <w:tc>
          <w:tcPr>
            <w:tcW w:w="1720" w:type="dxa"/>
            <w:vAlign w:val="bottom"/>
          </w:tcPr>
          <w:p>
            <w:pPr>
              <w:spacing w:after="0"/>
              <w:rPr>
                <w:sz w:val="20"/>
                <w:szCs w:val="20"/>
                <w:color w:val="auto"/>
              </w:rPr>
            </w:pPr>
          </w:p>
        </w:tc>
      </w:tr>
      <w:tr>
        <w:trPr>
          <w:trHeight w:val="195"/>
        </w:trPr>
        <w:tc>
          <w:tcPr>
            <w:tcW w:w="4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6"/>
              </w:rPr>
              <w:t>Secured</w:t>
            </w:r>
          </w:p>
        </w:tc>
        <w:tc>
          <w:tcPr>
            <w:tcW w:w="8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6"/>
              </w:rPr>
              <w:t>Secured</w:t>
            </w:r>
          </w:p>
        </w:tc>
        <w:tc>
          <w:tcPr>
            <w:tcW w:w="1720" w:type="dxa"/>
            <w:vAlign w:val="bottom"/>
          </w:tcPr>
          <w:p>
            <w:pPr>
              <w:spacing w:after="0"/>
              <w:rPr>
                <w:sz w:val="16"/>
                <w:szCs w:val="16"/>
                <w:color w:val="auto"/>
              </w:rPr>
            </w:pPr>
          </w:p>
        </w:tc>
      </w:tr>
      <w:tr>
        <w:trPr>
          <w:trHeight w:val="216"/>
        </w:trPr>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Senior Secured</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Senior Secured</w:t>
            </w: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Deferrable</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Deferrable</w:t>
            </w:r>
          </w:p>
        </w:tc>
        <w:tc>
          <w:tcPr>
            <w:tcW w:w="1720" w:type="dxa"/>
            <w:vAlign w:val="bottom"/>
          </w:tcPr>
          <w:p>
            <w:pPr>
              <w:spacing w:after="0"/>
              <w:rPr>
                <w:sz w:val="18"/>
                <w:szCs w:val="18"/>
                <w:color w:val="auto"/>
              </w:rPr>
            </w:pPr>
          </w:p>
        </w:tc>
      </w:tr>
      <w:tr>
        <w:trPr>
          <w:trHeight w:val="230"/>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Type</w:t>
            </w: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Floating Rate</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Floating Rate</w:t>
            </w: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Floating Rate</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Floating Rate</w:t>
            </w:r>
          </w:p>
        </w:tc>
        <w:tc>
          <w:tcPr>
            <w:tcW w:w="1720" w:type="dxa"/>
            <w:vAlign w:val="bottom"/>
          </w:tcPr>
          <w:p>
            <w:pPr>
              <w:spacing w:after="0"/>
              <w:rPr>
                <w:sz w:val="20"/>
                <w:szCs w:val="20"/>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Amount Outstanding</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$ 77,250,000</w:t>
            </w:r>
          </w:p>
        </w:tc>
        <w:tc>
          <w:tcPr>
            <w:tcW w:w="8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$9,000,000</w:t>
            </w:r>
          </w:p>
        </w:tc>
        <w:tc>
          <w:tcPr>
            <w:tcW w:w="10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$10,000,000</w:t>
            </w:r>
          </w:p>
        </w:tc>
        <w:tc>
          <w:tcPr>
            <w:tcW w:w="8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$9,000,000</w:t>
            </w:r>
          </w:p>
        </w:tc>
        <w:tc>
          <w:tcPr>
            <w:tcW w:w="1720" w:type="dxa"/>
            <w:vAlign w:val="bottom"/>
          </w:tcPr>
          <w:p>
            <w:pPr>
              <w:spacing w:after="0"/>
              <w:rPr>
                <w:sz w:val="18"/>
                <w:szCs w:val="18"/>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Moody's Rating (</w:t>
            </w:r>
            <w:r>
              <w:rPr>
                <w:rFonts w:ascii="Arial" w:cs="Arial" w:eastAsia="Arial" w:hAnsi="Arial"/>
                <w:sz w:val="18"/>
                <w:szCs w:val="18"/>
                <w:i w:val="1"/>
                <w:iCs w:val="1"/>
                <w:color w:val="auto"/>
              </w:rPr>
              <w:t>sf</w:t>
            </w:r>
            <w:r>
              <w:rPr>
                <w:rFonts w:ascii="Arial" w:cs="Arial" w:eastAsia="Arial" w:hAnsi="Arial"/>
                <w:sz w:val="18"/>
                <w:szCs w:val="18"/>
                <w:color w:val="auto"/>
              </w:rPr>
              <w:t>)</w:t>
            </w: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8"/>
              </w:rPr>
              <w:t>"Aaa"</w:t>
            </w: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8"/>
              </w:rPr>
              <w:t>"Aa2"</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"A2"</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"Baa2"</w:t>
            </w:r>
          </w:p>
        </w:tc>
        <w:tc>
          <w:tcPr>
            <w:tcW w:w="1720" w:type="dxa"/>
            <w:vAlign w:val="bottom"/>
          </w:tcPr>
          <w:p>
            <w:pPr>
              <w:spacing w:after="0"/>
              <w:rPr>
                <w:sz w:val="18"/>
                <w:szCs w:val="18"/>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Standard &amp;amp; Poor's Rating (</w:t>
            </w:r>
            <w:r>
              <w:rPr>
                <w:rFonts w:ascii="Arial" w:cs="Arial" w:eastAsia="Arial" w:hAnsi="Arial"/>
                <w:sz w:val="18"/>
                <w:szCs w:val="18"/>
                <w:i w:val="1"/>
                <w:iCs w:val="1"/>
                <w:color w:val="auto"/>
              </w:rPr>
              <w:t>sf</w:t>
            </w:r>
            <w:r>
              <w:rPr>
                <w:rFonts w:ascii="Arial" w:cs="Arial" w:eastAsia="Arial" w:hAnsi="Arial"/>
                <w:sz w:val="18"/>
                <w:szCs w:val="18"/>
                <w:color w:val="auto"/>
              </w:rPr>
              <w:t>)</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auto"/>
              </w:rPr>
              <w:t>"AAA"</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auto"/>
              </w:rPr>
              <w:t>"AA"</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rPr>
              <w:t>"A"</w:t>
            </w:r>
          </w:p>
        </w:tc>
        <w:tc>
          <w:tcPr>
            <w:tcW w:w="1260" w:type="dxa"/>
            <w:vAlign w:val="bottom"/>
          </w:tcPr>
          <w:p>
            <w:pPr>
              <w:jc w:val="center"/>
              <w:spacing w:after="0"/>
              <w:rPr>
                <w:sz w:val="20"/>
                <w:szCs w:val="20"/>
                <w:color w:val="auto"/>
              </w:rPr>
            </w:pPr>
            <w:r>
              <w:rPr>
                <w:rFonts w:ascii="Arial" w:cs="Arial" w:eastAsia="Arial" w:hAnsi="Arial"/>
                <w:sz w:val="18"/>
                <w:szCs w:val="18"/>
                <w:color w:val="auto"/>
              </w:rPr>
              <w:t>"BBB"</w:t>
            </w:r>
          </w:p>
        </w:tc>
        <w:tc>
          <w:tcPr>
            <w:tcW w:w="1720" w:type="dxa"/>
            <w:vAlign w:val="bottom"/>
          </w:tcPr>
          <w:p>
            <w:pPr>
              <w:spacing w:after="0"/>
              <w:rPr>
                <w:sz w:val="18"/>
                <w:szCs w:val="18"/>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w:t>
            </w: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LIBOR + 1.50 %</w:t>
            </w: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LIBOR + 3.25 %</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LIBOR + 4.25 %</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+ 5.25 %</w:t>
            </w:r>
          </w:p>
        </w:tc>
        <w:tc>
          <w:tcPr>
            <w:tcW w:w="1720" w:type="dxa"/>
            <w:vAlign w:val="bottom"/>
          </w:tcPr>
          <w:p>
            <w:pPr>
              <w:spacing w:after="0"/>
              <w:rPr>
                <w:sz w:val="18"/>
                <w:szCs w:val="18"/>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Stated Maturity</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2024</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2024</w:t>
            </w:r>
          </w:p>
        </w:tc>
        <w:tc>
          <w:tcPr>
            <w:tcW w:w="13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July, 2024</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July, 2024</w:t>
            </w:r>
          </w:p>
        </w:tc>
        <w:tc>
          <w:tcPr>
            <w:tcW w:w="1720" w:type="dxa"/>
            <w:vAlign w:val="bottom"/>
          </w:tcPr>
          <w:p>
            <w:pPr>
              <w:spacing w:after="0"/>
              <w:rPr>
                <w:sz w:val="18"/>
                <w:szCs w:val="18"/>
                <w:color w:val="auto"/>
              </w:rPr>
            </w:pPr>
          </w:p>
        </w:tc>
      </w:tr>
      <w:tr>
        <w:trPr>
          <w:trHeight w:val="202"/>
        </w:trPr>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4"/>
              </w:rPr>
              <w:t>C-1, D-1</w:t>
            </w: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6"/>
        </w:trPr>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B-1, C-1, D-1</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and</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D-1 and</w:t>
            </w:r>
          </w:p>
        </w:tc>
        <w:tc>
          <w:tcPr>
            <w:tcW w:w="12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Junior Classes</w:t>
            </w: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and Subordinated</w:t>
            </w: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Subordinated</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Subordinated</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Subordinated</w:t>
            </w:r>
          </w:p>
        </w:tc>
        <w:tc>
          <w:tcPr>
            <w:tcW w:w="1720" w:type="dxa"/>
            <w:vAlign w:val="bottom"/>
          </w:tcPr>
          <w:p>
            <w:pPr>
              <w:spacing w:after="0"/>
              <w:rPr>
                <w:sz w:val="20"/>
                <w:szCs w:val="20"/>
                <w:color w:val="auto"/>
              </w:rPr>
            </w:pPr>
          </w:p>
        </w:tc>
      </w:tr>
      <w:tr>
        <w:trPr>
          <w:trHeight w:val="648"/>
        </w:trPr>
        <w:tc>
          <w:tcPr>
            <w:tcW w:w="4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right"/>
              <w:ind w:right="11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49" w:name="page50"/>
    <w:bookmarkEnd w:id="49"/>
    <w:p>
      <w:pPr>
        <w:ind w:left="340"/>
        <w:spacing w:after="0"/>
        <w:rPr>
          <w:sz w:val="20"/>
          <w:szCs w:val="20"/>
          <w:color w:val="auto"/>
        </w:rPr>
      </w:pPr>
      <w:r>
        <w:rPr>
          <w:rFonts w:ascii="Arial" w:cs="Arial" w:eastAsia="Arial" w:hAnsi="Arial"/>
          <w:sz w:val="18"/>
          <w:szCs w:val="18"/>
          <w:color w:val="auto"/>
        </w:rPr>
        <w:t>The Company’s outstanding principal amounts, carrying values and fair values of the Class A-1, B-1, C-1 and D-1 Notes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4"/>
              </w:rPr>
              <w:t>As of</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89"/>
              </w:rPr>
              <w:t>September 30, 2014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4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w w:val="95"/>
              </w:rPr>
              <w:t>Principal Amount</w:t>
            </w:r>
          </w:p>
        </w:tc>
        <w:tc>
          <w:tcPr>
            <w:tcW w:w="1460" w:type="dxa"/>
            <w:vAlign w:val="bottom"/>
            <w:gridSpan w:val="4"/>
          </w:tcPr>
          <w:p>
            <w:pPr>
              <w:ind w:left="100"/>
              <w:spacing w:after="0"/>
              <w:rPr>
                <w:sz w:val="20"/>
                <w:szCs w:val="20"/>
                <w:color w:val="auto"/>
              </w:rPr>
            </w:pPr>
            <w:r>
              <w:rPr>
                <w:rFonts w:ascii="Arial" w:cs="Arial" w:eastAsia="Arial" w:hAnsi="Arial"/>
                <w:sz w:val="18"/>
                <w:szCs w:val="18"/>
                <w:b w:val="1"/>
                <w:bCs w:val="1"/>
                <w:color w:val="auto"/>
              </w:rPr>
              <w:t>Carrying Value</w:t>
            </w:r>
          </w:p>
        </w:tc>
        <w:tc>
          <w:tcPr>
            <w:tcW w:w="1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Fair Value</w:t>
            </w:r>
          </w:p>
        </w:tc>
        <w:tc>
          <w:tcPr>
            <w:tcW w:w="80" w:type="dxa"/>
            <w:vAlign w:val="bottom"/>
          </w:tcPr>
          <w:p>
            <w:pPr>
              <w:spacing w:after="0"/>
              <w:rPr>
                <w:sz w:val="19"/>
                <w:szCs w:val="19"/>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KCAP Senior Funding I, LLC Class A-1 Notes</w:t>
            </w:r>
          </w:p>
        </w:tc>
        <w:tc>
          <w:tcPr>
            <w:tcW w:w="8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77,250,000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75,241,288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76,284,375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KCAP Senior Funding I, LLC Class B-1 Notes</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9,000,000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8,765,975</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8,865,000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I, LLC Class C-1 Notes</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9,739,973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10,075,000</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KCAP Senior Funding I, LLC Class D-1 Notes</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9,000,000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8,765,975</w:t>
            </w: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8,910,000</w:t>
            </w:r>
          </w:p>
        </w:tc>
      </w:tr>
      <w:tr>
        <w:trPr>
          <w:trHeight w:val="223"/>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105,250,000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102,513,211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104,134,375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Fair Value of KCAP Senior Funding I, LLC.  </w:t>
      </w:r>
      <w:r>
        <w:rPr>
          <w:rFonts w:ascii="Arial" w:cs="Arial" w:eastAsia="Arial" w:hAnsi="Arial"/>
          <w:sz w:val="18"/>
          <w:szCs w:val="18"/>
          <w:color w:val="auto"/>
        </w:rPr>
        <w:t>The Company carries the KCAP Senior Funding I Notes at cost, net of unamortized discount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$2,736,789. The fair value of the KCAP Senior Funding I, LLC Notes was approximately $104.1 million at September 30, 2014. The fair values were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determined based on third party indicative values. The KCAP Senior Funding I, LLC Notes are categorized as Level III under ASC 820 Fair Value.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DISTRIBUTABLE TAXABLE INCOME</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Effective December 11, 2006, the Company elected to be treated as a RIC under the Code and adopted a December 31 tax-calendar year end. As a RIC, the Company is not subject to U.S. federal income tax on the portion of its taxable income and gains distributed currently to its stockholders as a dividend. The Company’s quarterly dividends, if any, are determined by the Board of Directors. The Company anticipates distributing at least 90% of its taxable income and gains, within the Subchapter M rules, and thus the Company anticipates that it will not incur any federal or state income tax at the corporate level. As a RIC, the Company is also subject to a federal excise tax based on distributive requirements of its taxable income on a calendar year basis (e.g., calendar year 2014). Depending on the level of taxable income earned in a tax year, the Company may choose to carry forward taxable income in excess of current year distributions into the next tax year and pay a 4% excise tax on such income, to the extent required. The Company anticipates timely distribution of its taxable income within the tax rules, and the Company anticipates that it will not incur a U.S. federal excise tax for the calendar year 2014.</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0" w:name="page51"/>
    <w:bookmarkEnd w:id="50"/>
    <w:p>
      <w:pPr>
        <w:ind w:left="340"/>
        <w:spacing w:after="0"/>
        <w:rPr>
          <w:sz w:val="20"/>
          <w:szCs w:val="20"/>
          <w:color w:val="auto"/>
        </w:rPr>
      </w:pPr>
      <w:r>
        <w:rPr>
          <w:rFonts w:ascii="Arial" w:cs="Arial" w:eastAsia="Arial" w:hAnsi="Arial"/>
          <w:sz w:val="17"/>
          <w:szCs w:val="17"/>
          <w:color w:val="auto"/>
        </w:rPr>
        <w:t>The following reconciles net increase in net assets resulting from operations to taxable income for the nine months ended September 30, 2014:</w:t>
      </w:r>
    </w:p>
    <w:p>
      <w:pPr>
        <w:spacing w:after="0" w:line="233"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2360" w:type="dxa"/>
            <w:vAlign w:val="bottom"/>
            <w:gridSpan w:val="4"/>
          </w:tcPr>
          <w:p>
            <w:pPr>
              <w:ind w:left="720"/>
              <w:spacing w:after="0"/>
              <w:rPr>
                <w:sz w:val="20"/>
                <w:szCs w:val="20"/>
                <w:color w:val="auto"/>
              </w:rPr>
            </w:pPr>
            <w:r>
              <w:rPr>
                <w:rFonts w:ascii="Arial" w:cs="Arial" w:eastAsia="Arial" w:hAnsi="Arial"/>
                <w:sz w:val="18"/>
                <w:szCs w:val="18"/>
                <w:b w:val="1"/>
                <w:bCs w:val="1"/>
                <w:color w:val="auto"/>
                <w:w w:val="96"/>
              </w:rPr>
              <w:t>Nine Months Ended</w:t>
            </w:r>
          </w:p>
        </w:tc>
      </w:tr>
      <w:tr>
        <w:trPr>
          <w:trHeight w:val="230"/>
        </w:trPr>
        <w:tc>
          <w:tcPr>
            <w:tcW w:w="7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September 30, 2014</w:t>
            </w:r>
          </w:p>
        </w:tc>
      </w:tr>
      <w:tr>
        <w:trPr>
          <w:trHeight w:val="234"/>
        </w:trPr>
        <w:tc>
          <w:tcPr>
            <w:tcW w:w="7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(unaudited)</w:t>
            </w:r>
          </w:p>
        </w:tc>
      </w:tr>
      <w:tr>
        <w:trPr>
          <w:trHeight w:val="210"/>
        </w:trPr>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23,930,726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Net change in unrealized depreciation from investments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(1,571,512)</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Excess capital gains over capital losses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1,896,806</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Income not currently taxable</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(127,231)</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Expenses not currently deductible</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534,527</w:t>
            </w:r>
          </w:p>
        </w:tc>
        <w:tc>
          <w:tcPr>
            <w:tcW w:w="100" w:type="dxa"/>
            <w:vAlign w:val="bottom"/>
            <w:shd w:val="clear" w:color="auto" w:fill="CCEEFF"/>
          </w:tcPr>
          <w:p>
            <w:pPr>
              <w:spacing w:after="0"/>
              <w:rPr>
                <w:sz w:val="18"/>
                <w:szCs w:val="18"/>
                <w:color w:val="auto"/>
              </w:rPr>
            </w:pPr>
          </w:p>
        </w:tc>
      </w:tr>
      <w:tr>
        <w:trPr>
          <w:trHeight w:val="230"/>
        </w:trPr>
        <w:tc>
          <w:tcPr>
            <w:tcW w:w="79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23"/>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Taxable income before deductions for distributions</w:t>
            </w:r>
          </w:p>
        </w:tc>
        <w:tc>
          <w:tcPr>
            <w:tcW w:w="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24,663,316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w w:val="98"/>
              </w:rPr>
              <w:t>Taxable income before deductions for distributions per weighted average basic shares for the period</w:t>
            </w: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0.74</w:t>
            </w:r>
          </w:p>
        </w:tc>
      </w:tr>
    </w:tbl>
    <w:p>
      <w:pPr>
        <w:spacing w:after="0" w:line="202"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Tax-basis taxable income differs from net increase (decrease) in net assets resulting from operations primarily due to: (1) unrealized appreciation (depreciation) on investments, as investment gains and losses are not included in tax-basis taxable income until they are realized; (2) excess of capital gains over capital losses; (3) amortization of discount on CLO Fund securities; (4) non-deductible expenses; (5) stock compensation and rent expenses that are not currently deductible for tax purposes; and (6) recognition of interest income on certain loans.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Distributions to shareholders which exceed tax distributable income (tax net investment income and realized gains, if any) are reported as distributions of paid-in capital (i.e. return of capital). The tax character of distributions is made on an annual (full calendar-year) basis, at the end of the year, and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187" w:lineRule="exact"/>
        <w:rPr>
          <w:sz w:val="20"/>
          <w:szCs w:val="20"/>
          <w:color w:val="auto"/>
        </w:rPr>
      </w:pPr>
    </w:p>
    <w:p>
      <w:pPr>
        <w:jc w:val="both"/>
        <w:ind w:right="240" w:firstLine="324"/>
        <w:spacing w:after="0" w:line="286" w:lineRule="auto"/>
        <w:rPr>
          <w:sz w:val="20"/>
          <w:szCs w:val="20"/>
          <w:color w:val="auto"/>
        </w:rPr>
      </w:pPr>
      <w:r>
        <w:rPr>
          <w:rFonts w:ascii="Arial" w:cs="Arial" w:eastAsia="Arial" w:hAnsi="Arial"/>
          <w:sz w:val="17"/>
          <w:szCs w:val="17"/>
          <w:color w:val="auto"/>
        </w:rPr>
        <w:t>On September 19, 2014, the Company’s Board of Directors declared a distribution to shareholders of $0.25 per share for a total of approximately $9.2 million. The record date was October 14, 2014 and the distribution was made on October 29, 2014. The estimated tax character of distributions paid during the nine months ended September 30, 2014 and for the year ended December 31, 2013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Nine Months ended</w:t>
            </w:r>
          </w:p>
        </w:tc>
        <w:tc>
          <w:tcPr>
            <w:tcW w:w="20" w:type="dxa"/>
            <w:vAlign w:val="bottom"/>
          </w:tcPr>
          <w:p>
            <w:pPr>
              <w:spacing w:after="0"/>
              <w:rPr>
                <w:sz w:val="18"/>
                <w:szCs w:val="18"/>
                <w:color w:val="auto"/>
              </w:rPr>
            </w:pPr>
          </w:p>
        </w:tc>
        <w:tc>
          <w:tcPr>
            <w:tcW w:w="1800" w:type="dxa"/>
            <w:vAlign w:val="bottom"/>
            <w:gridSpan w:val="4"/>
          </w:tcPr>
          <w:p>
            <w:pPr>
              <w:spacing w:after="0"/>
              <w:rPr>
                <w:sz w:val="20"/>
                <w:szCs w:val="20"/>
                <w:color w:val="auto"/>
              </w:rPr>
            </w:pPr>
            <w:r>
              <w:rPr>
                <w:rFonts w:ascii="Arial" w:cs="Arial" w:eastAsia="Arial" w:hAnsi="Arial"/>
                <w:sz w:val="18"/>
                <w:szCs w:val="18"/>
                <w:b w:val="1"/>
                <w:bCs w:val="1"/>
                <w:color w:val="auto"/>
                <w:w w:val="94"/>
              </w:rPr>
              <w:t>Year ended December</w:t>
            </w:r>
          </w:p>
        </w:tc>
      </w:tr>
      <w:tr>
        <w:trPr>
          <w:trHeight w:val="234"/>
        </w:trPr>
        <w:tc>
          <w:tcPr>
            <w:tcW w:w="37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305"/>
              <w:spacing w:after="0"/>
              <w:rPr>
                <w:sz w:val="20"/>
                <w:szCs w:val="20"/>
                <w:color w:val="auto"/>
              </w:rPr>
            </w:pPr>
            <w:r>
              <w:rPr>
                <w:rFonts w:ascii="Arial" w:cs="Arial" w:eastAsia="Arial" w:hAnsi="Arial"/>
                <w:sz w:val="18"/>
                <w:szCs w:val="18"/>
                <w:b w:val="1"/>
                <w:bCs w:val="1"/>
                <w:color w:val="auto"/>
                <w:w w:val="92"/>
              </w:rPr>
              <w:t>September 30,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670"/>
              <w:spacing w:after="0"/>
              <w:rPr>
                <w:sz w:val="20"/>
                <w:szCs w:val="20"/>
                <w:color w:val="auto"/>
              </w:rPr>
            </w:pPr>
            <w:r>
              <w:rPr>
                <w:rFonts w:ascii="Arial" w:cs="Arial" w:eastAsia="Arial" w:hAnsi="Arial"/>
                <w:sz w:val="18"/>
                <w:szCs w:val="18"/>
                <w:b w:val="1"/>
                <w:bCs w:val="1"/>
                <w:color w:val="auto"/>
              </w:rPr>
              <w:t>31,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370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Distributions paid from:</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Ordinary income</w:t>
            </w:r>
          </w:p>
        </w:tc>
        <w:tc>
          <w:tcPr>
            <w:tcW w:w="208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5"/>
              <w:spacing w:after="0"/>
              <w:rPr>
                <w:sz w:val="20"/>
                <w:szCs w:val="20"/>
                <w:color w:val="auto"/>
              </w:rPr>
            </w:pPr>
            <w:r>
              <w:rPr>
                <w:rFonts w:ascii="Arial" w:cs="Arial" w:eastAsia="Arial" w:hAnsi="Arial"/>
                <w:sz w:val="18"/>
                <w:szCs w:val="18"/>
                <w:color w:val="auto"/>
              </w:rPr>
              <w:t>24,663,316</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29,296,146</w:t>
            </w:r>
          </w:p>
        </w:tc>
        <w:tc>
          <w:tcPr>
            <w:tcW w:w="60" w:type="dxa"/>
            <w:vAlign w:val="bottom"/>
          </w:tcPr>
          <w:p>
            <w:pPr>
              <w:spacing w:after="0"/>
              <w:rPr>
                <w:sz w:val="18"/>
                <w:szCs w:val="18"/>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Tax Return of Capital</w:t>
            </w:r>
          </w:p>
        </w:tc>
        <w:tc>
          <w:tcPr>
            <w:tcW w:w="1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974,215</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5,864,993</w:t>
            </w:r>
          </w:p>
        </w:tc>
        <w:tc>
          <w:tcPr>
            <w:tcW w:w="60" w:type="dxa"/>
            <w:vAlign w:val="bottom"/>
            <w:shd w:val="clear" w:color="auto" w:fill="CCEEFF"/>
          </w:tcPr>
          <w:p>
            <w:pPr>
              <w:spacing w:after="0"/>
              <w:rPr>
                <w:sz w:val="19"/>
                <w:szCs w:val="19"/>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25,637,531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1</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35,161,139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8"/>
        <w:spacing w:after="0" w:line="277"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Comprised of the first quarter distribution paid in April 2014, the second quarter distribution paid in July 2014, and the third quarter distribution paid in October 2014.</w:t>
      </w:r>
    </w:p>
    <w:p>
      <w:pPr>
        <w:spacing w:after="0" w:line="17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At September 30, 2014, the Company had a net capital loss carryforward of $70 million to offset net capital gains, to the extent provided by federal tax law. The capital loss carryforward will begin to expire in the tax year ending December 31, 2015.</w:t>
      </w:r>
    </w:p>
    <w:p>
      <w:pPr>
        <w:spacing w:after="0" w:line="170"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The Company adopted Financial Accounting Standards Board ASC Topic 740: Accounting for Uncertainty in Income Taxes (“ASC 740”) as of January 1, 2007.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September 30, 2014, the Company had $6 million of outstanding commitments: $1 million to make an investment in a delayed draw loan; $5 million to make an investment in a revolving loan under the Trimaran Credit Facility.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During the nine months ended September 30, 2014 and 2013, the Company issued 69,762 and 54,037 shares, respectively, of common stock under its dividend reinvestment plan. As of September 30, 2014 and December 31, 2013, there were 619,785 and 272,998 shares of unvested restricted shares, respectively. There were 360,289 grants, 8,502 forfeitures, and 5,000 vested shares during the nine months ended September 30, 2014. On February 14, 2013, the Company completed a public offering of 5,232,500 shares of common stock, which included the underwriters’ full exercise of their option to purchase up to 682,500 shares of common stock, at a price of $9.75 per share. In conjunction with this offering, the Company also sold 200,000 shares of common stock to a member of its Board of Directors, at a price of $9.31 per share, raising approximately $1.9 million in gross proceeds. On April 4, 2013, approximately $9 million of the Company’s 8.75% Convertible Notes were converted at a price basis per share of $8.16 into 1,102,093 shares of KCAP common stock. The total number of shares of the Company’s common stock issued and outstanding as of September 30, 2014 and December 31, 2013 was 33,753,672 and 33,332,123,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PLAN</w:t>
      </w:r>
    </w:p>
    <w:p>
      <w:pPr>
        <w:spacing w:after="0" w:line="22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Company has an equity incentive plan established in 2006 and as amended in 2008 and most recently in June 2014, (the “Equity Incentive Plan”). The Company reserved 2,000,000 shares of common stock for issuance under the Equity Incentive Plan. The purpose of the Equity Incentive Plan is to provide officers and prospective employees of the Company with additional incentives and align the interests of its employees with those of its shareholders. Options that were granted under the Equity Incentive Plan are exercisable at a price equal to the fair market value (market closing price) of the shares on the day the option was granted. Restricted stock granted under the Equity Incentive Plan is granted at a price equal to the fair market value (market closing price) of the shares on the day such restricted stock is granted. Vesting of restricted stock awarded under the 2008 amendment of the Equity Incentive Plan will occur in two equal installments of 50%, on each of the third and fourth anniversaries of the grant date; vesting of restricted stock under the 2014 amended Equity Incentive Plan will vest in four equal installments of 25%, on each of the first four anniversaries of the grant date.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On June 20, 2014, the Company’s Board of Directors approved the amended and restated the Non-Employee Director Plan (the “Non-Employee Director Plan”), which was originally approved by shareholders on June 10, 2011. Accordingly, the annual grant of options to non-employee directors has been discontinued and replaced with an annual grant of shares of restricted stock as partial annual compensation for the services of the non-employee directors.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52" w:name="page53"/>
    <w:bookmarkEnd w:id="52"/>
    <w:p>
      <w:pPr>
        <w:ind w:right="100" w:firstLine="324"/>
        <w:spacing w:after="0" w:line="277" w:lineRule="auto"/>
        <w:rPr>
          <w:sz w:val="20"/>
          <w:szCs w:val="20"/>
          <w:color w:val="auto"/>
        </w:rPr>
      </w:pPr>
      <w:r>
        <w:rPr>
          <w:rFonts w:ascii="Arial" w:cs="Arial" w:eastAsia="Arial" w:hAnsi="Arial"/>
          <w:sz w:val="18"/>
          <w:szCs w:val="18"/>
          <w:color w:val="auto"/>
        </w:rPr>
        <w:t>Information with respect to options granted, exercised or forfeited under the Equity Incentive Plan for the period January 1, 2013 through September 30, 2014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4"/>
          </w:tcPr>
          <w:p>
            <w:pPr>
              <w:ind w:left="80"/>
              <w:spacing w:after="0"/>
              <w:rPr>
                <w:sz w:val="20"/>
                <w:szCs w:val="20"/>
                <w:color w:val="auto"/>
              </w:rPr>
            </w:pPr>
            <w:r>
              <w:rPr>
                <w:rFonts w:ascii="Arial" w:cs="Arial" w:eastAsia="Arial" w:hAnsi="Arial"/>
                <w:sz w:val="18"/>
                <w:szCs w:val="18"/>
                <w:b w:val="1"/>
                <w:bCs w:val="1"/>
                <w:color w:val="auto"/>
              </w:rPr>
              <w:t>Weighted Average</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80"/>
        </w:trPr>
        <w:tc>
          <w:tcPr>
            <w:tcW w:w="5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4"/>
          </w:tcPr>
          <w:p>
            <w:pPr>
              <w:ind w:left="80"/>
              <w:spacing w:after="0" w:line="181" w:lineRule="exact"/>
              <w:rPr>
                <w:sz w:val="20"/>
                <w:szCs w:val="20"/>
                <w:color w:val="auto"/>
              </w:rPr>
            </w:pPr>
            <w:r>
              <w:rPr>
                <w:rFonts w:ascii="Arial" w:cs="Arial" w:eastAsia="Arial" w:hAnsi="Arial"/>
                <w:sz w:val="18"/>
                <w:szCs w:val="18"/>
                <w:b w:val="1"/>
                <w:bCs w:val="1"/>
                <w:color w:val="auto"/>
              </w:rPr>
              <w:t>Exercise Price per</w:t>
            </w:r>
          </w:p>
        </w:tc>
        <w:tc>
          <w:tcPr>
            <w:tcW w:w="1540" w:type="dxa"/>
            <w:vAlign w:val="bottom"/>
            <w:gridSpan w:val="2"/>
          </w:tcPr>
          <w:p>
            <w:pPr>
              <w:jc w:val="center"/>
              <w:ind w:right="160"/>
              <w:spacing w:after="0" w:line="181" w:lineRule="exact"/>
              <w:rPr>
                <w:sz w:val="20"/>
                <w:szCs w:val="20"/>
                <w:color w:val="auto"/>
              </w:rPr>
            </w:pPr>
            <w:r>
              <w:rPr>
                <w:rFonts w:ascii="Arial" w:cs="Arial" w:eastAsia="Arial" w:hAnsi="Arial"/>
                <w:sz w:val="18"/>
                <w:szCs w:val="18"/>
                <w:b w:val="1"/>
                <w:bCs w:val="1"/>
                <w:color w:val="auto"/>
                <w:w w:val="92"/>
              </w:rPr>
              <w:t>Remaining Term</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360" w:type="dxa"/>
            <w:vAlign w:val="bottom"/>
          </w:tcPr>
          <w:p>
            <w:pPr>
              <w:spacing w:after="0"/>
              <w:rPr>
                <w:sz w:val="23"/>
                <w:szCs w:val="23"/>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Share</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(years)</w:t>
            </w:r>
          </w:p>
        </w:tc>
        <w:tc>
          <w:tcPr>
            <w:tcW w:w="100" w:type="dxa"/>
            <w:vAlign w:val="bottom"/>
          </w:tcPr>
          <w:p>
            <w:pPr>
              <w:spacing w:after="0"/>
              <w:rPr>
                <w:sz w:val="23"/>
                <w:szCs w:val="23"/>
                <w:color w:val="auto"/>
              </w:rPr>
            </w:pPr>
          </w:p>
        </w:tc>
        <w:tc>
          <w:tcPr>
            <w:tcW w:w="1360" w:type="dxa"/>
            <w:vAlign w:val="bottom"/>
            <w:gridSpan w:val="3"/>
          </w:tcPr>
          <w:p>
            <w:pPr>
              <w:ind w:left="20"/>
              <w:spacing w:after="0" w:line="269" w:lineRule="exact"/>
              <w:rPr>
                <w:sz w:val="20"/>
                <w:szCs w:val="20"/>
                <w:color w:val="auto"/>
              </w:rPr>
            </w:pPr>
            <w:r>
              <w:rPr>
                <w:rFonts w:ascii="Arial" w:cs="Arial" w:eastAsia="Arial" w:hAnsi="Arial"/>
                <w:sz w:val="18"/>
                <w:szCs w:val="18"/>
                <w:b w:val="1"/>
                <w:bCs w:val="1"/>
                <w:color w:val="auto"/>
                <w:w w:val="98"/>
              </w:rPr>
              <w:t>Intrinsic Value</w:t>
            </w:r>
            <w:r>
              <w:rPr>
                <w:rFonts w:ascii="Arial" w:cs="Arial" w:eastAsia="Arial" w:hAnsi="Arial"/>
                <w:sz w:val="30"/>
                <w:szCs w:val="30"/>
                <w:b w:val="1"/>
                <w:bCs w:val="1"/>
                <w:color w:val="auto"/>
                <w:w w:val="98"/>
                <w:vertAlign w:val="superscript"/>
              </w:rPr>
              <w:t>1</w:t>
            </w: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2012</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2013</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w:t>
            </w:r>
          </w:p>
        </w:tc>
        <w:tc>
          <w:tcPr>
            <w:tcW w:w="15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26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127,600</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2014</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w:t>
            </w:r>
          </w:p>
        </w:tc>
        <w:tc>
          <w:tcPr>
            <w:tcW w:w="15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26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137,200</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Total vested at September 30, 2014</w:t>
            </w: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7.72</w:t>
            </w:r>
          </w:p>
        </w:tc>
        <w:tc>
          <w:tcPr>
            <w:tcW w:w="15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60" w:type="dxa"/>
            <w:vAlign w:val="bottom"/>
            <w:vMerge w:val="continue"/>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120" w:hanging="112"/>
        <w:spacing w:after="0"/>
        <w:tabs>
          <w:tab w:leader="none" w:pos="12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Represents the difference between the market value of shares of the Company and the exercise price of the options.</w:t>
      </w:r>
    </w:p>
    <w:p>
      <w:pPr>
        <w:spacing w:after="0" w:line="20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Company uses a Binary Option Pricing Model (American, call option) to establish the expected value of all stock option grants. For the nine months ended September 30, 2014 and 2013, the Company did not recognize any non-cash compensation expense related to stock options. At September 30, 2014, the Company had no remaining compensation cost related to unvested stock based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On June 10, 2011, pursuant to the Non-Employee Director Plan, the Board of Directors approved the grant of 4,000 shares of restricted stock to the non-employee directors of the Company as partial annual compensation for their services as director.</w:t>
      </w:r>
    </w:p>
    <w:p>
      <w:pPr>
        <w:spacing w:after="0" w:line="17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Awards of restricted stock granted under the Non-Employee Director Plan vest as follows: 50% of the shares vest on the grant date and the remaining 50% of the shares vest on the earlier of:</w:t>
      </w:r>
    </w:p>
    <w:p>
      <w:pPr>
        <w:spacing w:after="0" w:line="170"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first anniversary of such grant, 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immediately preceding the next annual meeting of shareholders.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June 15, 2012, 5,000 shares of restricted stock were awarded to the Company’s Board of Directors.</w:t>
      </w:r>
    </w:p>
    <w:p>
      <w:pPr>
        <w:spacing w:after="0" w:line="22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During 2012, the Company’s Board of Directors approved the grant of 29,757 shares of restricted stock to employees of the Company as partial compensation for their services. 50% of such shares will vest on the third anniversary of the grant date and the remainder will vest on the fourth anniversary of the grant date.</w:t>
      </w:r>
    </w:p>
    <w:p>
      <w:pPr>
        <w:spacing w:after="0" w:line="181"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On May 5, 2013, the Company’s Board of Directors approved the grant of 240,741 shares of restricted stock to the employees of the Company as partial compensation for their services. 50% of such awards will vest on the third anniversary of the grant date and the remaining 50% of the shares will vest on the fourth anniversary of the grant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June 14, 2013, 5,000 shares of restricted stock were awarded to the Company’s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June 20, 2014, 5,000 shares of restricted stock were awarded to the Company’s Board of Directors.</w:t>
      </w:r>
    </w:p>
    <w:p>
      <w:pPr>
        <w:spacing w:after="0" w:line="225"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During the nine months ended September 30, 2014, the Company’s Board of Directors approved the grant of 355,289 shares of restricted stock to the employees of the Company as partial compensation for their services. 25% of such awards will vest on each of the first four anniversaries of the grant date. During the nine months ended September 30, 2014, 5,000 shares of restricted stock vested and 8,502 shares of restricted stock were forfeited.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3" w:name="page54"/>
    <w:bookmarkEnd w:id="53"/>
    <w:p>
      <w:pPr>
        <w:ind w:right="80" w:firstLine="324"/>
        <w:spacing w:after="0" w:line="277" w:lineRule="auto"/>
        <w:rPr>
          <w:sz w:val="20"/>
          <w:szCs w:val="20"/>
          <w:color w:val="auto"/>
        </w:rPr>
      </w:pPr>
      <w:r>
        <w:rPr>
          <w:rFonts w:ascii="Arial" w:cs="Arial" w:eastAsia="Arial" w:hAnsi="Arial"/>
          <w:sz w:val="18"/>
          <w:szCs w:val="18"/>
          <w:color w:val="auto"/>
        </w:rPr>
        <w:t>Information with respect to restricted stock granted, exercised and forfeited under the Plan for the period January 1, 2013 through September 30, 2014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Non-vested</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Restricted</w:t>
            </w:r>
          </w:p>
        </w:tc>
        <w:tc>
          <w:tcPr>
            <w:tcW w:w="0" w:type="dxa"/>
            <w:vAlign w:val="bottom"/>
          </w:tcPr>
          <w:p>
            <w:pPr>
              <w:spacing w:after="0"/>
              <w:rPr>
                <w:sz w:val="1"/>
                <w:szCs w:val="1"/>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shares outstanding at December 31, 2012</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32,257</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245,741</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shares outstanding at December 31, 2013</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272,998</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360,289</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(8,502)</w:t>
            </w:r>
          </w:p>
        </w:tc>
        <w:tc>
          <w:tcPr>
            <w:tcW w:w="0" w:type="dxa"/>
            <w:vAlign w:val="bottom"/>
          </w:tcPr>
          <w:p>
            <w:pPr>
              <w:spacing w:after="0"/>
              <w:rPr>
                <w:sz w:val="1"/>
                <w:szCs w:val="1"/>
                <w:color w:val="auto"/>
              </w:rPr>
            </w:pPr>
          </w:p>
        </w:tc>
      </w:tr>
      <w:tr>
        <w:trPr>
          <w:trHeight w:val="20"/>
        </w:trPr>
        <w:tc>
          <w:tcPr>
            <w:tcW w:w="56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Non-Vested Outstanding at September 30, 2014</w:t>
            </w: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vMerge w:val="continue"/>
            <w:shd w:val="clear" w:color="auto" w:fill="CCEEFF"/>
          </w:tcPr>
          <w:p>
            <w:pPr>
              <w:spacing w:after="0"/>
              <w:rPr>
                <w:sz w:val="22"/>
                <w:szCs w:val="22"/>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619,785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For the nine months ended September 30, 2014, non-cash compensation expense related to restricted stock was approximately $768,000; of this amount approximately $376,000 was expensed at the Company, and approximately $392,000 was a reimbursable expense allocated to the Asset Manager Affiliates. For the nine months ended September 30, 2013, non-cash compensation expense related to restricted stock was approximately $338,000; of this amount approximately $178,000 was expensed at the Company and approximately $161,000 was a reimbursable expense allocated to the Asset Manager Affiliates.</w:t>
      </w:r>
    </w:p>
    <w:p>
      <w:pPr>
        <w:spacing w:after="0" w:line="154"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Dividends are paid on all outstanding shares of restricted stock, whether or not vested. In general, shares of unvested restricted stock are forfeited upon the recipient’s termination of employment. As of September 30, 2014, the company had approximately $4.4 million of total unrecognized compensation cost related to non-vested share-based awards. That cost is expected to be recognized over a weighted average period of 3.2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EMPLOYEE COMPENSATION</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adopted a 401(k) plan (“401K Plan”) effective January 1, 2007. The 401K Plan is open to all full time employees. The 401K Plan permits an employee to defer a portion of their total annual compensation up to the Internal Revenue Service annual maximum based on age and eligibility. The Company makes contributions to the 401K Plan of up to 2% of the Internal Revenue Service’s annual maximum eligible compensation, which fully vests at the time of contribution. Approximately $38,000 and $47,000 was expensed during the nine months ended September 30, 2014 and 2013, respectively, related to the 401K Plan.</w:t>
      </w:r>
    </w:p>
    <w:p>
      <w:pPr>
        <w:spacing w:after="0" w:line="188"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The Company has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Approximately $184,000 and $135,000 was expensed during the nine months ended September 30, 2014 and 2013, respectively, related to the Profit-Sharing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On October 6, 2014, the Company priced a follow-on public offering of 3.0 million shares of its common stock at a price of $8.02 per share. The offering raised net proceeds were approximately $23.9 million, after deducting underwriting discounts and offering expenses.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October 9, 2014, the Company purchased approximately $10.4 million face value of its own Convertible Notes at $114.875 plus accrued interest.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KCAP subsequently surrendered these notes to the Trustee for cancellation.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54" w:name="page55"/>
    <w:bookmarkEnd w:id="54"/>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280" w:firstLine="414"/>
        <w:spacing w:after="0" w:line="277" w:lineRule="auto"/>
        <w:rPr>
          <w:sz w:val="20"/>
          <w:szCs w:val="20"/>
          <w:color w:val="auto"/>
        </w:rPr>
      </w:pPr>
      <w:r>
        <w:rPr>
          <w:rFonts w:ascii="Arial" w:cs="Arial" w:eastAsia="Arial" w:hAnsi="Arial"/>
          <w:sz w:val="18"/>
          <w:szCs w:val="18"/>
          <w:color w:val="auto"/>
        </w:rPr>
        <w:t>In this Quarterly Report on Form 10-Q, “KCAP Financial,” “Company,” “we,” “us,” and “our” refer to KCAP Financial, Inc., and its wholly-owned subsidiaries.</w:t>
      </w:r>
    </w:p>
    <w:p>
      <w:pPr>
        <w:spacing w:after="0" w:line="170" w:lineRule="exact"/>
        <w:rPr>
          <w:sz w:val="20"/>
          <w:szCs w:val="20"/>
          <w:color w:val="auto"/>
        </w:rPr>
      </w:pPr>
    </w:p>
    <w:p>
      <w:pPr>
        <w:ind w:firstLine="414"/>
        <w:spacing w:after="0" w:line="287" w:lineRule="auto"/>
        <w:rPr>
          <w:sz w:val="20"/>
          <w:szCs w:val="20"/>
          <w:color w:val="auto"/>
        </w:rPr>
      </w:pPr>
      <w:r>
        <w:rPr>
          <w:rFonts w:ascii="Arial" w:cs="Arial" w:eastAsia="Arial" w:hAnsi="Arial"/>
          <w:sz w:val="16"/>
          <w:szCs w:val="16"/>
          <w:color w:val="auto"/>
        </w:rPr>
        <w:t>The information contained in this section should be read in conjunction with our consolidated financial statements and notes thereto appearing elsewhere in this Quarterly Report and in conjunction with the consolidated financial statements and notes thereto in the Company’s Form 10-K for the year ended December 31, 2013, as filed with the U.S. Securities and Exchange Commission (the “Commission” or the “SEC”). In addition, some of the statements in this report constitute forward-looking statements. The matters discussed in this Quarterly Report, as well as in future oral and written statements by management of KCAP Financial,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“believes,” “estimates,” “predicts,” “potential” or “continue” or the negative of these terms or other similar words. Important assumptions include our ability to originate new investments, achieve certain margins and levels of profitability, the availability of additional capital, and the ability to maintain certain debt to asset ratios. In light of these and other uncertainties, the inclusion of a projection or forward-looking statement in this Quarterly Report should not be regarded as a representation by us that our plans or objectives will be achieved. The forward-looking statements contained in this Quarterly Report include statements as to:</w:t>
      </w:r>
    </w:p>
    <w:p>
      <w:pPr>
        <w:spacing w:after="0" w:line="169" w:lineRule="exact"/>
        <w:rPr>
          <w:sz w:val="20"/>
          <w:szCs w:val="20"/>
          <w:color w:val="auto"/>
        </w:rPr>
      </w:pPr>
    </w:p>
    <w:p>
      <w:pPr>
        <w:ind w:left="920" w:hanging="331"/>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regulatory structure and tax treatment;</w:t>
      </w:r>
    </w:p>
    <w:p>
      <w:pPr>
        <w:spacing w:after="0" w:line="225" w:lineRule="exact"/>
        <w:rPr>
          <w:rFonts w:ascii="Arial" w:cs="Arial" w:eastAsia="Arial" w:hAnsi="Arial"/>
          <w:sz w:val="18"/>
          <w:szCs w:val="18"/>
          <w:color w:val="auto"/>
        </w:rPr>
      </w:pPr>
    </w:p>
    <w:p>
      <w:pPr>
        <w:ind w:left="920" w:right="480" w:hanging="331"/>
        <w:spacing w:after="0" w:line="277" w:lineRule="auto"/>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operate as a business development company and a regulated investment company, including the impact of changes in laws or regulations governing our operations, or the operations of our portfolio companies;</w:t>
      </w:r>
    </w:p>
    <w:p>
      <w:pPr>
        <w:spacing w:after="0" w:line="170" w:lineRule="exact"/>
        <w:rPr>
          <w:rFonts w:ascii="Arial" w:cs="Arial" w:eastAsia="Arial" w:hAnsi="Arial"/>
          <w:sz w:val="18"/>
          <w:szCs w:val="18"/>
          <w:color w:val="auto"/>
        </w:rPr>
      </w:pPr>
    </w:p>
    <w:p>
      <w:pPr>
        <w:ind w:left="920" w:hanging="331"/>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conditions and our ability to access additional capital; and</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There are a number of important risks and uncertainties that could cause our actual results to differ materially from those indicated by such forward-looking statements. For a discussion of factors that could cause our actual results to differ from forward-looking statements contained in this Quarterly Report, please see the discussion in Part II, “Item 1A. Risk Factors”, and in Part I, “Item 1A. Risk Factors” in our Annual Report on Form 10-K for the fiscal year ended December 31, 2013. You should not place undue reliance on these forward-looking statements. The forward-looking statements made in this Quarterly Report relate only to events as of the date on which the statements are made. We undertake no obligation to update any forward-looking statement to reflect events or circumstances occurring after the date this Quarterly Report is filed with the SEC.</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are an internally managed, non-diversified closed-end investment company that is regulated as a Business Development Company, or BDC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Investment Act of 1940 (the “1940 Act”). We have three principal areas of investments:</w:t>
      </w:r>
    </w:p>
    <w:p>
      <w:pPr>
        <w:spacing w:after="0" w:line="211" w:lineRule="exact"/>
        <w:rPr>
          <w:sz w:val="20"/>
          <w:szCs w:val="20"/>
          <w:color w:val="auto"/>
        </w:rPr>
      </w:pPr>
    </w:p>
    <w:p>
      <w:pPr>
        <w:ind w:right="360" w:firstLine="270"/>
        <w:spacing w:after="0" w:line="277" w:lineRule="auto"/>
        <w:rPr>
          <w:sz w:val="20"/>
          <w:szCs w:val="20"/>
          <w:color w:val="auto"/>
        </w:rPr>
      </w:pPr>
      <w:r>
        <w:rPr>
          <w:rFonts w:ascii="Arial" w:cs="Arial" w:eastAsia="Arial" w:hAnsi="Arial"/>
          <w:sz w:val="18"/>
          <w:szCs w:val="18"/>
          <w:color w:val="auto"/>
        </w:rPr>
        <w:t>First, we originate, structure, and invest in senior secured term loans, mezzanine debt and selected equity securities primarily in privately-held middle market companies (the “Debt Securities Portfolio”).</w:t>
      </w:r>
    </w:p>
    <w:p>
      <w:pPr>
        <w:spacing w:after="0" w:line="170"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color w:val="auto"/>
        </w:rPr>
        <w:t>Second, we have invested in wholly-owned asset management companies (Katonah Debt Advisors, L.C.C., and Trimaran Advisors, L.L.C., collectively the “Asset Manager Affiliates”).</w:t>
      </w:r>
    </w:p>
    <w:p>
      <w:pPr>
        <w:spacing w:after="0" w:line="170"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auto"/>
        </w:rPr>
        <w:t>Third, we invest in debt and equity securities issued by CLO Funds managed by our Asset Manager Affiliates or by other asset managers (the “CLO Fund Securities”).</w:t>
      </w:r>
    </w:p>
    <w:p>
      <w:pPr>
        <w:spacing w:after="0" w:line="170" w:lineRule="exact"/>
        <w:rPr>
          <w:sz w:val="20"/>
          <w:szCs w:val="20"/>
          <w:color w:val="auto"/>
        </w:rPr>
      </w:pPr>
    </w:p>
    <w:p>
      <w:pPr>
        <w:ind w:right="240" w:firstLine="270"/>
        <w:spacing w:after="0" w:line="271" w:lineRule="auto"/>
        <w:rPr>
          <w:sz w:val="20"/>
          <w:szCs w:val="20"/>
          <w:color w:val="auto"/>
        </w:rPr>
      </w:pPr>
      <w:r>
        <w:rPr>
          <w:rFonts w:ascii="Arial" w:cs="Arial" w:eastAsia="Arial" w:hAnsi="Arial"/>
          <w:sz w:val="17"/>
          <w:szCs w:val="17"/>
          <w:color w:val="auto"/>
        </w:rPr>
        <w:t>In our Debt Securities Portfolio, our investment objective is to generate current income and, to a lesser extent capital appreciation from the investments made by our middle market business in senior secured term loans, mezzanine debt and selected equity investments in privately-held middle market companies. We define the middle market as comprising companies with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While our primary investment focus is on making loans to, and selected equity investments in, privately-held middle market companies, we may also invest in other investments such as loans to smaller companies or larger, publicly-traded companies, high-yield bonds and distressed debt securities. We may also receive warrants or options to purchase common stock in connection with our debt investments.</w:t>
      </w:r>
    </w:p>
    <w:p>
      <w:pPr>
        <w:spacing w:after="0" w:line="179"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color w:val="auto"/>
        </w:rPr>
        <w:t>From our Asset Manager Affiliates investment, we expect to receive recurring dividend distributions and to generate capital appreciation through the addition of new collateralized loan obligation funds (“CLO Funds”) to manage. The Asset Manager Affiliates manage CLO Funds which invest in broadly syndicated loans, high-yield bonds and other credit instruments. Collectively the Asset Manager Affiliates have approximately $3.3 billion of par value assets under management as of September 30, 2014. The Asset Manager Affiliates are registered under the Investment Advisers Act of 1940, and are managed independently from the Company by a separate portfolio management team.</w:t>
      </w:r>
    </w:p>
    <w:p>
      <w:pPr>
        <w:spacing w:after="0" w:line="188" w:lineRule="exact"/>
        <w:rPr>
          <w:sz w:val="20"/>
          <w:szCs w:val="20"/>
          <w:color w:val="auto"/>
        </w:rPr>
      </w:pPr>
    </w:p>
    <w:p>
      <w:pPr>
        <w:ind w:right="320" w:firstLine="270"/>
        <w:spacing w:after="0" w:line="264" w:lineRule="auto"/>
        <w:rPr>
          <w:sz w:val="20"/>
          <w:szCs w:val="20"/>
          <w:color w:val="auto"/>
        </w:rPr>
      </w:pPr>
      <w:r>
        <w:rPr>
          <w:rFonts w:ascii="Arial" w:cs="Arial" w:eastAsia="Arial" w:hAnsi="Arial"/>
          <w:sz w:val="18"/>
          <w:szCs w:val="18"/>
          <w:color w:val="auto"/>
        </w:rPr>
        <w:t>In addition, our investments in CLO Fund Securities, which are primarily made up of a minority investment in the subordinated securities or preferred stock of CLO Funds raised and managed by our Asset Manager Affiliates, are anticipated to provide the Company with recurring cash distributions and complement the growth of our Asset Manager Affiliates.</w:t>
      </w:r>
    </w:p>
    <w:p>
      <w:pPr>
        <w:spacing w:after="0" w:line="181" w:lineRule="exact"/>
        <w:rPr>
          <w:sz w:val="20"/>
          <w:szCs w:val="20"/>
          <w:color w:val="auto"/>
        </w:rPr>
      </w:pPr>
    </w:p>
    <w:p>
      <w:pPr>
        <w:jc w:val="both"/>
        <w:ind w:right="360" w:firstLine="270"/>
        <w:spacing w:after="0" w:line="264" w:lineRule="auto"/>
        <w:rPr>
          <w:sz w:val="20"/>
          <w:szCs w:val="20"/>
          <w:color w:val="auto"/>
        </w:rPr>
      </w:pPr>
      <w:r>
        <w:rPr>
          <w:rFonts w:ascii="Arial" w:cs="Arial" w:eastAsia="Arial" w:hAnsi="Arial"/>
          <w:sz w:val="18"/>
          <w:szCs w:val="18"/>
          <w:color w:val="auto"/>
        </w:rPr>
        <w:t>We intend to grow our entire portfolio of investments by raising additional capital, including through the prudent use of leverage available to us. As a BDC, we are limited in the amount of leverage we can incur under the 1940 Act. We are only allowed to borrow amounts such that our asset coverage, as defined in the 1940 Act, equals at least 200% after such borrowing.</w:t>
      </w:r>
    </w:p>
    <w:p>
      <w:pPr>
        <w:spacing w:after="0" w:line="181"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We have elected to be treated for U.S. federal income tax purposes as a Regulated Investment Company (“RIC”) and intend to operate in a manner to maintain our RIC status. As a RIC, we intend to distribute to our stockholders substantially all of our net ordinary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 Our common stock is traded on The NASDAQ Global Select Market under the symbol “KCAP.” The net asset value per share of our common stock at September 30, 2014 was $7.67. On September 30, 2014, the last reported sale price of a share of our common stock on The NASDAQ Global Select Market was $8.31.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Our primary investments are: (1) lending to and investing in middle-market businesses through investments in senior secured loans, junior secured loans, subordinated/mezzanine debt investments, and other equity investments, which may include warrants, (2) our investments in our Asset Manager Affiliates, which invest in broadly syndicated loans, high-yield bonds and other credit instruments, and (3) CLO Fund Securities.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6" w:name="page57"/>
    <w:bookmarkEnd w:id="56"/>
    <w:p>
      <w:pPr>
        <w:ind w:right="340" w:firstLine="324"/>
        <w:spacing w:after="0" w:line="277" w:lineRule="auto"/>
        <w:rPr>
          <w:sz w:val="20"/>
          <w:szCs w:val="20"/>
          <w:color w:val="auto"/>
        </w:rPr>
      </w:pPr>
      <w:r>
        <w:rPr>
          <w:rFonts w:ascii="Arial" w:cs="Arial" w:eastAsia="Arial" w:hAnsi="Arial"/>
          <w:sz w:val="18"/>
          <w:szCs w:val="18"/>
          <w:color w:val="auto"/>
        </w:rPr>
        <w:t>Total portfolio investment activity (excluding activity in time deposit and money market investments) for the nine months ended September 30, 2014 (unaudited) and for the year ended December 31, 2013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CLO Fund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Asset Manager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1"/>
              </w:rPr>
              <w:t>Debt Securities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Securities</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8"/>
              </w:rPr>
              <w:t>Equity 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Affiliates</w:t>
            </w:r>
          </w:p>
        </w:tc>
        <w:tc>
          <w:tcPr>
            <w:tcW w:w="60" w:type="dxa"/>
            <w:vAlign w:val="bottom"/>
          </w:tcPr>
          <w:p>
            <w:pPr>
              <w:spacing w:after="0"/>
              <w:rPr>
                <w:sz w:val="20"/>
                <w:szCs w:val="20"/>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Total Portfolio</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December 31, 2012</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111,037,882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83,257,507</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8,020,716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77,242,000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279,558,105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2013 Activity:</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 originations /draws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232,226,295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11,957,500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3,813,838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217,212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248,214,845</w:t>
            </w: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Pay-downs / pay-offs / sales</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(80,089,537)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(623,403)</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(2,882,106)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(83,595,046)</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accretion of discount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216,444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454,998</w:t>
            </w: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Net realized losses</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(11,538,868)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(551,636)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(12,090,504)</w:t>
            </w:r>
          </w:p>
        </w:tc>
      </w:tr>
      <w:tr>
        <w:trPr>
          <w:trHeight w:val="230"/>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fair value</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14,956,101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(15,355,828)</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2,605,586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(1,311,212)</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894,647</w:t>
            </w: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Fair Value at December 31, 2013</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266,830,427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79,452,220</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11,006,398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76,148,000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433,437,045</w:t>
            </w: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Year to Date 2014 Activity:</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Purchases / originations /draws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140,824,020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22,421,847</w:t>
            </w: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2,216,847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545,979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166,008,693</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Pay-downs / pay-offs / sales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(142,123,838)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(10,361,620)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(5,007,311)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(157,492,769)</w:t>
            </w: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Net accretion of discount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325,270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120,407</w:t>
            </w: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445,677</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realized gains (losses)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(8,961,523)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5,575,498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1,489,219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(1,896,806)</w:t>
            </w: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Increase (decrease) in fair value</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7,919,576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(9,826,099)</w:t>
            </w:r>
          </w:p>
        </w:tc>
        <w:tc>
          <w:tcPr>
            <w:tcW w:w="3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1,435,014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2,043,021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1,571,512</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September 30, 2014</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264,813,932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87,382,253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11,140,167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78,737,000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442,073,352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14"/>
        <w:spacing w:after="0" w:line="259" w:lineRule="auto"/>
        <w:rPr>
          <w:sz w:val="20"/>
          <w:szCs w:val="20"/>
          <w:color w:val="auto"/>
        </w:rPr>
      </w:pPr>
      <w:r>
        <w:rPr>
          <w:rFonts w:ascii="Arial" w:cs="Arial" w:eastAsia="Arial" w:hAnsi="Arial"/>
          <w:sz w:val="18"/>
          <w:szCs w:val="18"/>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portfolio by security type at September 30, 2014 and December 31, 2013: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vMerge w:val="restart"/>
          </w:tcPr>
          <w:p>
            <w:pPr>
              <w:spacing w:after="0"/>
              <w:rPr>
                <w:sz w:val="20"/>
                <w:szCs w:val="20"/>
                <w:color w:val="auto"/>
              </w:rPr>
            </w:pPr>
            <w:r>
              <w:rPr>
                <w:rFonts w:ascii="Arial" w:cs="Arial" w:eastAsia="Arial" w:hAnsi="Arial"/>
                <w:sz w:val="18"/>
                <w:szCs w:val="18"/>
                <w:b w:val="1"/>
                <w:bCs w:val="1"/>
                <w:color w:val="auto"/>
              </w:rPr>
              <w:t>Security Type</w:t>
            </w:r>
          </w:p>
        </w:tc>
        <w:tc>
          <w:tcPr>
            <w:tcW w:w="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7"/>
          </w:tcPr>
          <w:p>
            <w:pPr>
              <w:jc w:val="center"/>
              <w:ind w:left="490"/>
              <w:spacing w:after="0"/>
              <w:rPr>
                <w:sz w:val="20"/>
                <w:szCs w:val="20"/>
                <w:color w:val="auto"/>
              </w:rPr>
            </w:pPr>
            <w:r>
              <w:rPr>
                <w:rFonts w:ascii="Arial" w:cs="Arial" w:eastAsia="Arial" w:hAnsi="Arial"/>
                <w:sz w:val="18"/>
                <w:szCs w:val="18"/>
                <w:b w:val="1"/>
                <w:bCs w:val="1"/>
                <w:color w:val="auto"/>
                <w:w w:val="89"/>
              </w:rPr>
              <w:t>September 30, 2014 (unaudited)</w:t>
            </w:r>
          </w:p>
        </w:tc>
        <w:tc>
          <w:tcPr>
            <w:tcW w:w="4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88"/>
              </w:rPr>
              <w:t>December 31, 2013</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9"/>
                <w:szCs w:val="19"/>
                <w:color w:val="auto"/>
              </w:rPr>
            </w:pPr>
          </w:p>
        </w:tc>
        <w:tc>
          <w:tcPr>
            <w:tcW w:w="1740" w:type="dxa"/>
            <w:vAlign w:val="bottom"/>
            <w:gridSpan w:val="4"/>
          </w:tcPr>
          <w:p>
            <w:pPr>
              <w:jc w:val="center"/>
              <w:ind w:right="800"/>
              <w:spacing w:after="0"/>
              <w:rPr>
                <w:sz w:val="20"/>
                <w:szCs w:val="20"/>
                <w:color w:val="auto"/>
              </w:rPr>
            </w:pPr>
            <w:r>
              <w:rPr>
                <w:rFonts w:ascii="Arial" w:cs="Arial" w:eastAsia="Arial" w:hAnsi="Arial"/>
                <w:sz w:val="18"/>
                <w:szCs w:val="18"/>
                <w:b w:val="1"/>
                <w:bCs w:val="1"/>
                <w:color w:val="auto"/>
                <w:w w:val="95"/>
              </w:rPr>
              <w:t>Fair Value</w:t>
            </w: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%¹</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9"/>
                <w:szCs w:val="19"/>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%¹</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Accounts²</w:t>
            </w: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341,694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341,694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7,112,949</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7,112,949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Senior Secured Loan</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170,002,011</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168,920,608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175,021,272</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168,188,453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38,253,207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38,662,312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50,831,407</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48,443,384</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Senior Unsecured Loan</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27,034,116</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27,034,116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23,000,000</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23,000,000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First Lien Bond</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2,957,441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2,553,900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2,948,332</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2,546,400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Senior Subordinated Bond</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4,283,742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4,366,788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1,037,707</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1,051,540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Senior Unsecured Bond</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11,075,392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11,346,613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10,855,804</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11,381,100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Senior Secured Bond</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1,516,376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1,571,250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1,519,072</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1,619,550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119,453,082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87,382,253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101,696,950</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79,452,220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17,454,438</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11,140,167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18,755,684</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11,006,398</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Preferred</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10,155,240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10,358,345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10,000,000</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10,600,000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Asset Manager Affiliates</w:t>
            </w:r>
          </w:p>
        </w:tc>
        <w:tc>
          <w:tcPr>
            <w:tcW w:w="2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83,924,720</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78,737,000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83,378,741</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76,148,000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486,451,459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442,415,046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486,157,918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440,549,994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6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Calculated as a percentage of Net Asset Value.</w:t>
      </w:r>
    </w:p>
    <w:p>
      <w:pPr>
        <w:spacing w:after="0" w:line="23"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restricted cash held under employee benefit plans.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Debt Securities Portfolio</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At September 30, 2014 and December 31, 2013, our investments in income producing loans and debt securities, excluding CLO Fund Securities, had a weighted average interest rate of approximately 7.8% and 7.3%, respectively.</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investment portfolio (excluding the Company’s investment in Asset Manager Affiliates and CLO Funds) at September 30, 2014 was spread across 25 different industries and 85 different entities with an average balance per entity of approximately $3.6 million. As of September 30, 2014, all but one of our portfolio companies were current on their debt service obligations.</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may invest up to 30% of our investment portfolio in “Non-qualifying” opportunistic investments such as high-yield bonds, debt and equity securities of CLO Funds, foreign investments, and distressed debt or equity securities of public companies. At September 30, 2014 and December 31, 2013, the total amount of non-qualifying assets was approximately 21% and 19% of total assets, respectively. The majority of non-qualifying assets were foreign investments which were approximately 19% and 18% of the Company’s total assets, respectively (primarily the Company’s investments in CLO Funds, which are typically domiciled outside the U.S. and represented approximately 19% and 18% of its total assets as of September 30, 2014 and December 31, 2013). The investments in our Debt Securities Portfolio are all or predominantly below investment grade, and therefore have speculative characteristics with respect to the issuer’s capacity to pay interest and repay principal.</w:t>
      </w:r>
    </w:p>
    <w:p>
      <w:pPr>
        <w:spacing w:after="0" w:line="18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At September 30, 2014, our ten largest portfolio companies represented approximately 42% of the total fair value of our investments. Our largest investment, the Asset Manager Affiliates, which are our wholly-owned portfolio companies represented 18% of the total fair value of our investments. Excluding the Asset Manager Affiliates and CLO Fund Securities, our ten largest portfolio companies represent approximately 18% of the total fair value of our investments.</w:t>
      </w:r>
    </w:p>
    <w:p>
      <w:pPr>
        <w:spacing w:after="0" w:line="18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September 30, 2014 and December 31, 2013,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b w:val="1"/>
                <w:bCs w:val="1"/>
                <w:color w:val="auto"/>
              </w:rPr>
              <w:t>September 30, 2014 (unaudited)</w:t>
            </w:r>
          </w:p>
        </w:tc>
        <w:tc>
          <w:tcPr>
            <w:tcW w:w="4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3"/>
              </w:rPr>
              <w:t>December 31, 2013³</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50"/>
        </w:trPr>
        <w:tc>
          <w:tcPr>
            <w:tcW w:w="26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Industry Classification</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Fair Value</w:t>
            </w:r>
          </w:p>
        </w:tc>
        <w:tc>
          <w:tcPr>
            <w:tcW w:w="2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12"/>
              <w:spacing w:after="0" w:line="251"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b w:val="1"/>
                <w:bCs w:val="1"/>
                <w:color w:val="auto"/>
                <w:vertAlign w:val="superscript"/>
              </w:rPr>
              <w:t>1</w:t>
            </w:r>
          </w:p>
        </w:tc>
        <w:tc>
          <w:tcPr>
            <w:tcW w:w="38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410"/>
              <w:spacing w:after="0" w:line="251"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color w:val="auto"/>
                <w:vertAlign w:val="superscript"/>
              </w:rPr>
              <w:t>1</w:t>
            </w:r>
          </w:p>
        </w:tc>
        <w:tc>
          <w:tcPr>
            <w:tcW w:w="160" w:type="dxa"/>
            <w:vAlign w:val="bottom"/>
            <w:tcBorders>
              <w:bottom w:val="single" w:sz="8" w:color="CCEEFF"/>
            </w:tcBorders>
          </w:tcPr>
          <w:p>
            <w:pPr>
              <w:spacing w:after="0"/>
              <w:rPr>
                <w:sz w:val="21"/>
                <w:szCs w:val="21"/>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19,414,235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18,815,401</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9,244,538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8,100,895</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2640" w:type="dxa"/>
            <w:vAlign w:val="bottom"/>
          </w:tcPr>
          <w:p>
            <w:pPr>
              <w:spacing w:after="0" w:line="256" w:lineRule="exact"/>
              <w:rPr>
                <w:sz w:val="20"/>
                <w:szCs w:val="20"/>
                <w:color w:val="auto"/>
              </w:rPr>
            </w:pPr>
            <w:r>
              <w:rPr>
                <w:rFonts w:ascii="Arial" w:cs="Arial" w:eastAsia="Arial" w:hAnsi="Arial"/>
                <w:sz w:val="18"/>
                <w:szCs w:val="18"/>
                <w:color w:val="auto"/>
              </w:rPr>
              <w:t>Asset Management Company</w:t>
            </w:r>
            <w:r>
              <w:rPr>
                <w:rFonts w:ascii="Arial" w:cs="Arial" w:eastAsia="Arial" w:hAnsi="Arial"/>
                <w:sz w:val="29"/>
                <w:szCs w:val="29"/>
                <w:color w:val="auto"/>
                <w:vertAlign w:val="superscript"/>
              </w:rPr>
              <w:t>2</w:t>
            </w:r>
          </w:p>
        </w:tc>
        <w:tc>
          <w:tcPr>
            <w:tcW w:w="2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83,924,720</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78,737,000</w:t>
            </w: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83,378,741</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76,148,000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Portfolio Company Loan</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18,000,000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18,000,000</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23,000,000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23,000,000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Automotive</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12,995,734</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13,034,329</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15,248,090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15,306,403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6</w:t>
            </w:r>
          </w:p>
        </w:tc>
      </w:tr>
      <w:tr>
        <w:trPr>
          <w:trHeight w:val="202"/>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Banking, Finance, Insurance &amp;</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6,682,769</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6,719,658</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7,859,620</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8,011,964</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18,479,435</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18,269,962</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33,758,684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34,026,889</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14</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11,084,403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11,947,532</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11,450,641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11,792,925</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Chemicals, Plastics and Rubber</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3,375,501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3,355,132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2,921,597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2,906,601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119,453,082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87,382,253</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101,696,950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79,452,220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Construction &amp; Building</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8,625,626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18,224,720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190,244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5,930,396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5,950,000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7,713,071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9,751,622</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Consumer goods: Non-durable</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16,511,865</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15,904,767</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18,864,695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18,266,939</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7</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Energy: Oil &amp; Gas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2,487,087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4,667,898</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11,734,558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12,930,563</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Environmental Industries</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11,110,805</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11,199,801</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6,937,663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6,965,896</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Forest Products &amp; Paper</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5,924,197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5,899,406</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Healthcare &amp; Pharmaceuticals</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41,238,729</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42,125,897</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24,146,383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24,061,764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r>
      <w:tr>
        <w:trPr>
          <w:trHeight w:val="202"/>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Healthcare, Education and</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Childcare</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6,908,414</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7,199,856</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High Tech Industries</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14,264,601</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14,284,533</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17,989,624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17,989,034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7</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Hotel, Gaming &amp; Leisure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2,813,131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2,402,931</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3,825,126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3,466,520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r>
      <w:tr>
        <w:trPr>
          <w:trHeight w:val="202"/>
        </w:trPr>
        <w:tc>
          <w:tcPr>
            <w:tcW w:w="2640" w:type="dxa"/>
            <w:vAlign w:val="bottom"/>
          </w:tcPr>
          <w:p>
            <w:pPr>
              <w:spacing w:after="0" w:line="201" w:lineRule="exact"/>
              <w:rPr>
                <w:sz w:val="20"/>
                <w:szCs w:val="20"/>
                <w:color w:val="auto"/>
              </w:rPr>
            </w:pPr>
            <w:r>
              <w:rPr>
                <w:rFonts w:ascii="Arial" w:cs="Arial" w:eastAsia="Arial" w:hAnsi="Arial"/>
                <w:sz w:val="18"/>
                <w:szCs w:val="18"/>
                <w:color w:val="auto"/>
              </w:rPr>
              <w:t>Media: Advertising, Printing &amp;</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Publishing</w:t>
            </w:r>
          </w:p>
        </w:tc>
        <w:tc>
          <w:tcPr>
            <w:tcW w:w="2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12,521,029</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12,643,146</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12,797,615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13,035,590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5</w:t>
            </w:r>
          </w:p>
        </w:tc>
      </w:tr>
      <w:tr>
        <w:trPr>
          <w:trHeight w:val="202"/>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Media: Broadcasting &amp;</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Subscription</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8,536,279</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8,528,993</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9,853,341</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9,915,921</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Metals &amp; Mining</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228,563</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228,563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1,386,473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948,588</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3,364,579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3,325,032</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Services: Business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9,626,631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10,602,109</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2,984,555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2,999,791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Services: Consumer</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9,547,327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8,470,461</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5,703,581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4,616,678</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Telecommunications</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13,069,407</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13,158,821</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17,251,743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17,337,834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7</w:t>
            </w:r>
          </w:p>
        </w:tc>
      </w:tr>
      <w:tr>
        <w:trPr>
          <w:trHeight w:val="205"/>
        </w:trPr>
        <w:tc>
          <w:tcPr>
            <w:tcW w:w="26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Time Deposit and Money Market</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67"/>
        </w:trPr>
        <w:tc>
          <w:tcPr>
            <w:tcW w:w="2640" w:type="dxa"/>
            <w:vAlign w:val="bottom"/>
            <w:shd w:val="clear" w:color="auto" w:fill="CCEEFF"/>
          </w:tcPr>
          <w:p>
            <w:pPr>
              <w:spacing w:after="0" w:line="266" w:lineRule="exact"/>
              <w:rPr>
                <w:sz w:val="20"/>
                <w:szCs w:val="20"/>
                <w:color w:val="auto"/>
              </w:rPr>
            </w:pPr>
            <w:r>
              <w:rPr>
                <w:rFonts w:ascii="Arial" w:cs="Arial" w:eastAsia="Arial" w:hAnsi="Arial"/>
                <w:sz w:val="18"/>
                <w:szCs w:val="18"/>
                <w:color w:val="auto"/>
              </w:rPr>
              <w:t>Accounts</w:t>
            </w:r>
            <w:r>
              <w:rPr>
                <w:rFonts w:ascii="Arial" w:cs="Arial" w:eastAsia="Arial" w:hAnsi="Arial"/>
                <w:sz w:val="30"/>
                <w:szCs w:val="30"/>
                <w:color w:val="auto"/>
                <w:vertAlign w:val="superscript"/>
              </w:rPr>
              <w:t>4</w:t>
            </w:r>
          </w:p>
        </w:tc>
        <w:tc>
          <w:tcPr>
            <w:tcW w:w="2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341,694</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341,693</w:t>
            </w:r>
          </w:p>
        </w:tc>
        <w:tc>
          <w:tcPr>
            <w:tcW w:w="2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7,112,949</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7,112,949</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Transportation: Cargo</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20,122,701</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20,222,058</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16,030,051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16,643,254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7</w:t>
            </w: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Utilities: Electric</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8,755,039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8,800,677</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5,927,826</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5,993,610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r>
      <w:tr>
        <w:trPr>
          <w:trHeight w:val="223"/>
        </w:trPr>
        <w:tc>
          <w:tcPr>
            <w:tcW w:w="264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486,451,459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442,415,046</w:t>
            </w:r>
          </w:p>
        </w:tc>
        <w:tc>
          <w:tcPr>
            <w:tcW w:w="2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486,157,918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440,549,994</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2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56</w:t>
            </w: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8" w:right="239" w:bottom="1075" w:gutter="0" w:footer="0" w:header="0"/>
        </w:sectPr>
      </w:pPr>
    </w:p>
    <w:bookmarkStart w:id="58" w:name="page59"/>
    <w:bookmarkEnd w:id="58"/>
    <w:p>
      <w:pPr>
        <w:ind w:left="340" w:hanging="332"/>
        <w:spacing w:after="0"/>
        <w:tabs>
          <w:tab w:leader="none" w:pos="340" w:val="left"/>
        </w:tabs>
        <w:numPr>
          <w:ilvl w:val="0"/>
          <w:numId w:val="41"/>
        </w:numPr>
        <w:rPr>
          <w:rFonts w:ascii="Arial" w:cs="Arial" w:eastAsia="Arial" w:hAnsi="Arial"/>
          <w:sz w:val="30"/>
          <w:szCs w:val="30"/>
          <w:color w:val="auto"/>
          <w:vertAlign w:val="superscript"/>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t>Calculated as a percentage of net asset value.</w:t>
      </w:r>
    </w:p>
    <w:p>
      <w:pPr>
        <w:ind w:left="340" w:hanging="332"/>
        <w:spacing w:after="0" w:line="180" w:lineRule="auto"/>
        <w:tabs>
          <w:tab w:leader="none" w:pos="340" w:val="left"/>
        </w:tabs>
        <w:numPr>
          <w:ilvl w:val="0"/>
          <w:numId w:val="42"/>
        </w:numPr>
        <w:rPr>
          <w:rFonts w:ascii="Arial" w:cs="Arial" w:eastAsia="Arial" w:hAnsi="Arial"/>
          <w:sz w:val="25"/>
          <w:szCs w:val="25"/>
          <w:color w:val="auto"/>
          <w:vertAlign w:val="superscript"/>
        </w:rPr>
      </w:pPr>
      <w:r>
        <w:rPr>
          <w:rFonts w:ascii="Arial" w:cs="Arial" w:eastAsia="Arial" w:hAnsi="Arial"/>
          <w:sz w:val="16"/>
          <w:szCs w:val="16"/>
          <w:color w:val="auto"/>
        </w:rPr>
        <w:t>Represents the Asset Manager Affiliates.</w:t>
      </w:r>
    </w:p>
    <w:p>
      <w:pPr>
        <w:ind w:left="340" w:hanging="332"/>
        <w:spacing w:after="0" w:line="180" w:lineRule="auto"/>
        <w:tabs>
          <w:tab w:leader="none" w:pos="340" w:val="left"/>
        </w:tabs>
        <w:numPr>
          <w:ilvl w:val="0"/>
          <w:numId w:val="43"/>
        </w:numPr>
        <w:rPr>
          <w:rFonts w:ascii="Arial" w:cs="Arial" w:eastAsia="Arial" w:hAnsi="Arial"/>
          <w:sz w:val="25"/>
          <w:szCs w:val="25"/>
          <w:color w:val="auto"/>
          <w:vertAlign w:val="superscript"/>
        </w:rPr>
      </w:pPr>
      <w:r>
        <w:rPr>
          <w:rFonts w:ascii="Arial" w:cs="Arial" w:eastAsia="Arial" w:hAnsi="Arial"/>
          <w:sz w:val="16"/>
          <w:szCs w:val="16"/>
          <w:color w:val="auto"/>
        </w:rPr>
        <w:t>Certain prior year amounts have been reclassified to conform to the current year presentation.</w:t>
      </w:r>
    </w:p>
    <w:p>
      <w:pPr>
        <w:ind w:left="340" w:hanging="332"/>
        <w:spacing w:after="0" w:line="181" w:lineRule="auto"/>
        <w:tabs>
          <w:tab w:leader="none" w:pos="340" w:val="left"/>
        </w:tabs>
        <w:numPr>
          <w:ilvl w:val="0"/>
          <w:numId w:val="44"/>
        </w:numPr>
        <w:rPr>
          <w:rFonts w:ascii="Arial" w:cs="Arial" w:eastAsia="Arial" w:hAnsi="Arial"/>
          <w:sz w:val="25"/>
          <w:szCs w:val="25"/>
          <w:color w:val="auto"/>
          <w:vertAlign w:val="superscript"/>
        </w:rPr>
      </w:pPr>
      <w:r>
        <w:rPr>
          <w:rFonts w:ascii="Arial" w:cs="Arial" w:eastAsia="Arial" w:hAnsi="Arial"/>
          <w:sz w:val="16"/>
          <w:szCs w:val="16"/>
          <w:color w:val="auto"/>
        </w:rPr>
        <w:t>Includes restricted cash held under employee benefit plans.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CLO Fund Securities</w:t>
      </w:r>
    </w:p>
    <w:p>
      <w:pPr>
        <w:spacing w:after="0" w:line="225" w:lineRule="exact"/>
        <w:rPr>
          <w:sz w:val="20"/>
          <w:szCs w:val="20"/>
          <w:color w:val="auto"/>
        </w:rPr>
      </w:pPr>
    </w:p>
    <w:p>
      <w:pPr>
        <w:ind w:right="180" w:firstLine="414"/>
        <w:spacing w:after="0" w:line="286" w:lineRule="auto"/>
        <w:rPr>
          <w:sz w:val="20"/>
          <w:szCs w:val="20"/>
          <w:color w:val="auto"/>
        </w:rPr>
      </w:pPr>
      <w:r>
        <w:rPr>
          <w:rFonts w:ascii="Arial" w:cs="Arial" w:eastAsia="Arial" w:hAnsi="Arial"/>
          <w:sz w:val="17"/>
          <w:szCs w:val="17"/>
          <w:color w:val="auto"/>
        </w:rPr>
        <w:t>We typically make a minority investment in the subordinated securities or preferred stock of CLO Funds raised and managed by our Asset Manager Affiliates and may selectively invest in securities issued by CLO Funds managed by other asset management companies. As of September 30, 2014, we had approximately $87 million invested in CLO Fund Securities, issued primarily by funds managed by our Asset Manager Affiliates.</w:t>
      </w:r>
    </w:p>
    <w:p>
      <w:pPr>
        <w:spacing w:after="0" w:line="166"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CLO Funds managed by our Asset Manager Affiliates invest primarily in broadly syndicated non-investment grade loans, high-yield bonds and other credit instruments of corporate issuers. The underlying assets in each of the CLO Fund Securities in which we have an investment are generally diversified secured or unsecured corporate debt.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CLO Fund Securities as of September 30, 2014 and December 31, 2013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vMerge w:val="restart"/>
          </w:tcPr>
          <w:p>
            <w:pPr>
              <w:spacing w:after="0"/>
              <w:rPr>
                <w:sz w:val="20"/>
                <w:szCs w:val="20"/>
                <w:color w:val="auto"/>
              </w:rPr>
            </w:pPr>
          </w:p>
        </w:tc>
        <w:tc>
          <w:tcPr>
            <w:tcW w:w="7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1</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September 30, 2014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December 31, 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CLO Fund Securities</w:t>
            </w:r>
          </w:p>
        </w:tc>
        <w:tc>
          <w:tcPr>
            <w:tcW w:w="120" w:type="dxa"/>
            <w:vAlign w:val="bottom"/>
            <w:tcBorders>
              <w:bottom w:val="single" w:sz="8" w:color="CCEEFF"/>
            </w:tcBorders>
          </w:tcPr>
          <w:p>
            <w:pPr>
              <w:spacing w:after="0"/>
              <w:rPr>
                <w:sz w:val="20"/>
                <w:szCs w:val="20"/>
                <w:color w:val="auto"/>
              </w:rPr>
            </w:pPr>
          </w:p>
        </w:tc>
        <w:tc>
          <w:tcPr>
            <w:tcW w:w="230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Borders>
              <w:bottom w:val="single" w:sz="8" w:color="CCEEFF"/>
            </w:tcBorders>
            <w:vMerge w:val="continue"/>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Fair Value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Grant Grove CLO, Ltd.</w:t>
            </w:r>
          </w:p>
        </w:tc>
        <w:tc>
          <w:tcPr>
            <w:tcW w:w="1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Subordinated Securities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4,692,020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4,715,553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Katonah III, Ltd.</w:t>
            </w:r>
            <w:r>
              <w:rPr>
                <w:rFonts w:ascii="Arial" w:cs="Arial" w:eastAsia="Arial" w:hAnsi="Arial"/>
                <w:sz w:val="29"/>
                <w:szCs w:val="29"/>
                <w:color w:val="auto"/>
                <w:vertAlign w:val="superscript"/>
              </w:rPr>
              <w:t>3</w:t>
            </w: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Preferred Shares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1,389,491</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1,618,611</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Katonah V, Ltd.</w:t>
            </w:r>
            <w:r>
              <w:rPr>
                <w:rFonts w:ascii="Arial" w:cs="Arial" w:eastAsia="Arial" w:hAnsi="Arial"/>
                <w:sz w:val="29"/>
                <w:szCs w:val="29"/>
                <w:color w:val="auto"/>
                <w:vertAlign w:val="superscript"/>
              </w:rPr>
              <w:t>3</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Preferred Shares</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3,320,000</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Katonah VII CLO Ltd.</w:t>
            </w:r>
            <w:r>
              <w:rPr>
                <w:rFonts w:ascii="Arial" w:cs="Arial" w:eastAsia="Arial" w:hAnsi="Arial"/>
                <w:sz w:val="29"/>
                <w:szCs w:val="29"/>
                <w:color w:val="auto"/>
                <w:vertAlign w:val="superscript"/>
              </w:rPr>
              <w:t>2</w:t>
            </w: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Subordinated Securities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4,459,693</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1,545,351</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4,499,793</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1,478,978</w:t>
            </w: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Katonah VIII CLO Ltd.</w:t>
            </w:r>
            <w:r>
              <w:rPr>
                <w:rFonts w:ascii="Arial" w:cs="Arial" w:eastAsia="Arial" w:hAnsi="Arial"/>
                <w:sz w:val="29"/>
                <w:szCs w:val="29"/>
                <w:color w:val="auto"/>
                <w:vertAlign w:val="superscript"/>
              </w:rPr>
              <w:t>2</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Subordinated Securities</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3,355,905</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1,421,182</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3,390,005</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1,230,731</w:t>
            </w: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Katonah IX CLO Ltd.</w:t>
            </w:r>
            <w:r>
              <w:rPr>
                <w:rFonts w:ascii="Arial" w:cs="Arial" w:eastAsia="Arial" w:hAnsi="Arial"/>
                <w:sz w:val="29"/>
                <w:szCs w:val="29"/>
                <w:color w:val="auto"/>
                <w:vertAlign w:val="superscript"/>
              </w:rPr>
              <w:t>2</w:t>
            </w: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Preferred Shares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2,003,887</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764,171</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2,023,287</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829,739</w:t>
            </w: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Katonah X CLO Ltd.</w:t>
            </w:r>
            <w:r>
              <w:rPr>
                <w:rFonts w:ascii="Arial" w:cs="Arial" w:eastAsia="Arial" w:hAnsi="Arial"/>
                <w:sz w:val="29"/>
                <w:szCs w:val="29"/>
                <w:color w:val="auto"/>
                <w:vertAlign w:val="superscript"/>
              </w:rPr>
              <w:t>2</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Subordinated Securities</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11,730,298</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5,686,512</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11,770,993</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5,932,163</w:t>
            </w: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Katonah 2007-I CLO Ltd.</w:t>
            </w:r>
            <w:r>
              <w:rPr>
                <w:rFonts w:ascii="Arial" w:cs="Arial" w:eastAsia="Arial" w:hAnsi="Arial"/>
                <w:sz w:val="29"/>
                <w:szCs w:val="29"/>
                <w:color w:val="auto"/>
                <w:vertAlign w:val="superscript"/>
              </w:rPr>
              <w:t>2</w:t>
            </w: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Preferred Shares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30,998,097</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26,910,841</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31,064,973</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27,758,379</w:t>
            </w: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Katonah 2007-I CLO Ltd.</w:t>
            </w:r>
            <w:r>
              <w:rPr>
                <w:rFonts w:ascii="Arial" w:cs="Arial" w:eastAsia="Arial" w:hAnsi="Arial"/>
                <w:sz w:val="29"/>
                <w:szCs w:val="29"/>
                <w:color w:val="auto"/>
                <w:vertAlign w:val="superscript"/>
              </w:rPr>
              <w:t>2</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Class B-2L Notes</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1,300,937</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9,740,000</w:t>
            </w: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Trimaran CLO IV, Ltd.</w:t>
            </w:r>
            <w:r>
              <w:rPr>
                <w:rFonts w:ascii="Arial" w:cs="Arial" w:eastAsia="Arial" w:hAnsi="Arial"/>
                <w:sz w:val="29"/>
                <w:szCs w:val="29"/>
                <w:color w:val="auto"/>
                <w:vertAlign w:val="superscript"/>
              </w:rPr>
              <w:t>2</w:t>
            </w: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Preferred Shares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3,519,000</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2,675,973</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3,542,300</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2,519,210</w:t>
            </w: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Trimaran CLO V, Ltd.</w:t>
            </w:r>
            <w:r>
              <w:rPr>
                <w:rFonts w:ascii="Arial" w:cs="Arial" w:eastAsia="Arial" w:hAnsi="Arial"/>
                <w:sz w:val="29"/>
                <w:szCs w:val="29"/>
                <w:color w:val="auto"/>
                <w:vertAlign w:val="superscript"/>
              </w:rPr>
              <w:t>2</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2,711,900</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1,839,198</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2,721,500</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1,844,276</w:t>
            </w: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Trimaran CLO VI, Ltd.</w:t>
            </w:r>
            <w:r>
              <w:rPr>
                <w:rFonts w:ascii="Arial" w:cs="Arial" w:eastAsia="Arial" w:hAnsi="Arial"/>
                <w:sz w:val="29"/>
                <w:szCs w:val="29"/>
                <w:color w:val="auto"/>
                <w:vertAlign w:val="superscript"/>
              </w:rPr>
              <w:t>2</w:t>
            </w: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Income Notes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2,750,300</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1,988,588</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2,784,200</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1,981,948</w:t>
            </w: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Trimaran CLO VII, Ltd.</w:t>
            </w:r>
            <w:r>
              <w:rPr>
                <w:rFonts w:ascii="Arial" w:cs="Arial" w:eastAsia="Arial" w:hAnsi="Arial"/>
                <w:sz w:val="29"/>
                <w:szCs w:val="29"/>
                <w:color w:val="auto"/>
                <w:vertAlign w:val="superscript"/>
              </w:rPr>
              <w:t>2</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Notes</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3,130,200</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2,293,124</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3,133,900</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2,513,261</w:t>
            </w: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Catamaran CLO 2012-1 Ltd.</w:t>
            </w:r>
            <w:r>
              <w:rPr>
                <w:rFonts w:ascii="Arial" w:cs="Arial" w:eastAsia="Arial" w:hAnsi="Arial"/>
                <w:sz w:val="29"/>
                <w:szCs w:val="29"/>
                <w:color w:val="auto"/>
                <w:vertAlign w:val="superscript"/>
              </w:rPr>
              <w:t>2</w:t>
            </w: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8,978,100</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6,409,086</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8,943,900</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6,846,520</w:t>
            </w: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Catamaran CLO 2012-1 Ltd.</w:t>
            </w:r>
            <w:r>
              <w:rPr>
                <w:rFonts w:ascii="Arial" w:cs="Arial" w:eastAsia="Arial" w:hAnsi="Arial"/>
                <w:sz w:val="29"/>
                <w:szCs w:val="29"/>
                <w:color w:val="auto"/>
                <w:vertAlign w:val="superscript"/>
              </w:rPr>
              <w:t>2</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Class F Notes</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3,900,026</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4,210,000</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3,843,398</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4,200,001</w:t>
            </w: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Catamaran CLO 2013-1 Ltd.</w:t>
            </w:r>
            <w:r>
              <w:rPr>
                <w:rFonts w:ascii="Arial" w:cs="Arial" w:eastAsia="Arial" w:hAnsi="Arial"/>
                <w:sz w:val="29"/>
                <w:szCs w:val="29"/>
                <w:color w:val="auto"/>
                <w:vertAlign w:val="superscript"/>
              </w:rPr>
              <w:t>2</w:t>
            </w: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9,366,900</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8,235,900</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9,960,400</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8,225,100</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Dryden 30 Senior Loan Fund</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3,053,800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2,807,350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3,063,200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2,973,750</w:t>
            </w: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Catamaran CLO 2014-1 Ltd.</w:t>
            </w:r>
            <w:r>
              <w:rPr>
                <w:rFonts w:ascii="Arial" w:cs="Arial" w:eastAsia="Arial" w:hAnsi="Arial"/>
                <w:sz w:val="29"/>
                <w:szCs w:val="29"/>
                <w:color w:val="auto"/>
                <w:vertAlign w:val="superscript"/>
              </w:rPr>
              <w:t>2</w:t>
            </w: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12,008,800</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9,683,361</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Catamaran CLO 2014-1 Ltd.</w:t>
            </w:r>
            <w:r>
              <w:rPr>
                <w:rFonts w:ascii="Arial" w:cs="Arial" w:eastAsia="Arial" w:hAnsi="Arial"/>
                <w:sz w:val="29"/>
                <w:szCs w:val="29"/>
                <w:color w:val="auto"/>
                <w:vertAlign w:val="superscript"/>
              </w:rPr>
              <w:t>2</w:t>
            </w:r>
          </w:p>
        </w:tc>
        <w:tc>
          <w:tcPr>
            <w:tcW w:w="2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Class E Notes</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1,433,565</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1,310,000</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00" w:type="dxa"/>
            <w:vAlign w:val="bottom"/>
          </w:tcPr>
          <w:p>
            <w:pPr>
              <w:spacing w:after="0" w:line="269" w:lineRule="exact"/>
              <w:rPr>
                <w:sz w:val="20"/>
                <w:szCs w:val="20"/>
                <w:color w:val="auto"/>
              </w:rPr>
            </w:pPr>
            <w:r>
              <w:rPr>
                <w:rFonts w:ascii="Arial" w:cs="Arial" w:eastAsia="Arial" w:hAnsi="Arial"/>
                <w:sz w:val="18"/>
                <w:szCs w:val="18"/>
                <w:color w:val="auto"/>
              </w:rPr>
              <w:t>Catamaran CLO 2014-2 Ltd.</w:t>
            </w:r>
            <w:r>
              <w:rPr>
                <w:rFonts w:ascii="Arial" w:cs="Arial" w:eastAsia="Arial" w:hAnsi="Arial"/>
                <w:sz w:val="30"/>
                <w:szCs w:val="30"/>
                <w:color w:val="auto"/>
                <w:vertAlign w:val="superscript"/>
              </w:rPr>
              <w:t>2</w:t>
            </w: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9,971,100</w:t>
            </w:r>
          </w:p>
        </w:tc>
        <w:tc>
          <w:tcPr>
            <w:tcW w:w="1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8,514,000</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119,453,082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87,382,253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101,696,950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79,452,220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gridSpan w:val="2"/>
            <w:vMerge w:val="restart"/>
          </w:tcPr>
          <w:p>
            <w:pPr>
              <w:jc w:val="right"/>
              <w:ind w:right="450"/>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3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51" w:right="239" w:bottom="1440" w:gutter="0" w:footer="0" w:header="0"/>
        </w:sectPr>
      </w:pPr>
    </w:p>
    <w:bookmarkStart w:id="59" w:name="page60"/>
    <w:bookmarkEnd w:id="59"/>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t>Represents percentage of class held.</w:t>
      </w:r>
    </w:p>
    <w:p>
      <w:pPr>
        <w:spacing w:after="0" w:line="23"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CLO Fund managed by an Asset Manager Affiliate.</w:t>
      </w:r>
    </w:p>
    <w:p>
      <w:pPr>
        <w:spacing w:after="0" w:line="9"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of September 30, 2014 and December 31, 2013, this CLO Fund security was not providing a dividend distribution.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Asset Manager Affiliates are our wholly-owned asset management companies that manage CLO Funds that invest in broadly syndicated loans, high yield bonds and other credit instruments. The CLO Funds managed by our Asset Manager Affiliates consist primarily of credit instruments issued by corporations. As of September 30, 2014, our Asset Manager Affiliates had approximately $3.3 billion of par value of assets under management on which they earn management fees, and were valued at approximately $79 million.</w:t>
      </w:r>
    </w:p>
    <w:p>
      <w:pPr>
        <w:spacing w:after="0" w:line="187"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All CLO Funds managed by the Asset Manager Affiliates are currently paying all senior and subordinate management fees. In addition our Asset Manager Affiliates are currently receiving incentive fees from five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dividends,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a discussion of our results of operations for the three and nine months ended September 30, 2014 and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Interest from Investments in Debt Securities</w:t>
      </w:r>
      <w:r>
        <w:rPr>
          <w:rFonts w:ascii="Arial" w:cs="Arial" w:eastAsia="Arial" w:hAnsi="Arial"/>
          <w:sz w:val="18"/>
          <w:szCs w:val="18"/>
          <w:color w:val="auto"/>
        </w:rPr>
        <w:t>. We generate interest income from our investments in debt securities that consist primarily of senior and</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65" w:right="259" w:bottom="1440" w:gutter="0" w:footer="0" w:header="0"/>
        </w:sectPr>
      </w:pPr>
    </w:p>
    <w:bookmarkStart w:id="60" w:name="page61"/>
    <w:bookmarkEnd w:id="60"/>
    <w:p>
      <w:pPr>
        <w:ind w:right="20" w:firstLine="324"/>
        <w:spacing w:after="0" w:line="268" w:lineRule="auto"/>
        <w:rPr>
          <w:sz w:val="20"/>
          <w:szCs w:val="20"/>
          <w:color w:val="auto"/>
        </w:rPr>
      </w:pPr>
      <w:r>
        <w:rPr>
          <w:rFonts w:ascii="Arial" w:cs="Arial" w:eastAsia="Arial" w:hAnsi="Arial"/>
          <w:sz w:val="17"/>
          <w:szCs w:val="17"/>
          <w:i w:val="1"/>
          <w:iCs w:val="1"/>
          <w:color w:val="auto"/>
        </w:rPr>
        <w:t>Dividends and Interest from Investments in CLO Fund Securities</w:t>
      </w:r>
      <w:r>
        <w:rPr>
          <w:rFonts w:ascii="Arial" w:cs="Arial" w:eastAsia="Arial" w:hAnsi="Arial"/>
          <w:sz w:val="17"/>
          <w:szCs w:val="17"/>
          <w:color w:val="auto"/>
        </w:rPr>
        <w:t>. We generate dividend income from our investments in the securities (typically</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shares or subordinated securities) of CLO Funds managed by our Asset Manager Affiliates and selective investments in securities issued by CLO Funds managed by other asset management companies. CLO Funds managed by our Asset Manager Affiliates and those managed by non-affiliates invest primarily in broadly syndicated non-investment grade loans, high-yield bonds and other credit instruments of corporate issuers. The Company distinguishes CLO Funds managed by its Asset Manager Affiliates as “CLO Fund Securities Managed by Affiliates.” in its consolidated financial statements.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w:t>
      </w:r>
    </w:p>
    <w:p>
      <w:pPr>
        <w:spacing w:after="0" w:line="188"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F notes of the Catamaran 2012-1, interest is earned at a fixed spread relative to the LIBOR index.</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i w:val="1"/>
          <w:iCs w:val="1"/>
          <w:color w:val="auto"/>
        </w:rPr>
        <w:t xml:space="preserve">Distributions from Asset Manager Affiliates. </w:t>
      </w:r>
      <w:r>
        <w:rPr>
          <w:rFonts w:ascii="Arial" w:cs="Arial" w:eastAsia="Arial" w:hAnsi="Arial"/>
          <w:sz w:val="16"/>
          <w:szCs w:val="16"/>
          <w:color w:val="auto"/>
        </w:rPr>
        <w:t>We receive distributions from our investment in our Asset Manager Affiliates, which are wholly-owned and</w:t>
      </w:r>
      <w:r>
        <w:rPr>
          <w:rFonts w:ascii="Arial" w:cs="Arial" w:eastAsia="Arial" w:hAnsi="Arial"/>
          <w:sz w:val="16"/>
          <w:szCs w:val="16"/>
          <w:i w:val="1"/>
          <w:iCs w:val="1"/>
          <w:color w:val="auto"/>
        </w:rPr>
        <w:t xml:space="preserve"> </w:t>
      </w:r>
      <w:r>
        <w:rPr>
          <w:rFonts w:ascii="Arial" w:cs="Arial" w:eastAsia="Arial" w:hAnsi="Arial"/>
          <w:sz w:val="16"/>
          <w:szCs w:val="16"/>
          <w:color w:val="auto"/>
        </w:rPr>
        <w:t>manage CLO Funds that invest primarily in broadly syndicated non-investment grade loans, high yield bonds and other credit instruments issued by corporations. As managers of CLO Funds, our Asset Manager Affiliates receive contractual and recurring management fees from the CLO Funds for their management and advisory services. In addition, our Asset Manager Affiliates may also earn income related to net interest on assets accumulated for future CLO issuances on which they have taken a first loss position in connection with loan warehouse arrangements for their CLO Funds. Our Asset Manager Affiliates generate annual operating income equal to the amount by which their fee income exceeds their operating expenses. The annual management fees which our Asset Manager Affiliates receive are generally based on a fixed percentage of the par value of assets under management and are recurring in nature for the term of the CLO Fund so long as the Asset Manager Affiliates manage the fund. As a result, the annual management fees earned by our Asset Manager Affiliates generally are not subject to market value fluctuations in the underlying collateral. Our Asset Manager Affiliates may also receive incentive fees provided such CLO Funds have achieved a minimum investment return to holders of their subordinated securities or preferred shares as per the terms of each CLO Fund management agreement. During the quarter ended September 30, 2014, the Asset Manager Affiliates received incentive fees from five funds.</w:t>
      </w:r>
    </w:p>
    <w:p>
      <w:pPr>
        <w:spacing w:after="0" w:line="173"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We may earn ancillary structuring and other fees related to the origination, investment, disposition or liquidation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investment securities.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Investment income for the three months ended September 30, 2014 and 2013 was approximately $13.7 million and $12.6 million, respectively. Of these amounts, approximately $5.4 million and $3.7 million was attributable to interest income on our Debt Securities Portfolio. Increases in interest income from 2013 to 2014 were due to higher average invested assets stemming primarily from capital raising activities.</w:t>
      </w:r>
    </w:p>
    <w:p>
      <w:pPr>
        <w:spacing w:after="0" w:line="166"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Investment income for the nine months ended September 30, 2014 and 2013 was approximately $40.3 million and $35.3 million, respectively. Of these amounts, approximately $15.8 million and $9.2 million was attributable to interest income on our Debt Securities Portfolio. Increases in interest income from 2013 to 2014 were due to higher average invested assets stemming primarily from capital raising activities.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weighted average yield on the Debt Securities Portfolio was 7.8% and 7.3%, for September 30, 2014 and December 31, 2013, respectively.</w:t>
      </w:r>
    </w:p>
    <w:p>
      <w:pPr>
        <w:spacing w:after="0" w:line="23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61" w:name="page62"/>
    <w:bookmarkEnd w:id="61"/>
    <w:p>
      <w:pPr>
        <w:ind w:right="80" w:firstLine="324"/>
        <w:spacing w:after="0" w:line="271" w:lineRule="auto"/>
        <w:rPr>
          <w:sz w:val="20"/>
          <w:szCs w:val="20"/>
          <w:color w:val="auto"/>
        </w:rPr>
      </w:pPr>
      <w:r>
        <w:rPr>
          <w:rFonts w:ascii="Arial" w:cs="Arial" w:eastAsia="Arial" w:hAnsi="Arial"/>
          <w:sz w:val="17"/>
          <w:szCs w:val="17"/>
          <w:color w:val="auto"/>
        </w:rPr>
        <w:t>For the three months ended September 30, 2014 and 2013, approximately $4.8 million and $5.4 million of dividend income was attributable to investments in CLO Fund securities, respectively. For the nine months ended September 30, 2014 and 2013, approximately $14.6 million and $16.2 million, respectively, of dividend income was attributable to investments in CLO Fund securities. Dividends from CLO Fund Securities are dependent on the performance of the underlying assets in each CLO Fund; interest payments, principal amortization and prepayments of the underlying loans in each CLO Fund are primary factors which determine the level of income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17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Distributions from our Asset Manager Affiliates are recorded as “Distributions from Asset Manager Affiliates” in our Statement of Operations. For the three months ended September 30, 2014 and 2013, we recognized distribution income of $3.1 million and $3.3 million from the Asset Manager Affiliates, respectively. For the nine months ended September 30, 2014 and 2013, we recognized income of $9.1 million and $9.6 million from the Asset Manager Affiliates, respectively.</w:t>
      </w:r>
    </w:p>
    <w:p>
      <w:pPr>
        <w:spacing w:after="0" w:line="18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Asset Manager Affiliates are expected to pay future dividends to the Company based upon their operating cash flow, which generally will be dependent upon the maintenance and growth in their assets under management and incentive fees. As amortizing funds which are paying incentive fees are redeemed, we expect incentive fees available for distribution to diminish. The fair value of our investment in our Asset Manager Affiliates increased by $2.0 million during the nine months ended September 30, 2014 and increased by $5.2 million during the nine months ended September 30, 2013. CLO Funds typically have automatic orderly wind-down features following an initial period of reinvestment. Thus, with all else being equal, as managed CLO Fund portfolios age, projected future assets under management (and associated management fees) will naturally decline, resulting in a reduction in fair value of our Asset Manager Affiliates. On the other hand, mandates to manage new CLO Fund portfolios will generally result in an increase in the fair value of our investment in our Asset Manager Affiliates. The aggregate of par value of assets under management by our Asset Manager Affiliates was $3.3 billion and $3.2 billion as of September 30, 2014 and December 31, 2013,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340" w:firstLine="324"/>
        <w:spacing w:after="0" w:line="312" w:lineRule="auto"/>
        <w:rPr>
          <w:sz w:val="20"/>
          <w:szCs w:val="20"/>
          <w:color w:val="auto"/>
        </w:rPr>
      </w:pPr>
      <w:r>
        <w:rPr>
          <w:rFonts w:ascii="Arial" w:cs="Arial" w:eastAsia="Arial" w:hAnsi="Arial"/>
          <w:sz w:val="16"/>
          <w:szCs w:val="16"/>
          <w:color w:val="auto"/>
        </w:rPr>
        <w:t>Because we are internally managed, we directly incur the cost of management and operations. As a result, we pay no investment management fees or other fees to an external advisor. Our expenses consist primarily of interest expense on outstanding borrowings, compensation expense and general and administrative expenses, including professional fees. Interest and compensation expense are typically our largest expenses each period.</w:t>
      </w:r>
    </w:p>
    <w:p>
      <w:pPr>
        <w:spacing w:after="0" w:line="14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i w:val="1"/>
          <w:iCs w:val="1"/>
          <w:color w:val="auto"/>
        </w:rPr>
        <w:t>Interest and Amortization of Debt Issuance Costs</w:t>
      </w:r>
      <w:r>
        <w:rPr>
          <w:rFonts w:ascii="Arial" w:cs="Arial" w:eastAsia="Arial" w:hAnsi="Arial"/>
          <w:sz w:val="18"/>
          <w:szCs w:val="18"/>
          <w:color w:val="auto"/>
        </w:rPr>
        <w:t>. Interest expense is dependent on the average outstanding balance on our borrowings and, the base</w:t>
      </w:r>
      <w:r>
        <w:rPr>
          <w:rFonts w:ascii="Arial" w:cs="Arial" w:eastAsia="Arial" w:hAnsi="Arial"/>
          <w:sz w:val="18"/>
          <w:szCs w:val="18"/>
          <w:i w:val="1"/>
          <w:iCs w:val="1"/>
          <w:color w:val="auto"/>
        </w:rPr>
        <w:t xml:space="preserve"> </w:t>
      </w:r>
      <w:r>
        <w:rPr>
          <w:rFonts w:ascii="Arial" w:cs="Arial" w:eastAsia="Arial" w:hAnsi="Arial"/>
          <w:sz w:val="18"/>
          <w:szCs w:val="18"/>
          <w:color w:val="auto"/>
        </w:rPr>
        <w:t>index rate for the period. Debt issuance costs represent fees, and other direct costs incurred in connection with the Company’s borrowings. These amounts are capitalized and amortized ratably over the contractual term of the borrowing.</w:t>
      </w:r>
    </w:p>
    <w:p>
      <w:pPr>
        <w:spacing w:after="0" w:line="181"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i w:val="1"/>
          <w:iCs w:val="1"/>
          <w:color w:val="auto"/>
        </w:rPr>
        <w:t>Compensation Expense</w:t>
      </w:r>
      <w:r>
        <w:rPr>
          <w:rFonts w:ascii="Arial" w:cs="Arial" w:eastAsia="Arial" w:hAnsi="Arial"/>
          <w:sz w:val="17"/>
          <w:szCs w:val="17"/>
          <w:color w:val="auto"/>
        </w:rPr>
        <w:t>. Compensation expense includes base salaries, bonuses, stock compensation, employee benefits and employer-related payroll</w:t>
      </w:r>
      <w:r>
        <w:rPr>
          <w:rFonts w:ascii="Arial" w:cs="Arial" w:eastAsia="Arial" w:hAnsi="Arial"/>
          <w:sz w:val="17"/>
          <w:szCs w:val="17"/>
          <w:i w:val="1"/>
          <w:iCs w:val="1"/>
          <w:color w:val="auto"/>
        </w:rPr>
        <w:t xml:space="preserve"> </w:t>
      </w:r>
      <w:r>
        <w:rPr>
          <w:rFonts w:ascii="Arial" w:cs="Arial" w:eastAsia="Arial" w:hAnsi="Arial"/>
          <w:sz w:val="17"/>
          <w:szCs w:val="17"/>
          <w:color w:val="auto"/>
        </w:rPr>
        <w:t>costs. The largest components of total compensation costs are base salaries and bonuses; generally, base salaries are expensed as incurred and annual bonus expenses are estimated and accrued. Our compensation arrangements with our employees contain a significant profit sharing and/or performance based bonus component. Therefore, as our net revenues increase, our compensation costs may also rise. In addition, our compensation expenses may also increase to reflect increased investment in personnel as we grow our products and businesses.</w:t>
      </w:r>
    </w:p>
    <w:p>
      <w:pPr>
        <w:spacing w:after="0" w:line="173"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i w:val="1"/>
          <w:iCs w:val="1"/>
          <w:color w:val="auto"/>
        </w:rPr>
        <w:t>Professional Fees and General and Administrative Expenses</w:t>
      </w:r>
      <w:r>
        <w:rPr>
          <w:rFonts w:ascii="Arial" w:cs="Arial" w:eastAsia="Arial" w:hAnsi="Arial"/>
          <w:sz w:val="18"/>
          <w:szCs w:val="18"/>
          <w:color w:val="auto"/>
        </w:rPr>
        <w:t>. The balance of our expenses includes professional fees (primarily legal,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and other professional services), occupancy costs and general administrative and other costs.</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Total expenses for the three months ended September 30, 2014 and 2013 were approximately $5.3 million and $5.1 million, respectively. Interest expense and amortization on debt issuance costs was approximately $2.9 million for both periods, on average debt outstanding of approximately $196 million and $197 million, respectively.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62" w:name="page63"/>
    <w:bookmarkEnd w:id="62"/>
    <w:p>
      <w:pPr>
        <w:ind w:right="260" w:firstLine="324"/>
        <w:spacing w:after="0" w:line="257" w:lineRule="auto"/>
        <w:rPr>
          <w:sz w:val="20"/>
          <w:szCs w:val="20"/>
          <w:color w:val="auto"/>
        </w:rPr>
      </w:pPr>
      <w:r>
        <w:rPr>
          <w:rFonts w:ascii="Arial" w:cs="Arial" w:eastAsia="Arial" w:hAnsi="Arial"/>
          <w:sz w:val="18"/>
          <w:szCs w:val="18"/>
          <w:color w:val="auto"/>
        </w:rPr>
        <w:t>For the three months ended September 30, 2014 and 2013, approximately $1.4 million and $1.2 million, respectively, of expenses were attributable to employee compensation, including salaries, bonuses, employee benefits, payroll taxes and stock-based compensation expense. For the three months ended September 30, 2014 and 2013, respectively, professional fees and insurance expenses totaled approximately $678,000 and $532,000. Administrative costs, which include occupancy expense, technology and other office expenses, totaled approximately $316,000 and $434,000 for the three months ended September 30, 2014 and 2013, respectively.</w:t>
      </w:r>
    </w:p>
    <w:p>
      <w:pPr>
        <w:spacing w:after="0" w:line="18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Total expenses for the nine months ended September 30, 2014 and 2013 were approximately $16.0 million and $14.2 million, respectively. Interest expense and amortization on debt issuance costs for the periods, were approximately $8.8 million and $7.4 million, respectively, on average debt outstanding of $196 million and $136 million, respectively.</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 the nine months ended September 30, 2014 and 2013, approximately $3.9 million and $3.2 million, respectively, of expenses were attributable to employee compensation, including salaries, bonuses, employee benefits, payroll taxes and stock-based compensation expense. The increase in compensation expense results from higher performance-based compensation and benefit plan expenses, as well as an increase in employee headcount. For the nine months ended September 30, 2014 and 2013, professional fees and insurance expenses totaled approximately $2.1 million. Administrative costs, which include occupancy expense, technology and other office expenses, totaled approximately $1.2 million and $1.5 million for the nine months ended September 30, 2014 and 2013,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 and Net Realized Gains (Losses)</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Net investment income and net realized gains (losses) represents the stockholder’s equity before net unrealized appreciation or depreciation on investments. For the three months ended September 30, 2014, net investment income and net realized losses were approximately $6.2 million, or $0.18 per share. For the three months ended September 30, 2013, net investment income and net realized losses were approximately $2.8 million or $0.08 per share. For the nine months ended September 30, 2014, net investment income and net realized losses were approximately $22.4 million, or $0.66 per share. For the nine months ended September 30, 2013, net investment income and net realized losses were approximately $9.1 million or $0.27 per share. Net investment income represents the income earned on our investments less operating and interest expense before net realized gains or losses and unrealized appreciation or depreciation on investments. For the three months ended September 30, 2014, net investment income was approximately $8.4 million, or $0.25 per share. For the nine months ended September 30, 2014, net investment income was approximately $24.3 million, or $0.72 per share.</w:t>
      </w:r>
    </w:p>
    <w:p>
      <w:pPr>
        <w:spacing w:after="0" w:line="16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Generally, we seek to fund our distributions from net investment income. For the nine months ended September 30, 2014, total distributions were $24.4 million, or $.72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(Depreciation) Appreciation on Investments</w:t>
      </w:r>
    </w:p>
    <w:p>
      <w:pPr>
        <w:spacing w:after="0" w:line="229"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During the three months ended September 30, 2014, our total investments had net unrealized appreciation of approximately $2.0 million. During the three months ended September 30, 2013, our total investments had net unrealized appreciation of approximately $3.1 million. For the three months ended September 30, 2014, our Asset Manager Affiliates had net unrealized appreciation of approximately $3.4 million. For the three months ended September 30, 2013, our Asset Manager Affiliates had net unrealized depreciation of approximately $4.8 million. For the three months ended September 30, 2014, our middle market portfolio of debt securities and equity securities had net unrealized appreciation of approximately $8.6 million, compared with net unrealized appreciation of $10.6 million during the third quarter of 2013. For the three months ended September 30, 2014, our CLO Fund securities had net unrealized depreciation of approximately $10.1 million compared with net unrealized depreciation of $2.8 million during the third quarter of 2013.</w:t>
      </w:r>
    </w:p>
    <w:p>
      <w:pPr>
        <w:spacing w:after="0" w:line="16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During the nine months ended September 30, 2014, our total investments had net unrealized appreciation of approximately $1.6 million. During the nine months ended September 30, 2013, our total investments had net unrealized appreciation of approximately $6.9 million. For the nine months ended September 30, 2014, our Asset Manager Affiliates had net unrealized appreciation of approximately $2.0 million. For the nine months ended September 30, 2013, our Asset Manager Affiliates had net unrealized appreciation of approximately $5.2 million. For the nine months ended September 30, 2014, our middle market portfolio of debt securities and equity securities had net unrealized appreciation of approximately $9.4 million, compared with net unrealized appreciation of $14.0 million during the nine months ended September 30, 2013. For the nine months ended September 30, 2014, our CLO Fund securities had net unrealized depreciation of approximately $9.8 million compared with net unrealized depreciation of $12.3 million during the nine months ended September 30, 2013.</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Net Change in Stockholder’s Equity Resulting From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net increase in stockholders’ equity resulting from operations for the three months ended September 30, 2014 was $8.2 million, or $0.24 per share.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Net decrease in stockholders’ equity resulting from operations for the three months ended September 30, 2013 was $93,000, or $0.00 per share.</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net increase in stockholders’ equity resulting from operations for the nine months ended September 30, 2014 was $23.9 million, or $0.71 per share.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Net increase in stockholders’ equity resulting from operations for the nine months ended September 30, 2013 was $15.6 million, or $0.49 per share.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right="40" w:firstLine="414"/>
        <w:spacing w:after="0" w:line="257"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dividends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2014 and December 31, 2013 the fair value of investments and cash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00" w:type="dxa"/>
            <w:vAlign w:val="bottom"/>
            <w:gridSpan w:val="7"/>
          </w:tcPr>
          <w:p>
            <w:pPr>
              <w:ind w:left="260"/>
              <w:spacing w:after="0"/>
              <w:rPr>
                <w:sz w:val="20"/>
                <w:szCs w:val="20"/>
                <w:color w:val="auto"/>
              </w:rPr>
            </w:pPr>
            <w:r>
              <w:rPr>
                <w:rFonts w:ascii="Arial" w:cs="Arial" w:eastAsia="Arial" w:hAnsi="Arial"/>
                <w:sz w:val="18"/>
                <w:szCs w:val="18"/>
                <w:b w:val="1"/>
                <w:bCs w:val="1"/>
                <w:color w:val="auto"/>
              </w:rPr>
              <w:t>Investments at Fair Value</w:t>
            </w: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Security Type</w:t>
            </w:r>
          </w:p>
        </w:tc>
        <w:tc>
          <w:tcPr>
            <w:tcW w:w="16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7"/>
              </w:rPr>
              <w:t>September 30, 2014</w:t>
            </w:r>
          </w:p>
        </w:tc>
        <w:tc>
          <w:tcPr>
            <w:tcW w:w="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December 31, 2013</w:t>
            </w:r>
          </w:p>
        </w:tc>
        <w:tc>
          <w:tcPr>
            <w:tcW w:w="60" w:type="dxa"/>
            <w:vAlign w:val="bottom"/>
            <w:gridSpan w:val="2"/>
          </w:tcPr>
          <w:p>
            <w:pPr>
              <w:spacing w:after="0"/>
              <w:rPr>
                <w:sz w:val="19"/>
                <w:szCs w:val="19"/>
                <w:color w:val="auto"/>
              </w:rPr>
            </w:pPr>
          </w:p>
        </w:tc>
      </w:tr>
      <w:tr>
        <w:trPr>
          <w:trHeight w:val="210"/>
        </w:trPr>
        <w:tc>
          <w:tcPr>
            <w:tcW w:w="4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3,935,484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217"/>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3,433,675</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Money Market Accounts</w:t>
            </w: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341,694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7,112,949</w:t>
            </w:r>
          </w:p>
        </w:tc>
        <w:tc>
          <w:tcPr>
            <w:tcW w:w="4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168,920,608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168,188,453</w:t>
            </w:r>
          </w:p>
        </w:tc>
        <w:tc>
          <w:tcPr>
            <w:tcW w:w="4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Junior Secured Loan</w:t>
            </w: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38,662,312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48,443,384</w:t>
            </w:r>
          </w:p>
        </w:tc>
        <w:tc>
          <w:tcPr>
            <w:tcW w:w="4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Unsecured Loan</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27,034,116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23,000,000</w:t>
            </w:r>
          </w:p>
        </w:tc>
        <w:tc>
          <w:tcPr>
            <w:tcW w:w="4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First Lien Bond</w:t>
            </w: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2,553,900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2,546,400</w:t>
            </w:r>
          </w:p>
        </w:tc>
        <w:tc>
          <w:tcPr>
            <w:tcW w:w="4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Subordinated Bond</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4,366,788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1,051,540</w:t>
            </w:r>
          </w:p>
        </w:tc>
        <w:tc>
          <w:tcPr>
            <w:tcW w:w="4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Senior Secured Bond</w:t>
            </w: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1,571,250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1,619,550</w:t>
            </w:r>
          </w:p>
        </w:tc>
        <w:tc>
          <w:tcPr>
            <w:tcW w:w="4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Unsecured Bond</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11,346,613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11,381,100</w:t>
            </w:r>
          </w:p>
        </w:tc>
        <w:tc>
          <w:tcPr>
            <w:tcW w:w="4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CLO Fund Securities</w:t>
            </w: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87,382,253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79,452,220</w:t>
            </w:r>
          </w:p>
        </w:tc>
        <w:tc>
          <w:tcPr>
            <w:tcW w:w="4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11,140,167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11,006,398</w:t>
            </w:r>
          </w:p>
        </w:tc>
        <w:tc>
          <w:tcPr>
            <w:tcW w:w="4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Preferred</w:t>
            </w: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10,358,345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10,600,000</w:t>
            </w:r>
          </w:p>
        </w:tc>
        <w:tc>
          <w:tcPr>
            <w:tcW w:w="40" w:type="dxa"/>
            <w:vAlign w:val="bottom"/>
          </w:tcPr>
          <w:p>
            <w:pPr>
              <w:spacing w:after="0"/>
              <w:rPr>
                <w:sz w:val="18"/>
                <w:szCs w:val="18"/>
                <w:color w:val="auto"/>
              </w:rPr>
            </w:pPr>
          </w:p>
        </w:tc>
      </w:tr>
      <w:tr>
        <w:trPr>
          <w:trHeight w:val="230"/>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78,737,000</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76,148,000</w:t>
            </w:r>
          </w:p>
        </w:tc>
        <w:tc>
          <w:tcPr>
            <w:tcW w:w="40" w:type="dxa"/>
            <w:vAlign w:val="bottom"/>
            <w:shd w:val="clear" w:color="auto" w:fill="CCEEFF"/>
          </w:tcPr>
          <w:p>
            <w:pPr>
              <w:spacing w:after="0"/>
              <w:rPr>
                <w:sz w:val="19"/>
                <w:szCs w:val="19"/>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446,350,530</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443,983,669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14"/>
        <w:spacing w:after="0" w:line="297" w:lineRule="auto"/>
        <w:rPr>
          <w:sz w:val="20"/>
          <w:szCs w:val="20"/>
          <w:color w:val="auto"/>
        </w:rPr>
      </w:pPr>
      <w:r>
        <w:rPr>
          <w:rFonts w:ascii="Arial" w:cs="Arial" w:eastAsia="Arial" w:hAnsi="Arial"/>
          <w:sz w:val="16"/>
          <w:szCs w:val="16"/>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200% after such borrowing. As of September 30, 2014, we had approximately $195.7 million of par value of outstanding borrowings and our asset coverage ratio of total assets to total borrowings was 231%, compliant with the minimum asset coverage level of 200% generally required for a BDC by the 1940 Act. We may also borrow amounts of up to 5% of the value of our total assets for temporary purposes.</w:t>
      </w:r>
    </w:p>
    <w:p>
      <w:pPr>
        <w:spacing w:after="0" w:line="158" w:lineRule="exact"/>
        <w:rPr>
          <w:sz w:val="20"/>
          <w:szCs w:val="20"/>
          <w:color w:val="auto"/>
        </w:rPr>
      </w:pPr>
    </w:p>
    <w:p>
      <w:pPr>
        <w:ind w:right="80" w:firstLine="414"/>
        <w:spacing w:after="0" w:line="255" w:lineRule="auto"/>
        <w:rPr>
          <w:sz w:val="20"/>
          <w:szCs w:val="20"/>
          <w:color w:val="auto"/>
        </w:rPr>
      </w:pPr>
      <w:r>
        <w:rPr>
          <w:rFonts w:ascii="Arial" w:cs="Arial" w:eastAsia="Arial" w:hAnsi="Arial"/>
          <w:sz w:val="18"/>
          <w:szCs w:val="18"/>
          <w:color w:val="auto"/>
        </w:rPr>
        <w:t>On March 16, 2011, the Company issued $55 million in aggregate principal amount of unsecured 8.75% convertible notes due March 2016 (“Convertible Notes”). On March 23, 2011, pursuant to an over-allotment option, the Company issued an additional $5 million of such Convertible Notes for a total of $60 million in aggregate principal amount. The net proceeds from the sale of the Convertible Notes, following underwriting expenses, were approximately $57.7 million. Interest on the Convertible Notes is paid semi-annually in arrears on March 15 and September 15, at a rate of 8.75%, commencing September 15, 2011. The Convertible Notes mature on March 15, 2016 unless converted earlier. The Convertible Notes are senior unsecured obligations of the Company.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8" w:right="259" w:bottom="1440" w:gutter="0" w:footer="0" w:header="0"/>
        </w:sectPr>
      </w:pPr>
    </w:p>
    <w:bookmarkStart w:id="64" w:name="page65"/>
    <w:bookmarkEnd w:id="64"/>
    <w:p>
      <w:pPr>
        <w:ind w:firstLine="414"/>
        <w:spacing w:after="0" w:line="279" w:lineRule="auto"/>
        <w:rPr>
          <w:sz w:val="20"/>
          <w:szCs w:val="20"/>
          <w:color w:val="auto"/>
        </w:rPr>
      </w:pPr>
      <w:r>
        <w:rPr>
          <w:rFonts w:ascii="Arial" w:cs="Arial" w:eastAsia="Arial" w:hAnsi="Arial"/>
          <w:sz w:val="17"/>
          <w:szCs w:val="17"/>
          <w:color w:val="auto"/>
        </w:rPr>
        <w:t>The Convertible Notes are convertible into shares of the Company’s common stock. As of September 30, 2014, the conversion rate was 129.9266 shares of common stock per $1,000 principal amount of Convertible Notes, which is equivalent to a conversion price of approximately $7.70 per share of common stock. The conversion rate is subject to adjustment upon certain events. Upon conversion, the Company would issue the full amount of common stock or settle the conversion cash, at its option, and retire the full amount of debt outstanding.</w:t>
      </w:r>
    </w:p>
    <w:p>
      <w:pPr>
        <w:spacing w:after="0" w:line="171" w:lineRule="exact"/>
        <w:rPr>
          <w:sz w:val="20"/>
          <w:szCs w:val="20"/>
          <w:color w:val="auto"/>
        </w:rPr>
      </w:pPr>
    </w:p>
    <w:p>
      <w:pPr>
        <w:ind w:right="140" w:firstLine="414"/>
        <w:spacing w:after="0" w:line="254" w:lineRule="auto"/>
        <w:rPr>
          <w:sz w:val="20"/>
          <w:szCs w:val="20"/>
          <w:color w:val="auto"/>
        </w:rPr>
      </w:pPr>
      <w:r>
        <w:rPr>
          <w:rFonts w:ascii="Arial" w:cs="Arial" w:eastAsia="Arial" w:hAnsi="Arial"/>
          <w:sz w:val="18"/>
          <w:szCs w:val="18"/>
          <w:color w:val="auto"/>
        </w:rPr>
        <w:t>On April 4, 2013, approximately $9 million of the Company’s 8.75% Convertible Notes were converted at a price per share of $8.159 into 1,102,093 shares of KCAP common stock. On September 4, 2013, the Company purchased $2 million face value of its own Convertible Notes at a price of $114.50, plus accrued interest. KCAP subsequently surrendered these notes to the note trustee for cancellation effective September 13, 2013. Due to the cash conversion option embedded in the Convertible Notes, the Company applied the guidance in ASC 470-40-20, Debt with Conversion and Other Options, and realized a loss on the extinguishment of this debt. For the nine months ended September 30, 2014, there were no realized losses on extinguishment of debt. For the year ended December 31, 2013 total realized losses on extinguishment of debt were approximately $537,000. The indenture governing the Convertible Notes contains certain restrictive covenants, including compliance with certain provisions of the 1940 Act and conditions governing the undertaking of new debt.</w:t>
      </w:r>
    </w:p>
    <w:p>
      <w:pPr>
        <w:spacing w:after="0" w:line="192" w:lineRule="exact"/>
        <w:rPr>
          <w:sz w:val="20"/>
          <w:szCs w:val="20"/>
          <w:color w:val="auto"/>
        </w:rPr>
      </w:pPr>
    </w:p>
    <w:p>
      <w:pPr>
        <w:ind w:right="80" w:firstLine="414"/>
        <w:spacing w:after="0" w:line="264" w:lineRule="auto"/>
        <w:rPr>
          <w:sz w:val="20"/>
          <w:szCs w:val="20"/>
          <w:color w:val="auto"/>
        </w:rPr>
      </w:pPr>
      <w:r>
        <w:rPr>
          <w:rFonts w:ascii="Arial" w:cs="Arial" w:eastAsia="Arial" w:hAnsi="Arial"/>
          <w:sz w:val="18"/>
          <w:szCs w:val="18"/>
          <w:color w:val="auto"/>
        </w:rPr>
        <w:t>In February 2012, the Company entered into a Note Purchase Agreement, under which it was able to obtain up to $30 million in financing (the “Facility”). The Facility was terminated on November 4, 2013 and remaining unamortized capitalized costs of approximately $203,000 related to the Facility were written-off and are included in Realized Losses on Extinguishments of Debt.</w:t>
      </w:r>
    </w:p>
    <w:p>
      <w:pPr>
        <w:spacing w:after="0" w:line="181" w:lineRule="exact"/>
        <w:rPr>
          <w:sz w:val="20"/>
          <w:szCs w:val="20"/>
          <w:color w:val="auto"/>
        </w:rPr>
      </w:pPr>
    </w:p>
    <w:p>
      <w:pPr>
        <w:ind w:firstLine="414"/>
        <w:spacing w:after="0" w:line="254" w:lineRule="auto"/>
        <w:rPr>
          <w:sz w:val="20"/>
          <w:szCs w:val="20"/>
          <w:color w:val="auto"/>
        </w:rPr>
      </w:pPr>
      <w:r>
        <w:rPr>
          <w:rFonts w:ascii="Arial" w:cs="Arial" w:eastAsia="Arial" w:hAnsi="Arial"/>
          <w:sz w:val="18"/>
          <w:szCs w:val="18"/>
          <w:color w:val="auto"/>
        </w:rPr>
        <w:t>On October 10, 2012, the Company issued $41.4 million in aggregate principal amount of unsecured 7.375% Notes Due 2019. The net proceeds for the7.375% Notes Due 2019, following underwriting expenses, were approximately $39.9 million. Interest on the 7.375% Notes Due 2019 is paid quarterly in arrears on March 30, June 30, September 30 and December 30, at a rate of 7.375%, commencing December 30, 2012. The 7.375% Notes Due 2019 mature on September 30, 2019, and are senior unsecured obligations of the Company. In addition, due to the coverage tests applicable to the Company as a BDC and a covenant that the Company agreed to in connection with the issuance of the7.375% Notes Due 2019, the Company is limited in its ability to make distributions in certain circumstances. At September 30, 2014, the Company was in compliance with all of its debt covenants. The indenture governing the 7.375% Notes Due 2019 contains certain restrictive covenants, including compliance with certain provisions of the 1940 Act relating to borrowing and dividends.</w:t>
      </w:r>
    </w:p>
    <w:p>
      <w:pPr>
        <w:spacing w:after="0" w:line="192" w:lineRule="exact"/>
        <w:rPr>
          <w:sz w:val="20"/>
          <w:szCs w:val="20"/>
          <w:color w:val="auto"/>
        </w:rPr>
      </w:pPr>
    </w:p>
    <w:p>
      <w:pPr>
        <w:ind w:right="160" w:firstLine="414"/>
        <w:spacing w:after="0" w:line="259" w:lineRule="auto"/>
        <w:rPr>
          <w:sz w:val="20"/>
          <w:szCs w:val="20"/>
          <w:color w:val="auto"/>
        </w:rPr>
      </w:pPr>
      <w:r>
        <w:rPr>
          <w:rFonts w:ascii="Arial" w:cs="Arial" w:eastAsia="Arial" w:hAnsi="Arial"/>
          <w:sz w:val="18"/>
          <w:szCs w:val="18"/>
          <w:color w:val="auto"/>
        </w:rPr>
        <w:t>On February 14, 2013, the Company completed a public offering of 5,232,500 shares of common stock, which included the underwriters’ full exercise of their option to purchase up to 682,500 shares of common stock, at a price of $9.75 per share, raising approximately $51.0 million in gross proceeds. In conjunction with this offering, the Company also sold 200,000 shares of common stock to a member of its Board of Directors, at a price of $9.31125 per share, raising approximately $1.9 million in gross proceeds.</w:t>
      </w:r>
    </w:p>
    <w:p>
      <w:pPr>
        <w:spacing w:after="0" w:line="187" w:lineRule="exact"/>
        <w:rPr>
          <w:sz w:val="20"/>
          <w:szCs w:val="20"/>
          <w:color w:val="auto"/>
        </w:rPr>
      </w:pPr>
    </w:p>
    <w:p>
      <w:pPr>
        <w:ind w:firstLine="414"/>
        <w:spacing w:after="0" w:line="293" w:lineRule="auto"/>
        <w:rPr>
          <w:sz w:val="20"/>
          <w:szCs w:val="20"/>
          <w:color w:val="auto"/>
        </w:rPr>
      </w:pPr>
      <w:r>
        <w:rPr>
          <w:rFonts w:ascii="Arial" w:cs="Arial" w:eastAsia="Arial" w:hAnsi="Arial"/>
          <w:sz w:val="16"/>
          <w:szCs w:val="16"/>
          <w:color w:val="auto"/>
        </w:rPr>
        <w:t>On June 18, 2013, KCAP Senior Funding I, LLC, or Issuer, a specialty finance subsidiary of the Company, was capitalized through the issuance of $140 million of notes (the “KCAP Senior Funding I Notes”). The KCAP Senior Funding I Notes are backed by a diversified portfolio of bank loans. The Company invested in the most junior class of the notes, issued in the approximate amount of $35 million, representing the Company’s primary exposure to the performance of the assets acquired from the proceeds of the issuance of the KCAP Senior Funding I Notes. These junior notes eliminate in consolidation and the remaining notes with a par value of $105 million, net of $2.7 million of unamortized discount, are reflected on our consolidated balance sheet. The indenture governing the KCAP Senior Funding I Notes contains an event of default that is triggered in the event that certain coverage tests are not met.</w:t>
      </w:r>
    </w:p>
    <w:p>
      <w:pPr>
        <w:spacing w:after="0" w:line="165" w:lineRule="exact"/>
        <w:rPr>
          <w:sz w:val="20"/>
          <w:szCs w:val="20"/>
          <w:color w:val="auto"/>
        </w:rPr>
      </w:pPr>
    </w:p>
    <w:p>
      <w:pPr>
        <w:ind w:right="140" w:firstLine="414"/>
        <w:spacing w:after="0" w:line="259" w:lineRule="auto"/>
        <w:rPr>
          <w:sz w:val="20"/>
          <w:szCs w:val="20"/>
          <w:color w:val="auto"/>
        </w:rPr>
      </w:pPr>
      <w:r>
        <w:rPr>
          <w:rFonts w:ascii="Arial" w:cs="Arial" w:eastAsia="Arial" w:hAnsi="Arial"/>
          <w:sz w:val="18"/>
          <w:szCs w:val="18"/>
          <w:color w:val="auto"/>
        </w:rPr>
        <w:t>Subject to prevailing market conditions, we intend to grow our portfolio of assets by raising additional capital, including through the prudent use of leverage available to us. As a result, we may seek to enter into new agreements with other lenders or into other financing arrangements as market conditions permit. From time to time, we may seek to retire, repurchase, or exchange debt securities in open market purchases or by other means dependent on market conditions, liquidity, contractual obligations, and other matters.</w:t>
      </w:r>
    </w:p>
    <w:p>
      <w:pPr>
        <w:spacing w:after="0" w:line="187" w:lineRule="exact"/>
        <w:rPr>
          <w:sz w:val="20"/>
          <w:szCs w:val="20"/>
          <w:color w:val="auto"/>
        </w:rPr>
      </w:pPr>
    </w:p>
    <w:p>
      <w:pPr>
        <w:ind w:right="100" w:firstLine="414"/>
        <w:spacing w:after="0" w:line="291" w:lineRule="auto"/>
        <w:rPr>
          <w:sz w:val="20"/>
          <w:szCs w:val="20"/>
          <w:color w:val="auto"/>
        </w:rPr>
      </w:pPr>
      <w:r>
        <w:rPr>
          <w:rFonts w:ascii="Arial" w:cs="Arial" w:eastAsia="Arial" w:hAnsi="Arial"/>
          <w:sz w:val="16"/>
          <w:szCs w:val="16"/>
          <w:color w:val="auto"/>
        </w:rPr>
        <w:t>If our common stock trades below our net asset value per share, we will generally not be able to issue additional common stock at the market price unless our shareholders approve such a sale and our Board of Directors makes certain determinations. A proposal, approved by our stockholders (at a special stockholder meeting held on June 19, 2014 and continued on July 8, 2014) authorizes us to sell shares of our common stock below the then current net asset value per share of our common stock in one or more offerings for the period ending on the earlier of (i) July 8, 2015, or (ii) the date of our 2015 annual meeting of shareholders. For the same period, the Company adopted a policy that it will not seek approval from our Board of Directors to sell or otherwise issue more than 15% of the Company’s then outstanding shares of common stock at a price below its then current net asset value. We would need similar future approval from our shareholders to issue shares below the then current net asset value per share any time after the expiration of the current approval.</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Stockholder Distributions</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intend to continue to distribute quarterly distributions to our stockholders. To avoid certain excise taxes imposed on RICs, we currently intend to distribute during each calendar year an amount at least equal to the sum of:</w:t>
      </w:r>
    </w:p>
    <w:p>
      <w:pPr>
        <w:spacing w:after="0" w:line="170" w:lineRule="exact"/>
        <w:rPr>
          <w:sz w:val="20"/>
          <w:szCs w:val="20"/>
          <w:color w:val="auto"/>
        </w:rPr>
      </w:pPr>
    </w:p>
    <w:p>
      <w:pPr>
        <w:ind w:left="1040" w:hanging="384"/>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98% of our ordinary net taxable income for the calendar year;</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98.2% of our capital gains, if any, in excess of capital losses for the one-year period ending on October 31 of the calendar year; and</w:t>
      </w:r>
    </w:p>
    <w:p>
      <w:pPr>
        <w:spacing w:after="0" w:line="236" w:lineRule="exact"/>
        <w:rPr>
          <w:rFonts w:ascii="Arial" w:cs="Arial" w:eastAsia="Arial" w:hAnsi="Arial"/>
          <w:sz w:val="17"/>
          <w:szCs w:val="17"/>
          <w:color w:val="auto"/>
        </w:rPr>
      </w:pPr>
    </w:p>
    <w:p>
      <w:pPr>
        <w:ind w:left="1040" w:hanging="384"/>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the preceding year that were not distributed during such year.</w:t>
      </w:r>
    </w:p>
    <w:p>
      <w:pPr>
        <w:spacing w:after="0" w:line="225" w:lineRule="exact"/>
        <w:rPr>
          <w:sz w:val="20"/>
          <w:szCs w:val="20"/>
          <w:color w:val="auto"/>
        </w:rPr>
      </w:pPr>
    </w:p>
    <w:p>
      <w:pPr>
        <w:ind w:right="220" w:firstLine="414"/>
        <w:spacing w:after="0" w:line="257"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on our evaluation of both distributable income for tax purposes and GAAP net investment income (which excludes unrealized gains and losses). Generally, we seek to fund our distributions from GAAP current earnings, primarily from net interest and dividend income generated by our investment portfolio and without a return of capital or a high reliance on realized capital gains. Distributions to our stockholders during the years ended 2013 and 2012 included $5.8 million and $1.3 million, respectively, of tax-basis return of capital.</w:t>
      </w:r>
    </w:p>
    <w:p>
      <w:pPr>
        <w:spacing w:after="0" w:line="188" w:lineRule="exact"/>
        <w:rPr>
          <w:sz w:val="20"/>
          <w:szCs w:val="20"/>
          <w:color w:val="auto"/>
        </w:rPr>
      </w:pPr>
    </w:p>
    <w:p>
      <w:pPr>
        <w:ind w:right="300" w:firstLine="414"/>
        <w:spacing w:after="0" w:line="277" w:lineRule="auto"/>
        <w:rPr>
          <w:sz w:val="20"/>
          <w:szCs w:val="20"/>
          <w:color w:val="auto"/>
        </w:rPr>
      </w:pPr>
      <w:r>
        <w:rPr>
          <w:rFonts w:ascii="Arial" w:cs="Arial" w:eastAsia="Arial" w:hAnsi="Arial"/>
          <w:sz w:val="18"/>
          <w:szCs w:val="18"/>
          <w:color w:val="auto"/>
        </w:rPr>
        <w:t>The following table sets forth the quarterly distributions declared by us for the two most recently completed fiscal years and the current fiscal year, including distributions from the Asset Manager Affiliates received by the Company, if any.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Declaration</w:t>
            </w:r>
          </w:p>
        </w:tc>
        <w:tc>
          <w:tcPr>
            <w:tcW w:w="14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Record</w:t>
            </w: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Pay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Distribution</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Date</w:t>
            </w:r>
          </w:p>
        </w:tc>
        <w:tc>
          <w:tcPr>
            <w:tcW w:w="14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Date</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0.25</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9/19/2014</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10/14/2014</w:t>
            </w:r>
          </w:p>
        </w:tc>
        <w:tc>
          <w:tcPr>
            <w:tcW w:w="1360" w:type="dxa"/>
            <w:vAlign w:val="bottom"/>
          </w:tcPr>
          <w:p>
            <w:pPr>
              <w:jc w:val="right"/>
              <w:spacing w:after="0"/>
              <w:rPr>
                <w:sz w:val="20"/>
                <w:szCs w:val="20"/>
                <w:color w:val="auto"/>
              </w:rPr>
            </w:pPr>
            <w:r>
              <w:rPr>
                <w:rFonts w:ascii="Arial" w:cs="Arial" w:eastAsia="Arial" w:hAnsi="Arial"/>
                <w:sz w:val="18"/>
                <w:szCs w:val="18"/>
                <w:color w:val="auto"/>
              </w:rPr>
              <w:t>10/29/2014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0.25</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6/20/2014</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7/3/2014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0.25</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3/21/2014</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4/4/2014</w:t>
            </w:r>
          </w:p>
        </w:tc>
        <w:tc>
          <w:tcPr>
            <w:tcW w:w="1360" w:type="dxa"/>
            <w:vAlign w:val="bottom"/>
          </w:tcPr>
          <w:p>
            <w:pPr>
              <w:jc w:val="right"/>
              <w:spacing w:after="0"/>
              <w:rPr>
                <w:sz w:val="20"/>
                <w:szCs w:val="20"/>
                <w:color w:val="auto"/>
              </w:rPr>
            </w:pPr>
            <w:r>
              <w:rPr>
                <w:rFonts w:ascii="Arial" w:cs="Arial" w:eastAsia="Arial" w:hAnsi="Arial"/>
                <w:sz w:val="18"/>
                <w:szCs w:val="18"/>
                <w:color w:val="auto"/>
              </w:rPr>
              <w:t>4/25/2014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declared in 2014</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0.25</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12/13/2013</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12/27/2013</w:t>
            </w:r>
          </w:p>
        </w:tc>
        <w:tc>
          <w:tcPr>
            <w:tcW w:w="1360" w:type="dxa"/>
            <w:vAlign w:val="bottom"/>
          </w:tcPr>
          <w:p>
            <w:pPr>
              <w:jc w:val="right"/>
              <w:spacing w:after="0"/>
              <w:rPr>
                <w:sz w:val="20"/>
                <w:szCs w:val="20"/>
                <w:color w:val="auto"/>
              </w:rPr>
            </w:pPr>
            <w:r>
              <w:rPr>
                <w:rFonts w:ascii="Arial" w:cs="Arial" w:eastAsia="Arial" w:hAnsi="Arial"/>
                <w:sz w:val="18"/>
                <w:szCs w:val="18"/>
                <w:color w:val="auto"/>
              </w:rPr>
              <w:t>1/27/2014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Third quarter</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0.25</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9/13/2013</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10/8/2013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0.28</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6/17/2013</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7/5/2013</w:t>
            </w:r>
          </w:p>
        </w:tc>
        <w:tc>
          <w:tcPr>
            <w:tcW w:w="1360" w:type="dxa"/>
            <w:vAlign w:val="bottom"/>
          </w:tcPr>
          <w:p>
            <w:pPr>
              <w:jc w:val="right"/>
              <w:spacing w:after="0"/>
              <w:rPr>
                <w:sz w:val="20"/>
                <w:szCs w:val="20"/>
                <w:color w:val="auto"/>
              </w:rPr>
            </w:pPr>
            <w:r>
              <w:rPr>
                <w:rFonts w:ascii="Arial" w:cs="Arial" w:eastAsia="Arial" w:hAnsi="Arial"/>
                <w:sz w:val="18"/>
                <w:szCs w:val="18"/>
                <w:color w:val="auto"/>
              </w:rPr>
              <w:t>7/26/2013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0.28</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3/15/2013</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4/5/2013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4/26/2013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declared in 2013</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0.28</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12/17/2012</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12/28/2012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0.24</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9/17/2012</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10/10/2012</w:t>
            </w:r>
          </w:p>
        </w:tc>
        <w:tc>
          <w:tcPr>
            <w:tcW w:w="1360" w:type="dxa"/>
            <w:vAlign w:val="bottom"/>
          </w:tcPr>
          <w:p>
            <w:pPr>
              <w:jc w:val="right"/>
              <w:spacing w:after="0"/>
              <w:rPr>
                <w:sz w:val="20"/>
                <w:szCs w:val="20"/>
                <w:color w:val="auto"/>
              </w:rPr>
            </w:pPr>
            <w:r>
              <w:rPr>
                <w:rFonts w:ascii="Arial" w:cs="Arial" w:eastAsia="Arial" w:hAnsi="Arial"/>
                <w:sz w:val="18"/>
                <w:szCs w:val="18"/>
                <w:color w:val="auto"/>
              </w:rPr>
              <w:t>10/29/2012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6/18/2012</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7/6/2012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7/27/2012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0.18</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3/16/2012</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4/6/2012</w:t>
            </w:r>
          </w:p>
        </w:tc>
        <w:tc>
          <w:tcPr>
            <w:tcW w:w="1360" w:type="dxa"/>
            <w:vAlign w:val="bottom"/>
          </w:tcPr>
          <w:p>
            <w:pPr>
              <w:jc w:val="right"/>
              <w:spacing w:after="0"/>
              <w:rPr>
                <w:sz w:val="20"/>
                <w:szCs w:val="20"/>
                <w:color w:val="auto"/>
              </w:rPr>
            </w:pPr>
            <w:r>
              <w:rPr>
                <w:rFonts w:ascii="Arial" w:cs="Arial" w:eastAsia="Arial" w:hAnsi="Arial"/>
                <w:sz w:val="18"/>
                <w:szCs w:val="18"/>
                <w:color w:val="auto"/>
              </w:rPr>
              <w:t>4/27/2012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declared in 2012</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are a party to financial instruments with off-balance sheet risk in the normal course of business in order to meet the needs of the Company’s investment objectives. Such instruments include commitments to extend credit and may involve, in varying degrees, elements of credit risk in excess of amounts recognized on our balance sheet. Prior to extending such credit, we attempt to limit our credit risk by conducting extensive due diligence, obtaining collateral where necessary and negotiating appropriate financial covenants. As of September 30, 2014 we had outstanding commitments of $6 million and as of December 31, 2013, we did not have any such outstanding commitments.</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77"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contractual cash obligations and other commercial commitments as of September 30,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vMerge w:val="restart"/>
          </w:tcPr>
          <w:p>
            <w:pPr>
              <w:spacing w:after="0"/>
              <w:rPr>
                <w:sz w:val="20"/>
                <w:szCs w:val="20"/>
                <w:color w:val="auto"/>
              </w:rPr>
            </w:pPr>
            <w:r>
              <w:rPr>
                <w:rFonts w:ascii="Arial" w:cs="Arial" w:eastAsia="Arial" w:hAnsi="Arial"/>
                <w:sz w:val="18"/>
                <w:szCs w:val="18"/>
                <w:b w:val="1"/>
                <w:bCs w:val="1"/>
                <w:color w:val="auto"/>
              </w:rPr>
              <w:t>Contractual</w:t>
            </w:r>
          </w:p>
        </w:tc>
        <w:tc>
          <w:tcPr>
            <w:tcW w:w="1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ind w:left="60"/>
              <w:spacing w:after="0"/>
              <w:rPr>
                <w:sz w:val="20"/>
                <w:szCs w:val="20"/>
                <w:color w:val="auto"/>
              </w:rPr>
            </w:pPr>
            <w:r>
              <w:rPr>
                <w:rFonts w:ascii="Arial" w:cs="Arial" w:eastAsia="Arial" w:hAnsi="Arial"/>
                <w:sz w:val="18"/>
                <w:szCs w:val="18"/>
                <w:b w:val="1"/>
                <w:bCs w:val="1"/>
                <w:color w:val="auto"/>
              </w:rPr>
              <w:t>Payments Due by Period</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5"/>
          </w:tcPr>
          <w:p>
            <w:pPr>
              <w:spacing w:after="0" w:line="191" w:lineRule="exact"/>
              <w:rPr>
                <w:sz w:val="20"/>
                <w:szCs w:val="20"/>
                <w:color w:val="auto"/>
              </w:rPr>
            </w:pPr>
            <w:r>
              <w:rPr>
                <w:rFonts w:ascii="Arial" w:cs="Arial" w:eastAsia="Arial" w:hAnsi="Arial"/>
                <w:sz w:val="18"/>
                <w:szCs w:val="18"/>
                <w:b w:val="1"/>
                <w:bCs w:val="1"/>
                <w:color w:val="auto"/>
              </w:rPr>
              <w:t>Less than one</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More than 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Obligations</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22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97"/>
              </w:rPr>
              <w:t>year</w:t>
            </w: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1 - 3 years</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3 - 5 years</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years</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420" w:type="dxa"/>
            <w:vAlign w:val="bottom"/>
            <w:shd w:val="clear" w:color="auto" w:fill="CCEEFF"/>
          </w:tcPr>
          <w:p>
            <w:pPr>
              <w:spacing w:after="0" w:line="264" w:lineRule="exact"/>
              <w:rPr>
                <w:sz w:val="20"/>
                <w:szCs w:val="20"/>
                <w:color w:val="auto"/>
              </w:rPr>
            </w:pPr>
            <w:r>
              <w:rPr>
                <w:rFonts w:ascii="Arial" w:cs="Arial" w:eastAsia="Arial" w:hAnsi="Arial"/>
                <w:sz w:val="18"/>
                <w:szCs w:val="18"/>
                <w:color w:val="auto"/>
              </w:rPr>
              <w:t>Long-term debt obligations</w:t>
            </w:r>
            <w:r>
              <w:rPr>
                <w:rFonts w:ascii="Arial" w:cs="Arial" w:eastAsia="Arial" w:hAnsi="Arial"/>
                <w:sz w:val="30"/>
                <w:szCs w:val="30"/>
                <w:color w:val="auto"/>
                <w:vertAlign w:val="superscript"/>
              </w:rPr>
              <w:t>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$ 195,658,000</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  $  49,008,000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$ 146,650,000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approximately $49.0 million of Convertible Notes, $41.4 million of 7.375% Notes Due 2019 and $105.3 Notes issued by KCAP Senior Funding I, L.L.C.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00" w:firstLine="207"/>
        <w:spacing w:after="0" w:line="276" w:lineRule="auto"/>
        <w:rPr>
          <w:sz w:val="20"/>
          <w:szCs w:val="20"/>
          <w:color w:val="auto"/>
        </w:rPr>
      </w:pPr>
      <w:r>
        <w:rPr>
          <w:rFonts w:ascii="Arial" w:cs="Arial" w:eastAsia="Arial" w:hAnsi="Arial"/>
          <w:sz w:val="17"/>
          <w:szCs w:val="17"/>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contained elsewhere herein: Significant Accounting Policies — Investments.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225"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170"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color w:val="auto"/>
        </w:rPr>
        <w:t>Value, as defined in Section 2(a)(41) of 1940 Act, is (1) the market price for those securities for which a market quotation is readily available and (2) for all other securities and assets, fair value as determined in good faith by our Board of Directors pursuant to procedures approved by our Board of Directors.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of Directors’ determined values may differ significantly from the values that would have been used had a ready market existed for the investments, and the differences could be material.</w:t>
      </w:r>
    </w:p>
    <w:p>
      <w:pPr>
        <w:spacing w:after="0" w:line="193" w:lineRule="exact"/>
        <w:rPr>
          <w:sz w:val="20"/>
          <w:szCs w:val="20"/>
          <w:color w:val="auto"/>
        </w:rPr>
      </w:pPr>
    </w:p>
    <w:p>
      <w:pPr>
        <w:ind w:right="40" w:firstLine="270"/>
        <w:spacing w:after="0" w:line="286" w:lineRule="auto"/>
        <w:rPr>
          <w:sz w:val="20"/>
          <w:szCs w:val="20"/>
          <w:color w:val="auto"/>
        </w:rPr>
      </w:pPr>
      <w:r>
        <w:rPr>
          <w:rFonts w:ascii="Arial" w:cs="Arial" w:eastAsia="Arial" w:hAnsi="Arial"/>
          <w:sz w:val="17"/>
          <w:szCs w:val="17"/>
          <w:color w:val="auto"/>
        </w:rPr>
        <w:t>Pursuant to the AICPA Guide, we reflect our investments on our balance sheet at their estimated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166" w:lineRule="exact"/>
        <w:rPr>
          <w:sz w:val="20"/>
          <w:szCs w:val="20"/>
          <w:color w:val="auto"/>
        </w:rPr>
      </w:pPr>
    </w:p>
    <w:p>
      <w:pPr>
        <w:ind w:right="400" w:firstLine="270"/>
        <w:spacing w:after="0" w:line="277" w:lineRule="auto"/>
        <w:rPr>
          <w:sz w:val="20"/>
          <w:szCs w:val="20"/>
          <w:color w:val="auto"/>
        </w:rPr>
      </w:pPr>
      <w:r>
        <w:rPr>
          <w:rFonts w:ascii="Arial" w:cs="Arial" w:eastAsia="Arial" w:hAnsi="Arial"/>
          <w:sz w:val="18"/>
          <w:szCs w:val="18"/>
          <w:color w:val="auto"/>
        </w:rPr>
        <w:t>See Note 4 to the consolidated financial statements for the additional information about the level of market observability associated with investments carried at fair value.</w:t>
      </w:r>
    </w:p>
    <w:p>
      <w:pPr>
        <w:spacing w:after="0" w:line="170" w:lineRule="exact"/>
        <w:rPr>
          <w:sz w:val="20"/>
          <w:szCs w:val="20"/>
          <w:color w:val="auto"/>
        </w:rPr>
      </w:pPr>
    </w:p>
    <w:p>
      <w:pPr>
        <w:ind w:right="20" w:firstLine="270"/>
        <w:spacing w:after="0" w:line="269" w:lineRule="auto"/>
        <w:rPr>
          <w:sz w:val="20"/>
          <w:szCs w:val="20"/>
          <w:color w:val="auto"/>
        </w:rPr>
      </w:pPr>
      <w:r>
        <w:rPr>
          <w:rFonts w:ascii="Arial" w:cs="Arial" w:eastAsia="Arial" w:hAnsi="Arial"/>
          <w:sz w:val="17"/>
          <w:szCs w:val="17"/>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7" w:name="page68"/>
    <w:bookmarkEnd w:id="67"/>
    <w:p>
      <w:pPr>
        <w:ind w:right="140" w:firstLine="41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70" w:lineRule="exact"/>
        <w:rPr>
          <w:sz w:val="20"/>
          <w:szCs w:val="20"/>
          <w:color w:val="auto"/>
        </w:rPr>
      </w:pPr>
    </w:p>
    <w:p>
      <w:pPr>
        <w:ind w:left="980" w:right="300" w:hanging="324"/>
        <w:spacing w:after="0" w:line="312" w:lineRule="auto"/>
        <w:tabs>
          <w:tab w:leader="none" w:pos="9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Level I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46" w:lineRule="exact"/>
        <w:rPr>
          <w:rFonts w:ascii="Arial" w:cs="Arial" w:eastAsia="Arial" w:hAnsi="Arial"/>
          <w:sz w:val="16"/>
          <w:szCs w:val="16"/>
          <w:color w:val="auto"/>
        </w:rPr>
      </w:pPr>
    </w:p>
    <w:p>
      <w:pPr>
        <w:ind w:left="980" w:hanging="324"/>
        <w:spacing w:after="0" w:line="297" w:lineRule="auto"/>
        <w:tabs>
          <w:tab w:leader="none" w:pos="9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Level II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58" w:lineRule="exact"/>
        <w:rPr>
          <w:rFonts w:ascii="Arial" w:cs="Arial" w:eastAsia="Arial" w:hAnsi="Arial"/>
          <w:sz w:val="16"/>
          <w:szCs w:val="16"/>
          <w:color w:val="auto"/>
        </w:rPr>
      </w:pPr>
    </w:p>
    <w:p>
      <w:pPr>
        <w:ind w:left="980" w:right="140" w:hanging="324"/>
        <w:spacing w:after="0" w:line="255"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89" w:lineRule="exact"/>
        <w:rPr>
          <w:sz w:val="20"/>
          <w:szCs w:val="20"/>
          <w:color w:val="auto"/>
        </w:rPr>
      </w:pPr>
    </w:p>
    <w:p>
      <w:pPr>
        <w:ind w:right="20" w:firstLine="41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all of the Company’s investments are classified as Level III. The Company evaluates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Ongoing reviews by the Company’s investment analysts, Chief Investment Officer, Valuation Committee and independent valuation firms (if engaged)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78" w:lineRule="exact"/>
        <w:rPr>
          <w:sz w:val="20"/>
          <w:szCs w:val="20"/>
          <w:color w:val="auto"/>
        </w:rPr>
      </w:pPr>
    </w:p>
    <w:p>
      <w:pPr>
        <w:ind w:right="40" w:firstLine="414"/>
        <w:spacing w:after="0" w:line="286" w:lineRule="auto"/>
        <w:rPr>
          <w:sz w:val="20"/>
          <w:szCs w:val="20"/>
          <w:color w:val="auto"/>
        </w:rPr>
      </w:pPr>
      <w:r>
        <w:rPr>
          <w:rFonts w:ascii="Arial" w:cs="Arial" w:eastAsia="Arial" w:hAnsi="Arial"/>
          <w:sz w:val="17"/>
          <w:szCs w:val="17"/>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166" w:lineRule="exact"/>
        <w:rPr>
          <w:sz w:val="20"/>
          <w:szCs w:val="20"/>
          <w:color w:val="auto"/>
        </w:rPr>
      </w:pPr>
    </w:p>
    <w:p>
      <w:pPr>
        <w:ind w:right="40" w:firstLine="414"/>
        <w:spacing w:after="0" w:line="287" w:lineRule="auto"/>
        <w:rPr>
          <w:sz w:val="20"/>
          <w:szCs w:val="20"/>
          <w:color w:val="auto"/>
        </w:rPr>
      </w:pPr>
      <w:r>
        <w:rPr>
          <w:rFonts w:ascii="Arial" w:cs="Arial" w:eastAsia="Arial" w:hAnsi="Arial"/>
          <w:sz w:val="16"/>
          <w:szCs w:val="16"/>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we securities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8" w:name="page69"/>
    <w:bookmarkEnd w:id="68"/>
    <w:p>
      <w:pPr>
        <w:ind w:right="60" w:firstLine="414"/>
        <w:spacing w:after="0" w:line="255" w:lineRule="auto"/>
        <w:rPr>
          <w:sz w:val="20"/>
          <w:szCs w:val="20"/>
          <w:color w:val="auto"/>
        </w:rPr>
      </w:pPr>
      <w:r>
        <w:rPr>
          <w:rFonts w:ascii="Arial" w:cs="Arial" w:eastAsia="Arial" w:hAnsi="Arial"/>
          <w:sz w:val="18"/>
          <w:szCs w:val="18"/>
          <w:color w:val="auto"/>
        </w:rPr>
        <w:t>The Company’s investments in its wholly-owned asset management companies, the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193" w:lineRule="exact"/>
        <w:rPr>
          <w:sz w:val="20"/>
          <w:szCs w:val="20"/>
          <w:color w:val="auto"/>
        </w:rPr>
      </w:pPr>
    </w:p>
    <w:p>
      <w:pPr>
        <w:ind w:firstLine="270"/>
        <w:spacing w:after="0" w:line="270" w:lineRule="auto"/>
        <w:rPr>
          <w:sz w:val="20"/>
          <w:szCs w:val="20"/>
          <w:color w:val="auto"/>
        </w:rPr>
      </w:pPr>
      <w:r>
        <w:rPr>
          <w:rFonts w:ascii="Arial" w:cs="Arial" w:eastAsia="Arial" w:hAnsi="Arial"/>
          <w:sz w:val="17"/>
          <w:szCs w:val="17"/>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182" w:lineRule="exact"/>
        <w:rPr>
          <w:sz w:val="20"/>
          <w:szCs w:val="20"/>
          <w:color w:val="auto"/>
        </w:rPr>
      </w:pPr>
    </w:p>
    <w:p>
      <w:pPr>
        <w:ind w:right="80" w:firstLine="270"/>
        <w:spacing w:after="0" w:line="276" w:lineRule="auto"/>
        <w:rPr>
          <w:sz w:val="20"/>
          <w:szCs w:val="20"/>
          <w:color w:val="auto"/>
        </w:rPr>
      </w:pPr>
      <w:r>
        <w:rPr>
          <w:rFonts w:ascii="Arial" w:cs="Arial" w:eastAsia="Arial" w:hAnsi="Arial"/>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73" w:lineRule="exact"/>
        <w:rPr>
          <w:sz w:val="20"/>
          <w:szCs w:val="20"/>
          <w:color w:val="auto"/>
        </w:rPr>
      </w:pPr>
    </w:p>
    <w:p>
      <w:pPr>
        <w:ind w:right="120" w:firstLine="270"/>
        <w:spacing w:after="0" w:line="279" w:lineRule="auto"/>
        <w:rPr>
          <w:sz w:val="20"/>
          <w:szCs w:val="20"/>
          <w:color w:val="auto"/>
        </w:rPr>
      </w:pPr>
      <w:r>
        <w:rPr>
          <w:rFonts w:ascii="Arial" w:cs="Arial" w:eastAsia="Arial" w:hAnsi="Arial"/>
          <w:sz w:val="17"/>
          <w:szCs w:val="17"/>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 Our Board of Directors may consider other methods of valuation to determine the fair value of investments as appropriate in conformity with GAAP.</w:t>
      </w:r>
    </w:p>
    <w:p>
      <w:pPr>
        <w:spacing w:after="0" w:line="171"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management’s judgment.</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160" w:firstLine="414"/>
        <w:spacing w:after="0" w:line="273" w:lineRule="auto"/>
        <w:rPr>
          <w:sz w:val="20"/>
          <w:szCs w:val="20"/>
          <w:color w:val="auto"/>
        </w:rPr>
      </w:pPr>
      <w:r>
        <w:rPr>
          <w:rFonts w:ascii="Arial" w:cs="Arial" w:eastAsia="Arial" w:hAnsi="Arial"/>
          <w:sz w:val="17"/>
          <w:szCs w:val="17"/>
          <w:color w:val="auto"/>
        </w:rPr>
        <w:t>Interest income, including amortization of premium and accretion of discount,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Non-accrual loans remain in such status until the borrower has demonstrated the ability and intent to pay contractual amounts due or such loans become current. As of September 30, 2014, one issuer representing less than 1% of our total investments at fair value were on non-accrual status. As of December 31, 2013, five issuers representing less than 1% of our total investments at fair value were on non-accrual status.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9" w:name="page70"/>
    <w:bookmarkEnd w:id="69"/>
    <w:p>
      <w:pPr>
        <w:ind w:left="220"/>
        <w:spacing w:after="0"/>
        <w:rPr>
          <w:sz w:val="20"/>
          <w:szCs w:val="20"/>
          <w:color w:val="auto"/>
        </w:rPr>
      </w:pPr>
      <w:r>
        <w:rPr>
          <w:rFonts w:ascii="Arial" w:cs="Arial" w:eastAsia="Arial" w:hAnsi="Arial"/>
          <w:sz w:val="18"/>
          <w:szCs w:val="18"/>
          <w:b w:val="1"/>
          <w:bCs w:val="1"/>
          <w:i w:val="1"/>
          <w:iCs w:val="1"/>
          <w:color w:val="auto"/>
        </w:rPr>
        <w:t>Distributions from CLO Fund Securities</w:t>
      </w:r>
    </w:p>
    <w:p>
      <w:pPr>
        <w:spacing w:after="0" w:line="225"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We receive distributions from our investments in the most junior class of securities of CLO Funds (typically preferred shares or subordinated securities) managed by the Asset Manager Affiliates and selective investments in securities issued by funds managed by other asset management companies.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 We make estimated interim accruals of such dividend income based on recent historical distributions and CLO Fund performance and adjust such accruals on a quarterly basis to reflect actual distributions.</w:t>
      </w:r>
    </w:p>
    <w:p>
      <w:pPr>
        <w:spacing w:after="0" w:line="173" w:lineRule="exact"/>
        <w:rPr>
          <w:sz w:val="20"/>
          <w:szCs w:val="20"/>
          <w:color w:val="auto"/>
        </w:rPr>
      </w:pPr>
    </w:p>
    <w:p>
      <w:pPr>
        <w:ind w:right="40" w:firstLine="41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F notes of Catamaran 2012-1, interest is earned at a fixed spread relative to the LIBOR index.</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Distributions from Asset Manager Affiliates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record distributions from our Asset Manager Affiliates on the declaration date, which represents the ex-dividend date.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225" w:lineRule="exact"/>
        <w:rPr>
          <w:sz w:val="20"/>
          <w:szCs w:val="20"/>
          <w:color w:val="auto"/>
        </w:rPr>
      </w:pPr>
    </w:p>
    <w:p>
      <w:pPr>
        <w:ind w:right="200" w:firstLine="414"/>
        <w:spacing w:after="0" w:line="286" w:lineRule="auto"/>
        <w:rPr>
          <w:sz w:val="20"/>
          <w:szCs w:val="20"/>
          <w:color w:val="auto"/>
        </w:rPr>
      </w:pPr>
      <w:r>
        <w:rPr>
          <w:rFonts w:ascii="Arial" w:cs="Arial" w:eastAsia="Arial" w:hAnsi="Arial"/>
          <w:sz w:val="17"/>
          <w:szCs w:val="17"/>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the Company has not yet collected any cash.</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Fee Income</w:t>
      </w:r>
    </w:p>
    <w:p>
      <w:pPr>
        <w:spacing w:after="0" w:line="225" w:lineRule="exact"/>
        <w:rPr>
          <w:sz w:val="20"/>
          <w:szCs w:val="20"/>
          <w:color w:val="auto"/>
        </w:rPr>
      </w:pPr>
    </w:p>
    <w:p>
      <w:pPr>
        <w:ind w:right="80" w:firstLine="414"/>
        <w:spacing w:after="0" w:line="259" w:lineRule="auto"/>
        <w:rPr>
          <w:sz w:val="20"/>
          <w:szCs w:val="20"/>
          <w:color w:val="auto"/>
        </w:rPr>
      </w:pPr>
      <w:r>
        <w:rPr>
          <w:rFonts w:ascii="Arial" w:cs="Arial" w:eastAsia="Arial" w:hAnsi="Arial"/>
          <w:sz w:val="18"/>
          <w:szCs w:val="18"/>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Management Compensation</w:t>
      </w:r>
    </w:p>
    <w:p>
      <w:pPr>
        <w:spacing w:after="0" w:line="225" w:lineRule="exact"/>
        <w:rPr>
          <w:sz w:val="20"/>
          <w:szCs w:val="20"/>
          <w:color w:val="auto"/>
        </w:rPr>
      </w:pPr>
    </w:p>
    <w:p>
      <w:pPr>
        <w:ind w:right="20" w:firstLine="414"/>
        <w:spacing w:after="0" w:line="302" w:lineRule="auto"/>
        <w:rPr>
          <w:sz w:val="20"/>
          <w:szCs w:val="20"/>
          <w:color w:val="auto"/>
        </w:rPr>
      </w:pPr>
      <w:r>
        <w:rPr>
          <w:rFonts w:ascii="Arial" w:cs="Arial" w:eastAsia="Arial" w:hAnsi="Arial"/>
          <w:sz w:val="16"/>
          <w:szCs w:val="16"/>
          <w:color w:val="auto"/>
        </w:rPr>
        <w:t>We may, from time to time, issue stock options or restricted stock, under the Equity Incentive Plan, to officers and employees for services rendered to us. We follow Accounting Standards Codification 718, Compensation — Stock Compensation, a method by which the fair value of options or restricted stock is determined and expensed. During the nine months ended September 30, 2014, the Board of Directors authorized a grant of restricted stock to officers and employees comprised of 355,289 shares of restricted stock with an aggregate fair value of approximately $2.9 million on the date of grant.</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United States Federal Income Taxes</w:t>
      </w:r>
    </w:p>
    <w:p>
      <w:pPr>
        <w:spacing w:after="0" w:line="225" w:lineRule="exact"/>
        <w:rPr>
          <w:sz w:val="20"/>
          <w:szCs w:val="20"/>
          <w:color w:val="auto"/>
        </w:rPr>
      </w:pPr>
    </w:p>
    <w:p>
      <w:pPr>
        <w:ind w:right="20" w:firstLine="414"/>
        <w:spacing w:after="0" w:line="257" w:lineRule="auto"/>
        <w:rPr>
          <w:sz w:val="20"/>
          <w:szCs w:val="20"/>
          <w:color w:val="auto"/>
        </w:rPr>
      </w:pPr>
      <w:r>
        <w:rPr>
          <w:rFonts w:ascii="Arial" w:cs="Arial" w:eastAsia="Arial" w:hAnsi="Arial"/>
          <w:sz w:val="18"/>
          <w:szCs w:val="18"/>
          <w:color w:val="auto"/>
        </w:rPr>
        <w:t>The Company has elected and intends to continue to qualify for the tax treatment applicable to RICs under Subchapter M of the Code and, among other things, intends to make the required distributions to its stockholders as specified therein. In order to qualify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Distributions to Shareholders</w:t>
      </w:r>
    </w:p>
    <w:p>
      <w:pPr>
        <w:spacing w:after="0" w:line="225" w:lineRule="exact"/>
        <w:rPr>
          <w:sz w:val="20"/>
          <w:szCs w:val="20"/>
          <w:color w:val="auto"/>
        </w:rPr>
      </w:pPr>
    </w:p>
    <w:p>
      <w:pPr>
        <w:ind w:right="260" w:firstLine="414"/>
        <w:spacing w:after="0" w:line="277" w:lineRule="auto"/>
        <w:rPr>
          <w:sz w:val="20"/>
          <w:szCs w:val="20"/>
          <w:color w:val="auto"/>
        </w:rPr>
      </w:pPr>
      <w:r>
        <w:rPr>
          <w:rFonts w:ascii="Arial" w:cs="Arial" w:eastAsia="Arial" w:hAnsi="Arial"/>
          <w:sz w:val="18"/>
          <w:szCs w:val="18"/>
          <w:color w:val="auto"/>
        </w:rPr>
        <w:t>Distributions to common stockholders are recorded on the ex-dividend date. The amount to be paid out is determined by the Board of Directors each quarter and is generally based upon the earnings estimated by management for the period and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207"/>
        <w:spacing w:after="0" w:line="259" w:lineRule="auto"/>
        <w:rPr>
          <w:sz w:val="20"/>
          <w:szCs w:val="20"/>
          <w:color w:val="auto"/>
        </w:rPr>
      </w:pPr>
      <w:r>
        <w:rPr>
          <w:rFonts w:ascii="Arial" w:cs="Arial" w:eastAsia="Arial" w:hAnsi="Arial"/>
          <w:sz w:val="18"/>
          <w:szCs w:val="18"/>
          <w:color w:val="auto"/>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70" w:name="page71"/>
    <w:bookmarkEnd w:id="70"/>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firstLine="414"/>
        <w:spacing w:after="0" w:line="257"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and originate loans and securities and the value of our investment portfolio.</w:t>
      </w:r>
    </w:p>
    <w:p>
      <w:pPr>
        <w:spacing w:after="0" w:line="188" w:lineRule="exact"/>
        <w:rPr>
          <w:sz w:val="20"/>
          <w:szCs w:val="20"/>
          <w:color w:val="auto"/>
        </w:rPr>
      </w:pPr>
    </w:p>
    <w:p>
      <w:pPr>
        <w:ind w:right="40" w:firstLine="414"/>
        <w:spacing w:after="0" w:line="259" w:lineRule="auto"/>
        <w:rPr>
          <w:sz w:val="20"/>
          <w:szCs w:val="20"/>
          <w:color w:val="auto"/>
        </w:rPr>
      </w:pPr>
      <w:r>
        <w:rPr>
          <w:rFonts w:ascii="Arial" w:cs="Arial" w:eastAsia="Arial" w:hAnsi="Arial"/>
          <w:sz w:val="18"/>
          <w:szCs w:val="18"/>
          <w:color w:val="auto"/>
        </w:rPr>
        <w:t>Our investment income is affected by fluctuations in various interest rates, including LIBOR and prime rates. As of September 30, 2014, approximately 96% of our Debt Securities Portfolio were either fixed rate or floating rate with a spread to an interest rate index such as LIBOR or the prime rate. Most of these floating rate loans contain LIBOR floors ranging between 0.75% and 3.00%. We generally expect that future portfolio investments will predominately be floating rate investments.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2014, we had $195.7 million of borrowings outstanding at a weighted average rate of 5.08%.</w:t>
      </w:r>
    </w:p>
    <w:p>
      <w:pPr>
        <w:spacing w:after="0" w:line="225" w:lineRule="exact"/>
        <w:rPr>
          <w:sz w:val="20"/>
          <w:szCs w:val="20"/>
          <w:color w:val="auto"/>
        </w:rPr>
      </w:pPr>
    </w:p>
    <w:p>
      <w:pPr>
        <w:ind w:right="180" w:firstLine="414"/>
        <w:spacing w:after="0" w:line="276" w:lineRule="auto"/>
        <w:rPr>
          <w:sz w:val="20"/>
          <w:szCs w:val="20"/>
          <w:color w:val="auto"/>
        </w:rPr>
      </w:pPr>
      <w:r>
        <w:rPr>
          <w:rFonts w:ascii="Arial" w:cs="Arial" w:eastAsia="Arial" w:hAnsi="Arial"/>
          <w:sz w:val="17"/>
          <w:szCs w:val="17"/>
          <w:color w:val="auto"/>
        </w:rPr>
        <w:t>Because we borrow money to make investments, our net investment income is dependent upon the difference between our borrowing rate and the rate we earn on the invested proceeds borrowed. In periods of rising or lowering interest rates, the cost of the proportion of our debt associated with our Convertible Notes or 7.375% Notes Due 2019 would remain the same at 8.75% and 7.375%, respectively, given that this debt is at a fixed rate. The Notes issued by KCAP Senior Funding are floating rate based upon a LIBOR index plus a spread, which serves as a floor should LIBOR decrease to zero. Accordingly, our interest costs associated with this debt will fluctuate with changes in LIBOR.</w:t>
      </w:r>
    </w:p>
    <w:p>
      <w:pPr>
        <w:spacing w:after="0" w:line="173" w:lineRule="exact"/>
        <w:rPr>
          <w:sz w:val="20"/>
          <w:szCs w:val="20"/>
          <w:color w:val="auto"/>
        </w:rPr>
      </w:pPr>
    </w:p>
    <w:p>
      <w:pPr>
        <w:jc w:val="both"/>
        <w:ind w:right="160" w:firstLine="414"/>
        <w:spacing w:after="0" w:line="302" w:lineRule="auto"/>
        <w:rPr>
          <w:sz w:val="20"/>
          <w:szCs w:val="20"/>
          <w:color w:val="auto"/>
        </w:rPr>
      </w:pPr>
      <w:r>
        <w:rPr>
          <w:rFonts w:ascii="Arial" w:cs="Arial" w:eastAsia="Arial" w:hAnsi="Arial"/>
          <w:sz w:val="16"/>
          <w:szCs w:val="16"/>
          <w:color w:val="auto"/>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 such as the 1% rate increase scenario shown in the table below). Accordingly, there can be no assurance that a significant change in market interest rates will not have a material effect on our net investment income.</w:t>
      </w:r>
    </w:p>
    <w:p>
      <w:pPr>
        <w:spacing w:after="0" w:line="15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have analyzed the potential impact of changes in interest rates on interest income net of interest expense. Assuming that our balance sheet at September 30, 2014 was to remain constant and no actions were taken to alter the existing interest rate sensitivity, the table below illustrates the impact on net investment income on our Debt Securities Portfolio for various hypothetical increases in interest rates: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40" w:type="dxa"/>
            <w:vAlign w:val="bottom"/>
            <w:gridSpan w:val="8"/>
          </w:tcPr>
          <w:p>
            <w:pPr>
              <w:jc w:val="right"/>
              <w:ind w:right="660"/>
              <w:spacing w:after="0"/>
              <w:rPr>
                <w:sz w:val="20"/>
                <w:szCs w:val="20"/>
                <w:color w:val="auto"/>
              </w:rPr>
            </w:pPr>
            <w:r>
              <w:rPr>
                <w:rFonts w:ascii="Arial" w:cs="Arial" w:eastAsia="Arial" w:hAnsi="Arial"/>
                <w:sz w:val="18"/>
                <w:szCs w:val="18"/>
                <w:color w:val="auto"/>
              </w:rPr>
              <w:t>Impact on net investment income: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Increase in interest rate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(565,764)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254,345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1,136,782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Decrease in interest rate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226,497</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226,497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226,497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414"/>
        <w:spacing w:after="0" w:line="273" w:lineRule="auto"/>
        <w:rPr>
          <w:sz w:val="20"/>
          <w:szCs w:val="20"/>
          <w:color w:val="auto"/>
        </w:rPr>
      </w:pPr>
      <w:r>
        <w:rPr>
          <w:rFonts w:ascii="Arial" w:cs="Arial" w:eastAsia="Arial" w:hAnsi="Arial"/>
          <w:sz w:val="17"/>
          <w:szCs w:val="17"/>
          <w:color w:val="auto"/>
        </w:rPr>
        <w:t>As shown above, net investment income assuming a 1% increase in interest rates would decrease by approximately $566,000 on an annualized basis, reflecting the impact to investments in our portfolio that are either fixed rate or which have embedded floors that would be unaffected by a 1% change in the underlying interest rate while our interest expense would be increasing. However, if the increase in rates was more significant, such as 2% or 3%, the net effect on net investment income would be an increase of approximately $254,000 and $1.1 million, respectively. Since LIBOR underlying certain investments, as well as certain of our borrowings, is currently very low, it is unlikely that the underlying rate will decrease by 1% or 2% or even 3%. If the underlying rate decreased to 0%, it would result in approximately a $226,000 increase in net investment income.</w:t>
      </w:r>
    </w:p>
    <w:p>
      <w:pPr>
        <w:spacing w:after="0" w:line="178" w:lineRule="exact"/>
        <w:rPr>
          <w:sz w:val="20"/>
          <w:szCs w:val="20"/>
          <w:color w:val="auto"/>
        </w:rPr>
      </w:pPr>
    </w:p>
    <w:p>
      <w:pPr>
        <w:ind w:right="100" w:firstLine="414"/>
        <w:spacing w:after="0" w:line="259" w:lineRule="auto"/>
        <w:rPr>
          <w:sz w:val="20"/>
          <w:szCs w:val="20"/>
          <w:color w:val="auto"/>
        </w:rPr>
      </w:pPr>
      <w:r>
        <w:rPr>
          <w:rFonts w:ascii="Arial" w:cs="Arial" w:eastAsia="Arial" w:hAnsi="Arial"/>
          <w:sz w:val="18"/>
          <w:szCs w:val="18"/>
          <w:color w:val="auto"/>
        </w:rPr>
        <w:t>Although management believes that this measure is indicative of sensitivity to interest rate changes on our Debt Securities Portfolio,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71" w:name="page72"/>
    <w:bookmarkEnd w:id="71"/>
    <w:p>
      <w:pPr>
        <w:ind w:left="340"/>
        <w:spacing w:after="0"/>
        <w:rPr>
          <w:sz w:val="20"/>
          <w:szCs w:val="20"/>
          <w:color w:val="auto"/>
        </w:rPr>
      </w:pPr>
      <w:r>
        <w:rPr>
          <w:rFonts w:ascii="Arial" w:cs="Arial" w:eastAsia="Arial" w:hAnsi="Arial"/>
          <w:sz w:val="18"/>
          <w:szCs w:val="18"/>
          <w:color w:val="auto"/>
        </w:rPr>
        <w:t>We did not hold any derivative financial instruments for hedging purposes as of September 30, 2014.</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Portfolio Valuation</w:t>
      </w:r>
    </w:p>
    <w:p>
      <w:pPr>
        <w:spacing w:after="0" w:line="225" w:lineRule="exact"/>
        <w:rPr>
          <w:sz w:val="20"/>
          <w:szCs w:val="20"/>
          <w:color w:val="auto"/>
        </w:rPr>
      </w:pPr>
    </w:p>
    <w:p>
      <w:pPr>
        <w:ind w:firstLine="414"/>
        <w:spacing w:after="0" w:line="270" w:lineRule="auto"/>
        <w:rPr>
          <w:sz w:val="20"/>
          <w:szCs w:val="20"/>
          <w:color w:val="auto"/>
        </w:rPr>
      </w:pPr>
      <w:r>
        <w:rPr>
          <w:rFonts w:ascii="Arial" w:cs="Arial" w:eastAsia="Arial" w:hAnsi="Arial"/>
          <w:sz w:val="17"/>
          <w:szCs w:val="17"/>
          <w:color w:val="auto"/>
        </w:rPr>
        <w:t>We carry our investments at fair value, as determined in good faith by our Board of Directors pursuant to a valuation methodology approved by our Board of Directors. Investments for which market quotations are generally readily available are generally valued at such market quotations. Investments for which there is not a readily available market value are valued at fair value as determined in good faith by our Board of Directors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178"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Company has engaged an independent valuation firm to provide third party valuation consulting services to the Company’s Board of Directors. Each quarter, the independent valuation firm will perform third party valuations on the Company’s material investments in illiquid securities such that they are reviewed at least once during a trailing 12 month period. These third party valuation estimates were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220" w:firstLine="414"/>
        <w:spacing w:after="0" w:line="302" w:lineRule="auto"/>
        <w:rPr>
          <w:sz w:val="20"/>
          <w:szCs w:val="20"/>
          <w:color w:val="auto"/>
        </w:rPr>
      </w:pPr>
      <w:r>
        <w:rPr>
          <w:rFonts w:ascii="Arial" w:cs="Arial" w:eastAsia="Arial" w:hAnsi="Arial"/>
          <w:sz w:val="16"/>
          <w:szCs w:val="16"/>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Exchange Act) as of the end of the period covered by this report. Based upon that evaluation, the Company’s CEO and CFO have concluded that the Company’s disclosure controls and procedures are effective as of the end of the period covered by this report.</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40" w:firstLine="414"/>
        <w:spacing w:after="0" w:line="277" w:lineRule="auto"/>
        <w:rPr>
          <w:sz w:val="20"/>
          <w:szCs w:val="20"/>
          <w:color w:val="auto"/>
        </w:rPr>
      </w:pPr>
      <w:r>
        <w:rPr>
          <w:rFonts w:ascii="Arial" w:cs="Arial" w:eastAsia="Arial" w:hAnsi="Arial"/>
          <w:sz w:val="18"/>
          <w:szCs w:val="18"/>
          <w:color w:val="auto"/>
        </w:rPr>
        <w:t>During the quarter ended September 30, 2014, the Company had no changes in its internal control over financial reporting that have materially affected, or are reasonably likely to materially affect, the Company’s internal control over financial reporting.</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is not currently a party to any material legal proceedings.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right="40" w:firstLine="414"/>
        <w:spacing w:after="0" w:line="287" w:lineRule="auto"/>
        <w:rPr>
          <w:sz w:val="20"/>
          <w:szCs w:val="20"/>
          <w:color w:val="auto"/>
        </w:rPr>
      </w:pPr>
      <w:r>
        <w:rPr>
          <w:rFonts w:ascii="Arial" w:cs="Arial" w:eastAsia="Arial" w:hAnsi="Arial"/>
          <w:sz w:val="16"/>
          <w:szCs w:val="16"/>
          <w:color w:val="auto"/>
        </w:rPr>
        <w:t>In October 2014, the SEC, the FDIC, the Federal Reserve and certain other prudential banking regulators finalized regulations that mandate risk retention for securitizations. The rules will be effective for CLOs beginning two years after the publication of the final regulations in the Federal Register. Under the final rules, our Asset Manager Affiliates (directly or through any of their majority-controlled affiliates, including the Company) may be required to hold interests equal to 5% of the credit risk of the assets of any CLO sponsored by our Asset Manager Affiliates (unless the CLO invests only in certain qualifying loans) and would be prohibited from selling or hedging those interests in accordance with the limitations on such sales or hedges set forth in the final rule. Thus, our Asset Manager Affiliates (or any of their majority-controlled affiliates, including the Company, permitted to retain risk on their behalf) will need to have the requisite capital to hold such interests as a condition to their ability to sponsor new CLOs, and the restrictions on hedging such interests may create greater risk with respect to those interests. These mandatory investments in such CLOs, or the inability to invest in such CLOs (and thus inability to sponsor them) could each have a material adverse effect upon our business, results of operations or financial condition. In addition, the application of the risk retention rules to CLOs may have broader effects on the CLO and loan markets in general, potentially resulting in fewer or less desirable investment opportunities for the Company, our Asset Manager Affiliates, and any CLOs that our Asset Manager Affiliates sponsor or in which we otherwise invest.</w:t>
      </w:r>
    </w:p>
    <w:p>
      <w:pPr>
        <w:spacing w:after="0" w:line="173" w:lineRule="exact"/>
        <w:rPr>
          <w:sz w:val="20"/>
          <w:szCs w:val="20"/>
          <w:color w:val="auto"/>
        </w:rPr>
      </w:pPr>
    </w:p>
    <w:p>
      <w:pPr>
        <w:ind w:right="40" w:firstLine="414"/>
        <w:spacing w:after="0" w:line="293" w:lineRule="auto"/>
        <w:rPr>
          <w:sz w:val="20"/>
          <w:szCs w:val="20"/>
          <w:color w:val="auto"/>
        </w:rPr>
      </w:pPr>
      <w:r>
        <w:rPr>
          <w:rFonts w:ascii="Arial" w:cs="Arial" w:eastAsia="Arial" w:hAnsi="Arial"/>
          <w:sz w:val="16"/>
          <w:szCs w:val="16"/>
          <w:color w:val="auto"/>
        </w:rPr>
        <w:t>On September 4, 2014, the SEC finalized revised rules for asset-backed securities offerings (“Regulation AB II”). Although the proposed rules would have substantially changed the disclosure, reporting and offering process for public and private offerings of asset-backed securities, including CLOs, the final rules only apply to public offerings of asset-backed securities and thus will not affect CLOs at this time. However, the SEC has indicated that it is continuing to consider the proposals that were not included in the final regulations, and may issue further rules in that regard. The timing and likelihood of the adoption of additional final rules, their application to privately offered securities in general and to CLOs in particular, the cost of compliance with such rules, and whether compliance would compromise proprietary methods or strategies of our Asset Manager Affiliates, is currently unclear.</w:t>
      </w:r>
    </w:p>
    <w:p>
      <w:pPr>
        <w:spacing w:after="0" w:line="165" w:lineRule="exact"/>
        <w:rPr>
          <w:sz w:val="20"/>
          <w:szCs w:val="20"/>
          <w:color w:val="auto"/>
        </w:rPr>
      </w:pPr>
    </w:p>
    <w:p>
      <w:pPr>
        <w:ind w:right="160" w:firstLine="414"/>
        <w:spacing w:after="0" w:line="277" w:lineRule="auto"/>
        <w:rPr>
          <w:sz w:val="20"/>
          <w:szCs w:val="20"/>
          <w:color w:val="auto"/>
        </w:rPr>
      </w:pPr>
      <w:r>
        <w:rPr>
          <w:rFonts w:ascii="Arial" w:cs="Arial" w:eastAsia="Arial" w:hAnsi="Arial"/>
          <w:sz w:val="18"/>
          <w:szCs w:val="18"/>
          <w:color w:val="auto"/>
        </w:rPr>
        <w:t>There have been no other material changes from the risk factors previously disclosed in Part I, “Item 1A. Risk Factors” in our Annual Report on Form 10-K for the year ended December 31, 2013.</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ind w:firstLine="414"/>
        <w:spacing w:after="0" w:line="312" w:lineRule="auto"/>
        <w:rPr>
          <w:sz w:val="20"/>
          <w:szCs w:val="20"/>
          <w:color w:val="auto"/>
        </w:rPr>
      </w:pPr>
      <w:r>
        <w:rPr>
          <w:rFonts w:ascii="Arial" w:cs="Arial" w:eastAsia="Arial" w:hAnsi="Arial"/>
          <w:sz w:val="16"/>
          <w:szCs w:val="16"/>
          <w:color w:val="auto"/>
        </w:rPr>
        <w:t>While we did not engage in any sales of unregistered securities during the three months ended September 30, 2014, we issued a total of 32,647 shares of common stock under our dividend reinvestment plan (“DRIP”). This issuance was not subject to the registration requirements of the Securities Act of 1933. For the three months ended September 30, 2014, the aggregate value of the shares of our common stock issued under our DRIP was approximately $261,000.</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Reference is made to the Exhibit List filed as a part of this report beginning on page E-1. Each of such exhibits is incorporated by reference herein.</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60" w:firstLine="41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7320" w:type="dxa"/>
            <w:vAlign w:val="bottom"/>
            <w:gridSpan w:val="2"/>
          </w:tcPr>
          <w:p>
            <w:pPr>
              <w:ind w:left="2300"/>
              <w:spacing w:after="0"/>
              <w:rPr>
                <w:sz w:val="20"/>
                <w:szCs w:val="20"/>
                <w:color w:val="auto"/>
              </w:rPr>
            </w:pPr>
            <w:r>
              <w:rPr>
                <w:rFonts w:ascii="Arial" w:cs="Arial" w:eastAsia="Arial" w:hAnsi="Arial"/>
                <w:sz w:val="18"/>
                <w:szCs w:val="18"/>
                <w:color w:val="auto"/>
              </w:rPr>
              <w:t>KCAP FINANCIAL, INC.</w:t>
            </w:r>
          </w:p>
        </w:tc>
      </w:tr>
      <w:tr>
        <w:trPr>
          <w:trHeight w:val="432"/>
        </w:trPr>
        <w:tc>
          <w:tcPr>
            <w:tcW w:w="4100" w:type="dxa"/>
            <w:vAlign w:val="bottom"/>
          </w:tcPr>
          <w:p>
            <w:pPr>
              <w:spacing w:after="0"/>
              <w:rPr>
                <w:sz w:val="20"/>
                <w:szCs w:val="20"/>
                <w:color w:val="auto"/>
              </w:rPr>
            </w:pPr>
            <w:r>
              <w:rPr>
                <w:rFonts w:ascii="Arial" w:cs="Arial" w:eastAsia="Arial" w:hAnsi="Arial"/>
                <w:sz w:val="18"/>
                <w:szCs w:val="18"/>
                <w:color w:val="auto"/>
              </w:rPr>
              <w:t>Date: November 5, 2014</w:t>
            </w:r>
          </w:p>
        </w:tc>
        <w:tc>
          <w:tcPr>
            <w:tcW w:w="2640" w:type="dxa"/>
            <w:vAlign w:val="bottom"/>
          </w:tcPr>
          <w:p>
            <w:pPr>
              <w:ind w:left="230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Dayl W. Pearson</w:t>
            </w:r>
          </w:p>
        </w:tc>
      </w:tr>
      <w:tr>
        <w:trPr>
          <w:trHeight w:val="195"/>
        </w:trPr>
        <w:tc>
          <w:tcPr>
            <w:tcW w:w="4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680" w:type="dxa"/>
            <w:vAlign w:val="bottom"/>
          </w:tcPr>
          <w:p>
            <w:pPr>
              <w:jc w:val="center"/>
              <w:spacing w:after="0" w:line="195" w:lineRule="exact"/>
              <w:rPr>
                <w:sz w:val="20"/>
                <w:szCs w:val="20"/>
                <w:color w:val="auto"/>
              </w:rPr>
            </w:pPr>
            <w:r>
              <w:rPr>
                <w:rFonts w:ascii="Arial" w:cs="Arial" w:eastAsia="Arial" w:hAnsi="Arial"/>
                <w:sz w:val="18"/>
                <w:szCs w:val="18"/>
                <w:color w:val="auto"/>
                <w:w w:val="88"/>
              </w:rPr>
              <w:t>Dayl W. Pearson</w:t>
            </w:r>
          </w:p>
        </w:tc>
      </w:tr>
      <w:tr>
        <w:trPr>
          <w:trHeight w:val="216"/>
        </w:trPr>
        <w:tc>
          <w:tcPr>
            <w:tcW w:w="4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68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r>
        <w:trPr>
          <w:trHeight w:val="230"/>
        </w:trPr>
        <w:tc>
          <w:tcPr>
            <w:tcW w:w="41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68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32"/>
        </w:trPr>
        <w:tc>
          <w:tcPr>
            <w:tcW w:w="4100" w:type="dxa"/>
            <w:vAlign w:val="bottom"/>
          </w:tcPr>
          <w:p>
            <w:pPr>
              <w:spacing w:after="0"/>
              <w:rPr>
                <w:sz w:val="20"/>
                <w:szCs w:val="20"/>
                <w:color w:val="auto"/>
              </w:rPr>
            </w:pPr>
            <w:r>
              <w:rPr>
                <w:rFonts w:ascii="Arial" w:cs="Arial" w:eastAsia="Arial" w:hAnsi="Arial"/>
                <w:sz w:val="18"/>
                <w:szCs w:val="18"/>
                <w:color w:val="auto"/>
              </w:rPr>
              <w:t>Date: November 5, 2014</w:t>
            </w:r>
          </w:p>
        </w:tc>
        <w:tc>
          <w:tcPr>
            <w:tcW w:w="2640" w:type="dxa"/>
            <w:vAlign w:val="bottom"/>
          </w:tcPr>
          <w:p>
            <w:pPr>
              <w:ind w:left="2300"/>
              <w:spacing w:after="0"/>
              <w:rPr>
                <w:sz w:val="20"/>
                <w:szCs w:val="20"/>
                <w:color w:val="auto"/>
              </w:rPr>
            </w:pPr>
            <w:r>
              <w:rPr>
                <w:rFonts w:ascii="Arial" w:cs="Arial" w:eastAsia="Arial" w:hAnsi="Arial"/>
                <w:sz w:val="18"/>
                <w:szCs w:val="18"/>
                <w:color w:val="auto"/>
              </w:rPr>
              <w:t>By</w:t>
            </w:r>
          </w:p>
        </w:tc>
        <w:tc>
          <w:tcPr>
            <w:tcW w:w="4680" w:type="dxa"/>
            <w:vAlign w:val="bottom"/>
          </w:tcPr>
          <w:p>
            <w:pPr>
              <w:jc w:val="center"/>
              <w:spacing w:after="0"/>
              <w:rPr>
                <w:sz w:val="20"/>
                <w:szCs w:val="20"/>
                <w:color w:val="auto"/>
              </w:rPr>
            </w:pPr>
            <w:r>
              <w:rPr>
                <w:rFonts w:ascii="Arial" w:cs="Arial" w:eastAsia="Arial" w:hAnsi="Arial"/>
                <w:sz w:val="18"/>
                <w:szCs w:val="18"/>
                <w:color w:val="auto"/>
                <w:w w:val="94"/>
              </w:rPr>
              <w:t>/s/ Edward U. Gilpin</w:t>
            </w:r>
          </w:p>
        </w:tc>
      </w:tr>
    </w:tbl>
    <w:p>
      <w:pPr>
        <w:jc w:val="center"/>
        <w:ind w:left="6740"/>
        <w:spacing w:after="0"/>
        <w:rPr>
          <w:sz w:val="20"/>
          <w:szCs w:val="20"/>
          <w:color w:val="auto"/>
        </w:rPr>
      </w:pPr>
      <w:r>
        <w:rPr>
          <w:rFonts w:ascii="Arial" w:cs="Arial" w:eastAsia="Arial" w:hAnsi="Arial"/>
          <w:sz w:val="18"/>
          <w:szCs w:val="18"/>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6735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560" w:type="dxa"/>
            <w:vAlign w:val="bottom"/>
          </w:tcPr>
          <w:p>
            <w:pPr>
              <w:ind w:left="232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700" w:type="dxa"/>
            <w:vAlign w:val="bottom"/>
          </w:tcPr>
          <w:p>
            <w:pPr>
              <w:spacing w:after="0"/>
              <w:rPr>
                <w:sz w:val="24"/>
                <w:szCs w:val="24"/>
                <w:color w:val="auto"/>
              </w:rPr>
            </w:pPr>
          </w:p>
        </w:tc>
        <w:tc>
          <w:tcPr>
            <w:tcW w:w="8560" w:type="dxa"/>
            <w:vAlign w:val="bottom"/>
          </w:tcPr>
          <w:p>
            <w:pPr>
              <w:spacing w:after="0"/>
              <w:rPr>
                <w:sz w:val="24"/>
                <w:szCs w:val="24"/>
                <w:color w:val="auto"/>
              </w:rPr>
            </w:pPr>
          </w:p>
        </w:tc>
      </w:t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411"/>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Certification of Chief Executive Officer Pursuant to Rule 13a-14(a) under the Securities Exchange Act of 1934, as adopted pursuant to</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Certification of Chief Financial Officer Pursuant to Rule 13a-14(a) under the Securities Exchange Act of 1934, as adopted pursuant to Section</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302 of the Sarbanes-Oxley Act of 2002.**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Certification of Chief Executive Officer Pursuant to 18 U. S. C. 1350, as adopted pursuant to Section 906 of the Sarbanes-Oxley Act of 2002.</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w:t>
            </w:r>
          </w:p>
        </w:tc>
        <w:tc>
          <w:tcPr>
            <w:tcW w:w="8560" w:type="dxa"/>
            <w:vAlign w:val="bottom"/>
          </w:tcPr>
          <w:p>
            <w:pPr>
              <w:spacing w:after="0"/>
              <w:rPr>
                <w:sz w:val="20"/>
                <w:szCs w:val="20"/>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6"/>
              </w:rPr>
              <w:t>Certification of Chief Financial Officer Pursuant to 18 U. S. C. 1350, as adopted pursuant to Section 906 of the Sarbanes-Oxley Act of</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2002.**</w:t>
            </w:r>
          </w:p>
        </w:tc>
        <w:tc>
          <w:tcPr>
            <w:tcW w:w="8560" w:type="dxa"/>
            <w:vAlign w:val="bottom"/>
          </w:tcPr>
          <w:p>
            <w:pPr>
              <w:spacing w:after="0"/>
              <w:rPr>
                <w:sz w:val="20"/>
                <w:szCs w:val="20"/>
                <w:color w:val="auto"/>
              </w:rPr>
            </w:pPr>
          </w:p>
        </w:tc>
      </w:tr>
      <w:tr>
        <w:trPr>
          <w:trHeight w:val="216"/>
        </w:trPr>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8560" w:type="dxa"/>
            <w:vAlign w:val="bottom"/>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Submitted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Dayl W. Pearson, certify that:</w:t>
      </w:r>
    </w:p>
    <w:p>
      <w:pPr>
        <w:spacing w:after="0" w:line="225" w:lineRule="exact"/>
        <w:rPr>
          <w:sz w:val="20"/>
          <w:szCs w:val="20"/>
          <w:color w:val="auto"/>
        </w:rPr>
      </w:pPr>
    </w:p>
    <w:p>
      <w:pPr>
        <w:ind w:left="600" w:hanging="178"/>
        <w:spacing w:after="0"/>
        <w:tabs>
          <w:tab w:leader="none" w:pos="6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September 30, 2014 of KCAP Financial, Inc. (the “registrant”);</w:t>
      </w:r>
    </w:p>
    <w:p>
      <w:pPr>
        <w:spacing w:after="0" w:line="236" w:lineRule="exact"/>
        <w:rPr>
          <w:rFonts w:ascii="Arial" w:cs="Arial" w:eastAsia="Arial" w:hAnsi="Arial"/>
          <w:sz w:val="17"/>
          <w:szCs w:val="17"/>
          <w:color w:val="auto"/>
        </w:rPr>
      </w:pPr>
    </w:p>
    <w:p>
      <w:pPr>
        <w:ind w:right="280" w:firstLine="422"/>
        <w:spacing w:after="0" w:line="342" w:lineRule="auto"/>
        <w:tabs>
          <w:tab w:leader="none" w:pos="594"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40" w:firstLine="422"/>
        <w:spacing w:after="0" w:line="308" w:lineRule="auto"/>
        <w:tabs>
          <w:tab w:leader="none" w:pos="594"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60" w:firstLine="422"/>
        <w:spacing w:after="0" w:line="264" w:lineRule="auto"/>
        <w:tabs>
          <w:tab w:leader="none" w:pos="59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20" w:firstLine="422"/>
        <w:spacing w:after="0" w:line="264" w:lineRule="auto"/>
        <w:tabs>
          <w:tab w:leader="none" w:pos="659"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22"/>
        <w:spacing w:after="0" w:line="264" w:lineRule="auto"/>
        <w:tabs>
          <w:tab w:leader="none" w:pos="669"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422"/>
        <w:spacing w:after="0" w:line="277" w:lineRule="auto"/>
        <w:tabs>
          <w:tab w:leader="none" w:pos="659"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22"/>
        <w:spacing w:after="0" w:line="264" w:lineRule="auto"/>
        <w:tabs>
          <w:tab w:leader="none" w:pos="669"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422"/>
        <w:spacing w:after="0" w:line="308" w:lineRule="auto"/>
        <w:tabs>
          <w:tab w:leader="none" w:pos="594"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40" w:firstLine="422"/>
        <w:spacing w:after="0" w:line="277" w:lineRule="auto"/>
        <w:tabs>
          <w:tab w:leader="none" w:pos="659"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22"/>
        <w:spacing w:after="0" w:line="277" w:lineRule="auto"/>
        <w:tabs>
          <w:tab w:leader="none" w:pos="669"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800" w:val="left"/>
          <w:tab w:leader="none" w:pos="8000" w:val="left"/>
        </w:tabs>
        <w:rPr>
          <w:sz w:val="20"/>
          <w:szCs w:val="20"/>
          <w:color w:val="auto"/>
        </w:rPr>
      </w:pPr>
      <w:r>
        <w:rPr>
          <w:rFonts w:ascii="Arial" w:cs="Arial" w:eastAsia="Arial" w:hAnsi="Arial"/>
          <w:sz w:val="18"/>
          <w:szCs w:val="18"/>
          <w:color w:val="auto"/>
        </w:rPr>
        <w:t>Date: November 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xml:space="preserve">/ </w:t>
      </w:r>
      <w:r>
        <w:rPr>
          <w:rFonts w:ascii="Arial" w:cs="Arial" w:eastAsia="Arial" w:hAnsi="Arial"/>
          <w:sz w:val="11"/>
          <w:szCs w:val="11"/>
          <w:color w:val="auto"/>
        </w:rPr>
        <w:t>S</w:t>
      </w:r>
      <w:r>
        <w:rPr>
          <w:rFonts w:ascii="Arial" w:cs="Arial" w:eastAsia="Arial" w:hAnsi="Arial"/>
          <w:sz w:val="17"/>
          <w:szCs w:val="17"/>
          <w:color w:val="auto"/>
        </w:rPr>
        <w:t xml:space="preserve"> / D</w:t>
      </w:r>
      <w:r>
        <w:rPr>
          <w:rFonts w:ascii="Arial" w:cs="Arial" w:eastAsia="Arial" w:hAnsi="Arial"/>
          <w:sz w:val="11"/>
          <w:szCs w:val="11"/>
          <w:color w:val="auto"/>
        </w:rPr>
        <w:t>AYL</w:t>
      </w:r>
      <w:r>
        <w:rPr>
          <w:rFonts w:ascii="Arial" w:cs="Arial" w:eastAsia="Arial" w:hAnsi="Arial"/>
          <w:sz w:val="17"/>
          <w:szCs w:val="17"/>
          <w:color w:val="auto"/>
        </w:rPr>
        <w:t xml:space="preserve"> W. P</w:t>
      </w:r>
      <w:r>
        <w:rPr>
          <w:rFonts w:ascii="Arial" w:cs="Arial" w:eastAsia="Arial" w:hAnsi="Arial"/>
          <w:sz w:val="11"/>
          <w:szCs w:val="11"/>
          <w:color w:val="auto"/>
        </w:rPr>
        <w:t>EARSON</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Edward U. Gilpin, certify that:</w:t>
      </w:r>
    </w:p>
    <w:p>
      <w:pPr>
        <w:spacing w:after="0" w:line="225" w:lineRule="exact"/>
        <w:rPr>
          <w:sz w:val="20"/>
          <w:szCs w:val="20"/>
          <w:color w:val="auto"/>
        </w:rPr>
      </w:pPr>
    </w:p>
    <w:p>
      <w:pPr>
        <w:ind w:left="600" w:hanging="178"/>
        <w:spacing w:after="0"/>
        <w:tabs>
          <w:tab w:leader="none" w:pos="6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September 30, 2014 of KCAP Financial, Inc. (the “registrant”);</w:t>
      </w:r>
    </w:p>
    <w:p>
      <w:pPr>
        <w:spacing w:after="0" w:line="236" w:lineRule="exact"/>
        <w:rPr>
          <w:rFonts w:ascii="Arial" w:cs="Arial" w:eastAsia="Arial" w:hAnsi="Arial"/>
          <w:sz w:val="17"/>
          <w:szCs w:val="17"/>
          <w:color w:val="auto"/>
        </w:rPr>
      </w:pPr>
    </w:p>
    <w:p>
      <w:pPr>
        <w:ind w:right="280" w:firstLine="422"/>
        <w:spacing w:after="0" w:line="342" w:lineRule="auto"/>
        <w:tabs>
          <w:tab w:leader="none" w:pos="594"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40" w:firstLine="422"/>
        <w:spacing w:after="0" w:line="308" w:lineRule="auto"/>
        <w:tabs>
          <w:tab w:leader="none" w:pos="594"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60" w:firstLine="422"/>
        <w:spacing w:after="0" w:line="264" w:lineRule="auto"/>
        <w:tabs>
          <w:tab w:leader="none" w:pos="59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20" w:firstLine="422"/>
        <w:spacing w:after="0" w:line="264" w:lineRule="auto"/>
        <w:tabs>
          <w:tab w:leader="none" w:pos="659"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22"/>
        <w:spacing w:after="0" w:line="264" w:lineRule="auto"/>
        <w:tabs>
          <w:tab w:leader="none" w:pos="669"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422"/>
        <w:spacing w:after="0" w:line="277" w:lineRule="auto"/>
        <w:tabs>
          <w:tab w:leader="none" w:pos="659" w:val="left"/>
        </w:tabs>
        <w:numPr>
          <w:ilvl w:val="0"/>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22"/>
        <w:spacing w:after="0" w:line="264" w:lineRule="auto"/>
        <w:tabs>
          <w:tab w:leader="none" w:pos="669"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422"/>
        <w:spacing w:after="0" w:line="308" w:lineRule="auto"/>
        <w:tabs>
          <w:tab w:leader="none" w:pos="594"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40" w:firstLine="422"/>
        <w:spacing w:after="0" w:line="277" w:lineRule="auto"/>
        <w:tabs>
          <w:tab w:leader="none" w:pos="659"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22"/>
        <w:spacing w:after="0" w:line="277" w:lineRule="auto"/>
        <w:tabs>
          <w:tab w:leader="none" w:pos="669"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160" w:val="left"/>
          <w:tab w:leader="none" w:pos="8160" w:val="left"/>
        </w:tabs>
        <w:rPr>
          <w:sz w:val="20"/>
          <w:szCs w:val="20"/>
          <w:color w:val="auto"/>
        </w:rPr>
      </w:pPr>
      <w:r>
        <w:rPr>
          <w:rFonts w:ascii="Arial" w:cs="Arial" w:eastAsia="Arial" w:hAnsi="Arial"/>
          <w:sz w:val="18"/>
          <w:szCs w:val="18"/>
          <w:color w:val="auto"/>
        </w:rPr>
        <w:t>Date: November 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xml:space="preserve">/ </w:t>
      </w:r>
      <w:r>
        <w:rPr>
          <w:rFonts w:ascii="Arial" w:cs="Arial" w:eastAsia="Arial" w:hAnsi="Arial"/>
          <w:sz w:val="11"/>
          <w:szCs w:val="11"/>
          <w:color w:val="auto"/>
        </w:rPr>
        <w:t>S</w:t>
      </w:r>
      <w:r>
        <w:rPr>
          <w:rFonts w:ascii="Arial" w:cs="Arial" w:eastAsia="Arial" w:hAnsi="Arial"/>
          <w:sz w:val="17"/>
          <w:szCs w:val="17"/>
          <w:color w:val="auto"/>
        </w:rPr>
        <w:t xml:space="preserve"> /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-130810</wp:posOffset>
            </wp:positionV>
            <wp:extent cx="31127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14"/>
        <w:spacing w:after="0" w:line="264"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September 30, 2014 (the “Report”), I, Dayl W. Pearson, President and Chief Executive Officer of the Company, certify, pursuant to 18 U.S.C. §1350, as adopted pursuant to §906 of the Sarbanes-Oxley Act of 2002, that:</w:t>
      </w:r>
    </w:p>
    <w:p>
      <w:pPr>
        <w:spacing w:after="0" w:line="181" w:lineRule="exact"/>
        <w:rPr>
          <w:sz w:val="20"/>
          <w:szCs w:val="20"/>
          <w:color w:val="auto"/>
        </w:rPr>
      </w:pPr>
    </w:p>
    <w:p>
      <w:pPr>
        <w:ind w:left="680" w:hanging="258"/>
        <w:spacing w:after="0"/>
        <w:tabs>
          <w:tab w:leader="none" w:pos="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680" w:hanging="258"/>
        <w:spacing w:after="0"/>
        <w:tabs>
          <w:tab w:leader="none" w:pos="6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6500" w:val="left"/>
          <w:tab w:leader="none" w:pos="8340" w:val="left"/>
        </w:tabs>
        <w:rPr>
          <w:sz w:val="20"/>
          <w:szCs w:val="20"/>
          <w:color w:val="auto"/>
        </w:rPr>
      </w:pPr>
      <w:r>
        <w:rPr>
          <w:rFonts w:ascii="Arial" w:cs="Arial" w:eastAsia="Arial" w:hAnsi="Arial"/>
          <w:sz w:val="18"/>
          <w:szCs w:val="18"/>
          <w:color w:val="auto"/>
        </w:rPr>
        <w:t>Date: November 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xml:space="preserve">/ </w:t>
      </w:r>
      <w:r>
        <w:rPr>
          <w:rFonts w:ascii="Arial" w:cs="Arial" w:eastAsia="Arial" w:hAnsi="Arial"/>
          <w:sz w:val="11"/>
          <w:szCs w:val="11"/>
          <w:color w:val="auto"/>
        </w:rPr>
        <w:t>S</w:t>
      </w:r>
      <w:r>
        <w:rPr>
          <w:rFonts w:ascii="Arial" w:cs="Arial" w:eastAsia="Arial" w:hAnsi="Arial"/>
          <w:sz w:val="17"/>
          <w:szCs w:val="17"/>
          <w:color w:val="auto"/>
        </w:rPr>
        <w:t xml:space="preserve"> / D</w:t>
      </w:r>
      <w:r>
        <w:rPr>
          <w:rFonts w:ascii="Arial" w:cs="Arial" w:eastAsia="Arial" w:hAnsi="Arial"/>
          <w:sz w:val="11"/>
          <w:szCs w:val="11"/>
          <w:color w:val="auto"/>
        </w:rPr>
        <w:t>AYL</w:t>
      </w:r>
      <w:r>
        <w:rPr>
          <w:rFonts w:ascii="Arial" w:cs="Arial" w:eastAsia="Arial" w:hAnsi="Arial"/>
          <w:sz w:val="17"/>
          <w:szCs w:val="17"/>
          <w:color w:val="auto"/>
        </w:rPr>
        <w:t xml:space="preserve"> W. P</w:t>
      </w:r>
      <w:r>
        <w:rPr>
          <w:rFonts w:ascii="Arial" w:cs="Arial" w:eastAsia="Arial" w:hAnsi="Arial"/>
          <w:sz w:val="11"/>
          <w:szCs w:val="11"/>
          <w:color w:val="auto"/>
        </w:rPr>
        <w:t>EARSON</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connection with the accompanying Quarterly Report of KCAP Financial, Inc. (the “Company”) on Form 10-Q for the quarter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2014 (the “Report”), I, Edward U. Gilpin, Chief Financial Officer of the Company, certify, pursuant to 18 U.S.C. §1350, as adopted pursuant to §906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that:</w:t>
      </w:r>
    </w:p>
    <w:p>
      <w:pPr>
        <w:spacing w:after="0" w:line="211" w:lineRule="exact"/>
        <w:rPr>
          <w:sz w:val="20"/>
          <w:szCs w:val="20"/>
          <w:color w:val="auto"/>
        </w:rPr>
      </w:pPr>
    </w:p>
    <w:p>
      <w:pPr>
        <w:ind w:left="680" w:hanging="258"/>
        <w:spacing w:after="0"/>
        <w:tabs>
          <w:tab w:leader="none" w:pos="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680" w:hanging="258"/>
        <w:spacing w:after="0"/>
        <w:tabs>
          <w:tab w:leader="none" w:pos="6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6040" w:val="left"/>
          <w:tab w:leader="none" w:pos="8120" w:val="left"/>
        </w:tabs>
        <w:rPr>
          <w:sz w:val="20"/>
          <w:szCs w:val="20"/>
          <w:color w:val="auto"/>
        </w:rPr>
      </w:pPr>
      <w:r>
        <w:rPr>
          <w:rFonts w:ascii="Arial" w:cs="Arial" w:eastAsia="Arial" w:hAnsi="Arial"/>
          <w:sz w:val="18"/>
          <w:szCs w:val="18"/>
          <w:color w:val="auto"/>
        </w:rPr>
        <w:t>Date: November 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xml:space="preserve">/ </w:t>
      </w:r>
      <w:r>
        <w:rPr>
          <w:rFonts w:ascii="Arial" w:cs="Arial" w:eastAsia="Arial" w:hAnsi="Arial"/>
          <w:sz w:val="11"/>
          <w:szCs w:val="11"/>
          <w:color w:val="auto"/>
        </w:rPr>
        <w:t>S</w:t>
      </w:r>
      <w:r>
        <w:rPr>
          <w:rFonts w:ascii="Arial" w:cs="Arial" w:eastAsia="Arial" w:hAnsi="Arial"/>
          <w:sz w:val="17"/>
          <w:szCs w:val="17"/>
          <w:color w:val="auto"/>
        </w:rPr>
        <w:t xml:space="preserve"> /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3"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x"/>
      <w:numFmt w:val="bullet"/>
      <w:start w:val="1"/>
    </w:lvl>
  </w:abstractNum>
  <w:abstractNum w:abstractNumId="1">
    <w:nsid w:val="7C3DBD3D"/>
    <w:multiLevelType w:val="hybridMultilevel"/>
    <w:lvl w:ilvl="0">
      <w:lvlJc w:val="left"/>
      <w:lvlText w:val="o"/>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bullet"/>
      <w:start w:val="1"/>
    </w:lvl>
  </w:abstractNum>
  <w:abstractNum w:abstractNumId="4">
    <w:nsid w:val="22221A70"/>
    <w:multiLevelType w:val="hybridMultilevel"/>
    <w:lvl w:ilvl="0">
      <w:lvlJc w:val="left"/>
      <w:lvlText w:val="2"/>
      <w:numFmt w:val="bullet"/>
      <w:start w:val="1"/>
    </w:lvl>
  </w:abstractNum>
  <w:abstractNum w:abstractNumId="5">
    <w:nsid w:val="4516DDE9"/>
    <w:multiLevelType w:val="hybridMultilevel"/>
    <w:lvl w:ilvl="0">
      <w:lvlJc w:val="left"/>
      <w:lvlText w:val="3"/>
      <w:numFmt w:val="bullet"/>
      <w:start w:val="1"/>
    </w:lvl>
  </w:abstractNum>
  <w:abstractNum w:abstractNumId="6">
    <w:nsid w:val="3006C83E"/>
    <w:multiLevelType w:val="hybridMultilevel"/>
    <w:lvl w:ilvl="0">
      <w:lvlJc w:val="left"/>
      <w:lvlText w:val="4"/>
      <w:numFmt w:val="bullet"/>
      <w:start w:val="1"/>
    </w:lvl>
  </w:abstractNum>
  <w:abstractNum w:abstractNumId="7">
    <w:nsid w:val="614FD4A1"/>
    <w:multiLevelType w:val="hybridMultilevel"/>
    <w:lvl w:ilvl="0">
      <w:lvlJc w:val="left"/>
      <w:lvlText w:val="5"/>
      <w:numFmt w:val="bullet"/>
      <w:start w:val="1"/>
    </w:lvl>
  </w:abstractNum>
  <w:abstractNum w:abstractNumId="8">
    <w:nsid w:val="419AC241"/>
    <w:multiLevelType w:val="hybridMultilevel"/>
    <w:lvl w:ilvl="0">
      <w:lvlJc w:val="left"/>
      <w:lvlText w:val="6"/>
      <w:numFmt w:val="bullet"/>
      <w:start w:val="1"/>
    </w:lvl>
  </w:abstractNum>
  <w:abstractNum w:abstractNumId="9">
    <w:nsid w:val="5577F8E1"/>
    <w:multiLevelType w:val="hybridMultilevel"/>
    <w:lvl w:ilvl="0">
      <w:lvlJc w:val="left"/>
      <w:lvlText w:val="7"/>
      <w:numFmt w:val="bullet"/>
      <w:start w:val="1"/>
    </w:lvl>
  </w:abstractNum>
  <w:abstractNum w:abstractNumId="10">
    <w:nsid w:val="440BADFC"/>
    <w:multiLevelType w:val="hybridMultilevel"/>
    <w:lvl w:ilvl="0">
      <w:lvlJc w:val="left"/>
      <w:lvlText w:val="8"/>
      <w:numFmt w:val="bullet"/>
      <w:start w:val="1"/>
    </w:lvl>
  </w:abstractNum>
  <w:abstractNum w:abstractNumId="11">
    <w:nsid w:val="5072367"/>
    <w:multiLevelType w:val="hybridMultilevel"/>
    <w:lvl w:ilvl="0">
      <w:lvlJc w:val="left"/>
      <w:lvlText w:val="9"/>
      <w:numFmt w:val="bullet"/>
      <w:start w:val="1"/>
    </w:lvl>
  </w:abstractNum>
  <w:abstractNum w:abstractNumId="12">
    <w:nsid w:val="3804823E"/>
    <w:multiLevelType w:val="hybridMultilevel"/>
    <w:lvl w:ilvl="0">
      <w:lvlJc w:val="left"/>
      <w:lvlText w:val="%1"/>
      <w:numFmt w:val="decimal"/>
      <w:start w:val="10"/>
    </w:lvl>
  </w:abstractNum>
  <w:abstractNum w:abstractNumId="13">
    <w:nsid w:val="77465F01"/>
    <w:multiLevelType w:val="hybridMultilevel"/>
    <w:lvl w:ilvl="0">
      <w:lvlJc w:val="left"/>
      <w:lvlText w:val="1"/>
      <w:numFmt w:val="bullet"/>
      <w:start w:val="1"/>
    </w:lvl>
  </w:abstractNum>
  <w:abstractNum w:abstractNumId="14">
    <w:nsid w:val="7724C67E"/>
    <w:multiLevelType w:val="hybridMultilevel"/>
    <w:lvl w:ilvl="0">
      <w:lvlJc w:val="left"/>
      <w:lvlText w:val="2"/>
      <w:numFmt w:val="bullet"/>
      <w:start w:val="1"/>
    </w:lvl>
  </w:abstractNum>
  <w:abstractNum w:abstractNumId="15">
    <w:nsid w:val="5C482A97"/>
    <w:multiLevelType w:val="hybridMultilevel"/>
    <w:lvl w:ilvl="0">
      <w:lvlJc w:val="left"/>
      <w:lvlText w:val="3"/>
      <w:numFmt w:val="bullet"/>
      <w:start w:val="1"/>
    </w:lvl>
  </w:abstractNum>
  <w:abstractNum w:abstractNumId="16">
    <w:nsid w:val="2463B9EA"/>
    <w:multiLevelType w:val="hybridMultilevel"/>
    <w:lvl w:ilvl="0">
      <w:lvlJc w:val="left"/>
      <w:lvlText w:val="4"/>
      <w:numFmt w:val="bullet"/>
      <w:start w:val="1"/>
    </w:lvl>
  </w:abstractNum>
  <w:abstractNum w:abstractNumId="17">
    <w:nsid w:val="5E884ADC"/>
    <w:multiLevelType w:val="hybridMultilevel"/>
    <w:lvl w:ilvl="0">
      <w:lvlJc w:val="left"/>
      <w:lvlText w:val="5"/>
      <w:numFmt w:val="bullet"/>
      <w:start w:val="1"/>
    </w:lvl>
  </w:abstractNum>
  <w:abstractNum w:abstractNumId="18">
    <w:nsid w:val="51EAD36B"/>
    <w:multiLevelType w:val="hybridMultilevel"/>
    <w:lvl w:ilvl="0">
      <w:lvlJc w:val="left"/>
      <w:lvlText w:val="6"/>
      <w:numFmt w:val="bullet"/>
      <w:start w:val="1"/>
    </w:lvl>
  </w:abstractNum>
  <w:abstractNum w:abstractNumId="19">
    <w:nsid w:val="2D517796"/>
    <w:multiLevelType w:val="hybridMultilevel"/>
    <w:lvl w:ilvl="0">
      <w:lvlJc w:val="left"/>
      <w:lvlText w:val="7"/>
      <w:numFmt w:val="bullet"/>
      <w:start w:val="1"/>
    </w:lvl>
  </w:abstractNum>
  <w:abstractNum w:abstractNumId="20">
    <w:nsid w:val="580BD78F"/>
    <w:multiLevelType w:val="hybridMultilevel"/>
    <w:lvl w:ilvl="0">
      <w:lvlJc w:val="left"/>
      <w:lvlText w:val="8"/>
      <w:numFmt w:val="bullet"/>
      <w:start w:val="1"/>
    </w:lvl>
  </w:abstractNum>
  <w:abstractNum w:abstractNumId="21">
    <w:nsid w:val="153EA438"/>
    <w:multiLevelType w:val="hybridMultilevel"/>
    <w:lvl w:ilvl="0">
      <w:lvlJc w:val="left"/>
      <w:lvlText w:val="9"/>
      <w:numFmt w:val="bullet"/>
      <w:start w:val="1"/>
    </w:lvl>
  </w:abstractNum>
  <w:abstractNum w:abstractNumId="22">
    <w:nsid w:val="3855585C"/>
    <w:multiLevelType w:val="hybridMultilevel"/>
    <w:lvl w:ilvl="0">
      <w:lvlJc w:val="left"/>
      <w:lvlText w:val="%1"/>
      <w:numFmt w:val="decimal"/>
      <w:start w:val="10"/>
    </w:lvl>
  </w:abstractNum>
  <w:abstractNum w:abstractNumId="23">
    <w:nsid w:val="70A64E2A"/>
    <w:multiLevelType w:val="hybridMultilevel"/>
    <w:lvl w:ilvl="0">
      <w:lvlJc w:val="left"/>
      <w:lvlText w:val="1"/>
      <w:numFmt w:val="bullet"/>
      <w:start w:val="1"/>
    </w:lvl>
  </w:abstractNum>
  <w:abstractNum w:abstractNumId="24">
    <w:nsid w:val="6A2342EC"/>
    <w:multiLevelType w:val="hybridMultilevel"/>
    <w:lvl w:ilvl="0">
      <w:lvlJc w:val="left"/>
      <w:lvlText w:val="2"/>
      <w:numFmt w:val="bullet"/>
      <w:start w:val="1"/>
    </w:lvl>
  </w:abstractNum>
  <w:abstractNum w:abstractNumId="25">
    <w:nsid w:val="2A487CB0"/>
    <w:multiLevelType w:val="hybridMultilevel"/>
    <w:lvl w:ilvl="0">
      <w:lvlJc w:val="left"/>
      <w:lvlText w:val="3"/>
      <w:numFmt w:val="bullet"/>
      <w:start w:val="1"/>
    </w:lvl>
  </w:abstractNum>
  <w:abstractNum w:abstractNumId="26">
    <w:nsid w:val="1D4ED43B"/>
    <w:multiLevelType w:val="hybridMultilevel"/>
    <w:lvl w:ilvl="0">
      <w:lvlJc w:val="left"/>
      <w:lvlText w:val="4"/>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1"/>
      <w:numFmt w:val="bullet"/>
      <w:start w:val="1"/>
    </w:lvl>
  </w:abstractNum>
  <w:abstractNum w:abstractNumId="29">
    <w:nsid w:val="57E4CCAF"/>
    <w:multiLevelType w:val="hybridMultilevel"/>
    <w:lvl w:ilvl="0">
      <w:lvlJc w:val="left"/>
      <w:lvlText w:val="2"/>
      <w:numFmt w:val="bullet"/>
      <w:start w:val="1"/>
    </w:lvl>
  </w:abstractNum>
  <w:abstractNum w:abstractNumId="30">
    <w:nsid w:val="7A6D8D3C"/>
    <w:multiLevelType w:val="hybridMultilevel"/>
    <w:lvl w:ilvl="0">
      <w:lvlJc w:val="left"/>
      <w:lvlText w:val="3"/>
      <w:numFmt w:val="bullet"/>
      <w:start w:val="1"/>
    </w:lvl>
  </w:abstractNum>
  <w:abstractNum w:abstractNumId="31">
    <w:nsid w:val="4B588F54"/>
    <w:multiLevelType w:val="hybridMultilevel"/>
    <w:lvl w:ilvl="0">
      <w:lvlJc w:val="left"/>
      <w:lvlText w:val="4"/>
      <w:numFmt w:val="bullet"/>
      <w:start w:val="1"/>
    </w:lvl>
  </w:abstractNum>
  <w:abstractNum w:abstractNumId="32">
    <w:nsid w:val="542289EC"/>
    <w:multiLevelType w:val="hybridMultilevel"/>
    <w:lvl w:ilvl="0">
      <w:lvlJc w:val="left"/>
      <w:lvlText w:val="¹"/>
      <w:numFmt w:val="bullet"/>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1"/>
      <w:numFmt w:val="bullet"/>
      <w:start w:val="1"/>
    </w:lvl>
  </w:abstractNum>
  <w:abstractNum w:abstractNumId="36">
    <w:nsid w:val="32FFF902"/>
    <w:multiLevelType w:val="hybridMultilevel"/>
    <w:lvl w:ilvl="0">
      <w:lvlJc w:val="left"/>
      <w:lvlText w:val="(%1)"/>
      <w:numFmt w:val="lowerRoman"/>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¹"/>
      <w:numFmt w:val="bullet"/>
      <w:start w:val="1"/>
    </w:lvl>
  </w:abstractNum>
  <w:abstractNum w:abstractNumId="39">
    <w:nsid w:val="749ABB43"/>
    <w:multiLevelType w:val="hybridMultilevel"/>
    <w:lvl w:ilvl="0">
      <w:lvlJc w:val="left"/>
      <w:lvlText w:val="²"/>
      <w:numFmt w:val="bullet"/>
      <w:start w:val="1"/>
    </w:lvl>
  </w:abstractNum>
  <w:abstractNum w:abstractNumId="40">
    <w:nsid w:val="3DC240FB"/>
    <w:multiLevelType w:val="hybridMultilevel"/>
    <w:lvl w:ilvl="0">
      <w:lvlJc w:val="left"/>
      <w:lvlText w:val="1"/>
      <w:numFmt w:val="bullet"/>
      <w:start w:val="1"/>
    </w:lvl>
  </w:abstractNum>
  <w:abstractNum w:abstractNumId="41">
    <w:nsid w:val="1BA026FA"/>
    <w:multiLevelType w:val="hybridMultilevel"/>
    <w:lvl w:ilvl="0">
      <w:lvlJc w:val="left"/>
      <w:lvlText w:val="2"/>
      <w:numFmt w:val="bullet"/>
      <w:start w:val="1"/>
    </w:lvl>
  </w:abstractNum>
  <w:abstractNum w:abstractNumId="42">
    <w:nsid w:val="79A1DEAA"/>
    <w:multiLevelType w:val="hybridMultilevel"/>
    <w:lvl w:ilvl="0">
      <w:lvlJc w:val="left"/>
      <w:lvlText w:val="3"/>
      <w:numFmt w:val="bullet"/>
      <w:start w:val="1"/>
    </w:lvl>
  </w:abstractNum>
  <w:abstractNum w:abstractNumId="43">
    <w:nsid w:val="75C6C33A"/>
    <w:multiLevelType w:val="hybridMultilevel"/>
    <w:lvl w:ilvl="0">
      <w:lvlJc w:val="left"/>
      <w:lvlText w:val="4"/>
      <w:numFmt w:val="bullet"/>
      <w:start w:val="1"/>
    </w:lvl>
  </w:abstractNum>
  <w:abstractNum w:abstractNumId="44">
    <w:nsid w:val="12E685FB"/>
    <w:multiLevelType w:val="hybridMultilevel"/>
    <w:lvl w:ilvl="0">
      <w:lvlJc w:val="left"/>
      <w:lvlText w:val="¹"/>
      <w:numFmt w:val="bullet"/>
      <w:start w:val="1"/>
    </w:lvl>
  </w:abstractNum>
  <w:abstractNum w:abstractNumId="45">
    <w:nsid w:val="70C6A529"/>
    <w:multiLevelType w:val="hybridMultilevel"/>
    <w:lvl w:ilvl="0">
      <w:lvlJc w:val="left"/>
      <w:lvlText w:val="²"/>
      <w:numFmt w:val="bullet"/>
      <w:start w:val="1"/>
    </w:lvl>
  </w:abstractNum>
  <w:abstractNum w:abstractNumId="46">
    <w:nsid w:val="520EEDD1"/>
    <w:multiLevelType w:val="hybridMultilevel"/>
    <w:lvl w:ilvl="0">
      <w:lvlJc w:val="left"/>
      <w:lvlText w:val="³"/>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1)"/>
      <w:numFmt w:val="decimal"/>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1."/>
      <w:numFmt w:val="decimal"/>
      <w:start w:val="1"/>
    </w:lvl>
  </w:abstractNum>
  <w:abstractNum w:abstractNumId="51">
    <w:nsid w:val="275AC794"/>
    <w:multiLevelType w:val="hybridMultilevel"/>
    <w:lvl w:ilvl="0">
      <w:lvlJc w:val="left"/>
      <w:lvlText w:val="(%1)"/>
      <w:numFmt w:val="lowerLetter"/>
      <w:start w:val="1"/>
    </w:lvl>
  </w:abstractNum>
  <w:abstractNum w:abstractNumId="52">
    <w:nsid w:val="39386575"/>
    <w:multiLevelType w:val="hybridMultilevel"/>
    <w:lvl w:ilvl="0">
      <w:lvlJc w:val="left"/>
      <w:lvlText w:val="%1."/>
      <w:numFmt w:val="decimal"/>
      <w:start w:val="5"/>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1."/>
      <w:numFmt w:val="decimal"/>
      <w:start w:val="5"/>
    </w:lvl>
  </w:abstractNum>
  <w:abstractNum w:abstractNumId="57">
    <w:nsid w:val="354FE9F9"/>
    <w:multiLevelType w:val="hybridMultilevel"/>
    <w:lvl w:ilvl="0">
      <w:lvlJc w:val="left"/>
      <w:lvlText w:val="(%1)"/>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2019-12-07T14:19:33Z</dcterms:created>
  <dcterms:modified xsi:type="dcterms:W3CDTF">2019-12-07T14:19:33Z</dcterms:modified>
</cp:coreProperties>
</file>