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00895d424b2.htm"/>
      <w:bookmarkStart w:id="1" w:name="ksd100895d424b2"/>
      <w:bookmarkEnd w:id="0"/>
      <w:bookmarkEnd w:id="1"/>
      <w:r>
        <w:rPr>
          <w:rFonts w:ascii="Times New Roman" w:hAnsi="Times New Roman"/>
          <w:b/>
          <w:sz w:val="20"/>
        </w:rPr>
        <w:t xml:space="preserve">Filed Pursuant to Rule </w:t>
      </w:r>
    </w:p>
    <w:p>
      <w:pPr>
        <w:pStyle w:val="TextBody"/>
        <w:bidi w:val="0"/>
        <w:spacing w:before="0" w:after="0"/>
        <w:jc w:val="right"/>
        <w:rPr>
          <w:rFonts w:ascii="Times New Roman" w:hAnsi="Times New Roman"/>
          <w:b/>
          <w:sz w:val="20"/>
        </w:rPr>
      </w:pPr>
      <w:r>
        <w:rPr>
          <w:rFonts w:ascii="Times New Roman" w:hAnsi="Times New Roman"/>
          <w:b/>
          <w:sz w:val="20"/>
        </w:rPr>
        <w:t>424(b)(2)</w:t>
      </w:r>
    </w:p>
    <w:p>
      <w:pPr>
        <w:pStyle w:val="TextBody"/>
        <w:bidi w:val="0"/>
        <w:spacing w:before="0" w:after="0"/>
        <w:jc w:val="right"/>
        <w:rPr>
          <w:rFonts w:ascii="Times New Roman" w:hAnsi="Times New Roman"/>
          <w:b/>
          <w:sz w:val="20"/>
        </w:rPr>
      </w:pPr>
      <w:r>
        <w:rPr>
          <w:rFonts w:ascii="Times New Roman" w:hAnsi="Times New Roman"/>
          <w:b/>
          <w:sz w:val="20"/>
        </w:rPr>
        <w:br/>
        <w:t xml:space="preserve">Registration No. 333-283443 </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February 5,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1271270" cy="16694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1270" cy="16694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 7.50% Notes due 2029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BCP Investment Corporation (f/k/a, Portman Ridge Finance Corporation), or “we” “us” or the “Company”, is an externally managed,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non-diversified</w:t>
      </w:r>
    </w:p>
    <w:p>
      <w:pPr>
        <w:pStyle w:val="TextBody"/>
        <w:bidi w:val="0"/>
        <w:spacing w:before="240" w:after="0"/>
        <w:jc w:val="left"/>
        <w:rPr>
          <w:rFonts w:ascii="Times New Roman" w:hAnsi="Times New Roman"/>
          <w:spacing w:val="0"/>
          <w:sz w:val="20"/>
        </w:rPr>
      </w:pPr>
      <w:r>
        <w:rPr>
          <w:rFonts w:ascii="Times New Roman" w:hAnsi="Times New Roman"/>
          <w:spacing w:val="0"/>
          <w:sz w:val="20"/>
        </w:rPr>
        <w:t>closed-end</w:t>
      </w:r>
    </w:p>
    <w:p>
      <w:pPr>
        <w:pStyle w:val="TextBody"/>
        <w:bidi w:val="0"/>
        <w:spacing w:before="240" w:after="0"/>
        <w:jc w:val="left"/>
        <w:rPr>
          <w:rFonts w:ascii="Times New Roman" w:hAnsi="Times New Roman"/>
          <w:sz w:val="20"/>
        </w:rPr>
      </w:pPr>
      <w:r>
        <w:rPr>
          <w:rFonts w:ascii="Times New Roman" w:hAnsi="Times New Roman"/>
          <w:sz w:val="20"/>
        </w:rPr>
        <w:t xml:space="preserve">investment company that has elected to be regulated as a business development company (“BDC”), under the Investment Company Act of 1940, as amended (the “1940 Act”). Sierra Crest Investment Management LLC serves as our investment adviser and BC Partners Management LLC serves as our administrator. </w:t>
      </w:r>
    </w:p>
    <w:p>
      <w:pPr>
        <w:pStyle w:val="TextBody"/>
        <w:bidi w:val="0"/>
        <w:spacing w:before="240" w:after="0"/>
        <w:jc w:val="left"/>
        <w:rPr>
          <w:rFonts w:ascii="Times New Roman" w:hAnsi="Times New Roman"/>
          <w:sz w:val="20"/>
        </w:rPr>
      </w:pPr>
      <w:r>
        <w:rPr>
          <w:rFonts w:ascii="Times New Roman" w:hAnsi="Times New Roman"/>
          <w:sz w:val="20"/>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20"/>
        </w:rPr>
      </w:pPr>
      <w:r>
        <w:rPr>
          <w:rFonts w:ascii="Times New Roman" w:hAnsi="Times New Roman"/>
          <w:sz w:val="20"/>
        </w:rPr>
        <w:t xml:space="preserve">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(earnings before interest, taxes, depreciation and amortization)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first lien term loans may include traditional first lien senior secured loans or unitranche loans. Unitranche loans combine characteristics of traditional first lien senior secured loans as well as second lien and/or mezzanine debt, </w:t>
      </w:r>
    </w:p>
    <w:p>
      <w:pPr>
        <w:pStyle w:val="TextBody"/>
        <w:bidi w:val="0"/>
        <w:spacing w:before="240" w:after="0"/>
        <w:jc w:val="left"/>
        <w:rPr>
          <w:rFonts w:ascii="Times New Roman" w:hAnsi="Times New Roman"/>
          <w:sz w:val="20"/>
        </w:rPr>
      </w:pPr>
      <w:r>
        <w:rPr>
          <w:rFonts w:ascii="Times New Roman" w:hAnsi="Times New Roman"/>
          <w:sz w:val="20"/>
        </w:rPr>
        <w:t>or</w:t>
      </w:r>
    </w:p>
    <w:p>
      <w:pPr>
        <w:pStyle w:val="TextBody"/>
        <w:bidi w:val="0"/>
        <w:spacing w:before="240" w:after="0"/>
        <w:jc w:val="left"/>
        <w:rPr>
          <w:rFonts w:ascii="Times New Roman" w:hAnsi="Times New Roman"/>
          <w:sz w:val="20"/>
        </w:rPr>
      </w:pPr>
      <w:r>
        <w:rPr>
          <w:rFonts w:ascii="Times New Roman" w:hAnsi="Times New Roman"/>
          <w:sz w:val="20"/>
        </w:rPr>
        <w:t xml:space="preserve">junior debt. Unitranche loans will expose us to the risks associated with first lien loans and junior debt.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20"/>
        </w:rPr>
      </w:pPr>
      <w:r>
        <w:rPr>
          <w:rFonts w:ascii="Times New Roman" w:hAnsi="Times New Roman"/>
          <w:sz w:val="20"/>
        </w:rPr>
        <w:t>We are offering $50.0 million in aggregate principal amount of 7.50% notes due 2029 (the “Notes”). The Notes will mature on September 24, 2029. We will pay interest on the Notes on April 30 and October 30 of each year, beginning April 30, 2026. We may redeem the Notes in whole or in part at any time or from time to time, at the redemption price set forth under the section titled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Description of the Notes — Optional Redemption</w:t>
      </w:r>
    </w:p>
    <w:p>
      <w:pPr>
        <w:pStyle w:val="TextBody"/>
        <w:bidi w:val="0"/>
        <w:spacing w:before="240" w:after="0"/>
        <w:jc w:val="left"/>
        <w:rPr/>
      </w:pPr>
      <w:r>
        <w:rPr/>
        <w:t xml:space="preserve">” </w:t>
      </w:r>
      <w:r>
        <w:rPr>
          <w:rFonts w:ascii="Times New Roman" w:hAnsi="Times New Roman"/>
          <w:sz w:val="20"/>
        </w:rPr>
        <w:t xml:space="preserve">in this prospectus supplement. The Notes will be issued in minimum denominations of $1,000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The Notes will be our direct unsecured obligations and rank equal in right of payment with all outstanding and future unsecured, unsubordinated indebtedness issued by us. Because the Notes will not be secured by any of our assets, they will be effectively subordinated to all of our existing and future secured indebtedness (or any indebtedness that is initially unsecured as to which we subsequently grant a security interest) to the</w:t>
      </w:r>
    </w:p>
    <w:p>
      <w:pPr>
        <w:pStyle w:val="TextBody"/>
        <w:bidi w:val="0"/>
        <w:spacing w:before="240" w:after="0"/>
        <w:jc w:val="left"/>
        <w:rPr>
          <w:rFonts w:ascii="Times New Roman" w:hAnsi="Times New Roman"/>
          <w:sz w:val="20"/>
        </w:rPr>
      </w:pPr>
      <w:r>
        <w:rPr>
          <w:rFonts w:ascii="Times New Roman" w:hAnsi="Times New Roman"/>
          <w:sz w:val="20"/>
        </w:rPr>
        <w:t>extent</w:t>
      </w:r>
    </w:p>
    <w:p>
      <w:pPr>
        <w:pStyle w:val="TextBody"/>
        <w:bidi w:val="0"/>
        <w:spacing w:before="240" w:after="0"/>
        <w:jc w:val="left"/>
        <w:rPr>
          <w:rFonts w:ascii="Times New Roman" w:hAnsi="Times New Roman"/>
          <w:sz w:val="20"/>
        </w:rPr>
      </w:pPr>
      <w:r>
        <w:rPr>
          <w:rFonts w:ascii="Times New Roman" w:hAnsi="Times New Roman"/>
          <w:sz w:val="20"/>
        </w:rPr>
        <w:t xml:space="preserve">of the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value of the assets securing such indebtedness. The Notes will be structurally subordinated to all existing and future indebtedness and other obligations of any of our subsidiaries because the Notes will be obligations exclusively of BCP Investment Corporation and not of any of our subsidiaries. </w:t>
      </w:r>
    </w:p>
    <w:p>
      <w:pPr>
        <w:pStyle w:val="TextBody"/>
        <w:bidi w:val="0"/>
        <w:spacing w:before="0" w:after="0"/>
        <w:jc w:val="left"/>
        <w:rPr>
          <w:rFonts w:ascii="Times New Roman" w:hAnsi="Times New Roman"/>
          <w:sz w:val="20"/>
        </w:rPr>
      </w:pPr>
      <w:r>
        <w:rPr>
          <w:rFonts w:ascii="Times New Roman" w:hAnsi="Times New Roman"/>
          <w:sz w:val="20"/>
        </w:rPr>
        <w:t>The</w:t>
      </w:r>
    </w:p>
    <w:p>
      <w:pPr>
        <w:pStyle w:val="TextBody"/>
        <w:bidi w:val="0"/>
        <w:spacing w:before="0" w:after="0"/>
        <w:jc w:val="left"/>
        <w:rPr>
          <w:rFonts w:ascii="Times New Roman" w:hAnsi="Times New Roman"/>
          <w:sz w:val="20"/>
        </w:rPr>
      </w:pPr>
      <w:r>
        <w:rPr>
          <w:rFonts w:ascii="Times New Roman" w:hAnsi="Times New Roman"/>
          <w:sz w:val="20"/>
        </w:rPr>
        <w:t xml:space="preserve">Notes will be senior in right of payment to any future outstanding series of our preferred stock. None of our subsidiaries is a guarantor of the Notes and the Notes will not be required to be guaranteed by any subsidiary we may acquire or create in the future. As of December 31, 2025, we had $312.3 million of debt outstanding, of which $162.0 million was unsecured and unsubordinated indebtedness and $150.3 million was secured indebtedness. None of our current indebtedness will be subordinated to the Notes.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any free writing prospectus, and the information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www.sec.gov</w:t>
      </w:r>
    </w:p>
    <w:p>
      <w:pPr>
        <w:pStyle w:val="TextBody"/>
        <w:bidi w:val="0"/>
        <w:spacing w:before="240" w:after="0"/>
        <w:jc w:val="left"/>
        <w:rPr>
          <w:rFonts w:ascii="Times New Roman" w:hAnsi="Times New Roman"/>
          <w:sz w:val="20"/>
        </w:rPr>
      </w:pPr>
      <w:r>
        <w:rPr>
          <w:rFonts w:ascii="Times New Roman" w:hAnsi="Times New Roman"/>
          <w:sz w:val="20"/>
        </w:rPr>
        <w:t xml:space="preserve">. This information is also available free of charge by contacting us at 650 Madison Avenue, 3rd Floor, New York, New York 10022, Attention: Investor Relations, or by calling us collect at (212) </w:t>
      </w:r>
    </w:p>
    <w:p>
      <w:pPr>
        <w:pStyle w:val="TextBody"/>
        <w:bidi w:val="0"/>
        <w:spacing w:before="240" w:after="0"/>
        <w:jc w:val="left"/>
        <w:rPr>
          <w:rFonts w:ascii="Times New Roman" w:hAnsi="Times New Roman"/>
          <w:spacing w:val="0"/>
          <w:sz w:val="20"/>
        </w:rPr>
      </w:pPr>
      <w:r>
        <w:rPr>
          <w:rFonts w:ascii="Times New Roman" w:hAnsi="Times New Roman"/>
          <w:spacing w:val="0"/>
          <w:sz w:val="20"/>
        </w:rPr>
        <w:t>891-2880</w:t>
      </w:r>
    </w:p>
    <w:p>
      <w:pPr>
        <w:pStyle w:val="TextBody"/>
        <w:bidi w:val="0"/>
        <w:spacing w:before="240" w:after="0"/>
        <w:jc w:val="left"/>
        <w:rPr>
          <w:rFonts w:ascii="Times New Roman" w:hAnsi="Times New Roman"/>
          <w:sz w:val="20"/>
        </w:rPr>
      </w:pPr>
      <w:r>
        <w:rPr>
          <w:rFonts w:ascii="Times New Roman" w:hAnsi="Times New Roman"/>
          <w:sz w:val="20"/>
        </w:rPr>
        <w:t xml:space="preserve">or on our website at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www.bcpinvestmentcorporation.com</w:t>
      </w:r>
    </w:p>
    <w:p>
      <w:pPr>
        <w:pStyle w:val="TextBody"/>
        <w:bidi w:val="0"/>
        <w:spacing w:before="240" w:after="0"/>
        <w:jc w:val="left"/>
        <w:rPr>
          <w:rFonts w:ascii="Times New Roman" w:hAnsi="Times New Roman"/>
          <w:sz w:val="20"/>
        </w:rPr>
      </w:pPr>
      <w:r>
        <w:rPr>
          <w:rFonts w:ascii="Times New Roman" w:hAnsi="Times New Roman"/>
          <w:sz w:val="20"/>
        </w:rPr>
        <w:t>, which, except for the documents incorporated by reference into this prospectus supplement and the accompanying prospectus, is not incorporated by reference into this prospectus supplement and the accompanying prospectus and you should not consider that information to be part of this prospectus supplement nor the accompanying prospectus.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 Information</w:t>
      </w:r>
    </w:p>
    <w:p>
      <w:pPr>
        <w:pStyle w:val="TextBody"/>
        <w:bidi w:val="0"/>
        <w:spacing w:before="240" w:after="0"/>
        <w:jc w:val="left"/>
        <w:rPr/>
      </w:pPr>
      <w:r>
        <w:rPr/>
        <w:t xml:space="preserve">” </w:t>
      </w:r>
      <w:r>
        <w:rPr>
          <w:rFonts w:ascii="Times New Roman" w:hAnsi="Times New Roman"/>
          <w:sz w:val="20"/>
        </w:rPr>
        <w:t xml:space="preserve">on page 77 of the accompanying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Investing in the Notes involves a high degree of risk, including the risk of leverage. Before buying any Notes, you should read the material risks described in the “</w:t>
      </w:r>
    </w:p>
    <w:p>
      <w:pPr>
        <w:pStyle w:val="TextBody"/>
        <w:bidi w:val="0"/>
        <w:spacing w:before="240" w:after="0"/>
        <w:jc w:val="left"/>
        <w:rPr/>
      </w:pPr>
      <w:hyperlink w:anchor="supptoc100895_4">
        <w:r>
          <w:rPr>
            <w:rStyle w:val="InternetLink"/>
            <w:rFonts w:ascii="Times New Roman" w:hAnsi="Times New Roman"/>
            <w:b/>
            <w:i/>
            <w:spacing w:val="0"/>
            <w:sz w:val="24"/>
          </w:rPr>
          <w:t>Supplementary Risk Factors</w:t>
        </w:r>
      </w:hyperlink>
    </w:p>
    <w:p>
      <w:pPr>
        <w:pStyle w:val="TextBody"/>
        <w:bidi w:val="0"/>
        <w:spacing w:before="240" w:after="0"/>
        <w:jc w:val="left"/>
        <w:rPr>
          <w:spacing w:val="0"/>
        </w:rPr>
      </w:pPr>
      <w:r>
        <w:rPr>
          <w:spacing w:val="0"/>
        </w:rPr>
        <w:t xml:space="preserve">” </w:t>
      </w:r>
      <w:r>
        <w:rPr>
          <w:rFonts w:ascii="Times New Roman" w:hAnsi="Times New Roman"/>
          <w:b/>
          <w:spacing w:val="0"/>
          <w:sz w:val="24"/>
        </w:rPr>
        <w:t xml:space="preserve">section beginning on page </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S-8</w:t>
      </w:r>
    </w:p>
    <w:p>
      <w:pPr>
        <w:pStyle w:val="TextBody"/>
        <w:bidi w:val="0"/>
        <w:spacing w:before="240" w:after="0"/>
        <w:jc w:val="left"/>
        <w:rPr/>
      </w:pPr>
      <w:r>
        <w:rPr>
          <w:rFonts w:ascii="Times New Roman" w:hAnsi="Times New Roman"/>
          <w:b/>
          <w:spacing w:val="0"/>
          <w:sz w:val="24"/>
        </w:rPr>
        <w:t>of this prospectus supplement and “</w:t>
      </w:r>
      <w:hyperlink w:anchor="toc100895_5">
        <w:r>
          <w:rPr>
            <w:rStyle w:val="InternetLink"/>
            <w:rFonts w:ascii="Times New Roman" w:hAnsi="Times New Roman"/>
            <w:b/>
            <w:spacing w:val="0"/>
            <w:sz w:val="24"/>
          </w:rPr>
          <w:t>Risk Factors</w:t>
        </w:r>
      </w:hyperlink>
      <w:r>
        <w:rPr>
          <w:rFonts w:ascii="Times New Roman" w:hAnsi="Times New Roman"/>
          <w:b/>
          <w:spacing w:val="0"/>
          <w:sz w:val="24"/>
        </w:rPr>
        <w:t xml:space="preserve">” on page 7 of the accompanying prospectus and in our most recent Annual Report on Form </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10-K,</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 xml:space="preserve">as well as any of our subsequent SEC filings. </w:t>
      </w:r>
    </w:p>
    <w:p>
      <w:pPr>
        <w:pStyle w:val="TextBody"/>
        <w:bidi w:val="0"/>
        <w:spacing w:before="240" w:after="0"/>
        <w:jc w:val="left"/>
        <w:rPr>
          <w:rFonts w:ascii="Times New Roman" w:hAnsi="Times New Roman"/>
          <w:b/>
          <w:sz w:val="20"/>
        </w:rPr>
      </w:pPr>
      <w:r>
        <w:rPr>
          <w:rFonts w:ascii="Times New Roman" w:hAnsi="Times New Roman"/>
          <w:b/>
          <w:sz w:val="20"/>
        </w:rPr>
        <w:t xml:space="preserve">THE NOTES ARE NOT DEPOSITS OR OTHER OBLIGATIONS OF A BANK AND ARE NOT INSURED </w:t>
      </w:r>
    </w:p>
    <w:p>
      <w:pPr>
        <w:pStyle w:val="TextBody"/>
        <w:bidi w:val="0"/>
        <w:spacing w:before="240" w:after="0"/>
        <w:jc w:val="left"/>
        <w:rPr>
          <w:rFonts w:ascii="Times New Roman" w:hAnsi="Times New Roman"/>
          <w:b/>
          <w:sz w:val="20"/>
        </w:rPr>
      </w:pPr>
      <w:r>
        <w:rPr>
          <w:rFonts w:ascii="Times New Roman" w:hAnsi="Times New Roman"/>
          <w:b/>
          <w:sz w:val="20"/>
        </w:rPr>
        <w:t>BY</w:t>
      </w:r>
    </w:p>
    <w:p>
      <w:pPr>
        <w:pStyle w:val="TextBody"/>
        <w:bidi w:val="0"/>
        <w:spacing w:before="240" w:after="0"/>
        <w:jc w:val="left"/>
        <w:rPr>
          <w:rFonts w:ascii="Times New Roman" w:hAnsi="Times New Roman"/>
          <w:b/>
          <w:sz w:val="20"/>
        </w:rPr>
      </w:pPr>
      <w:r>
        <w:rPr>
          <w:rFonts w:ascii="Times New Roman" w:hAnsi="Times New Roman"/>
          <w:b/>
          <w:sz w:val="20"/>
        </w:rPr>
        <w:t xml:space="preserve">THE FEDERAL DEPOSIT INSURANCE CORPORATION OR ANY OTHER GOVERNMENT AGENCY.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2750"/>
        <w:gridCol w:w="120"/>
        <w:gridCol w:w="74"/>
        <w:gridCol w:w="846"/>
        <w:gridCol w:w="275"/>
        <w:gridCol w:w="60"/>
        <w:gridCol w:w="140"/>
        <w:gridCol w:w="1100"/>
        <w:gridCol w:w="7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jc w:val="center"/>
              <w:rPr>
                <w:b/>
              </w:rPr>
            </w:pPr>
            <w:r>
              <w:rPr>
                <w:b/>
              </w:rPr>
              <w:t>Per 2029</w:t>
              <w:br/>
              <w:t>Note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p>
            <w:pPr>
              <w:pStyle w:val="TableContents"/>
              <w:bidi w:val="0"/>
              <w:spacing w:before="0" w:after="0"/>
              <w:jc w:val="left"/>
              <w:rPr>
                <w:rFonts w:ascii="Times New Roman" w:hAnsi="Times New Roman"/>
                <w:sz w:val="11"/>
              </w:rPr>
            </w:pPr>
            <w:r>
              <w:rPr>
                <w:rFonts w:ascii="Times New Roman" w:hAnsi="Times New Roman"/>
                <w:sz w:val="11"/>
              </w:rPr>
              <w:t>(1)</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100.00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50,000,000</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Fees for structuring and other services</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1.25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625,000</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p>
            <w:pPr>
              <w:pStyle w:val="TableContents"/>
              <w:bidi w:val="0"/>
              <w:spacing w:before="0" w:after="0"/>
              <w:jc w:val="left"/>
              <w:rPr>
                <w:rFonts w:ascii="Times New Roman" w:hAnsi="Times New Roman"/>
                <w:sz w:val="11"/>
              </w:rPr>
            </w:pPr>
            <w:r>
              <w:rPr>
                <w:rFonts w:ascii="Times New Roman" w:hAnsi="Times New Roman"/>
                <w:sz w:val="11"/>
              </w:rPr>
              <w:t>(2)</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98.75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49,325,000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public offering price set forth above does not include accrued interest, if any. Interest on the Notes will accrue from March 24, 2026 and must be paid by the purchaser if the Notes are delivered after March 24, 2026.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expenses of the offering payable by us, excluding fees for structuring and other services, are estimated to be approximately $0.2 million. See “</w:t>
            </w:r>
          </w:p>
          <w:p>
            <w:pPr>
              <w:pStyle w:val="TableContents"/>
              <w:bidi w:val="0"/>
              <w:spacing w:before="0" w:after="0"/>
              <w:jc w:val="left"/>
              <w:rPr>
                <w:rFonts w:ascii="Times New Roman" w:hAnsi="Times New Roman"/>
                <w:i/>
                <w:caps w:val="false"/>
                <w:smallCaps w:val="false"/>
                <w:spacing w:val="0"/>
                <w:sz w:val="18"/>
              </w:rPr>
            </w:pPr>
            <w:r>
              <w:rPr>
                <w:rFonts w:ascii="Times New Roman" w:hAnsi="Times New Roman"/>
                <w:i/>
                <w:caps w:val="false"/>
                <w:smallCaps w:val="false"/>
                <w:spacing w:val="0"/>
                <w:sz w:val="18"/>
              </w:rPr>
              <w:t>Plan of Distribution</w:t>
            </w:r>
          </w:p>
          <w:p>
            <w:pPr>
              <w:pStyle w:val="TableContents"/>
              <w:bidi w:val="0"/>
              <w:spacing w:before="0" w:after="0"/>
              <w:jc w:val="left"/>
              <w:rPr/>
            </w:pPr>
            <w:r>
              <w:rPr/>
              <w:t>”</w:t>
            </w:r>
            <w:r>
              <w:rPr>
                <w:rFonts w:ascii="Times New Roman" w:hAnsi="Times New Roman"/>
                <w:sz w:val="18"/>
              </w:rPr>
              <w:t xml:space="preserve">. </w:t>
            </w:r>
          </w:p>
        </w:tc>
      </w:tr>
    </w:tbl>
    <w:p>
      <w:pPr>
        <w:pStyle w:val="TextBody"/>
        <w:bidi w:val="0"/>
        <w:spacing w:before="240" w:after="0"/>
        <w:jc w:val="left"/>
        <w:rPr>
          <w:rFonts w:ascii="Times New Roman" w:hAnsi="Times New Roman"/>
          <w:sz w:val="18"/>
        </w:rPr>
      </w:pPr>
      <w:r>
        <w:rPr>
          <w:rFonts w:ascii="Times New Roman" w:hAnsi="Times New Roman"/>
          <w:sz w:val="18"/>
        </w:rPr>
        <w:t xml:space="preserve">Delivery of the Notes in book-entry form only through The Depository Trust Company (“DTC”) will be made on or about March 24,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w:t>
      </w:r>
    </w:p>
    <w:p>
      <w:pPr>
        <w:pStyle w:val="TextBody"/>
        <w:bidi w:val="0"/>
        <w:spacing w:before="240" w:after="0"/>
        <w:jc w:val="center"/>
        <w:rPr>
          <w:rFonts w:ascii="Times New Roman" w:hAnsi="Times New Roman"/>
          <w:b/>
          <w:sz w:val="18"/>
        </w:rPr>
      </w:pPr>
      <w:r>
        <w:rPr>
          <w:rFonts w:ascii="Times New Roman" w:hAnsi="Times New Roman"/>
          <w:b/>
          <w:sz w:val="18"/>
        </w:rPr>
        <w:t>prospectus</w:t>
      </w:r>
    </w:p>
    <w:p>
      <w:pPr>
        <w:pStyle w:val="TextBody"/>
        <w:bidi w:val="0"/>
        <w:spacing w:before="240" w:after="0"/>
        <w:jc w:val="center"/>
        <w:rPr>
          <w:rFonts w:ascii="Times New Roman" w:hAnsi="Times New Roman"/>
          <w:b/>
          <w:sz w:val="18"/>
        </w:rPr>
      </w:pPr>
      <w:r>
        <w:rPr>
          <w:rFonts w:ascii="Times New Roman" w:hAnsi="Times New Roman"/>
          <w:b/>
          <w:sz w:val="18"/>
        </w:rPr>
        <w:t xml:space="preserve">supplement is March 20, 2026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970"/>
        <w:gridCol w:w="120"/>
        <w:gridCol w:w="60"/>
        <w:gridCol w:w="470"/>
        <w:gridCol w:w="75"/>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1">
              <w:r>
                <w:rPr>
                  <w:rStyle w:val="InternetLink"/>
                  <w:rFonts w:ascii="Times New Roman" w:hAnsi="Times New Roman"/>
                  <w:sz w:val="20"/>
                </w:rPr>
                <w:t>ABOUT THIS PROSPECTUS SUPPLEMENT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2">
              <w:r>
                <w:rPr>
                  <w:rStyle w:val="InternetLink"/>
                  <w:rFonts w:ascii="Times New Roman" w:hAnsi="Times New Roman"/>
                  <w:sz w:val="20"/>
                </w:rPr>
                <w:t>PROSPECTUS SUPPLEMENT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4">
              <w:r>
                <w:rPr>
                  <w:rStyle w:val="InternetLink"/>
                  <w:rFonts w:ascii="Times New Roman" w:hAnsi="Times New Roman"/>
                  <w:sz w:val="20"/>
                </w:rPr>
                <w:t>SUPPLEMENTARY 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S-8</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5">
              <w:r>
                <w:rPr>
                  <w:rStyle w:val="InternetLink"/>
                  <w:rFonts w:ascii="Times New Roman" w:hAnsi="Times New Roman"/>
                  <w:sz w:val="20"/>
                </w:rPr>
                <w:t>NOTE ABOUT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S-13</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S-15</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7">
              <w:r>
                <w:rPr>
                  <w:rStyle w:val="InternetLink"/>
                  <w:rFonts w:ascii="Times New Roman" w:hAnsi="Times New Roman"/>
                  <w:sz w:val="20"/>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S-16</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8">
              <w:r>
                <w:rPr>
                  <w:rStyle w:val="InternetLink"/>
                  <w:rFonts w:ascii="Times New Roman" w:hAnsi="Times New Roman"/>
                  <w:sz w:val="20"/>
                </w:rPr>
                <w:t>DESCRIPTION OF THE NOTES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S-17</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9">
              <w:r>
                <w:rPr>
                  <w:rStyle w:val="InternetLink"/>
                  <w:rFonts w:ascii="Times New Roman" w:hAnsi="Times New Roman"/>
                  <w:sz w:val="20"/>
                </w:rPr>
                <w:t>CERTAIN U.S. FEDERAL INCOME TAX CONSEQUENCES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S-32</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10">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S-37</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1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S-37</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oc100895_12">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S-38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9470"/>
        <w:gridCol w:w="120"/>
        <w:gridCol w:w="60"/>
        <w:gridCol w:w="260"/>
        <w:gridCol w:w="75"/>
      </w:tblGrid>
      <w:tr>
        <w:trPr/>
        <w:tc>
          <w:tcPr>
            <w:tcW w:w="9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4">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6">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7">
              <w:r>
                <w:rPr>
                  <w:rStyle w:val="InternetLink"/>
                  <w:rFonts w:ascii="Times New Roman" w:hAnsi="Times New Roman"/>
                  <w:sz w:val="20"/>
                </w:rPr>
                <w:t>CAUTIONARY STATEMENT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8">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9">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0">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1">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2">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4">
              <w:r>
                <w:rPr>
                  <w:rStyle w:val="InternetLink"/>
                  <w:rFonts w:ascii="Times New Roman" w:hAnsi="Times New Roman"/>
                  <w:sz w:val="20"/>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5">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6">
              <w:r>
                <w:rPr>
                  <w:rStyle w:val="InternetLink"/>
                  <w:rFonts w:ascii="Times New Roman" w:hAnsi="Times New Roman"/>
                  <w:sz w:val="20"/>
                </w:rPr>
                <w:t>PORTFOLIO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7">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8">
              <w:r>
                <w:rPr>
                  <w:rStyle w:val="InternetLink"/>
                  <w:rFonts w:ascii="Times New Roman" w:hAnsi="Times New Roman"/>
                  <w:sz w:val="20"/>
                </w:rPr>
                <w:t>CONTROL PERSONS AND 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9">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0">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1">
              <w:r>
                <w:rPr>
                  <w:rStyle w:val="InternetLink"/>
                  <w:rFonts w:ascii="Times New Roman" w:hAnsi="Times New Roman"/>
                  <w:sz w:val="20"/>
                </w:rPr>
                <w:t>CERTAIN 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2">
              <w:r>
                <w:rPr>
                  <w:rStyle w:val="InternetLink"/>
                  <w:rFonts w:ascii="Times New Roman" w:hAnsi="Times New Roman"/>
                  <w:sz w:val="20"/>
                </w:rPr>
                <w:t>DESCRIPTION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3">
              <w:r>
                <w:rPr>
                  <w:rStyle w:val="InternetLink"/>
                  <w:rFonts w:ascii="Times New Roman" w:hAnsi="Times New Roman"/>
                  <w:sz w:val="20"/>
                </w:rPr>
                <w:t>DESCRIPTION OF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p>
    <w:p>
      <w:pPr>
        <w:pStyle w:val="HorizontalLine"/>
        <w:pBdr>
          <w:bottom w:val="double" w:sz="2" w:space="0" w:color="808080"/>
        </w:pBdr>
        <w:bidi w:val="0"/>
        <w:spacing w:before="0" w:after="283"/>
        <w:jc w:val="left"/>
        <w:rPr/>
      </w:pPr>
      <w:r>
        <w:rPr/>
      </w:r>
    </w:p>
    <w:tbl>
      <w:tblPr>
        <w:tblW w:w="7150" w:type="dxa"/>
        <w:jc w:val="left"/>
        <w:tblInd w:w="0" w:type="dxa"/>
        <w:tblLayout w:type="fixed"/>
        <w:tblCellMar>
          <w:top w:w="0" w:type="dxa"/>
          <w:left w:w="0" w:type="dxa"/>
          <w:bottom w:w="0" w:type="dxa"/>
          <w:right w:w="0" w:type="dxa"/>
        </w:tblCellMar>
      </w:tblPr>
      <w:tblGrid>
        <w:gridCol w:w="6635"/>
        <w:gridCol w:w="120"/>
        <w:gridCol w:w="60"/>
        <w:gridCol w:w="260"/>
        <w:gridCol w:w="75"/>
      </w:tblGrid>
      <w:tr>
        <w:trPr/>
        <w:tc>
          <w:tcPr>
            <w:tcW w:w="6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24">
              <w:r>
                <w:rPr>
                  <w:rStyle w:val="InternetLink"/>
                  <w:rFonts w:ascii="Times New Roman" w:hAnsi="Times New Roman"/>
                  <w:sz w:val="20"/>
                </w:rPr>
                <w:t>DESCRIPTION OF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25">
              <w:r>
                <w:rPr>
                  <w:rStyle w:val="InternetLink"/>
                  <w:rFonts w:ascii="Times New Roman" w:hAnsi="Times New Roman"/>
                  <w:sz w:val="20"/>
                </w:rPr>
                <w:t>DESCRIPTION OF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26">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27">
              <w:r>
                <w:rPr>
                  <w:rStyle w:val="InternetLink"/>
                  <w:rFonts w:ascii="Times New Roman" w:hAnsi="Times New Roman"/>
                  <w:sz w:val="20"/>
                </w:rPr>
                <w:t>REGULATION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28">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29">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30">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3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3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33">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00895_34">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SUPPLEMENT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THIS PROSPECTUS SUPPLEMENT AND THE ACCOMPANYING PROSPECTUS, INCLUDING THE INFORMATION INCORPORATED BY REFERENCE HEREIN AND THEREIN, AND ANY FREE WRITING PROSPECTUS PREPARED BY, OR ON BEHALF OF, US THAT RELATES TO THIS OFFERING OF THE NOTES. WE HAVE NOT AUTHORIZED ANY OTHER PERSON TO PROVIDE YOU WITH DIFFERENT OR ADDITIONAL INFORMATION. IF ANYONE PROVIDES YOU WITH DIFFERENT OR ADDITIONAL INFORMATION, YOU SHOULD NOT RELY ON IT. WE ARE NOT MAKING AN OFFER TO SELL THESE NOTES IN ANY JURISDICTION WHERE THE OFFER OR SALE IS NOT PERMITTED. YOU SHOULD ASSUME THAT THE INFORMATION APPEARING IN THIS PROSPECTUS SUPPLEMENT AND THE ACCOMPANYING PROSPECTUS, INCLUDING THE INFORMATION INCORPORATED BY REFERENCE HEREIN AND THEREIN, AND ANY FREE WRITING PROSPECTUS PREPARED BY OR ON BEHALF OF US THAT RELATES TO THIS OFFERING OF NOTES IS ACCURATE ONLY AS OF ITS RESPECTIVE DATE, REGARDLESS OF THE TIME OF DELIVERY OF THIS PROSPECTUS SUPPLEMENT, THE ACCOMPANYING PROSPECTUS, ANY FREE WRITING PROSPECTUS OR ANY SALES OF THE NOTES.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SUMMARY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The following summary highlights some of the information included elsewhere, or incorporated by reference, in this prospectus supplement or the accompanying prospectus. It is not complete and may not contain all the information that you should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incorporated by reference in this prospectus supplement and the accompanying prospectus. Together, these documents describe the specific terms of the Notes we are offering.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BCP Investment Corporation, a Delaware corporation, is an externally managed,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non-diversified</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closed-end</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investment company that has elected to be regulated as a business development company (“BDC”) under the Investment Company Act of 1940 (the “1940 Act”). BCP Investment Corporation completed its initial public offering in December 2006. In addition, BCP Investment Corporation has elected, and intends to qualify annually, to be treated as a regulated investment company (“RIC”) for U.S. federal income tax purposes under subchapter M of the Internal Revenue Code of 1986, as amended (the “Code”). Our common stock is traded on the NASDAQ under the symbol “BCIC.”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Unless otherwise noted in this prospectus supplement, the terms “we,” “us,” “our,” and the “Company” refer to BCP Investment Corporation and its wholly-owned subsidiaries, unless the context otherwise requires.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As used in this prospectus supplement, the terms “our investment advisor” or “the Adviser” refers to Sierra Crest Investment Management LLC.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BCP Investment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We also invest in senior unsecured debt, and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2025, we had total investments in 108 portfolio companies with a fair value of approximately $501.0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15, 2025, we announced the completion of our acquisition of Logan Ridge Finance Corporation, a Maryland corporation (“LRFC”, and such transaction, the “LRFC Merger”), pursuant to the terms of the merger agreement, dated January 29, 2025 (the “LRFC Merger Agreement”). To effect the acquisition, a wholly owned merger subsidiary of the Company merged with and into LRFC, with LRFC surviving the merger as the Company’s wholly owned subsidiary. Immediately thereafter and as a single integrated transaction, LRFC consummated a second merger, whereby LRFC merged with and into us, with the Company surviving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LRFC Merger Agreement, we have agreed to take all necessary action to assume the payment of the principal of and interest on all notes and on a credit facility outstanding as of the date of the LRFC Merger. This includes LRFC’s 5.25% fixed-rate notes due 2026 (the “LRFC 2026 Notes”), LRFC’s 5.25% fixed-rate convertible notes due 2032 (the “2032 Convertible Notes”), and LRFC’s credit facility with KeyBank National Association (the “KeyBank Credit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Business</w:t>
      </w:r>
    </w:p>
    <w:p>
      <w:pPr>
        <w:pStyle w:val="TextBody"/>
        <w:bidi w:val="0"/>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in Part I, Item 1 in our most recent Annual Report on Form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10-K</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and our investment advisor.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business is subject to numerous risks, as described in the section 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Supplementary Risk Factors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in this prospectus supplement,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Risk Factors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in the accompanying prospectus and in any free writing prospectuses we have authorized for use in connection with this offering, and under similar headings in the documents that are incorporated by reference into this prospectus supplement and the accompanying prospectus, including the section 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Risk Factors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included in our most recent Annual Report on Form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10-K</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well as in any of our subsequent SEC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THE OFFERING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 </w:t>
      </w:r>
    </w:p>
    <w:p>
      <w:pPr>
        <w:pStyle w:val="TextBody"/>
        <w:bidi w:val="0"/>
        <w:spacing w:before="0" w:after="0"/>
        <w:jc w:val="left"/>
        <w:rPr>
          <w:bdr w:val="single" w:sz="8" w:space="1" w:color="000000"/>
        </w:rPr>
      </w:pPr>
      <w:r>
        <w:rPr>
          <w:bdr w:val="single" w:sz="8" w:space="1" w:color="000000"/>
        </w:rPr>
        <w:t> </w:t>
      </w:r>
    </w:p>
    <w:tbl>
      <w:tblPr>
        <w:tblW w:w="3445" w:type="dxa"/>
        <w:jc w:val="left"/>
        <w:tblInd w:w="0" w:type="dxa"/>
        <w:tblLayout w:type="fixed"/>
        <w:tblCellMar>
          <w:top w:w="0" w:type="dxa"/>
          <w:left w:w="0" w:type="dxa"/>
          <w:bottom w:w="0" w:type="dxa"/>
          <w:right w:w="0" w:type="dxa"/>
        </w:tblCellMar>
      </w:tblPr>
      <w:tblGrid>
        <w:gridCol w:w="590"/>
        <w:gridCol w:w="2855"/>
      </w:tblGrid>
      <w:tr>
        <w:trPr/>
        <w:tc>
          <w:tcPr>
            <w:tcW w:w="59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2855" w:type="dxa"/>
            <w:tcBorders/>
            <w:vAlign w:val="center"/>
          </w:tcPr>
          <w:p>
            <w:pPr>
              <w:pStyle w:val="TableContents"/>
              <w:bidi w:val="0"/>
              <w:spacing w:before="0" w:after="283"/>
              <w:jc w:val="left"/>
              <w:rPr/>
            </w:pPr>
            <w:r>
              <w:rPr/>
              <w:t xml:space="preserve">BCP Investment Corporation </w:t>
            </w:r>
          </w:p>
        </w:tc>
      </w:tr>
    </w:tbl>
    <w:p>
      <w:pPr>
        <w:pStyle w:val="TextBody"/>
        <w:bidi w:val="0"/>
        <w:spacing w:before="0" w:after="0"/>
        <w:jc w:val="left"/>
        <w:rPr>
          <w:bdr w:val="single" w:sz="8" w:space="1" w:color="000000"/>
        </w:rPr>
      </w:pPr>
      <w:r>
        <w:rPr>
          <w:bdr w:val="single" w:sz="8" w:space="1" w:color="000000"/>
        </w:rPr>
        <w:t> </w:t>
      </w:r>
    </w:p>
    <w:tbl>
      <w:tblPr>
        <w:tblW w:w="4105" w:type="dxa"/>
        <w:jc w:val="left"/>
        <w:tblInd w:w="0" w:type="dxa"/>
        <w:tblLayout w:type="fixed"/>
        <w:tblCellMar>
          <w:top w:w="0" w:type="dxa"/>
          <w:left w:w="0" w:type="dxa"/>
          <w:bottom w:w="0" w:type="dxa"/>
          <w:right w:w="0" w:type="dxa"/>
        </w:tblCellMar>
      </w:tblPr>
      <w:tblGrid>
        <w:gridCol w:w="1835"/>
        <w:gridCol w:w="2270"/>
      </w:tblGrid>
      <w:tr>
        <w:trPr/>
        <w:tc>
          <w:tcPr>
            <w:tcW w:w="183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Title of the securities </w:t>
            </w:r>
          </w:p>
        </w:tc>
        <w:tc>
          <w:tcPr>
            <w:tcW w:w="2270" w:type="dxa"/>
            <w:tcBorders/>
            <w:vAlign w:val="center"/>
          </w:tcPr>
          <w:p>
            <w:pPr>
              <w:pStyle w:val="TableContents"/>
              <w:bidi w:val="0"/>
              <w:spacing w:before="0" w:after="283"/>
              <w:jc w:val="left"/>
              <w:rPr/>
            </w:pPr>
            <w:r>
              <w:rPr/>
              <w:t xml:space="preserve">7.50% Notes due 2029 </w:t>
            </w:r>
          </w:p>
        </w:tc>
      </w:tr>
    </w:tbl>
    <w:p>
      <w:pPr>
        <w:pStyle w:val="TextBody"/>
        <w:bidi w:val="0"/>
        <w:spacing w:before="0" w:after="0"/>
        <w:jc w:val="left"/>
        <w:rPr>
          <w:bdr w:val="single" w:sz="8" w:space="1" w:color="000000"/>
        </w:rPr>
      </w:pPr>
      <w:r>
        <w:rPr>
          <w:bdr w:val="single" w:sz="8" w:space="1" w:color="000000"/>
        </w:rPr>
        <w:t> </w:t>
      </w:r>
    </w:p>
    <w:tbl>
      <w:tblPr>
        <w:tblW w:w="6685" w:type="dxa"/>
        <w:jc w:val="left"/>
        <w:tblInd w:w="0" w:type="dxa"/>
        <w:tblLayout w:type="fixed"/>
        <w:tblCellMar>
          <w:top w:w="0" w:type="dxa"/>
          <w:left w:w="0" w:type="dxa"/>
          <w:bottom w:w="0" w:type="dxa"/>
          <w:right w:w="0" w:type="dxa"/>
        </w:tblCellMar>
      </w:tblPr>
      <w:tblGrid>
        <w:gridCol w:w="4175"/>
        <w:gridCol w:w="2510"/>
      </w:tblGrid>
      <w:tr>
        <w:trPr/>
        <w:tc>
          <w:tcPr>
            <w:tcW w:w="417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Initial aggregate principal amount being offered </w:t>
            </w:r>
          </w:p>
        </w:tc>
        <w:tc>
          <w:tcPr>
            <w:tcW w:w="2510" w:type="dxa"/>
            <w:tcBorders/>
            <w:vAlign w:val="center"/>
          </w:tcPr>
          <w:p>
            <w:pPr>
              <w:pStyle w:val="TableContents"/>
              <w:bidi w:val="0"/>
              <w:spacing w:before="0" w:after="283"/>
              <w:jc w:val="left"/>
              <w:rPr/>
            </w:pPr>
            <w:r>
              <w:rPr/>
              <w:t xml:space="preserve">$50,000,000 of the Notes </w:t>
            </w:r>
          </w:p>
        </w:tc>
      </w:tr>
    </w:tbl>
    <w:p>
      <w:pPr>
        <w:pStyle w:val="TextBody"/>
        <w:bidi w:val="0"/>
        <w:spacing w:before="0" w:after="0"/>
        <w:jc w:val="left"/>
        <w:rPr>
          <w:bdr w:val="single" w:sz="8" w:space="1" w:color="000000"/>
        </w:rPr>
      </w:pPr>
      <w:r>
        <w:rPr>
          <w:bdr w:val="single" w:sz="8" w:space="1" w:color="000000"/>
        </w:rPr>
        <w:t> </w:t>
      </w:r>
    </w:p>
    <w:tbl>
      <w:tblPr>
        <w:tblW w:w="7645" w:type="dxa"/>
        <w:jc w:val="left"/>
        <w:tblInd w:w="0" w:type="dxa"/>
        <w:tblLayout w:type="fixed"/>
        <w:tblCellMar>
          <w:top w:w="0" w:type="dxa"/>
          <w:left w:w="0" w:type="dxa"/>
          <w:bottom w:w="0" w:type="dxa"/>
          <w:right w:w="0" w:type="dxa"/>
        </w:tblCellMar>
      </w:tblPr>
      <w:tblGrid>
        <w:gridCol w:w="2375"/>
        <w:gridCol w:w="5270"/>
      </w:tblGrid>
      <w:tr>
        <w:trPr/>
        <w:tc>
          <w:tcPr>
            <w:tcW w:w="237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Initial public offering price </w:t>
            </w:r>
          </w:p>
        </w:tc>
        <w:tc>
          <w:tcPr>
            <w:tcW w:w="5270" w:type="dxa"/>
            <w:tcBorders/>
            <w:vAlign w:val="center"/>
          </w:tcPr>
          <w:p>
            <w:pPr>
              <w:pStyle w:val="TableContents"/>
              <w:bidi w:val="0"/>
              <w:spacing w:before="0" w:after="283"/>
              <w:jc w:val="left"/>
              <w:rPr/>
            </w:pPr>
            <w:r>
              <w:rPr/>
              <w:t xml:space="preserve">100.0% of the aggregate principal amount of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95"/>
        <w:gridCol w:w="8810"/>
      </w:tblGrid>
      <w:tr>
        <w:trPr/>
        <w:tc>
          <w:tcPr>
            <w:tcW w:w="139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Principal payable at maturity </w:t>
            </w:r>
          </w:p>
        </w:tc>
        <w:tc>
          <w:tcPr>
            <w:tcW w:w="8810" w:type="dxa"/>
            <w:tcBorders/>
            <w:vAlign w:val="center"/>
          </w:tcPr>
          <w:p>
            <w:pPr>
              <w:pStyle w:val="TableContents"/>
              <w:bidi w:val="0"/>
              <w:spacing w:before="0" w:after="283"/>
              <w:jc w:val="left"/>
              <w:rPr/>
            </w:pPr>
            <w:r>
              <w:rPr/>
              <w:t xml:space="preserve">100% of the aggregate principal amount. The outstanding principal amount of the Notes will be payable on the stated maturity date at the corporate trust office of the trustee, paying agent, and security registrar for the Notes or at such other office as we may designate.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49"/>
        <w:gridCol w:w="8556"/>
      </w:tblGrid>
      <w:tr>
        <w:trPr/>
        <w:tc>
          <w:tcPr>
            <w:tcW w:w="1649"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No established trading market </w:t>
            </w:r>
          </w:p>
        </w:tc>
        <w:tc>
          <w:tcPr>
            <w:tcW w:w="8556" w:type="dxa"/>
            <w:tcBorders/>
            <w:vAlign w:val="center"/>
          </w:tcPr>
          <w:p>
            <w:pPr>
              <w:pStyle w:val="TableContents"/>
              <w:bidi w:val="0"/>
              <w:spacing w:before="0" w:after="283"/>
              <w:jc w:val="left"/>
              <w:rPr/>
            </w:pPr>
            <w:r>
              <w:rPr/>
              <w:t xml:space="preserve">We do not intend to list the Notes on any securities exchange or automated dealer quotation system. Accordingly, we cannot assure you that a liquid market for the Notes will develop or be maintained. </w:t>
            </w:r>
          </w:p>
        </w:tc>
      </w:tr>
    </w:tbl>
    <w:p>
      <w:pPr>
        <w:pStyle w:val="TextBody"/>
        <w:bidi w:val="0"/>
        <w:spacing w:before="0" w:after="0"/>
        <w:jc w:val="left"/>
        <w:rPr>
          <w:bdr w:val="single" w:sz="8" w:space="1" w:color="000000"/>
        </w:rPr>
      </w:pPr>
      <w:r>
        <w:rPr>
          <w:bdr w:val="single" w:sz="8" w:space="1" w:color="000000"/>
        </w:rPr>
        <w:t> </w:t>
      </w:r>
    </w:p>
    <w:tbl>
      <w:tblPr>
        <w:tblW w:w="3940" w:type="dxa"/>
        <w:jc w:val="left"/>
        <w:tblInd w:w="0" w:type="dxa"/>
        <w:tblLayout w:type="fixed"/>
        <w:tblCellMar>
          <w:top w:w="0" w:type="dxa"/>
          <w:left w:w="0" w:type="dxa"/>
          <w:bottom w:w="0" w:type="dxa"/>
          <w:right w:w="0" w:type="dxa"/>
        </w:tblCellMar>
      </w:tblPr>
      <w:tblGrid>
        <w:gridCol w:w="1115"/>
        <w:gridCol w:w="2825"/>
      </w:tblGrid>
      <w:tr>
        <w:trPr/>
        <w:tc>
          <w:tcPr>
            <w:tcW w:w="111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rate </w:t>
            </w:r>
          </w:p>
        </w:tc>
        <w:tc>
          <w:tcPr>
            <w:tcW w:w="2825" w:type="dxa"/>
            <w:tcBorders/>
            <w:vAlign w:val="center"/>
          </w:tcPr>
          <w:p>
            <w:pPr>
              <w:pStyle w:val="TableContents"/>
              <w:bidi w:val="0"/>
              <w:spacing w:before="0" w:after="283"/>
              <w:jc w:val="left"/>
              <w:rPr/>
            </w:pPr>
            <w:r>
              <w:rPr/>
              <w:t xml:space="preserve">7.50% per year for the Notes </w:t>
            </w:r>
          </w:p>
        </w:tc>
      </w:tr>
    </w:tbl>
    <w:p>
      <w:pPr>
        <w:pStyle w:val="TextBody"/>
        <w:bidi w:val="0"/>
        <w:spacing w:before="0" w:after="0"/>
        <w:jc w:val="left"/>
        <w:rPr>
          <w:bdr w:val="single" w:sz="8" w:space="1" w:color="000000"/>
        </w:rPr>
      </w:pPr>
      <w:r>
        <w:rPr>
          <w:bdr w:val="single" w:sz="8" w:space="1" w:color="000000"/>
        </w:rPr>
        <w:t> </w:t>
      </w:r>
    </w:p>
    <w:tbl>
      <w:tblPr>
        <w:tblW w:w="2245" w:type="dxa"/>
        <w:jc w:val="left"/>
        <w:tblInd w:w="0" w:type="dxa"/>
        <w:tblLayout w:type="fixed"/>
        <w:tblCellMar>
          <w:top w:w="0" w:type="dxa"/>
          <w:left w:w="0" w:type="dxa"/>
          <w:bottom w:w="0" w:type="dxa"/>
          <w:right w:w="0" w:type="dxa"/>
        </w:tblCellMar>
      </w:tblPr>
      <w:tblGrid>
        <w:gridCol w:w="1535"/>
        <w:gridCol w:w="710"/>
      </w:tblGrid>
      <w:tr>
        <w:trPr/>
        <w:tc>
          <w:tcPr>
            <w:tcW w:w="153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Yield to maturity </w:t>
            </w:r>
          </w:p>
        </w:tc>
        <w:tc>
          <w:tcPr>
            <w:tcW w:w="710" w:type="dxa"/>
            <w:tcBorders/>
            <w:vAlign w:val="center"/>
          </w:tcPr>
          <w:p>
            <w:pPr>
              <w:pStyle w:val="TableContents"/>
              <w:bidi w:val="0"/>
              <w:spacing w:before="0" w:after="283"/>
              <w:jc w:val="left"/>
              <w:rPr/>
            </w:pPr>
            <w:r>
              <w:rPr/>
              <w:t xml:space="preserve">7.50% </w:t>
            </w:r>
          </w:p>
        </w:tc>
      </w:tr>
    </w:tbl>
    <w:p>
      <w:pPr>
        <w:pStyle w:val="TextBody"/>
        <w:bidi w:val="0"/>
        <w:spacing w:before="0" w:after="0"/>
        <w:jc w:val="left"/>
        <w:rPr>
          <w:bdr w:val="single" w:sz="8" w:space="1" w:color="000000"/>
        </w:rPr>
      </w:pPr>
      <w:r>
        <w:rPr>
          <w:bdr w:val="single" w:sz="8" w:space="1" w:color="000000"/>
        </w:rPr>
        <w:t> </w:t>
      </w:r>
    </w:p>
    <w:tbl>
      <w:tblPr>
        <w:tblW w:w="2845" w:type="dxa"/>
        <w:jc w:val="left"/>
        <w:tblInd w:w="0" w:type="dxa"/>
        <w:tblLayout w:type="fixed"/>
        <w:tblCellMar>
          <w:top w:w="0" w:type="dxa"/>
          <w:left w:w="0" w:type="dxa"/>
          <w:bottom w:w="0" w:type="dxa"/>
          <w:right w:w="0" w:type="dxa"/>
        </w:tblCellMar>
      </w:tblPr>
      <w:tblGrid>
        <w:gridCol w:w="1400"/>
        <w:gridCol w:w="1445"/>
      </w:tblGrid>
      <w:tr>
        <w:trPr/>
        <w:tc>
          <w:tcPr>
            <w:tcW w:w="140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Day count basis </w:t>
            </w:r>
          </w:p>
        </w:tc>
        <w:tc>
          <w:tcPr>
            <w:tcW w:w="1445" w:type="dxa"/>
            <w:tcBorders/>
            <w:vAlign w:val="center"/>
          </w:tcPr>
          <w:p>
            <w:pPr>
              <w:pStyle w:val="TableContents"/>
              <w:bidi w:val="0"/>
              <w:spacing w:before="0" w:after="0"/>
              <w:jc w:val="left"/>
              <w:rPr>
                <w:spacing w:val="0"/>
              </w:rPr>
            </w:pPr>
            <w:r>
              <w:rPr>
                <w:spacing w:val="0"/>
              </w:rPr>
              <w:t>360-day</w:t>
            </w:r>
          </w:p>
          <w:p>
            <w:pPr>
              <w:pStyle w:val="TableContents"/>
              <w:bidi w:val="0"/>
              <w:spacing w:before="0" w:after="0"/>
              <w:jc w:val="left"/>
              <w:rPr/>
            </w:pPr>
            <w:r>
              <w:rPr/>
              <w:t xml:space="preserve">year of twelve </w:t>
            </w:r>
          </w:p>
          <w:p>
            <w:pPr>
              <w:pStyle w:val="TableContents"/>
              <w:bidi w:val="0"/>
              <w:spacing w:before="0" w:after="0"/>
              <w:jc w:val="left"/>
              <w:rPr>
                <w:spacing w:val="0"/>
              </w:rPr>
            </w:pPr>
            <w:r>
              <w:rPr>
                <w:spacing w:val="0"/>
              </w:rPr>
              <w:t>30-day</w:t>
            </w:r>
          </w:p>
          <w:p>
            <w:pPr>
              <w:pStyle w:val="TableContents"/>
              <w:bidi w:val="0"/>
              <w:spacing w:before="0" w:after="0"/>
              <w:jc w:val="left"/>
              <w:rPr/>
            </w:pPr>
            <w:r>
              <w:rPr/>
              <w:t xml:space="preserve">months </w:t>
            </w:r>
          </w:p>
        </w:tc>
      </w:tr>
    </w:tbl>
    <w:p>
      <w:pPr>
        <w:pStyle w:val="TextBody"/>
        <w:bidi w:val="0"/>
        <w:spacing w:before="0" w:after="0"/>
        <w:jc w:val="left"/>
        <w:rPr>
          <w:bdr w:val="single" w:sz="8" w:space="1" w:color="000000"/>
        </w:rPr>
      </w:pPr>
      <w:r>
        <w:rPr>
          <w:bdr w:val="single" w:sz="8" w:space="1" w:color="000000"/>
        </w:rPr>
        <w:t> </w:t>
      </w:r>
    </w:p>
    <w:tbl>
      <w:tblPr>
        <w:tblW w:w="2620" w:type="dxa"/>
        <w:jc w:val="left"/>
        <w:tblInd w:w="0" w:type="dxa"/>
        <w:tblLayout w:type="fixed"/>
        <w:tblCellMar>
          <w:top w:w="0" w:type="dxa"/>
          <w:left w:w="0" w:type="dxa"/>
          <w:bottom w:w="0" w:type="dxa"/>
          <w:right w:w="0" w:type="dxa"/>
        </w:tblCellMar>
      </w:tblPr>
      <w:tblGrid>
        <w:gridCol w:w="1010"/>
        <w:gridCol w:w="1610"/>
      </w:tblGrid>
      <w:tr>
        <w:trPr/>
        <w:tc>
          <w:tcPr>
            <w:tcW w:w="101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Trade date </w:t>
            </w:r>
          </w:p>
        </w:tc>
        <w:tc>
          <w:tcPr>
            <w:tcW w:w="1610" w:type="dxa"/>
            <w:tcBorders/>
            <w:vAlign w:val="center"/>
          </w:tcPr>
          <w:p>
            <w:pPr>
              <w:pStyle w:val="TableContents"/>
              <w:bidi w:val="0"/>
              <w:spacing w:before="0" w:after="283"/>
              <w:jc w:val="left"/>
              <w:rPr/>
            </w:pPr>
            <w:r>
              <w:rPr/>
              <w:t xml:space="preserve">March 20, 2026 </w:t>
            </w:r>
          </w:p>
        </w:tc>
      </w:tr>
    </w:tbl>
    <w:p>
      <w:pPr>
        <w:pStyle w:val="TextBody"/>
        <w:bidi w:val="0"/>
        <w:spacing w:before="0" w:after="0"/>
        <w:jc w:val="left"/>
        <w:rPr>
          <w:bdr w:val="single" w:sz="8" w:space="1" w:color="000000"/>
        </w:rPr>
      </w:pPr>
      <w:r>
        <w:rPr>
          <w:bdr w:val="single" w:sz="8" w:space="1" w:color="000000"/>
        </w:rPr>
        <w:t> </w:t>
      </w:r>
    </w:p>
    <w:tbl>
      <w:tblPr>
        <w:tblW w:w="3250" w:type="dxa"/>
        <w:jc w:val="left"/>
        <w:tblInd w:w="0" w:type="dxa"/>
        <w:tblLayout w:type="fixed"/>
        <w:tblCellMar>
          <w:top w:w="0" w:type="dxa"/>
          <w:left w:w="0" w:type="dxa"/>
          <w:bottom w:w="0" w:type="dxa"/>
          <w:right w:w="0" w:type="dxa"/>
        </w:tblCellMar>
      </w:tblPr>
      <w:tblGrid>
        <w:gridCol w:w="1250"/>
        <w:gridCol w:w="2000"/>
      </w:tblGrid>
      <w:tr>
        <w:trPr/>
        <w:tc>
          <w:tcPr>
            <w:tcW w:w="125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Maturity date </w:t>
            </w:r>
          </w:p>
        </w:tc>
        <w:tc>
          <w:tcPr>
            <w:tcW w:w="2000" w:type="dxa"/>
            <w:tcBorders/>
            <w:vAlign w:val="center"/>
          </w:tcPr>
          <w:p>
            <w:pPr>
              <w:pStyle w:val="TableContents"/>
              <w:bidi w:val="0"/>
              <w:spacing w:before="0" w:after="283"/>
              <w:jc w:val="left"/>
              <w:rPr/>
            </w:pPr>
            <w:r>
              <w:rPr/>
              <w:t xml:space="preserve">September 24, 2029 </w:t>
            </w:r>
          </w:p>
        </w:tc>
      </w:tr>
    </w:tbl>
    <w:p>
      <w:pPr>
        <w:pStyle w:val="TextBody"/>
        <w:bidi w:val="0"/>
        <w:spacing w:before="0" w:after="0"/>
        <w:jc w:val="left"/>
        <w:rPr>
          <w:bdr w:val="single" w:sz="8" w:space="1" w:color="000000"/>
        </w:rPr>
      </w:pPr>
      <w:r>
        <w:rPr>
          <w:bdr w:val="single" w:sz="8" w:space="1" w:color="000000"/>
        </w:rPr>
        <w:t> </w:t>
      </w:r>
    </w:p>
    <w:tbl>
      <w:tblPr>
        <w:tblW w:w="4060" w:type="dxa"/>
        <w:jc w:val="left"/>
        <w:tblInd w:w="0" w:type="dxa"/>
        <w:tblLayout w:type="fixed"/>
        <w:tblCellMar>
          <w:top w:w="0" w:type="dxa"/>
          <w:left w:w="0" w:type="dxa"/>
          <w:bottom w:w="0" w:type="dxa"/>
          <w:right w:w="0" w:type="dxa"/>
        </w:tblCellMar>
      </w:tblPr>
      <w:tblGrid>
        <w:gridCol w:w="2450"/>
        <w:gridCol w:w="1610"/>
      </w:tblGrid>
      <w:tr>
        <w:trPr/>
        <w:tc>
          <w:tcPr>
            <w:tcW w:w="245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Date interest starts accruing </w:t>
            </w:r>
          </w:p>
        </w:tc>
        <w:tc>
          <w:tcPr>
            <w:tcW w:w="1610" w:type="dxa"/>
            <w:tcBorders/>
            <w:vAlign w:val="center"/>
          </w:tcPr>
          <w:p>
            <w:pPr>
              <w:pStyle w:val="TableContents"/>
              <w:bidi w:val="0"/>
              <w:spacing w:before="0" w:after="283"/>
              <w:jc w:val="left"/>
              <w:rPr/>
            </w:pPr>
            <w:r>
              <w:rPr/>
              <w:t xml:space="preserve">March 24, 2026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76"/>
        <w:gridCol w:w="8729"/>
      </w:tblGrid>
      <w:tr>
        <w:trPr/>
        <w:tc>
          <w:tcPr>
            <w:tcW w:w="1476"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8729" w:type="dxa"/>
            <w:tcBorders/>
            <w:vAlign w:val="center"/>
          </w:tcPr>
          <w:p>
            <w:pPr>
              <w:pStyle w:val="TableContents"/>
              <w:bidi w:val="0"/>
              <w:spacing w:before="0" w:after="0"/>
              <w:jc w:val="left"/>
              <w:rPr/>
            </w:pPr>
            <w:r>
              <w:rPr/>
              <w:t xml:space="preserve">Each April 30 and October 30, beginning April 30, 2026. If an interest payment date falls on a </w:t>
            </w:r>
          </w:p>
          <w:p>
            <w:pPr>
              <w:pStyle w:val="TableContents"/>
              <w:bidi w:val="0"/>
              <w:spacing w:before="0" w:after="0"/>
              <w:jc w:val="left"/>
              <w:rPr>
                <w:spacing w:val="0"/>
              </w:rPr>
            </w:pPr>
            <w:r>
              <w:rPr>
                <w:spacing w:val="0"/>
              </w:rPr>
              <w:t>non-business</w:t>
            </w:r>
          </w:p>
          <w:p>
            <w:pPr>
              <w:pStyle w:val="TableContents"/>
              <w:bidi w:val="0"/>
              <w:spacing w:before="0" w:after="0"/>
              <w:jc w:val="left"/>
              <w:rPr/>
            </w:pPr>
            <w:r>
              <w:rPr/>
              <w:t xml:space="preserve">day, the applicable interest payment will be made on the next business day and no additional interest will accrue as a result of such delayed payment. </w:t>
            </w:r>
          </w:p>
        </w:tc>
      </w:tr>
    </w:tbl>
    <w:p>
      <w:pPr>
        <w:pStyle w:val="TextBody"/>
        <w:bidi w:val="0"/>
        <w:spacing w:before="0" w:after="0"/>
        <w:jc w:val="left"/>
        <w:rPr>
          <w:bdr w:val="single" w:sz="8" w:space="1" w:color="000000"/>
        </w:rPr>
      </w:pPr>
      <w:r>
        <w:rPr>
          <w:bdr w:val="single" w:sz="8" w:space="1" w:color="000000"/>
        </w:rPr>
        <w:t> </w:t>
      </w:r>
    </w:p>
    <w:tbl>
      <w:tblPr>
        <w:tblW w:w="2935" w:type="dxa"/>
        <w:jc w:val="left"/>
        <w:tblInd w:w="0" w:type="dxa"/>
        <w:tblLayout w:type="fixed"/>
        <w:tblCellMar>
          <w:top w:w="0" w:type="dxa"/>
          <w:left w:w="0" w:type="dxa"/>
          <w:bottom w:w="0" w:type="dxa"/>
          <w:right w:w="0" w:type="dxa"/>
        </w:tblCellMar>
      </w:tblPr>
      <w:tblGrid>
        <w:gridCol w:w="1655"/>
        <w:gridCol w:w="1280"/>
      </w:tblGrid>
      <w:tr>
        <w:trPr/>
        <w:tc>
          <w:tcPr>
            <w:tcW w:w="165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Specified currency </w:t>
            </w:r>
          </w:p>
        </w:tc>
        <w:tc>
          <w:tcPr>
            <w:tcW w:w="1280" w:type="dxa"/>
            <w:tcBorders/>
            <w:vAlign w:val="center"/>
          </w:tcPr>
          <w:p>
            <w:pPr>
              <w:pStyle w:val="TableContents"/>
              <w:bidi w:val="0"/>
              <w:spacing w:before="0" w:after="283"/>
              <w:jc w:val="left"/>
              <w:rPr/>
            </w:pPr>
            <w:r>
              <w:rPr/>
              <w:t xml:space="preserve">U.S. Dollars </w:t>
            </w:r>
          </w:p>
        </w:tc>
      </w:tr>
    </w:tbl>
    <w:p>
      <w:pPr>
        <w:pStyle w:val="TextBody"/>
        <w:bidi w:val="0"/>
        <w:spacing w:before="0" w:after="0"/>
        <w:jc w:val="left"/>
        <w:rPr>
          <w:bdr w:val="single" w:sz="8" w:space="1" w:color="000000"/>
        </w:rPr>
      </w:pPr>
      <w:r>
        <w:rPr>
          <w:bdr w:val="single" w:sz="8" w:space="1" w:color="000000"/>
        </w:rPr>
        <w:t> </w:t>
      </w:r>
    </w:p>
    <w:tbl>
      <w:tblPr>
        <w:tblW w:w="8020" w:type="dxa"/>
        <w:jc w:val="left"/>
        <w:tblInd w:w="0" w:type="dxa"/>
        <w:tblLayout w:type="fixed"/>
        <w:tblCellMar>
          <w:top w:w="0" w:type="dxa"/>
          <w:left w:w="0" w:type="dxa"/>
          <w:bottom w:w="0" w:type="dxa"/>
          <w:right w:w="0" w:type="dxa"/>
        </w:tblCellMar>
      </w:tblPr>
      <w:tblGrid>
        <w:gridCol w:w="1790"/>
        <w:gridCol w:w="6230"/>
      </w:tblGrid>
      <w:tr>
        <w:trPr/>
        <w:tc>
          <w:tcPr>
            <w:tcW w:w="179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of the notes </w:t>
            </w:r>
          </w:p>
        </w:tc>
        <w:tc>
          <w:tcPr>
            <w:tcW w:w="6230" w:type="dxa"/>
            <w:tcBorders/>
            <w:vAlign w:val="center"/>
          </w:tcPr>
          <w:p>
            <w:pPr>
              <w:pStyle w:val="TableContents"/>
              <w:bidi w:val="0"/>
              <w:spacing w:before="0" w:after="283"/>
              <w:jc w:val="left"/>
              <w:rPr/>
            </w:pPr>
            <w:r>
              <w:rPr/>
              <w:t xml:space="preserve">The Notes will be our direct unsecured obligations and will rank: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pari passu with our existing and future unsecured, unsubordinated indebtedness, including, as of December 31, 2025, $35.0 million in aggregate principal amount outstanding of our 7.50% notes due 2028 (the “2028 Notes”), $75.0 million in aggregate principal amount outstanding of our 7.75% notes due 2030 (the “2030 Notes”), $50.0 million in aggregate principal amount outstanding of the LRFC 2026 Notes and $2.0 million in aggregate principal amount outstanding of the 2032 Convertible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p>
    <w:p>
      <w:pPr>
        <w:pStyle w:val="HorizontalLine"/>
        <w:pBdr>
          <w:bottom w:val="double" w:sz="2" w:space="0" w:color="808080"/>
        </w:pBdr>
        <w:bidi w:val="0"/>
        <w:spacing w:before="0" w:after="283"/>
        <w:jc w:val="left"/>
        <w:rPr/>
      </w:pPr>
      <w:r>
        <w:rPr/>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bdr w:val="single" w:sz="8" w:space="1" w:color="000000"/>
        </w:rPr>
      </w:pPr>
      <w:r>
        <w:rPr>
          <w:bdr w:val="single" w:sz="8" w:space="1" w:color="000000"/>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to which we subsequently grant security), to the extent of the value of the assets securing such indebtedness;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including, without limitation, as of December 31, 2025, $107.6 million of outstanding borrowings under our senior secured revolving credit facility with JPMorgan Chase Bank, National Association (the “Credit Facility”) and $42.7 million of outstanding borrowings under our KeyBank Credit Facility. </w:t>
            </w:r>
          </w:p>
        </w:tc>
      </w:tr>
    </w:tbl>
    <w:p>
      <w:pPr>
        <w:pStyle w:val="TextBody"/>
        <w:bidi w:val="0"/>
        <w:spacing w:before="0" w:after="0"/>
        <w:jc w:val="left"/>
        <w:rPr>
          <w:bdr w:val="single" w:sz="8" w:space="1" w:color="000000"/>
        </w:rPr>
      </w:pPr>
      <w:r>
        <w:rPr>
          <w:bdr w:val="single" w:sz="8" w:space="1" w:color="000000"/>
        </w:rPr>
        <w:t> </w:t>
      </w:r>
    </w:p>
    <w:tbl>
      <w:tblPr>
        <w:tblW w:w="9305" w:type="dxa"/>
        <w:jc w:val="left"/>
        <w:tblInd w:w="0" w:type="dxa"/>
        <w:tblLayout w:type="fixed"/>
        <w:tblCellMar>
          <w:top w:w="0" w:type="dxa"/>
          <w:left w:w="0" w:type="dxa"/>
          <w:bottom w:w="0" w:type="dxa"/>
          <w:right w:w="0" w:type="dxa"/>
        </w:tblCellMar>
      </w:tblPr>
      <w:tblGrid>
        <w:gridCol w:w="75"/>
        <w:gridCol w:w="9230"/>
      </w:tblGrid>
      <w:tr>
        <w:trPr/>
        <w:tc>
          <w:tcPr>
            <w:tcW w:w="75"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xml:space="preserve">As of December 31, 2025, our total outstanding indebtedness was approximately $312.3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50"/>
        <w:gridCol w:w="8855"/>
      </w:tblGrid>
      <w:tr>
        <w:trPr/>
        <w:tc>
          <w:tcPr>
            <w:tcW w:w="135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Denominations </w:t>
            </w:r>
          </w:p>
        </w:tc>
        <w:tc>
          <w:tcPr>
            <w:tcW w:w="8855" w:type="dxa"/>
            <w:tcBorders/>
            <w:vAlign w:val="center"/>
          </w:tcPr>
          <w:p>
            <w:pPr>
              <w:pStyle w:val="TableContents"/>
              <w:bidi w:val="0"/>
              <w:spacing w:before="0" w:after="283"/>
              <w:jc w:val="left"/>
              <w:rPr/>
            </w:pPr>
            <w:r>
              <w:rPr/>
              <w:t xml:space="preserve">We will issue the Notes in denominations of $1,000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31"/>
        <w:gridCol w:w="9274"/>
      </w:tblGrid>
      <w:tr>
        <w:trPr/>
        <w:tc>
          <w:tcPr>
            <w:tcW w:w="931"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Business day </w:t>
            </w:r>
          </w:p>
        </w:tc>
        <w:tc>
          <w:tcPr>
            <w:tcW w:w="9274" w:type="dxa"/>
            <w:tcBorders/>
            <w:vAlign w:val="center"/>
          </w:tcPr>
          <w:p>
            <w:pPr>
              <w:pStyle w:val="TableContents"/>
              <w:bidi w:val="0"/>
              <w:spacing w:before="0" w:after="283"/>
              <w:jc w:val="left"/>
              <w:rPr/>
            </w:pPr>
            <w:r>
              <w:rPr/>
              <w:t xml:space="preserve">Each Monday, Tuesday, Wednesday, Thursday and Friday that is not a day on which banking institutions in New York City or the place of payment are authorized or required by law or executive order to close.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02"/>
        <w:gridCol w:w="8903"/>
      </w:tblGrid>
      <w:tr>
        <w:trPr/>
        <w:tc>
          <w:tcPr>
            <w:tcW w:w="1302"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8903" w:type="dxa"/>
            <w:tcBorders/>
            <w:vAlign w:val="center"/>
          </w:tcPr>
          <w:p>
            <w:pPr>
              <w:pStyle w:val="TableContents"/>
              <w:bidi w:val="0"/>
              <w:spacing w:before="0" w:after="0"/>
              <w:jc w:val="left"/>
              <w:rPr/>
            </w:pPr>
            <w:r>
              <w:rPr/>
              <w:t>Prior to April 24, 2029 (five months prior to the maturity date of the Notes), or the Par Call Date (as defined herein), we may redeem the Notes at our option, in whole or in part, at any time and from time to time, at a redemption price described in “</w:t>
            </w:r>
          </w:p>
          <w:p>
            <w:pPr>
              <w:pStyle w:val="TableContents"/>
              <w:bidi w:val="0"/>
              <w:spacing w:before="0" w:after="0"/>
              <w:jc w:val="left"/>
              <w:rPr>
                <w:i/>
                <w:caps w:val="false"/>
                <w:smallCaps w:val="false"/>
                <w:spacing w:val="0"/>
              </w:rPr>
            </w:pPr>
            <w:r>
              <w:rPr>
                <w:i/>
                <w:caps w:val="false"/>
                <w:smallCaps w:val="false"/>
                <w:spacing w:val="0"/>
              </w:rPr>
              <w:t>Description of the Notes — Optional Redemption</w:t>
            </w:r>
          </w:p>
          <w:p>
            <w:pPr>
              <w:pStyle w:val="TableContents"/>
              <w:bidi w:val="0"/>
              <w:spacing w:before="0" w:after="0"/>
              <w:jc w:val="left"/>
              <w:rPr/>
            </w:pPr>
            <w:r>
              <w:rPr/>
              <w:t xml:space="preserve">” </w:t>
            </w:r>
            <w:r>
              <w:rPr/>
              <w:t xml:space="preserve">in this prospectus supplement.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On or after the Par Call Date, we may redeem the Notes, in whole or in part, at any time and from time to time, at a redemption price equal to 100% of the principal amount of the Notes being redeemed plus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4255" w:type="dxa"/>
        <w:jc w:val="left"/>
        <w:tblInd w:w="0" w:type="dxa"/>
        <w:tblLayout w:type="fixed"/>
        <w:tblCellMar>
          <w:top w:w="0" w:type="dxa"/>
          <w:left w:w="0" w:type="dxa"/>
          <w:bottom w:w="0" w:type="dxa"/>
          <w:right w:w="0" w:type="dxa"/>
        </w:tblCellMar>
      </w:tblPr>
      <w:tblGrid>
        <w:gridCol w:w="1145"/>
        <w:gridCol w:w="3110"/>
      </w:tblGrid>
      <w:tr>
        <w:trPr/>
        <w:tc>
          <w:tcPr>
            <w:tcW w:w="114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Sinking fund </w:t>
            </w:r>
          </w:p>
        </w:tc>
        <w:tc>
          <w:tcPr>
            <w:tcW w:w="3110" w:type="dxa"/>
            <w:tcBorders/>
            <w:vAlign w:val="center"/>
          </w:tcPr>
          <w:p>
            <w:pPr>
              <w:pStyle w:val="TableContents"/>
              <w:bidi w:val="0"/>
              <w:spacing w:before="0" w:after="0"/>
              <w:jc w:val="left"/>
              <w:rPr/>
            </w:pPr>
            <w:r>
              <w:rPr/>
              <w:t xml:space="preserve">The Notes will not be subject to </w:t>
            </w:r>
          </w:p>
          <w:p>
            <w:pPr>
              <w:pStyle w:val="TableContents"/>
              <w:bidi w:val="0"/>
              <w:spacing w:before="0" w:after="0"/>
              <w:jc w:val="left"/>
              <w:rPr/>
            </w:pPr>
            <w:r>
              <w:rPr/>
              <w:t>any</w:t>
            </w:r>
          </w:p>
          <w:p>
            <w:pPr>
              <w:pStyle w:val="TableContents"/>
              <w:bidi w:val="0"/>
              <w:spacing w:before="0" w:after="0"/>
              <w:jc w:val="left"/>
              <w:rPr/>
            </w:pPr>
            <w:r>
              <w:rPr/>
              <w:t xml:space="preserve">sinking fund. </w:t>
            </w:r>
          </w:p>
        </w:tc>
      </w:tr>
    </w:tbl>
    <w:p>
      <w:pPr>
        <w:pStyle w:val="TextBody"/>
        <w:bidi w:val="0"/>
        <w:spacing w:before="0" w:after="0"/>
        <w:jc w:val="left"/>
        <w:rPr>
          <w:bdr w:val="single" w:sz="8" w:space="1" w:color="000000"/>
        </w:rPr>
      </w:pPr>
      <w:r>
        <w:rPr>
          <w:bdr w:val="single" w:sz="8" w:space="1" w:color="000000"/>
        </w:rPr>
        <w:t> </w:t>
      </w:r>
    </w:p>
    <w:tbl>
      <w:tblPr>
        <w:tblW w:w="7480" w:type="dxa"/>
        <w:jc w:val="left"/>
        <w:tblInd w:w="0" w:type="dxa"/>
        <w:tblLayout w:type="fixed"/>
        <w:tblCellMar>
          <w:top w:w="0" w:type="dxa"/>
          <w:left w:w="0" w:type="dxa"/>
          <w:bottom w:w="0" w:type="dxa"/>
          <w:right w:w="0" w:type="dxa"/>
        </w:tblCellMar>
      </w:tblPr>
      <w:tblGrid>
        <w:gridCol w:w="1025"/>
        <w:gridCol w:w="6455"/>
      </w:tblGrid>
      <w:tr>
        <w:trPr/>
        <w:tc>
          <w:tcPr>
            <w:tcW w:w="102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Defeasance </w:t>
            </w:r>
          </w:p>
        </w:tc>
        <w:tc>
          <w:tcPr>
            <w:tcW w:w="6455" w:type="dxa"/>
            <w:tcBorders/>
            <w:vAlign w:val="center"/>
          </w:tcPr>
          <w:p>
            <w:pPr>
              <w:pStyle w:val="TableContents"/>
              <w:bidi w:val="0"/>
              <w:spacing w:before="0" w:after="0"/>
              <w:jc w:val="left"/>
              <w:rPr/>
            </w:pPr>
            <w:r>
              <w:rPr/>
              <w:t>The Notes are subject to legal and covenant defeasance by us. See “</w:t>
            </w:r>
          </w:p>
          <w:p>
            <w:pPr>
              <w:pStyle w:val="TableContents"/>
              <w:bidi w:val="0"/>
              <w:spacing w:before="0" w:after="0"/>
              <w:jc w:val="left"/>
              <w:rPr>
                <w:i/>
                <w:caps w:val="false"/>
                <w:smallCaps w:val="false"/>
                <w:spacing w:val="0"/>
              </w:rPr>
            </w:pPr>
            <w:r>
              <w:rPr>
                <w:i/>
                <w:caps w:val="false"/>
                <w:smallCaps w:val="false"/>
                <w:spacing w:val="0"/>
              </w:rPr>
              <w:t>Description of the Notes — Defeasance</w:t>
            </w:r>
          </w:p>
          <w:p>
            <w:pPr>
              <w:pStyle w:val="TableContents"/>
              <w:bidi w:val="0"/>
              <w:spacing w:before="0" w:after="0"/>
              <w:jc w:val="left"/>
              <w:rPr/>
            </w:pPr>
            <w:r>
              <w:rPr/>
              <w:t xml:space="preserve">” </w:t>
            </w:r>
            <w:r>
              <w:rPr/>
              <w:t xml:space="preserve">in this prospectus </w:t>
            </w:r>
          </w:p>
          <w:p>
            <w:pPr>
              <w:pStyle w:val="TableContents"/>
              <w:bidi w:val="0"/>
              <w:spacing w:before="0" w:after="0"/>
              <w:jc w:val="left"/>
              <w:rPr/>
            </w:pPr>
            <w:r>
              <w:rPr/>
              <w:t>supplemen</w:t>
            </w:r>
          </w:p>
          <w:p>
            <w:pPr>
              <w:pStyle w:val="TableContents"/>
              <w:bidi w:val="0"/>
              <w:spacing w:before="0" w:after="0"/>
              <w:jc w:val="left"/>
              <w:rPr/>
            </w:pPr>
            <w:r>
              <w:rPr/>
              <w:t xml:space="preserve">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21"/>
        <w:gridCol w:w="9584"/>
      </w:tblGrid>
      <w:tr>
        <w:trPr/>
        <w:tc>
          <w:tcPr>
            <w:tcW w:w="621"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Form of notes </w:t>
            </w:r>
          </w:p>
        </w:tc>
        <w:tc>
          <w:tcPr>
            <w:tcW w:w="9584" w:type="dxa"/>
            <w:tcBorders/>
            <w:vAlign w:val="center"/>
          </w:tcPr>
          <w:p>
            <w:pPr>
              <w:pStyle w:val="TableContents"/>
              <w:bidi w:val="0"/>
              <w:spacing w:before="0" w:after="283"/>
              <w:jc w:val="left"/>
              <w:rPr/>
            </w:pPr>
            <w:r>
              <w:rPr/>
              <w:t xml:space="preserve">The Notes will be represented by global securities that will be deposited and registered in the name of The Depository Trust Company (“DTC”) or its nominee. Except in limited circumstances, you will not receive certificates for the Notes. Beneficial interests in the Notes will be represented through book-entry accounts of financial institutions acting on behalf of Beneficial Owners as Direct and Indirect Participants in DTC (terms as defined herein). Investors may elect to hold interests in the Notes through either DTC, if they are a participant, or indirectly through organizations which are participants in DTC.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160"/>
        <w:gridCol w:w="9045"/>
      </w:tblGrid>
      <w:tr>
        <w:trPr/>
        <w:tc>
          <w:tcPr>
            <w:tcW w:w="116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paying agent and security registrar </w:t>
            </w:r>
          </w:p>
        </w:tc>
        <w:tc>
          <w:tcPr>
            <w:tcW w:w="9045" w:type="dxa"/>
            <w:tcBorders/>
            <w:vAlign w:val="center"/>
          </w:tcPr>
          <w:p>
            <w:pPr>
              <w:pStyle w:val="TableContents"/>
              <w:bidi w:val="0"/>
              <w:spacing w:before="0" w:after="283"/>
              <w:jc w:val="left"/>
              <w:rPr/>
            </w:pPr>
            <w:r>
              <w:rPr/>
              <w:t xml:space="preserve">U.S. Bank Trust Company, National Association is the trustee, security registrar and paying agent. U.S. Bank Trust Company, National Association,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We may maintain banking relationships in the ordinary course of business with the trustee and its affiliates.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17"/>
        <w:gridCol w:w="9188"/>
      </w:tblGrid>
      <w:tr>
        <w:trPr/>
        <w:tc>
          <w:tcPr>
            <w:tcW w:w="1017"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Other covenants </w:t>
            </w:r>
          </w:p>
        </w:tc>
        <w:tc>
          <w:tcPr>
            <w:tcW w:w="9188" w:type="dxa"/>
            <w:tcBorders/>
            <w:vAlign w:val="center"/>
          </w:tcPr>
          <w:p>
            <w:pPr>
              <w:pStyle w:val="TableContents"/>
              <w:bidi w:val="0"/>
              <w:spacing w:before="0" w:after="283"/>
              <w:jc w:val="left"/>
              <w:rPr/>
            </w:pPr>
            <w:r>
              <w:rPr/>
              <w:t xml:space="preserve">In addition to any other covenants described in this prospectus supplement and the accompanying prospectus, as well as standard covenants relating to payment of principal and interest, maintaining an office where payments may be made or the Notes may be surrendered for payment and related matters, the following covenants will apply to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whether or not we are subject to, Section 18(a)(1)(A) of the 1940 Act as modified by Section 61(a)(1) and (2) of the 1940 Act or any successor provisions, as such obligations may be amended or superseded, giving effect to any exemptive relief granted to us by the SEC.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pay dividends on or purchase our capital stock, including preferred stock, in each case other than dividends or purchases that would not cause a violation of Section 18(a)(1) (B) as modified by Section 61(a)(2) of the 1940 Act or any successor provisions, giving effect to Section 18(e) of the 1940 Act, other provisions of the 1940 Act, and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relief granted by the SEC to another BDC and upon which we may reasonably rely (or to us if we determine to seek such similar SEC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or other relief) permitting the BDC to declare any cash dividend or distribution notwithstanding the prohibition contained in Section 18(a)(1)(B) as modified by Section 61(a)(2) of the 1940 Act in order to maintain our status as a RIC under Subchapter M of the Code.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interim consolidated financial statements, within 45 days of our fiscal quarter end (other than our fourth fiscal quarter). All such financial statements will be prepared, in all material respects, in accordance with applicable U.S. generally accepted accounting principles (“GAAP”).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45"/>
        <w:gridCol w:w="9260"/>
      </w:tblGrid>
      <w:tr>
        <w:trPr/>
        <w:tc>
          <w:tcPr>
            <w:tcW w:w="94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Events of default </w:t>
            </w:r>
          </w:p>
        </w:tc>
        <w:tc>
          <w:tcPr>
            <w:tcW w:w="9260" w:type="dxa"/>
            <w:tcBorders/>
            <w:vAlign w:val="center"/>
          </w:tcPr>
          <w:p>
            <w:pPr>
              <w:pStyle w:val="TableContents"/>
              <w:bidi w:val="0"/>
              <w:spacing w:before="0" w:after="0"/>
              <w:jc w:val="left"/>
              <w:rPr/>
            </w:pPr>
            <w:r>
              <w:rPr/>
              <w:t>If an event of default (as described in the section titled “</w:t>
            </w:r>
          </w:p>
          <w:p>
            <w:pPr>
              <w:pStyle w:val="TableContents"/>
              <w:bidi w:val="0"/>
              <w:spacing w:before="0" w:after="0"/>
              <w:jc w:val="left"/>
              <w:rPr>
                <w:i/>
                <w:caps w:val="false"/>
                <w:smallCaps w:val="false"/>
                <w:spacing w:val="0"/>
              </w:rPr>
            </w:pPr>
            <w:r>
              <w:rPr>
                <w:i/>
                <w:caps w:val="false"/>
                <w:smallCaps w:val="false"/>
                <w:spacing w:val="0"/>
              </w:rPr>
              <w:t>Description of the Notes</w:t>
            </w:r>
          </w:p>
          <w:p>
            <w:pPr>
              <w:pStyle w:val="TableContents"/>
              <w:bidi w:val="0"/>
              <w:spacing w:before="0" w:after="0"/>
              <w:jc w:val="left"/>
              <w:rPr/>
            </w:pPr>
            <w:r>
              <w:rPr/>
              <w:t xml:space="preserve">” </w:t>
            </w:r>
            <w:r>
              <w:rPr/>
              <w:t xml:space="preserve">in this prospectus supplement) on the Notes occurs, the principal amount of the Notes, plus accrued and unpaid interest, may be declared immediately due and payable, subject to the conditions set forth in the indenture governing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9287" w:type="dxa"/>
            <w:tcBorders/>
            <w:vAlign w:val="center"/>
          </w:tcPr>
          <w:p>
            <w:pPr>
              <w:pStyle w:val="TableContents"/>
              <w:bidi w:val="0"/>
              <w:spacing w:before="0" w:after="0"/>
              <w:jc w:val="left"/>
              <w:rPr/>
            </w:pPr>
            <w:r>
              <w:rPr/>
              <w:t>We estimate that the net proceeds we receive from the sale of the Notes in this offering will be approximately $49.1 million, after deducting estimated offering expenses of approximately $0.9 million payable by us. We intend to use the net proceeds from this offering to repay an aggregate principal amount of $40.0 million of the LRFC 2026 Notes and to pay down other indebtedness. See “</w:t>
            </w:r>
          </w:p>
          <w:p>
            <w:pPr>
              <w:pStyle w:val="TableContents"/>
              <w:bidi w:val="0"/>
              <w:spacing w:before="0" w:after="0"/>
              <w:jc w:val="left"/>
              <w:rPr>
                <w:i/>
              </w:rPr>
            </w:pPr>
            <w:r>
              <w:rPr>
                <w:i/>
              </w:rPr>
              <w:t>Use of Proceeds</w:t>
            </w:r>
          </w:p>
          <w:p>
            <w:pPr>
              <w:pStyle w:val="TableContents"/>
              <w:bidi w:val="0"/>
              <w:spacing w:before="0" w:after="0"/>
              <w:jc w:val="left"/>
              <w:rPr/>
            </w:pPr>
            <w:r>
              <w:rPr/>
              <w:t xml:space="preserve">” </w:t>
            </w:r>
            <w:r>
              <w:rPr/>
              <w:t xml:space="preserve">on </w:t>
            </w:r>
          </w:p>
          <w:p>
            <w:pPr>
              <w:pStyle w:val="TableContents"/>
              <w:bidi w:val="0"/>
              <w:spacing w:before="0" w:after="0"/>
              <w:jc w:val="left"/>
              <w:rPr/>
            </w:pPr>
            <w:r>
              <w:rPr/>
              <w:t>page S-15</w:t>
            </w:r>
          </w:p>
          <w:p>
            <w:pPr>
              <w:pStyle w:val="TableContents"/>
              <w:bidi w:val="0"/>
              <w:spacing w:before="0" w:after="0"/>
              <w:jc w:val="left"/>
              <w:rPr/>
            </w:pPr>
            <w:r>
              <w:rPr/>
              <w:t xml:space="preserve">of this prospectus supplement.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73"/>
        <w:gridCol w:w="8632"/>
      </w:tblGrid>
      <w:tr>
        <w:trPr/>
        <w:tc>
          <w:tcPr>
            <w:tcW w:w="1573"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Global clearance and settlement procedures </w:t>
            </w:r>
          </w:p>
        </w:tc>
        <w:tc>
          <w:tcPr>
            <w:tcW w:w="8632" w:type="dxa"/>
            <w:tcBorders/>
            <w:vAlign w:val="center"/>
          </w:tcPr>
          <w:p>
            <w:pPr>
              <w:pStyle w:val="TableContents"/>
              <w:bidi w:val="0"/>
              <w:spacing w:before="0" w:after="0"/>
              <w:jc w:val="left"/>
              <w:rPr/>
            </w:pPr>
            <w:r>
              <w:rPr/>
              <w:t>Interests in the Notes will trade in DTC’s Same Day Funds Settlement</w:t>
            </w:r>
          </w:p>
          <w:p>
            <w:pPr>
              <w:pStyle w:val="TableContents"/>
              <w:bidi w:val="0"/>
              <w:spacing w:before="0" w:after="0"/>
              <w:jc w:val="left"/>
              <w:rPr/>
            </w:pPr>
            <w:r>
              <w:rPr/>
              <w:t>System</w:t>
            </w:r>
          </w:p>
          <w:p>
            <w:pPr>
              <w:pStyle w:val="TableContents"/>
              <w:bidi w:val="0"/>
              <w:spacing w:before="0" w:after="0"/>
              <w:jc w:val="left"/>
              <w:rPr/>
            </w:pPr>
            <w:r>
              <w:rPr/>
              <w:t xml:space="preserve">, and any permitted secondary market trading activity in such Notes will, therefore, be required by DTC to be settled in immediately available funds. None of the issuer, the trustee or the paying agent will have any responsibility for the performance by DTC or its Direct or Indirect Participants of their respective obligations under the rules and procedures governing their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02"/>
        <w:gridCol w:w="9003"/>
      </w:tblGrid>
      <w:tr>
        <w:trPr/>
        <w:tc>
          <w:tcPr>
            <w:tcW w:w="1202"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Governing law </w:t>
            </w:r>
          </w:p>
        </w:tc>
        <w:tc>
          <w:tcPr>
            <w:tcW w:w="9003" w:type="dxa"/>
            <w:tcBorders/>
            <w:vAlign w:val="center"/>
          </w:tcPr>
          <w:p>
            <w:pPr>
              <w:pStyle w:val="TableContents"/>
              <w:bidi w:val="0"/>
              <w:spacing w:before="0" w:after="283"/>
              <w:jc w:val="left"/>
              <w:rPr/>
            </w:pPr>
            <w:r>
              <w:rPr/>
              <w:t xml:space="preserve">The Notes and the indenture governing the Notes will be governed by and construed in accordance with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725" w:type="dxa"/>
        <w:jc w:val="left"/>
        <w:tblInd w:w="0" w:type="dxa"/>
        <w:tblLayout w:type="fixed"/>
        <w:tblCellMar>
          <w:top w:w="0" w:type="dxa"/>
          <w:left w:w="0" w:type="dxa"/>
          <w:bottom w:w="0" w:type="dxa"/>
          <w:right w:w="0" w:type="dxa"/>
        </w:tblCellMar>
      </w:tblPr>
      <w:tblGrid>
        <w:gridCol w:w="1085"/>
        <w:gridCol w:w="4640"/>
      </w:tblGrid>
      <w:tr>
        <w:trPr/>
        <w:tc>
          <w:tcPr>
            <w:tcW w:w="108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4640" w:type="dxa"/>
            <w:tcBorders/>
            <w:vAlign w:val="center"/>
          </w:tcPr>
          <w:p>
            <w:pPr>
              <w:pStyle w:val="TableContents"/>
              <w:bidi w:val="0"/>
              <w:spacing w:before="0" w:after="0"/>
              <w:jc w:val="left"/>
              <w:rPr/>
            </w:pPr>
            <w:r>
              <w:rPr/>
              <w:t>See “</w:t>
            </w:r>
          </w:p>
          <w:p>
            <w:pPr>
              <w:pStyle w:val="TableContents"/>
              <w:bidi w:val="0"/>
              <w:spacing w:before="0" w:after="0"/>
              <w:jc w:val="left"/>
              <w:rPr>
                <w:i/>
                <w:caps w:val="false"/>
                <w:smallCaps w:val="false"/>
                <w:spacing w:val="0"/>
              </w:rPr>
            </w:pPr>
            <w:r>
              <w:rPr>
                <w:i/>
                <w:caps w:val="false"/>
                <w:smallCaps w:val="false"/>
                <w:spacing w:val="0"/>
              </w:rPr>
              <w:t>Supplementary Risk Factors</w:t>
            </w:r>
          </w:p>
          <w:p>
            <w:pPr>
              <w:pStyle w:val="TableContents"/>
              <w:bidi w:val="0"/>
              <w:spacing w:before="0" w:after="0"/>
              <w:jc w:val="left"/>
              <w:rPr/>
            </w:pPr>
            <w:r>
              <w:rPr/>
              <w:t xml:space="preserve">” </w:t>
            </w:r>
            <w:r>
              <w:rPr/>
              <w:t xml:space="preserve">beginning on </w:t>
            </w:r>
          </w:p>
          <w:p>
            <w:pPr>
              <w:pStyle w:val="TableContents"/>
              <w:bidi w:val="0"/>
              <w:spacing w:before="0" w:after="0"/>
              <w:jc w:val="left"/>
              <w:rPr>
                <w:spacing w:val="0"/>
              </w:rPr>
            </w:pPr>
            <w:r>
              <w:rPr>
                <w:spacing w:val="0"/>
              </w:rPr>
              <w:t>page S-8</w:t>
            </w:r>
          </w:p>
          <w:p>
            <w:pPr>
              <w:pStyle w:val="TableContents"/>
              <w:bidi w:val="0"/>
              <w:spacing w:before="0" w:after="0"/>
              <w:jc w:val="left"/>
              <w:rPr/>
            </w:pPr>
            <w:r>
              <w:rPr/>
              <w:t>of this prospectus supplement, “</w:t>
            </w:r>
          </w:p>
          <w:p>
            <w:pPr>
              <w:pStyle w:val="TableContents"/>
              <w:bidi w:val="0"/>
              <w:spacing w:before="0" w:after="0"/>
              <w:jc w:val="left"/>
              <w:rPr>
                <w:i/>
                <w:caps w:val="false"/>
                <w:smallCaps w:val="false"/>
                <w:spacing w:val="0"/>
              </w:rPr>
            </w:pPr>
            <w:r>
              <w:rPr>
                <w:i/>
                <w:caps w:val="false"/>
                <w:smallCaps w:val="false"/>
                <w:spacing w:val="0"/>
              </w:rPr>
              <w:t xml:space="preserve">Risk Factors” </w:t>
            </w:r>
          </w:p>
          <w:p>
            <w:pPr>
              <w:pStyle w:val="TableContents"/>
              <w:bidi w:val="0"/>
              <w:spacing w:before="0" w:after="0"/>
              <w:jc w:val="left"/>
              <w:rPr/>
            </w:pPr>
            <w:r>
              <w:rPr/>
              <w:t>on page 7 of the accompanying prospectus and “</w:t>
            </w:r>
          </w:p>
          <w:p>
            <w:pPr>
              <w:pStyle w:val="TableContents"/>
              <w:bidi w:val="0"/>
              <w:spacing w:before="0" w:after="0"/>
              <w:jc w:val="left"/>
              <w:rPr>
                <w:i/>
                <w:caps w:val="false"/>
                <w:smallCaps w:val="false"/>
                <w:spacing w:val="0"/>
              </w:rPr>
            </w:pPr>
            <w:r>
              <w:rPr>
                <w:i/>
                <w:caps w:val="false"/>
                <w:smallCaps w:val="false"/>
                <w:spacing w:val="0"/>
              </w:rPr>
              <w:t>Risk Factors</w:t>
            </w:r>
          </w:p>
          <w:p>
            <w:pPr>
              <w:pStyle w:val="TableContents"/>
              <w:bidi w:val="0"/>
              <w:spacing w:before="0" w:after="0"/>
              <w:jc w:val="left"/>
              <w:rPr/>
            </w:pPr>
            <w:r>
              <w:rPr/>
              <w:t xml:space="preserve">” </w:t>
            </w:r>
            <w:r>
              <w:rPr/>
              <w:t xml:space="preserve">in our most recent Annual Report on Form </w:t>
            </w:r>
          </w:p>
          <w:p>
            <w:pPr>
              <w:pStyle w:val="TableContents"/>
              <w:bidi w:val="0"/>
              <w:spacing w:before="0" w:after="0"/>
              <w:jc w:val="left"/>
              <w:rPr>
                <w:spacing w:val="0"/>
              </w:rPr>
            </w:pPr>
            <w:r>
              <w:rPr>
                <w:spacing w:val="0"/>
              </w:rPr>
              <w:t>10-K</w:t>
            </w:r>
          </w:p>
          <w:p>
            <w:pPr>
              <w:pStyle w:val="TableContents"/>
              <w:bidi w:val="0"/>
              <w:spacing w:before="0" w:after="0"/>
              <w:jc w:val="left"/>
              <w:rPr/>
            </w:pPr>
            <w:r>
              <w:rPr/>
              <w:t xml:space="preserve">as well as in any subsequent SEC filings.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Investing in the Notes involves a number of significant risks. You should carefully consider the risks described below, together with all of the risks and uncertainties described in the section titled “Risk Factors” in the accompanying prospectus and our most recent Annual Report on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10-K,</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as well as in subsequent filings with the SEC, which are or will be incorporated by reference into this prospectus supplement and the accompanying prospectus in their entirety, and other information in this prospectus supplement, the accompanying prospectus, the information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“Note About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The Notes will be unsecured and therefore will be effectively subordinated to any secured indebtedness we have currently incurred or may incur in the future and will rank</w:t>
      </w: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pari passu</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with, or equal to, all outstanding and future unsecured indebtedness issued by us and our general liabilities (total liabilities, less debt). </w:t>
      </w:r>
    </w:p>
    <w:p>
      <w:pPr>
        <w:pStyle w:val="TextBody"/>
        <w:bidi w:val="0"/>
        <w:spacing w:before="120" w:after="0"/>
        <w:jc w:val="left"/>
        <w:rPr>
          <w:rFonts w:ascii="Times New Roman" w:hAnsi="Times New Roman"/>
          <w:sz w:val="20"/>
        </w:rPr>
      </w:pPr>
      <w:r>
        <w:rPr>
          <w:rFonts w:ascii="Times New Roman" w:hAnsi="Times New Roman"/>
          <w:sz w:val="20"/>
        </w:rPr>
        <w:t>The Notes will not be secured by any of our assets or any of the assets of any of our subsidiaries. As a result, the Notes will be effectively subordinated to any secured indebtedness we or our subsidiaries have outstanding as of the date of this prospectus supplement (including under our Credit Facility and KeyBank Credit Facility) or that we or our subsidiaries may incur in the future (or any indebtedness that is initially unsecured as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In addition, the Notes will rank</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pari passu </w:t>
      </w:r>
    </w:p>
    <w:p>
      <w:pPr>
        <w:pStyle w:val="TextBody"/>
        <w:bidi w:val="0"/>
        <w:spacing w:before="120" w:after="0"/>
        <w:jc w:val="left"/>
        <w:rPr>
          <w:rFonts w:ascii="Times New Roman" w:hAnsi="Times New Roman"/>
          <w:sz w:val="20"/>
        </w:rPr>
      </w:pPr>
      <w:r>
        <w:rPr>
          <w:rFonts w:ascii="Times New Roman" w:hAnsi="Times New Roman"/>
          <w:sz w:val="20"/>
        </w:rPr>
        <w:t xml:space="preserve">with, or equal to, all outstanding and future unsecured, unsubordinated indebtedness issued by us and our general liabilities (total liabilities, less debt). As of December 31, 2025, we had $107.6 million in outstanding borrowings under our Credit Facility and $42.7 million in outstanding borrowings under our KeyBank Credit Facility. The indebtedness under both the Credit Facility and KeyBank Credit Facility is effectively senior to the Notes to the extent of the value of the assets securing such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will be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BCP Investment Corporation, and not of any of our subsidiaries. None of our subsidiaries will be a guarantor of the Notes, and the Notes will not be required to be guaranteed by any subsidiary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will be structurally subordinated to all indebtedness and other liabilities, including trade payables, of any of our existing or future subsidiaries. As of December 31, 2025, our subsidiaries had total indebtedness outstanding of $150.3 million. In the future, our subsidiaries may incur substantial additional indebtedness, all of which is and would be structurally senior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indenture under which the Notes will be issued contains limited protection for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of the 1940 Act as modified by Section 61(a)(1) and (2) of the 1940 Act or any successor provisions, whether or not we continue to be subject to such provisions of the 1940 Act, but giving effect, in either case, to any exemptive relief granted to us by the SEC, which generally prohibit us from incurring additional indebtedness, including through the issuance of additional debt securities, unless our asset coverage, as defined in the 1940 Act, equals at least 150% after such incurrence or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our capital stock, including preferred stock, in each case other than dividends or purchases that would not cause a violation of Section 18(a)(1)(B) as modified by Section 61(a)(2) of the 1940 Act or any successor provisions, giving effect to Section 18(e) of the 1940 Act, other provisions of the 1940 Act, and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relief granted by the SEC to another BDC and upon which we may reasonably rely (or to us if we determine to seek such similar SEC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or other relief) permitting the BDC to declare any cash dividend or distribution notwithstanding the prohibition contained in Section 18(a)(1)(B) as modified by Section 61(a)(2) of the 1940 Act in order to maintain our status as a RIC under Subchapter M of the Code;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terms of the indenture and the Notes do not protect holders of the Notes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recapitalize, incur additional debt (including additional debt that matures prior to the maturity of the Notes) and take a number of other actions that are not limited by the terms of the Notes may have important consequences for you as a holder of the Notes, including making it more difficult for us to satisfy our obligations with respect to the Notes or negatively affecting the market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Other debt we issue or incur in the future could contain more protections for its holders than the indenture and the Notes, including additional covenants and events of default. The issuance or incurrence of any such debt with incremental protections could affect the market for, trading levels, and prices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There is no active trading market for the Notes. If an active trading market does not develop for the Notes, you may not be able to sell them.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debt securities for which there currently is no trading market. We do not intend to list the Notes on any securities exchange or for quotation of the Notes on any automated dealer quotation system. If the Notes are traded after their initial issuance, they may trade at a discount to their initial offering price depending on prevailing interest rates, the market for similar securities, our credit ratings, our financial condition, performance and prospects, general economic conditions or other relevant factors. Accordingly, we cannot assure you that a liquid trading market will develop or be maintained for the Notes, that you will be able to sell your Notes at a particular time or that the price you receive when you sell will be favorable. To the extent an active trading market does not develop, the liquidity and market price for the Notes may be harmed. Accordingly, you may be required to bear the financial risk of an investment in the Notes for an indefinite period of time. </w:t>
      </w:r>
    </w:p>
    <w:p>
      <w:pPr>
        <w:pStyle w:val="TextBody"/>
        <w:bidi w:val="0"/>
        <w:spacing w:before="360" w:after="0"/>
        <w:jc w:val="left"/>
        <w:rPr>
          <w:rFonts w:ascii="Times New Roman" w:hAnsi="Times New Roman"/>
          <w:b/>
          <w:sz w:val="20"/>
        </w:rPr>
      </w:pPr>
      <w:r>
        <w:rPr>
          <w:rFonts w:ascii="Times New Roman" w:hAnsi="Times New Roman"/>
          <w:b/>
          <w:sz w:val="20"/>
        </w:rPr>
        <w:t xml:space="preserve">If we default on our obligations to pay our other indebtedness, we may not be able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the Credit Facility, the KeyBank Credit Facility, the indentures governing the 2028 Notes, the 2030 Notes, the LRFC 2026 Notes or the 2032 Convertible Notes, as applicable, or other indebtedness to which we may be a party, that is not waived by the required lenders or holders, and the remedies sought by the lenders or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Credit Facility, KeyBank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refinance or restructure our debt, including the Notes, sell assets, reduce or delay capital investments, seek to raise additional capital or seek to obtain waivers from the required lenders under the Credit Facility, KeyBank Credit Facility or other debt that we may incur in the future to avoid being in default. If we are unable to implement one or more of these alternatives, we may not be able to meet our payment obligations under the Notes or our other debt. If we breach our covenants under the Credit Facility, KeyBank Credit Facility or our other debt and seek a waiver, we may not be able to obtain a waiver from the required lenders or holders thereof. If this occurs, we would be in default under the Credit Facility, KeyBank Credit Facility or other debt, the lenders or holders could exercise their rights as described above, and we could be forced into bankruptcy or liquidation. If we are unable to repay debt, lenders having secured obligations, including the lenders under the Credit Facility and KeyBank Credit Facility, could proceed against the collateral securing the debt. Because each of the Credit Facility, the KeyBank Credit Facility and the indentures governing the 2028 Notes, the 2030 Notes, the LRFC 2026 Notes and the 2032 Convertible Notes, as applicable, have, the indenture governing the Notes will have, and any future credit facilities will likely have, customary cross-default provisions, if the indebtedness under the Notes, the 2028 Notes, the 2030 Notes, the LRFC 2026 Notes, the 2032 Convertible Notes, the Credit Facility, the KeyBank Credit Facility or under any future credit facility is accelerated, we may be unable to repay or finance the amounts due. </w:t>
      </w:r>
    </w:p>
    <w:p>
      <w:pPr>
        <w:pStyle w:val="TextBody"/>
        <w:bidi w:val="0"/>
        <w:spacing w:before="360" w:after="0"/>
        <w:jc w:val="left"/>
        <w:rPr>
          <w:rFonts w:ascii="Times New Roman" w:hAnsi="Times New Roman"/>
          <w:b/>
          <w:sz w:val="20"/>
        </w:rPr>
      </w:pPr>
      <w:r>
        <w:rPr>
          <w:rFonts w:ascii="Times New Roman" w:hAnsi="Times New Roman"/>
          <w:b/>
          <w:sz w:val="20"/>
        </w:rPr>
        <w:t xml:space="preserve">We may choose to redeem the Notes when prevailing interest rates are relatively low. </w:t>
      </w:r>
    </w:p>
    <w:p>
      <w:pPr>
        <w:pStyle w:val="TextBody"/>
        <w:bidi w:val="0"/>
        <w:spacing w:before="120" w:after="0"/>
        <w:jc w:val="left"/>
        <w:rPr>
          <w:rFonts w:ascii="Times New Roman" w:hAnsi="Times New Roman"/>
          <w:sz w:val="20"/>
        </w:rPr>
      </w:pPr>
      <w:r>
        <w:rPr>
          <w:rFonts w:ascii="Times New Roman" w:hAnsi="Times New Roman"/>
          <w:sz w:val="20"/>
        </w:rPr>
        <w:t xml:space="preserve">The Notes are redeemable in whole or in part upon certain conditions at any time or from time to time at our option. We may choose to redeem the Notes from time to time, especially if prevailing interest rates are lower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the rate borne by the Notes. If prevailing rates are lower at the time of redemption, and we redeem the Notes, you likely would not be able to reinvest the redemption proceeds in a comparable security at an effective interest rate as high as the interest rate on the Notes being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We may not have the ability to raise the funds necessary to finance a change of control offer required by the terms of our existing notes, and we are not required to make a change of control offer in respect of the Notes offered hereby.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certain change of control transactions, a default could occur in respect of the Credit Facility or the KeyBank Credit Facility, and when such change of control transaction is accompanied by a decline in the rating of the LRFC 2026 Notes, the 2028 Notes, the 2030 Notes or the 2032 Convertible Notes, we may be required to make an offer to purchase such notes (but not the Notes offered hereby) at the purchase prices set forth in the indentures governing such notes, plus accrued and unpaid interest to the date of purchase. If such a change of control triggering event were to occur, we cannot assure you that we would have sufficient funds to pay the purchase price for our existing notes tendered and we are not required to make a change of control offer in respect of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terms of our Credit Facility and KeyBank Credit Facility provide that certain change of control events will constitute an event of default thereunder entitling the lenders to accelerate any indebtedness outstanding under our Credit Facility or KeyBank Credit Facility at that time and to terminate the Credit Facility or KeyBank Credit Facility, as applicable. In addition, the occurrence of a change of control triggering event enabling the holders of our existing notes to require the mandatory purchase of the notes would likely constitute an event of default under our Credit Facility or KeyBank Credit Facility, entitling the lenders to accelerate any indebtedness outstanding under our Credit Facility or KeyBank Credit Facility at that time and to terminate the Credit Facility or KeyBank Credit Facility, as applicable. Our and our subsidiaries’ future financing facilities may contain similar provisions or other restrictions. Our failure to purchase such tendered notes upon the occurrence of such change of control triggering event would cause an event of default under the indenture governing such notes and a cross-default under the agreements governing certain of our other indebtedness, including under the indentures governing the LRFC 2026 Notes, 2028 Notes, 2030 Notes and 2032 Convertible Notes, as applicable, and agreements governing the Credit Facility and KeyBank Credit Facility, as applicable, which may result in the acceleration of such indebtedness requiring us to repay that indebtedness immediately. If the holders of the LRFC 2026 Notes, the 2028 Notes, the 2030 Notes or the 2032 Convertible Notes exercise their respective right to require us to repurchase any such notes upon a change of control triggering event (as defined in the relevant indenture), the financial effect of any such repurchase could cause a default under our future debt instruments, even if the change of control triggering event itself would not cause a default. It is possible that we will not have sufficient funds at the time of the change of control triggering event to make the required repurchase of our existing notes and/or our other debt. </w:t>
      </w:r>
    </w:p>
    <w:p>
      <w:pPr>
        <w:pStyle w:val="TextBody"/>
        <w:bidi w:val="0"/>
        <w:spacing w:before="360" w:after="0"/>
        <w:jc w:val="left"/>
        <w:rPr>
          <w:rFonts w:ascii="Times New Roman" w:hAnsi="Times New Roman"/>
          <w:b/>
          <w:sz w:val="20"/>
        </w:rPr>
      </w:pPr>
      <w:r>
        <w:rPr>
          <w:rFonts w:ascii="Times New Roman" w:hAnsi="Times New Roman"/>
          <w:b/>
          <w:sz w:val="20"/>
        </w:rPr>
        <w:t xml:space="preserve">A downgrade, suspension or withdrawal of the credit rating assigned by the Rating Agency to us or the Notes, if any, or change in the debt markets could cause the liquidity or market value of the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We undertake to use commercially reasonable efforts to maintain our credit ratings and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our Company, so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An increase in market interest rates could result in a decrease in the market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conditions of the financial markets and prevailing interest rates have fluctuated in the past and are likely to fluctuate in the future, which could have an adverse effect on the market prices of the Notes. In general, as market interest rates rise, debt securities bearing interest at fixed rates of interest decline in value. Consequently, if you purchase Notes bearing interest at fixed rates and market interest rates increase, the market values of those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 ABOUT FORWARD-LOOKING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Information included or incorporated by reference in this prospectus supplement, the accompanying prospectus and in any free writing prospectus relating to this offering of the Notes may contain “forward-looking statements.” The matters discussed in this prospectus supplement, the accompanying prospectus, and in any free writing prospectus relating to this offering of Notes, as well as in future oral and written statements by management of BCP Investment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prospectus supplement, the accompanying prospectus, and in any free writing prospectus relating to this offering of Notes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existing and prospective portfolio companies;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return or impact of current and future investments;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other relationships with third parties;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ability of our existing and prospective portfolio companies to achieve their objectives;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financings and investments;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BDC under the 1940 Act and a RIC under Subchapter M of the Code, including the impact of changes in laws or regulations governing our operations or the operations of our portfolio companies;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available liquidity, cash resources and working capital;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Adviser to locate suitable investments for us to monitor and administer our investments;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Adviser to attract and retain highly talented professionals;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and potential conflicts of interest with the Adviser and its affiliates;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legal, tax, and regulatory changes on us and our portfolio companies;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fluctuations in interest rates on our business;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p>
    <w:p>
      <w:pPr>
        <w:pStyle w:val="HorizontalLine"/>
        <w:pBdr>
          <w:bottom w:val="double" w:sz="2" w:space="0" w:color="808080"/>
        </w:pBdr>
        <w:bidi w:val="0"/>
        <w:spacing w:before="0" w:after="283"/>
        <w:jc w:val="left"/>
        <w:rPr/>
      </w:pPr>
      <w:r>
        <w:rPr/>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our ability to access additional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and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certain mergers diverting management’s attention from ongoing business operations. </w:t>
            </w:r>
          </w:p>
        </w:tc>
      </w:tr>
    </w:tbl>
    <w:p>
      <w:pPr>
        <w:pStyle w:val="TextBody"/>
        <w:bidi w:val="0"/>
        <w:spacing w:before="240" w:after="0"/>
        <w:jc w:val="left"/>
        <w:rPr>
          <w:rFonts w:ascii="Times New Roman" w:hAnsi="Times New Roman"/>
          <w:sz w:val="20"/>
        </w:rPr>
      </w:pPr>
      <w:r>
        <w:rPr>
          <w:rFonts w:ascii="Times New Roman" w:hAnsi="Times New Roman"/>
          <w:sz w:val="20"/>
        </w:rPr>
        <w:t>For a more detailed discussion of factors that could cause our actual results to differ from forward-looking statements contained in this prospectus supplement, the accompanying prospectus, and in any free writing prospectus relating to this offering of Notes, please see the discussion in Part I,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Item 1A. Risk Factors</w:t>
      </w:r>
    </w:p>
    <w:p>
      <w:pPr>
        <w:pStyle w:val="TextBody"/>
        <w:bidi w:val="0"/>
        <w:spacing w:before="240" w:after="0"/>
        <w:jc w:val="left"/>
        <w:rPr/>
      </w:pPr>
      <w:r>
        <w:rPr/>
        <w:t xml:space="preserve">” </w:t>
      </w:r>
      <w:r>
        <w:rPr>
          <w:rFonts w:ascii="Times New Roman" w:hAnsi="Times New Roman"/>
          <w:sz w:val="20"/>
        </w:rPr>
        <w:t xml:space="preserve">in our most recent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The forward-looking statements made in this prospectus supplement, the </w:t>
      </w:r>
    </w:p>
    <w:p>
      <w:pPr>
        <w:pStyle w:val="TextBody"/>
        <w:bidi w:val="0"/>
        <w:spacing w:before="240" w:after="0"/>
        <w:jc w:val="left"/>
        <w:rPr>
          <w:rFonts w:ascii="Times New Roman" w:hAnsi="Times New Roman"/>
          <w:sz w:val="20"/>
        </w:rPr>
      </w:pPr>
      <w:r>
        <w:rPr>
          <w:rFonts w:ascii="Times New Roman" w:hAnsi="Times New Roman"/>
          <w:sz w:val="20"/>
        </w:rPr>
        <w:t>accompanying</w:t>
      </w:r>
    </w:p>
    <w:p>
      <w:pPr>
        <w:pStyle w:val="TextBody"/>
        <w:bidi w:val="0"/>
        <w:spacing w:before="240" w:after="0"/>
        <w:jc w:val="left"/>
        <w:rPr>
          <w:rFonts w:ascii="Times New Roman" w:hAnsi="Times New Roman"/>
          <w:sz w:val="20"/>
        </w:rPr>
      </w:pPr>
      <w:r>
        <w:rPr>
          <w:rFonts w:ascii="Times New Roman" w:hAnsi="Times New Roman"/>
          <w:sz w:val="20"/>
        </w:rPr>
        <w:t xml:space="preserve">prospectus, and in any free writing prospectus relating to this offering of Notes relate only to events as of the date on which the statements are made. We undertake no obligation to update any forward-looking statement to reflect events or circumstances occurring after the date this prospectus supplement is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we receive from the sale of the Notes in this offering will be $49.1 million, after deducting estimated offering expenses of approximately $0.9 million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 repay an aggregate principal amount of $40.0 million of the LRFC 2026 Notes and to pay down other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CAPITALIZATION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December 31, 2025: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10"/>
        <w:gridCol w:w="60"/>
        <w:gridCol w:w="1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an </w:t>
            </w:r>
          </w:p>
          <w:p>
            <w:pPr>
              <w:pStyle w:val="TableContents"/>
              <w:bidi w:val="0"/>
              <w:spacing w:before="0" w:after="0"/>
              <w:jc w:val="left"/>
              <w:rPr>
                <w:rFonts w:ascii="Times New Roman" w:hAnsi="Times New Roman"/>
                <w:sz w:val="20"/>
              </w:rPr>
            </w:pPr>
            <w:r>
              <w:rPr>
                <w:rFonts w:ascii="Times New Roman" w:hAnsi="Times New Roman"/>
                <w:sz w:val="20"/>
              </w:rPr>
              <w:t>as-adjusted</w:t>
            </w:r>
          </w:p>
          <w:p>
            <w:pPr>
              <w:pStyle w:val="TableContents"/>
              <w:bidi w:val="0"/>
              <w:spacing w:before="0" w:after="0"/>
              <w:jc w:val="left"/>
              <w:rPr>
                <w:rFonts w:ascii="Times New Roman" w:hAnsi="Times New Roman"/>
                <w:sz w:val="20"/>
              </w:rPr>
            </w:pPr>
            <w:r>
              <w:rPr>
                <w:rFonts w:ascii="Times New Roman" w:hAnsi="Times New Roman"/>
                <w:sz w:val="20"/>
              </w:rPr>
              <w:t>basis to give effect to the offering of the Notes in an aggregate principal amount of $50,000,000, and the application of the estimated net proceeds therefrom, after deducting the estimated offering expenses of approximately $0.9 million payable by us. See “</w:t>
            </w:r>
          </w:p>
          <w:p>
            <w:pPr>
              <w:pStyle w:val="TableContents"/>
              <w:bidi w:val="0"/>
              <w:spacing w:before="0" w:after="0"/>
              <w:jc w:val="left"/>
              <w:rPr>
                <w:rFonts w:ascii="Times New Roman" w:hAnsi="Times New Roman"/>
                <w:i/>
                <w:sz w:val="20"/>
              </w:rPr>
            </w:pPr>
            <w:r>
              <w:rPr>
                <w:rFonts w:ascii="Times New Roman" w:hAnsi="Times New Roman"/>
                <w:i/>
                <w:sz w:val="20"/>
              </w:rPr>
              <w:t>Use of Proceeds</w:t>
            </w:r>
          </w:p>
          <w:p>
            <w:pPr>
              <w:pStyle w:val="TableContents"/>
              <w:bidi w:val="0"/>
              <w:spacing w:before="0" w:after="0"/>
              <w:jc w:val="left"/>
              <w:rPr/>
            </w:pPr>
            <w:r>
              <w:rPr/>
              <w:t xml:space="preserve">” </w:t>
            </w:r>
            <w:r>
              <w:rPr>
                <w:rFonts w:ascii="Times New Roman" w:hAnsi="Times New Roman"/>
                <w:sz w:val="20"/>
              </w:rPr>
              <w:t xml:space="preserve">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ease of presentation, the table below groups the Company’s 2028 Notes, 2030 Notes and LRFC 2026 Notes as “Unsecured Notes (2026 – 2030)” and groups the Company’s Credit Facility and the KeyBank Credit Facility as “Revolving Credit Facilities.” </w:t>
      </w:r>
    </w:p>
    <w:p>
      <w:pPr>
        <w:pStyle w:val="TextBody"/>
        <w:bidi w:val="0"/>
        <w:spacing w:before="0" w:after="0"/>
        <w:jc w:val="left"/>
        <w:rPr/>
      </w:pPr>
      <w:r>
        <w:rPr/>
        <w:t> </w:t>
      </w:r>
    </w:p>
    <w:tbl>
      <w:tblPr>
        <w:tblW w:w="10140" w:type="dxa"/>
        <w:jc w:val="left"/>
        <w:tblInd w:w="0" w:type="dxa"/>
        <w:tblLayout w:type="fixed"/>
        <w:tblCellMar>
          <w:top w:w="0" w:type="dxa"/>
          <w:left w:w="0" w:type="dxa"/>
          <w:bottom w:w="0" w:type="dxa"/>
          <w:right w:w="0" w:type="dxa"/>
        </w:tblCellMar>
      </w:tblPr>
      <w:tblGrid>
        <w:gridCol w:w="4940"/>
        <w:gridCol w:w="120"/>
        <w:gridCol w:w="140"/>
        <w:gridCol w:w="1100"/>
        <w:gridCol w:w="60"/>
        <w:gridCol w:w="120"/>
        <w:gridCol w:w="223"/>
        <w:gridCol w:w="1087"/>
        <w:gridCol w:w="155"/>
        <w:gridCol w:w="60"/>
        <w:gridCol w:w="232"/>
        <w:gridCol w:w="1828"/>
        <w:gridCol w:w="75"/>
      </w:tblGrid>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5" w:type="dxa"/>
            <w:gridSpan w:val="10"/>
            <w:tcBorders/>
            <w:vAlign w:val="center"/>
          </w:tcPr>
          <w:p>
            <w:pPr>
              <w:pStyle w:val="TableContents"/>
              <w:bidi w:val="0"/>
              <w:spacing w:before="0" w:after="0"/>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i/>
              </w:rPr>
            </w:pPr>
            <w:r>
              <w:rPr>
                <w:i/>
              </w:rPr>
              <w:t>(in thousands, except share and per share amounts)</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rPr>
            </w:pPr>
            <w:r>
              <w:rPr>
                <w:b/>
              </w:rPr>
              <w:t>Actual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0"/>
              <w:jc w:val="center"/>
              <w:rPr>
                <w:b/>
              </w:rPr>
            </w:pPr>
            <w:r>
              <w:rPr>
                <w:b/>
              </w:rP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0"/>
              <w:jc w:val="center"/>
              <w:rPr>
                <w:b/>
              </w:rPr>
            </w:pPr>
            <w:r>
              <w:rPr>
                <w:b/>
              </w:rPr>
              <w:t>As Adjusted for this</w:t>
              <w:br/>
              <w:t>offering of Notes</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(866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2,855</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less amortized debt issuance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Revolving Credit Facilities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148,569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10,000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138,569</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Unsecured Notes (2026 – 2030)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156,414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39,750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116,664</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2032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1,898</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 offered hereby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49,134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49,134</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assets attributable to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209,156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208,906</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148,370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148,370</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12,541,858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828" w:type="dxa"/>
            <w:tcBorders/>
            <w:shd w:fill="CCEEFF" w:val="clear"/>
            <w:vAlign w:val="center"/>
          </w:tcPr>
          <w:p>
            <w:pPr>
              <w:pStyle w:val="TableContents"/>
              <w:bidi w:val="0"/>
              <w:spacing w:before="0" w:after="283"/>
              <w:jc w:val="right"/>
              <w:rPr/>
            </w:pPr>
            <w:r>
              <w:rPr/>
              <w:t>12,541,858</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NAV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16.66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THE NOTES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will issue the Notes under the base indenture dated as of October 10, 2012, a sixth supplemental indenture thereto, to be entered into between us and U.S. Bank Trust Company, National Association, as trustee. We refer to the indenture and the sixth supplemental indenture collectively as the “indenture” and to U.S. Bank Trust Company, National Association as the “trustee.” The Notes are governed by the indenture, as required by federal law for all bonds and notes of companies that are publicly offered. An indenture is a contract between us and the financial institution acting as trustee on your behalf, and is subject to and governed by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otherwise defined herein will have the meanings given to them in the Notes or the indenture, as applicable. </w:t>
      </w:r>
    </w:p>
    <w:p>
      <w:pPr>
        <w:pStyle w:val="TextBody"/>
        <w:bidi w:val="0"/>
        <w:spacing w:before="240" w:after="0"/>
        <w:jc w:val="left"/>
        <w:rPr>
          <w:rFonts w:ascii="Times New Roman" w:hAnsi="Times New Roman"/>
          <w:sz w:val="20"/>
        </w:rPr>
      </w:pPr>
      <w:r>
        <w:rPr>
          <w:rFonts w:ascii="Times New Roman" w:hAnsi="Times New Roman"/>
          <w:sz w:val="20"/>
        </w:rPr>
        <w:t>The registered holder of a Note will be treated as the owner of it for all purposes. Only registered holders will have rights under the indenture.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 Information</w:t>
      </w:r>
    </w:p>
    <w:p>
      <w:pPr>
        <w:pStyle w:val="TextBody"/>
        <w:bidi w:val="0"/>
        <w:spacing w:before="240" w:after="0"/>
        <w:jc w:val="left"/>
        <w:rPr/>
      </w:pPr>
      <w:r>
        <w:rPr/>
        <w:t xml:space="preserve">” </w:t>
      </w:r>
      <w:r>
        <w:rPr>
          <w:rFonts w:ascii="Times New Roman" w:hAnsi="Times New Roman"/>
          <w:sz w:val="20"/>
        </w:rPr>
        <w:t xml:space="preserve">in the accompanying prospectus for information on how to obtain a copy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general senior unsecured obligations ranking equally in right of payment with all of our other senior unsecured indebtedness from time to time outstanding. The Notes will mature on September 24, 2029, unless previously redeemed or repurchased </w:t>
      </w:r>
    </w:p>
    <w:p>
      <w:pPr>
        <w:pStyle w:val="TextBody"/>
        <w:bidi w:val="0"/>
        <w:spacing w:before="120" w:after="0"/>
        <w:jc w:val="left"/>
        <w:rPr>
          <w:rFonts w:ascii="Times New Roman" w:hAnsi="Times New Roman"/>
          <w:sz w:val="20"/>
        </w:rPr>
      </w:pPr>
      <w:r>
        <w:rPr>
          <w:rFonts w:ascii="Times New Roman" w:hAnsi="Times New Roman"/>
          <w:sz w:val="20"/>
        </w:rPr>
        <w:t>in</w:t>
      </w:r>
    </w:p>
    <w:p>
      <w:pPr>
        <w:pStyle w:val="TextBody"/>
        <w:bidi w:val="0"/>
        <w:spacing w:before="120" w:after="0"/>
        <w:jc w:val="left"/>
        <w:rPr>
          <w:rFonts w:ascii="Times New Roman" w:hAnsi="Times New Roman"/>
          <w:sz w:val="20"/>
        </w:rPr>
      </w:pPr>
      <w:r>
        <w:rPr>
          <w:rFonts w:ascii="Times New Roman" w:hAnsi="Times New Roman"/>
          <w:sz w:val="20"/>
        </w:rPr>
        <w:t>full by us as provided below under “</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Optional Redemption</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bear cash interest at the rate of 7.50% per annum from March 24, 2026, to the stated maturity or date of earlier redemption. Interest on the Notes will be payable semi-annually in arrears on each April 30 and October 30, commencing April 30, 2026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April 15 and October 15 (whether or not a business day),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360-day</w:t>
      </w:r>
    </w:p>
    <w:p>
      <w:pPr>
        <w:pStyle w:val="TextBody"/>
        <w:bidi w:val="0"/>
        <w:spacing w:before="240" w:after="0"/>
        <w:jc w:val="left"/>
        <w:rPr>
          <w:rFonts w:ascii="Times New Roman" w:hAnsi="Times New Roman"/>
          <w:sz w:val="20"/>
        </w:rPr>
      </w:pPr>
      <w:r>
        <w:rPr>
          <w:rFonts w:ascii="Times New Roman" w:hAnsi="Times New Roman"/>
          <w:sz w:val="20"/>
        </w:rPr>
        <w:t xml:space="preserve">year comprised of twelve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or the stated maturity date or date of early redemption of the Notes, as applicable,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any such case,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under the indenture with the same ranking and the same interest rate, maturity and other terms as the Notes of a series; provided that, if such Additional Notes are not 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fully registered form without coupons in minimum denominations of $1,000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subject to any sinking fund (i.e., no amounts will be set aside by us to ensure repayment of the Notes at maturity). As a result, our ability to repay the Notes at maturity will depend on our financial condition on the date that we are required to repay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any time, or from time to time. If we choose to redeem any Notes prior to maturity, we will pay a redemption price equal to the greater of the following amounts, plus, in each case, accrued and unpaid interest to the redemption date: </w:t>
      </w:r>
    </w:p>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the present values of the remaining scheduled payments of principal and interest (exclusive of accrued and unpaid interest to the date of redemption) on the Notes to be redeemed (assuming the Notes matured on the Par Call Date) discounted to the redemption date on a semi-annual basis (assuming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360-day</w:t>
            </w:r>
          </w:p>
          <w:p>
            <w:pPr>
              <w:pStyle w:val="TableContents"/>
              <w:bidi w:val="0"/>
              <w:spacing w:before="0" w:after="0"/>
              <w:jc w:val="left"/>
              <w:rPr>
                <w:rFonts w:ascii="Times New Roman" w:hAnsi="Times New Roman"/>
                <w:sz w:val="20"/>
              </w:rPr>
            </w:pPr>
            <w:r>
              <w:rPr>
                <w:rFonts w:ascii="Times New Roman" w:hAnsi="Times New Roman"/>
                <w:sz w:val="20"/>
              </w:rPr>
              <w:t xml:space="preserve">year consisting of twelve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30-day</w:t>
            </w:r>
          </w:p>
          <w:p>
            <w:pPr>
              <w:pStyle w:val="TableContents"/>
              <w:bidi w:val="0"/>
              <w:spacing w:before="0" w:after="0"/>
              <w:jc w:val="left"/>
              <w:rPr>
                <w:rFonts w:ascii="Times New Roman" w:hAnsi="Times New Roman"/>
                <w:sz w:val="20"/>
              </w:rPr>
            </w:pPr>
            <w:r>
              <w:rPr>
                <w:rFonts w:ascii="Times New Roman" w:hAnsi="Times New Roman"/>
                <w:sz w:val="20"/>
              </w:rPr>
              <w:t xml:space="preserve">months) using the applicable Treasury Rate plus 50 basis points.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on or after the Par Call Date, we may redeem some or all of the Notes at any time, or from time to time, at a redemption price equal to 100% of the principal amount of the Notes to be redeemed plus, in each case,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we choose to redeem any Notes, we will deliver a notice of redemption to holders of such Notes to be redeemed not less than 30 nor more than 60 days before the redemption date. If we are redeeming less than all of the Notes, the particular Notes to be redeemed will be selected in accordance with the applicable procedures of the trustee and, so long as the Notes are registered to DTC or its nominee; provided, however, that no such partial redemption will reduce the portion of the principal amount of a Note not redeemed to less than $1,000. Unless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default in payment of the redemption price, on and after the redemption date, interest will cease to accrue on the Notes or portions of the Notes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redemption price in connection with the redemption of the Notes on any redemption date, the following terms have the meanings set forth below: </w:t>
      </w:r>
    </w:p>
    <w:p>
      <w:pPr>
        <w:pStyle w:val="TextBody"/>
        <w:bidi w:val="0"/>
        <w:spacing w:before="240" w:after="0"/>
        <w:jc w:val="left"/>
        <w:rPr/>
      </w:pPr>
      <w:r>
        <w:rPr/>
        <w:t>“</w:t>
      </w:r>
      <w:r>
        <w:rPr>
          <w:rFonts w:ascii="Times New Roman" w:hAnsi="Times New Roman"/>
          <w:sz w:val="20"/>
        </w:rPr>
        <w:t xml:space="preserve">Treasury Rate” means, with respect to any redemption date, the rate per annum equal to the semi-annual equivalent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yield-to-maturity</w:t>
      </w:r>
    </w:p>
    <w:p>
      <w:pPr>
        <w:pStyle w:val="TextBody"/>
        <w:bidi w:val="0"/>
        <w:spacing w:before="240" w:after="0"/>
        <w:jc w:val="left"/>
        <w:rPr>
          <w:rFonts w:ascii="Times New Roman" w:hAnsi="Times New Roman"/>
          <w:sz w:val="20"/>
        </w:rPr>
      </w:pPr>
      <w:r>
        <w:rPr>
          <w:rFonts w:ascii="Times New Roman" w:hAnsi="Times New Roman"/>
          <w:sz w:val="20"/>
        </w:rPr>
        <w:t xml:space="preserve">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 </w:t>
      </w:r>
    </w:p>
    <w:p>
      <w:pPr>
        <w:pStyle w:val="TextBody"/>
        <w:bidi w:val="0"/>
        <w:spacing w:before="240" w:after="0"/>
        <w:jc w:val="left"/>
        <w:rPr/>
      </w:pPr>
      <w:r>
        <w:rPr/>
        <w:t>“</w:t>
      </w:r>
      <w:r>
        <w:rPr>
          <w:rFonts w:ascii="Times New Roman" w:hAnsi="Times New Roman"/>
          <w:sz w:val="20"/>
        </w:rPr>
        <w:t xml:space="preserve">Comparable Treasury Issue” means the United States Treasury security selected by the Reference Treasury Dealer as having a maturity comparable to the remaining term of the Notes (assuming such Notes matured on the applicable Par Call Date), to be redeemed that would be utilized, at the time of selection and in accordance with customary financing practice, in pricing new issues of corporate debt securities of comparable maturity to the remaining term of the Notes being redeemed. </w:t>
      </w:r>
    </w:p>
    <w:p>
      <w:pPr>
        <w:pStyle w:val="TextBody"/>
        <w:bidi w:val="0"/>
        <w:spacing w:before="240" w:after="0"/>
        <w:jc w:val="left"/>
        <w:rPr/>
      </w:pPr>
      <w:r>
        <w:rPr/>
        <w:t>“</w:t>
      </w:r>
      <w:r>
        <w:rPr>
          <w:rFonts w:ascii="Times New Roman" w:hAnsi="Times New Roman"/>
          <w:sz w:val="20"/>
        </w:rPr>
        <w:t xml:space="preserve">Par Call Date” means April 24, 2029 (five months prior to the maturity </w:t>
      </w:r>
    </w:p>
    <w:p>
      <w:pPr>
        <w:pStyle w:val="TextBody"/>
        <w:bidi w:val="0"/>
        <w:spacing w:before="240" w:after="0"/>
        <w:jc w:val="left"/>
        <w:rPr>
          <w:rFonts w:ascii="Times New Roman" w:hAnsi="Times New Roman"/>
          <w:sz w:val="20"/>
        </w:rPr>
      </w:pPr>
      <w:r>
        <w:rPr>
          <w:rFonts w:ascii="Times New Roman" w:hAnsi="Times New Roman"/>
          <w:sz w:val="20"/>
        </w:rPr>
        <w:t>date</w:t>
      </w:r>
    </w:p>
    <w:p>
      <w:pPr>
        <w:pStyle w:val="TextBody"/>
        <w:bidi w:val="0"/>
        <w:spacing w:before="240" w:after="0"/>
        <w:jc w:val="left"/>
        <w:rPr>
          <w:rFonts w:ascii="Times New Roman" w:hAnsi="Times New Roman"/>
          <w:sz w:val="20"/>
        </w:rPr>
      </w:pPr>
      <w:r>
        <w:rPr>
          <w:rFonts w:ascii="Times New Roman" w:hAnsi="Times New Roman"/>
          <w:sz w:val="20"/>
        </w:rPr>
        <w:t xml:space="preserve">of the Notes). </w:t>
      </w:r>
    </w:p>
    <w:p>
      <w:pPr>
        <w:pStyle w:val="TextBody"/>
        <w:bidi w:val="0"/>
        <w:spacing w:before="240" w:after="0"/>
        <w:jc w:val="left"/>
        <w:rPr/>
      </w:pPr>
      <w:r>
        <w:rPr/>
        <w:t>“</w:t>
      </w:r>
      <w:r>
        <w:rPr>
          <w:rFonts w:ascii="Times New Roman" w:hAnsi="Times New Roman"/>
          <w:sz w:val="20"/>
        </w:rPr>
        <w:t xml:space="preserve">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 </w:t>
      </w:r>
    </w:p>
    <w:p>
      <w:pPr>
        <w:pStyle w:val="TextBody"/>
        <w:bidi w:val="0"/>
        <w:spacing w:before="240" w:after="0"/>
        <w:jc w:val="left"/>
        <w:rPr/>
      </w:pPr>
      <w:r>
        <w:rPr/>
        <w:t>“</w:t>
      </w:r>
      <w:r>
        <w:rPr>
          <w:rFonts w:ascii="Times New Roman" w:hAnsi="Times New Roman"/>
          <w:sz w:val="20"/>
        </w:rPr>
        <w:t xml:space="preserve">Quotation Agent” means a Reference Treasury Dealer selected by us. </w:t>
      </w:r>
    </w:p>
    <w:p>
      <w:pPr>
        <w:pStyle w:val="TextBody"/>
        <w:bidi w:val="0"/>
        <w:spacing w:before="240" w:after="0"/>
        <w:jc w:val="left"/>
        <w:rPr/>
      </w:pPr>
      <w:r>
        <w:rPr/>
        <w:t>“</w:t>
      </w:r>
      <w:r>
        <w:rPr>
          <w:rFonts w:ascii="Times New Roman" w:hAnsi="Times New Roman"/>
          <w:sz w:val="20"/>
        </w:rPr>
        <w:t xml:space="preserve">Reference Treasury Dealer” means each of any four primary U.S. government securities dealers selected by us. </w:t>
      </w:r>
    </w:p>
    <w:p>
      <w:pPr>
        <w:pStyle w:val="TextBody"/>
        <w:bidi w:val="0"/>
        <w:spacing w:before="240" w:after="0"/>
        <w:jc w:val="left"/>
        <w:rPr/>
      </w:pPr>
      <w:r>
        <w:rPr/>
        <w:t>“</w:t>
      </w:r>
      <w:r>
        <w:rPr>
          <w:rFonts w:ascii="Times New Roman" w:hAnsi="Times New Roman"/>
          <w:sz w:val="20"/>
        </w:rPr>
        <w:t xml:space="preserve">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made by any Reference Treasury Dealer, including the Quotation Agent, with respect to determining the redemption price will be final and binding absent manifest error.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Each Note will be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Book-Entry Procedures” below.</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 xml:space="preserve">If a global security is terminated for any reason, interests in it will be exchanged for certificates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non-book-entry</w:t>
      </w:r>
    </w:p>
    <w:p>
      <w:pPr>
        <w:pStyle w:val="TextBody"/>
        <w:bidi w:val="0"/>
        <w:spacing w:before="120" w:after="0"/>
        <w:jc w:val="left"/>
        <w:rPr>
          <w:rFonts w:ascii="Times New Roman" w:hAnsi="Times New Roman"/>
          <w:sz w:val="20"/>
        </w:rPr>
      </w:pPr>
      <w:r>
        <w:rPr>
          <w:rFonts w:ascii="Times New Roman" w:hAnsi="Times New Roman"/>
          <w:sz w:val="20"/>
        </w:rPr>
        <w:t xml:space="preserve">form (certificated securities). After that exchange, the choice of whether to hold such certificated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directly or in street name will be up to the investor. Investors must consult their own banks or brokers to find out how to have their interests in a global security transferred on termination to their own names, so that they will be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convertible into or exchangeable for other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w:t>
      </w:r>
    </w:p>
    <w:p>
      <w:pPr>
        <w:pStyle w:val="TextBody"/>
        <w:bidi w:val="0"/>
        <w:spacing w:before="12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Book-Entry Procedures</w:t>
      </w:r>
    </w:p>
    <w:p>
      <w:pPr>
        <w:pStyle w:val="TextBody"/>
        <w:bidi w:val="0"/>
        <w:spacing w:before="120" w:after="0"/>
        <w:jc w:val="left"/>
        <w:rPr/>
      </w:pPr>
      <w:r>
        <w:rPr/>
        <w:t xml:space="preserve">” </w:t>
      </w:r>
      <w:r>
        <w:rPr>
          <w:rFonts w:ascii="Times New Roman" w:hAnsi="Times New Roman"/>
          <w:sz w:val="20"/>
        </w:rPr>
        <w:t xml:space="preserve">below.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office of the applicable trustee in New York, New York and/or at other offices that may be specified in the indenture or a notice to holders against surrender of the Note.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New York, New York, on the due date. To request payment by wire, the holder must give the applicable trustee or other paying agent appropriate written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they will receive payments on the Notes. </w:t>
      </w:r>
    </w:p>
    <w:p>
      <w:pPr>
        <w:pStyle w:val="TextBody"/>
        <w:bidi w:val="0"/>
        <w:spacing w:before="12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applicable Notes and the Event of Default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applicable Notes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default in the payment of any interest upon any Note when due and payable and the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(2) default in the payment of the principal of (or premium, if any, on) any Note when it becomes due and payable at its maturity including upon any redemption date or required repurchase date; or </w:t>
      </w:r>
    </w:p>
    <w:p>
      <w:pPr>
        <w:pStyle w:val="TextBody"/>
        <w:bidi w:val="0"/>
        <w:spacing w:before="240" w:after="0"/>
        <w:jc w:val="left"/>
        <w:rPr>
          <w:rFonts w:ascii="Times New Roman" w:hAnsi="Times New Roman"/>
          <w:sz w:val="20"/>
        </w:rPr>
      </w:pPr>
      <w:r>
        <w:rPr>
          <w:rFonts w:ascii="Times New Roman" w:hAnsi="Times New Roman"/>
          <w:sz w:val="20"/>
        </w:rPr>
        <w:t xml:space="preserve">(3) default by us in the performance, or breach, of any covenant or agreement in the indenture or the Notes (other than a covenant or agreement a default in whose performance or whose breach is elsewhere in the indenture specifically dealt with or which has expressly been included in the indenture solely for the benefit of a series of securities other than the Notes), and continuance of such default or breach for a period of 60 consecutive days after there has been given, by registered or certified mail, to us by the trustee or to us and the trustee by the holders of at least 25% in principal amount of the Notes a written notice specifying such default or breach and requiring it to be remedied and stating that such notice is a “Notice of Default”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(4) default by us or any of our significant subsidiaries, as defined in Article 1,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1-02</w:t>
      </w:r>
    </w:p>
    <w:p>
      <w:pPr>
        <w:pStyle w:val="TextBody"/>
        <w:bidi w:val="0"/>
        <w:spacing w:before="240" w:after="0"/>
        <w:jc w:val="left"/>
        <w:rPr>
          <w:rFonts w:ascii="Times New Roman" w:hAnsi="Times New Roman"/>
          <w:sz w:val="20"/>
        </w:rPr>
      </w:pPr>
      <w:r>
        <w:rPr>
          <w:rFonts w:ascii="Times New Roman" w:hAnsi="Times New Roman"/>
          <w:sz w:val="20"/>
        </w:rPr>
        <w:t xml:space="preserve">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Regulation S-X</w:t>
      </w:r>
    </w:p>
    <w:p>
      <w:pPr>
        <w:pStyle w:val="TextBody"/>
        <w:bidi w:val="0"/>
        <w:spacing w:before="240" w:after="0"/>
        <w:jc w:val="left"/>
        <w:rPr>
          <w:rFonts w:ascii="Times New Roman" w:hAnsi="Times New Roman"/>
          <w:sz w:val="20"/>
        </w:rPr>
      </w:pPr>
      <w:r>
        <w:rPr>
          <w:rFonts w:ascii="Times New Roman" w:hAnsi="Times New Roman"/>
          <w:sz w:val="20"/>
        </w:rPr>
        <w:t xml:space="preserve">promulgated under the Exchange Act (but excluding any subsidiary which is (a)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non-recourse</w:t>
      </w:r>
    </w:p>
    <w:p>
      <w:pPr>
        <w:pStyle w:val="TextBody"/>
        <w:bidi w:val="0"/>
        <w:spacing w:before="240" w:after="0"/>
        <w:jc w:val="left"/>
        <w:rPr>
          <w:rFonts w:ascii="Times New Roman" w:hAnsi="Times New Roman"/>
          <w:sz w:val="20"/>
        </w:rPr>
      </w:pPr>
      <w:r>
        <w:rPr>
          <w:rFonts w:ascii="Times New Roman" w:hAnsi="Times New Roman"/>
          <w:sz w:val="20"/>
        </w:rPr>
        <w:t xml:space="preserve">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$50 million in the aggregate of us and/or any such significant subsidiary, whether such indebtedness now exists or will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(5) pursuant to Sections 18(a)(1)(c)(ii) and 61 of the 1940 Act, on the last business day of each of twenty-four consecutive calendar months, any class of securities has an asset coverage (as such term is used in the 1940 Act and the rules and regulations promulgated thereunder) of less than 100% giving effect to any exemptive relief granted to us by the SEC; or </w:t>
      </w:r>
    </w:p>
    <w:p>
      <w:pPr>
        <w:pStyle w:val="TextBody"/>
        <w:bidi w:val="0"/>
        <w:spacing w:before="240" w:after="0"/>
        <w:jc w:val="left"/>
        <w:rPr>
          <w:rFonts w:ascii="Times New Roman" w:hAnsi="Times New Roman"/>
          <w:sz w:val="20"/>
        </w:rPr>
      </w:pPr>
      <w:r>
        <w:rPr>
          <w:rFonts w:ascii="Times New Roman" w:hAnsi="Times New Roman"/>
          <w:sz w:val="20"/>
        </w:rPr>
        <w:t xml:space="preserve">(6) certain events of bankruptcy, insolvency, or reorganization involving us occur and remain undischarged or unstayed for a period of 60 days.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of any default under the indenture with respect to the Notes, the trustee must transmit notice of such default known to the trustee, unless such default has been cured or waived; provided, however, that, except in the case of a default in the payment of the principal of (or premium, if any, on) or interest, if any, on any Note, the trustee will be protected in withholding such notice if and so long as the board of directors, the executive committee or a trust committee of directors of the trustee in good faith determines that withholding of such notice is in the interest of the holders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then and in every such case (other than an event of default specified in item (6) above), the trustee or the holders of at least 25% in principal amount of the applicable Notes may declare the entire principal amount of the outstanding Notes to be due and payable immediately,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the Notes has been made and before a judgment or decree for payment of the money due has been obtained by the trustee, the holders of a majority in principal amount of the applicable outstanding Notes, by written notice to us and the trustee, may rescind and annul such declaration and its consequences if: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290"/>
        <w:gridCol w:w="54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deposited with the trustee a sum sufficient to pay: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85"/>
        <w:gridCol w:w="647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overdue installments of interest, if any, on all applicable outstanding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on) all applicable outstanding Notes that have become due otherwise than by such declaration of acceleration and interest thereon at the rate or rates borne by or provided for in such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payment of such interest is lawful, interest upon overdue installments of interest at the rate or rates borne by or provided for in such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sums paid or advanced by the trustee and the reasonable compensation, expenses, disbursements and advances of the trustee, its agents and counsel;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(2)</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with respect to the applicable Notes, other than the nonpayment of the principal of (or premium, if any, on) or interest on such Notes that have become due solely by such declaration of acceleration, have been cured or waived.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such rescission will affect any subsequent default or impair any right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No holder of Notes will have any right to institute any proceeding, judicial or otherwise, with respect to the indenture, or for the appointment of a receiver or trustee, or for any other remedy under the indenture, unless: </w:t>
      </w:r>
    </w:p>
    <w:p>
      <w:pPr>
        <w:pStyle w:val="TextBody"/>
        <w:bidi w:val="0"/>
        <w:spacing w:before="120" w:after="0"/>
        <w:jc w:val="left"/>
        <w:rPr>
          <w:rFonts w:ascii="Times New Roman" w:hAnsi="Times New Roman"/>
          <w:sz w:val="20"/>
        </w:rPr>
      </w:pPr>
      <w:r>
        <w:rPr>
          <w:rFonts w:ascii="Times New Roman" w:hAnsi="Times New Roman"/>
          <w:sz w:val="20"/>
        </w:rPr>
        <w:t xml:space="preserve">(i) such holder has previously given written notice to the trustee of a continuing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(ii) the holders of not less than 25% in principal amount of the outstanding Notes have made written request to the trustee to institute proceedings in respect of such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(iii) such holder or holders have offered to the trustee indemnity, security, or both, satisfactory to the trustee, against the costs, expenses and liabilities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(iv) the trustee for 60 days after its receipt of such notice, request and offer of indemnity has failed to institute any such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(v) no direction inconsistent with such written request has been given to the trustee during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60-day</w:t>
      </w:r>
    </w:p>
    <w:p>
      <w:pPr>
        <w:pStyle w:val="TextBody"/>
        <w:bidi w:val="0"/>
        <w:spacing w:before="240" w:after="0"/>
        <w:jc w:val="left"/>
        <w:rPr>
          <w:rFonts w:ascii="Times New Roman" w:hAnsi="Times New Roman"/>
          <w:sz w:val="20"/>
        </w:rPr>
      </w:pPr>
      <w:r>
        <w:rPr>
          <w:rFonts w:ascii="Times New Roman" w:hAnsi="Times New Roman"/>
          <w:sz w:val="20"/>
        </w:rPr>
        <w:t xml:space="preserve">period by the holders of a majority in principal amount of the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applicable outstanding Notes will have the right to direct the time, method and place of conducting any proceeding for any remedy available to the trustee or exercising any trust or power conferred on the trustee with respect to such Notes, provided that (i) such direction may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to the holders of Notes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deliver to the trustee, within 120 days after the end of each fiscal year, an officers’ certificate as to the knowledge of the signers whether we are in default in the performance of any of the terms, provisions or conditions of the indenture.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a majority in principal amount of the applicable outstanding Notes may on behalf of the holders of all such Notes waive any past default under the indenture with respect to such Notes and its consequences, except a default: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230"/>
        <w:gridCol w:w="74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the principal of (or premium, if any, on) or interest, if any, on any Note,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(ii)</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of the indenture which cannot be modified or amended without the consent of the holder of each outstanding Note affected.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will cease to exist, and any Event of Default arising therefrom will be deemed to have been cured for every purpose; but no such waiver may extend to any subsequent or other default or Event of Default or impair any right consequent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we will not merge or consolidate with or into any other person (other than a merger of a wholly owned subsidiary into us), or sell, transfer, lease, convey or otherwise dispose of all or substantially all our property (provided that, for the avoidance of doubt, a pledge of assets pursuant to any secured debt instrument of the Company or its Controlled Subsidiaries will not be deemed to be any such sale, transfer, lease, conveyance or disposition) in any one transaction or series of related transactions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person, or the surviving person (if other than us) formed by such merger or consolidation or to which such sale, transfer, lease, conveyance or disposition is made will be a statutory trust, corporation or limited liability company organized and existing under the laws of the United States or any state or territory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or series of related transactions, no default or event of default will have occurred and be continuing;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deliver, or cause to be delivered, to the trustee, an officers’ certificate and an opinion of counsel, each stating that such transaction and the applicable supplemental indenture, if any, in respect thereto, comply with this covenant and that all conditions precedent in the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will be deemed to be the transfer of all or substantially all of our property.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applicable Notes issued thereunder.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Notes without your specific approval. The following is a list of those types of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premium, if any, on) or any installment of principal of or interest on the Notes;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the Notes or reduce the rate of interest on the Notes;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Note following a default;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Note;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modify or amend the indenture;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 </w:t>
            </w:r>
          </w:p>
        </w:tc>
      </w:tr>
    </w:tbl>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applicable Notes. This type is limited to clarifications and certain other changes that would not adversely affect holders of the Notes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applicable Notes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Notes, it must be approved by the holders of a majority in principal amount of such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The holders of a majority in principal amount of all of the series of debt securities issued under an indenture, voting together as one class for this purpose, may waive our compliance with some of our covenants in that indenture. </w:t>
      </w:r>
    </w:p>
    <w:p>
      <w:pPr>
        <w:pStyle w:val="TextBody"/>
        <w:bidi w:val="0"/>
        <w:spacing w:before="240" w:after="0"/>
        <w:jc w:val="left"/>
        <w:rPr>
          <w:rFonts w:ascii="Times New Roman" w:hAnsi="Times New Roman"/>
          <w:sz w:val="20"/>
        </w:rPr>
      </w:pPr>
      <w:r>
        <w:rPr>
          <w:rFonts w:ascii="Times New Roman" w:hAnsi="Times New Roman"/>
          <w:sz w:val="20"/>
        </w:rPr>
        <w:t xml:space="preserve">However, we cannot obtain a waiver of a payment default or of any of the matters covered by the bullet points included above under “—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Changes Requiring Your Approval</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the applicable Notes: </w:t>
      </w:r>
    </w:p>
    <w:p>
      <w:pPr>
        <w:pStyle w:val="TextBody"/>
        <w:bidi w:val="0"/>
        <w:spacing w:before="240" w:after="0"/>
        <w:jc w:val="left"/>
        <w:rPr>
          <w:rFonts w:ascii="Times New Roman" w:hAnsi="Times New Roman"/>
          <w:sz w:val="20"/>
        </w:rPr>
      </w:pPr>
      <w:r>
        <w:rPr>
          <w:rFonts w:ascii="Times New Roman" w:hAnsi="Times New Roman"/>
          <w:sz w:val="20"/>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w:t>
      </w:r>
    </w:p>
    <w:p>
      <w:pPr>
        <w:pStyle w:val="TextBody"/>
        <w:bidi w:val="0"/>
        <w:spacing w:before="24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Defeasance — Full Defeasance</w:t>
      </w:r>
    </w:p>
    <w:p>
      <w:pPr>
        <w:pStyle w:val="TextBody"/>
        <w:bidi w:val="0"/>
        <w:spacing w:before="240" w:after="0"/>
        <w:jc w:val="left"/>
        <w:rPr/>
      </w:pPr>
      <w:r>
        <w:rPr/>
        <w:t xml:space="preserve">” </w:t>
      </w:r>
      <w:r>
        <w:rPr>
          <w:rFonts w:ascii="Times New Roman" w:hAnsi="Times New Roman"/>
          <w:sz w:val="20"/>
        </w:rPr>
        <w:t xml:space="preserve">below.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Notes or request a waiver. </w:t>
      </w:r>
    </w:p>
    <w:p>
      <w:pPr>
        <w:pStyle w:val="TextBody"/>
        <w:bidi w:val="0"/>
        <w:spacing w:before="12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will cease to be of further effect with respect to the applicable Notes when: </w:t>
      </w:r>
    </w:p>
    <w:p>
      <w:pPr>
        <w:pStyle w:val="TextBody"/>
        <w:bidi w:val="0"/>
        <w:spacing w:before="0" w:after="0"/>
        <w:jc w:val="left"/>
        <w:rPr/>
      </w:pPr>
      <w:r>
        <w:rPr/>
        <w:t> </w:t>
      </w:r>
    </w:p>
    <w:tbl>
      <w:tblPr>
        <w:tblW w:w="820" w:type="dxa"/>
        <w:jc w:val="left"/>
        <w:tblInd w:w="0" w:type="dxa"/>
        <w:tblLayout w:type="fixed"/>
        <w:tblCellMar>
          <w:top w:w="0" w:type="dxa"/>
          <w:left w:w="0" w:type="dxa"/>
          <w:bottom w:w="0" w:type="dxa"/>
          <w:right w:w="0" w:type="dxa"/>
        </w:tblCellMar>
      </w:tblPr>
      <w:tblGrid>
        <w:gridCol w:w="75"/>
        <w:gridCol w:w="110"/>
        <w:gridCol w:w="60"/>
        <w:gridCol w:w="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been authenticated have been delivered to the trustee for cancellation;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not been delivered to the trustee for cancellation: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or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we, in the case of the first, second and third </w:t>
      </w:r>
    </w:p>
    <w:p>
      <w:pPr>
        <w:pStyle w:val="TextBody"/>
        <w:bidi w:val="0"/>
        <w:spacing w:before="240" w:after="0"/>
        <w:jc w:val="left"/>
        <w:rPr>
          <w:rFonts w:ascii="Times New Roman" w:hAnsi="Times New Roman"/>
          <w:spacing w:val="0"/>
          <w:sz w:val="20"/>
        </w:rPr>
      </w:pPr>
      <w:r>
        <w:rPr>
          <w:rFonts w:ascii="Times New Roman" w:hAnsi="Times New Roman"/>
          <w:spacing w:val="0"/>
          <w:sz w:val="20"/>
        </w:rPr>
        <w:t>sub-bullets</w:t>
      </w:r>
    </w:p>
    <w:p>
      <w:pPr>
        <w:pStyle w:val="TextBody"/>
        <w:bidi w:val="0"/>
        <w:spacing w:before="240" w:after="0"/>
        <w:jc w:val="left"/>
        <w:rPr>
          <w:rFonts w:ascii="Times New Roman" w:hAnsi="Times New Roman"/>
          <w:sz w:val="20"/>
        </w:rPr>
      </w:pPr>
      <w:r>
        <w:rPr>
          <w:rFonts w:ascii="Times New Roman" w:hAnsi="Times New Roman"/>
          <w:sz w:val="20"/>
        </w:rPr>
        <w:t xml:space="preserve">above, have irrevocably deposited or caused to be deposited with the trustee, as trust, funds in trust solely for the benefit of the holders of the applicable Notes,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as will be sufficient, to pay and discharge the entire indebtedness (including all principal, premium, if any, and interest) on such Notes not previously delivered to the trustee for cancellation (in the case of Notes that have become due and payable on or prior to the date of such deposit) or to the stated maturity or redemption date, as the case may be;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with respect to the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legal opinion, each stating that all conditions precedent provided for in the indenture relating to the satisfaction and discharge of the indenture and the Notes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the Notes. “Defeasance” means that, by depositing with a trustee an amount of cash and/or government securities sufficient to pay all principal and interest, if any, on the applicable Notes when due and satisfying any additional conditions noted below, we will be deemed to have been discharged from our obligations under such Notes. In the event of a “covenant defeasance,” upon depositing such funds and satisfying similar conditions discussed below, we would be released from certain covenants under the indenture relating to such Notes.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applicable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applicable Notes if there were a shortfall in the trust deposit or the trustee is prevented from making payment. In fact, if one of the remaining Events of Default occurred (such as our bankruptcy) and such Notes became immediately due and payable, there might be a shortfall. Depending on the event causing the default, you may not be able to obtain payment of the shortfall.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subject to full defeasance. Full defeasance means that we can legally release ourselves from all payment and other obligations on the Notes, subject to the satisfaction of certain conditions, including, but not limited to that (a) we have received from, or there has been published by, the Internal Revenue Service (the “IRS”) a ruling, or (b) there is a change in U.S. federal income tax law, in either case to the effect that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(called “full defeasance”), and that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Notes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the indenture or any of our other material agreements or instruments;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applicable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any other covenants described in this prospectus supplement and the accompanying prospectus, as well as standard covenants relating to payment of principal and interest, maintaining an office where payments may be made or the Notes may be surrendered for payment and related matters, the following covenants will apply to the 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whether or not we are subject to, Section 18(a)(1)(A) of the 1940 Act as modified by Section 61(a)(1) and (2) of the 1940 Act or any successor provisions, as such obligations may be amended or superseded, giving effect to any exemptive relief granted to us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pay dividends on or purchase our capital stock, including preferred stock, in each case other than dividends or purchases that would not cause a violation of Section 18(a)(1) (B) as modified by Section 61(a)(2) of the 1940 Act or any successor provisions, giving effect to Section 18(e) of the 1940 Act, other provisions of the 1940 Act, and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relief granted by the SEC to another BDC and upon which we may reasonably rely (or to us if we determine to seek such similar SEC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or other relief) permitting the BDC to declare any cash dividend or distribution notwithstanding the prohibition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contained in Section 18(a)(1)(B) as modified by Section 61(a)(2) of the 1940 Act in order to maintain our status as a RIC under Subchapter M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GAAP.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Notes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denominations of $1,000 and amounts that are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securities for Notes of smaller denominations or combined into fewer Notes of larger denominations, as long as the total principal amount is not changed and as long as the denomination is equal to or greater than $1,000.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(including a withholding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Notes, we may block the transfer or exchange of those Notes selected for redemption during the period beginning 15 days before the day we mail the notice of redemption and ending on the day of that mailing, in order to freeze the list of holders to prepare the mailing. We may also refuse to register transfers or exchanges of any certificated Notes selected for redemption, except that we will continue to permit transfers and exchanges of the unredeemed portion of any Note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registered Notes are issued in book-entry form, only the depositary will be entitled to transfer and exchange the Notes as described in this subsection, since it will be the sole holder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 — 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direct unsecured obligations and will rank: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pari passu </w:t>
            </w:r>
          </w:p>
          <w:p>
            <w:pPr>
              <w:pStyle w:val="TableContents"/>
              <w:bidi w:val="0"/>
              <w:spacing w:before="0" w:after="0"/>
              <w:jc w:val="left"/>
              <w:rPr>
                <w:rFonts w:ascii="Times New Roman" w:hAnsi="Times New Roman"/>
                <w:sz w:val="20"/>
              </w:rPr>
            </w:pPr>
            <w:r>
              <w:rPr>
                <w:rFonts w:ascii="Times New Roman" w:hAnsi="Times New Roman"/>
                <w:sz w:val="20"/>
              </w:rPr>
              <w:t xml:space="preserve">with our existing and future unsecured, unsubordinated indebtedness, including the 2028 Notes, the 2030 Notes, the LRFC 2026 Notes and the 2032 Convertible Notes;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to which we subsequently grant security), to the extent of the value of the assets securing such indebtedness, including, without limitation, borrowings under the Credit Facility and KeyBank Credit Facility;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and any other future subsidiaries of the Company.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serves as the trustee, paying agent, and security registrar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(terms as defined below). Investors may elect to hold interests in the Notes through either DTC, if they are a participant, or indirectly through organizations that are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Direct or Indirect Participants of their respective obligations under the rules and procedures governing their operations.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 Participants’ accounts. This eliminates the need for physical movement of securities certificates. Direct Participants include both U.S.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securities brokers and dealers, banks, trust companies, clearing corporations, and certain other organizations. DTC is a wholly owned subsidiary of The Depository Trust &amp; Clearing Corporation (“DTCC”). </w:t>
      </w:r>
    </w:p>
    <w:p>
      <w:pPr>
        <w:pStyle w:val="TextBody"/>
        <w:bidi w:val="0"/>
        <w:spacing w:before="240" w:after="0"/>
        <w:jc w:val="left"/>
        <w:rPr>
          <w:rFonts w:ascii="Times New Roman" w:hAnsi="Times New Roman"/>
          <w:sz w:val="20"/>
        </w:rPr>
      </w:pPr>
      <w:r>
        <w:rPr>
          <w:rFonts w:ascii="Times New Roman" w:hAnsi="Times New Roman"/>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securities brokers and dealers, banks, trust companies and clearing corporations that clear through or maintain a custodial relationship with a Direct Participant, either directly or indirectly (“Indirect Participants”). DTC has a Standard &amp; Poor’s Ratings Services’ rating of AA+. The DTC Rules applicable to its participants are on file with the SEC. More information about DTC can be found at www.dtcc.com and www.dtc.org. </w:t>
      </w:r>
    </w:p>
    <w:p>
      <w:pPr>
        <w:pStyle w:val="TextBody"/>
        <w:bidi w:val="0"/>
        <w:spacing w:before="240" w:after="0"/>
        <w:jc w:val="left"/>
        <w:rPr>
          <w:rFonts w:ascii="Times New Roman" w:hAnsi="Times New Roman"/>
          <w:sz w:val="20"/>
        </w:rPr>
      </w:pPr>
      <w:r>
        <w:rPr>
          <w:rFonts w:ascii="Times New Roman" w:hAnsi="Times New Roman"/>
          <w:sz w:val="20"/>
        </w:rPr>
        <w:t xml:space="preserve">Purchases of the Notes under the DTC system must be made by or through Direct Participants, which will receive a credit for the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Notes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do not take any responsibility for its accuracy.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CERTAIN U.S. FEDERAL INCOME TAX CONSEQUENCES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material U.S. federal income tax consequences of acquiring, owning and disposing of the Notes. The discussion is based upon the Code; current, temporary and proposed U.S. Treasury Regulations issued thereunder (the “Treasury Regulations”); the legislative history of the Code; IRS rulings, pronouncements, interpretations and practices; and judicial decisions now in effect, all of which are subject to change at any time. Any such change may be applied retroactively in a manner that could adversely affect a holder of the Notes. This discussion is limited to persons purchasing the Notes for cash at original issue and at the offering price on the cover page of this prospectus supplement. Furthermore, this discussion assumes that each holder holds the Notes as “capital assets” within the meaning of Section 1221 of the Code (generally, property held for investment). It does not reflect every possible tax outcome or consequence that could result from acquiring, owning or disposing of the Notes. For example, special rules not discussed here may apply to you if you are: </w:t>
      </w:r>
    </w:p>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broker-dealer, dealer or trader in securities or currencies;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passive foreign investment company;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S corporation;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bank, thrift or other financial institution;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RIC, a real estate investment trust or other financial conduit entity (or shareholder of such entity);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accrual method taxpayer subject to special tax accounting rules as a result of its use of financial statements;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tax-exempt</w:t>
            </w:r>
          </w:p>
          <w:p>
            <w:pPr>
              <w:pStyle w:val="TableContents"/>
              <w:bidi w:val="0"/>
              <w:spacing w:before="0" w:after="0"/>
              <w:jc w:val="left"/>
              <w:rPr>
                <w:rFonts w:ascii="Times New Roman" w:hAnsi="Times New Roman"/>
                <w:sz w:val="20"/>
              </w:rPr>
            </w:pPr>
            <w:r>
              <w:rPr>
                <w:rFonts w:ascii="Times New Roman" w:hAnsi="Times New Roman"/>
                <w:sz w:val="20"/>
              </w:rPr>
              <w:t xml:space="preserve">organization, retirement plan, individual retirement account or tax deferred account;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alternative minimum tax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holding the Notes as part of a hedge, straddle, conversion, integrated or other risk reduction or constructive sale transaction;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holding the Notes through a partnership or other pass-through entity;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person” (within the meaning of the Code) whose “functional currency” is not the U.S. dollar; 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former citizen or long-term resident of the United States that satisfies certain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also does not address the U.S. federal income tax consequences to Beneficial Owners of the Notes subject to the special tax accounting rules under Section 451(b) of the Code. In addition, this discussion does not reflect state, local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tax consequences that may apply to you based on your particular circumstances and residence. This discussion also does not address any U.S. federal tax consequences, such as the estate tax or gift tax, other than U.S. federal income tax consequences. You should consult your own tax advisors to determine the tax consequences particular to your situation, including any applicable state, local or foreign income and other tax consequences, which may result from your acquisition, ownership or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“U.S. holder” means a Beneficial Owner of the Notes that is, for U.S. federal income tax purposes: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created or organized in or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p>
    <w:p>
      <w:pPr>
        <w:pStyle w:val="HorizontalLine"/>
        <w:pBdr>
          <w:bottom w:val="double" w:sz="2" w:space="0" w:color="808080"/>
        </w:pBdr>
        <w:bidi w:val="0"/>
        <w:spacing w:before="0" w:after="283"/>
        <w:jc w:val="left"/>
        <w:rPr/>
      </w:pPr>
      <w:r>
        <w:rPr/>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court within the United States that is able to exercise primary supervision over the administration of the trust and one or more “United States persons” (within the meaning of the Code), has the authority to control all substantial decisions of the trust, or (2) the trust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the Notes, the U.S. federal income tax treatment of a partner in the partnership generally will depend upon the status of the partner and the activities of the partnership and certain determinations made at the partner level. Partnerships holding Notes, and persons holding interest in such partnerships, should consult their own tax advisor regarding the consequences of investing in the Notes. This discussion does not address the special treatment under U.S. federal income tax law that could result if we invested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tax-exempt</w:t>
      </w:r>
    </w:p>
    <w:p>
      <w:pPr>
        <w:pStyle w:val="TextBody"/>
        <w:bidi w:val="0"/>
        <w:spacing w:before="240" w:after="0"/>
        <w:jc w:val="left"/>
        <w:rPr>
          <w:rFonts w:ascii="Times New Roman" w:hAnsi="Times New Roman"/>
          <w:sz w:val="20"/>
        </w:rPr>
      </w:pPr>
      <w:r>
        <w:rPr>
          <w:rFonts w:ascii="Times New Roman" w:hAnsi="Times New Roman"/>
          <w:sz w:val="20"/>
        </w:rPr>
        <w:t xml:space="preserve">securities or certain other investment assets. For purposes of this discussion, </w:t>
      </w:r>
    </w:p>
    <w:p>
      <w:pPr>
        <w:pStyle w:val="TextBody"/>
        <w:bidi w:val="0"/>
        <w:spacing w:before="240" w:after="0"/>
        <w:jc w:val="left"/>
        <w:rPr>
          <w:spacing w:val="0"/>
        </w:rPr>
      </w:pPr>
      <w:r>
        <w:rPr>
          <w:spacing w:val="0"/>
        </w:rPr>
        <w:t>“</w:t>
      </w: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means a Beneficial Owner of the Notes that is neither a U.S. holder nor a partnership (or other entity or arrangement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not a U.S. holder, this section does not apply to you.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240" w:after="0"/>
        <w:jc w:val="left"/>
        <w:rPr>
          <w:rFonts w:ascii="Times New Roman" w:hAnsi="Times New Roman"/>
          <w:sz w:val="20"/>
        </w:rPr>
      </w:pPr>
      <w:r>
        <w:rPr>
          <w:rFonts w:ascii="Times New Roman" w:hAnsi="Times New Roman"/>
          <w:sz w:val="20"/>
        </w:rPr>
        <w:t xml:space="preserve">. A U.S. holder generally will be required to recognize and include in gross income any stated interest as ordinary income at the time it is paid or accrued on the Notes in accordance with such U.S. holder’s method of accounting for U.S. federal income tax purposes.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Original Issue Discount.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purchases a Note in this offering at a price that is less than the stated principal amount of the Note, such U.S. holder will be considered to have purchased the Note with original issue discount (“OID”), equal to the amount of the difference, unless such difference is considered to be de minimis (generally, 0.25% of the stated redemption price at maturity times the number of complete years to maturity after the acquisition of the Note), in which case OID will be considered to be zero. A U.S. holder of an OID debt security is generally required to include in income the sum of the daily accruals of the OID for the debt security for each day during the taxable year (or portion of the taxable year) in which the U.S. holder held the OID debt security, regardless of such holder’s regular method of accounting. Thus, a U.S. holder will be required to include OID in income in advance of the receipt of some or all of the related cash payments. The daily portion is determined by allocating the OID for each day of the accrual period. An accrual period may be of any length and the accrual periods may even vary in length over the term of the OID debt security, provided that each accrual period is no longer than one year and each scheduled payment of principal or interest occurs either on the first day of an accrual period or on the final day of an accrual period. The amount of OID allocable to an accrual period is equal to the excess of: (1) the product of the “adjusted issue price” of the OID debt security at the beginning of the accrual period and its yield to maturity (computed generally on a constant yield method and compounded at the end of each accrual period, taking into account the length of the particular accrual period) over (2) the amount of any qualified stated interest allocable to the accrual period. OID allocable to a final accrual period is the difference between the amount payable at maturity, other than a payment of qualified stated interest, and the adjusted issue price at the beginning of the final accrual period. Special rules will apply for calculating OID for an initial short accrual period. The “adjusted issue price” of an OID debt security at the beginning of any accrual period is the sum of the issue price of the OID debt security plus the amount of OID allocable to all prior accrual periods reduced by any payments received on the OID debt security that were not qualified stated interest. Under these rules, a U.S. holder generally will have to include in income increasingly greater amounts of OID in successive accrual periods.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Sale or other taxable disposition of the Notes</w:t>
      </w:r>
    </w:p>
    <w:p>
      <w:pPr>
        <w:pStyle w:val="TextBody"/>
        <w:bidi w:val="0"/>
        <w:spacing w:before="240" w:after="0"/>
        <w:jc w:val="left"/>
        <w:rPr>
          <w:rFonts w:ascii="Times New Roman" w:hAnsi="Times New Roman"/>
          <w:sz w:val="20"/>
        </w:rPr>
      </w:pPr>
      <w:r>
        <w:rPr>
          <w:rFonts w:ascii="Times New Roman" w:hAnsi="Times New Roman"/>
          <w:sz w:val="20"/>
        </w:rPr>
        <w:t xml:space="preserve">. A U.S. holder will recognize capital gain or loss on the sale, exchange, redemption, retirement or other taxable disposition of a Note equal to the difference between the sum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cash and the fair market value of any property received in exchange therefor (less a portion allocable to any accrued and unpaid stated interest, which generally will be taxable as ordinary income if not previously included in such U.S. holder’s income) and the U.S. holder’s adjusted tax basis in the Note. A U.S. holder’s adjusted tax basis in a Note generally will be equal to the amount that the U.S. holder paid for the Note less any principal payments received by the U.S. holder. Any gain or loss generally will be long-term capital gain or loss if the U.S. holder has held the Notes for more than one year at the time of such disposition. Otherwise, such gain or loss will be short-term gain or loss. Long-term capital gains recognized by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non-corporate</w:t>
      </w:r>
    </w:p>
    <w:p>
      <w:pPr>
        <w:pStyle w:val="TextBody"/>
        <w:bidi w:val="0"/>
        <w:spacing w:before="0" w:after="0"/>
        <w:jc w:val="left"/>
        <w:rPr>
          <w:rFonts w:ascii="Times New Roman" w:hAnsi="Times New Roman"/>
          <w:sz w:val="20"/>
        </w:rPr>
      </w:pPr>
      <w:r>
        <w:rPr>
          <w:rFonts w:ascii="Times New Roman" w:hAnsi="Times New Roman"/>
          <w:sz w:val="20"/>
        </w:rPr>
        <w:t xml:space="preserve">U.S. holders, including individuals, generally are eligible for reduced rates of tax. The deductibility of capital losses may be subject to limitations under the Code.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Additional tax on net investment income. </w:t>
      </w:r>
    </w:p>
    <w:p>
      <w:pPr>
        <w:pStyle w:val="TextBody"/>
        <w:bidi w:val="0"/>
        <w:spacing w:before="240" w:after="0"/>
        <w:jc w:val="left"/>
        <w:rPr>
          <w:rFonts w:ascii="Times New Roman" w:hAnsi="Times New Roman"/>
          <w:sz w:val="20"/>
        </w:rPr>
      </w:pPr>
      <w:r>
        <w:rPr>
          <w:rFonts w:ascii="Times New Roman" w:hAnsi="Times New Roman"/>
          <w:sz w:val="20"/>
        </w:rPr>
        <w:t xml:space="preserve">An additional surtax at a rate of 3.8% is imposed on the amount of “net investment income,” in the case of an individual, or undistributed “net investment income,” in the case of an estate or trust (other than a charitable trust), which exceeds certain threshold amounts. “Net investment income” as defined for U.S. federal Medicare contribution purposes generally includes interest payments and gain recognized from the sale or other taxable disposition of the Notes. U.S. holders should consult their own tax advisors regarding the effect, if any, of this surtax on their ownership and disposition of the Notes.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Information reporting and backup withholding</w:t>
      </w:r>
    </w:p>
    <w:p>
      <w:pPr>
        <w:pStyle w:val="TextBody"/>
        <w:bidi w:val="0"/>
        <w:spacing w:before="240" w:after="0"/>
        <w:jc w:val="left"/>
        <w:rPr>
          <w:rFonts w:ascii="Times New Roman" w:hAnsi="Times New Roman"/>
          <w:sz w:val="20"/>
        </w:rPr>
      </w:pPr>
      <w:r>
        <w:rPr>
          <w:rFonts w:ascii="Times New Roman" w:hAnsi="Times New Roman"/>
          <w:sz w:val="20"/>
        </w:rPr>
        <w:t xml:space="preserve">. A U.S. holder may be subject to information reporting and backup withholding when such U.S. holder receives interest payments on the Notes held or the proceeds received upon the sale or other disposition of such Notes (including a redemption or retirement of the Notes). Certain U.S. holders such as corporations are exempt from information reporting or backup withholding. A U.S. holder will be subject to backup withholding if such holder is not otherwise exempt 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U.S. holder fails to furnish its taxpayer identification number, or “TIN,” which, for an individual is ordinarily his or her social security number;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IRS notifies the payor that such U.S. holder furnished an incorrect TIN;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notified by the IRS that the U.S. holder has failed to properly report payments of interest or dividends;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U.S. holder fails to certify, under penalties of perjury, on an IRS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W-9</w:t>
            </w:r>
          </w:p>
          <w:p>
            <w:pPr>
              <w:pStyle w:val="TableContents"/>
              <w:bidi w:val="0"/>
              <w:spacing w:before="0" w:after="0"/>
              <w:jc w:val="left"/>
              <w:rPr>
                <w:rFonts w:ascii="Times New Roman" w:hAnsi="Times New Roman"/>
                <w:sz w:val="20"/>
              </w:rPr>
            </w:pPr>
            <w:r>
              <w:rPr>
                <w:rFonts w:ascii="Times New Roman" w:hAnsi="Times New Roman"/>
                <w:sz w:val="20"/>
              </w:rPr>
              <w:t xml:space="preserve">(Request for Taxpayer Identification Number and Certification) or a suitable substitute form (or other applicable certificate) that the U.S. holder has furnished a correct TIN and that the IRS has not notified such U.S. holder that the U.S. holder is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U.S. holder should consult its tax advisor regarding its qualification for an exemption from backup withholding and the procedures for obtaining such an exemption, if applicable. Backup withholding is not an additional tax. Any amounts withheld under the backup withholding rules from a payment to a U.S. holder generally will be allowed as a credit against the U.S. holder’s U.S. federal income tax liability or may be refunded, provided the required information is furnished in a timely manner to the IRS.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Non-U.S.</w:t>
      </w:r>
    </w:p>
    <w:p>
      <w:pPr>
        <w:pStyle w:val="TextBody"/>
        <w:bidi w:val="0"/>
        <w:spacing w:before="360" w:after="0"/>
        <w:jc w:val="left"/>
        <w:rPr>
          <w:rFonts w:ascii="Times New Roman" w:hAnsi="Times New Roman"/>
          <w:b/>
          <w:sz w:val="20"/>
        </w:rPr>
      </w:pPr>
      <w:r>
        <w:rPr>
          <w:rFonts w:ascii="Times New Roman" w:hAnsi="Times New Roman"/>
          <w:b/>
          <w:sz w:val="20"/>
        </w:rPr>
        <w:t xml:space="preserve">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not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this section does not apply to you.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240" w:after="0"/>
        <w:jc w:val="left"/>
        <w:rPr>
          <w:rFonts w:ascii="Times New Roman" w:hAnsi="Times New Roman"/>
          <w:sz w:val="20"/>
        </w:rPr>
      </w:pPr>
      <w:r>
        <w:rPr>
          <w:rFonts w:ascii="Times New Roman" w:hAnsi="Times New Roman"/>
          <w:sz w:val="20"/>
        </w:rPr>
        <w:t xml:space="preserve">. Subject to the discussion below concerning backup withholding and FATCA (as defined below), generally interest paid 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on its Notes that is not effectively connected with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United States trade or business is subject to withholding at a rate of 30% (or, if applicable, a reduced rate pursuant to an applicable income tax treaty). Nevertheless, interest paid on a Note 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that is not effectively connected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trade or business in the United States (and, if required by an applicable income tax treaty, is not attributable to a permanent establishment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maintained by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in the United States) will not be subject to U.S. federal withholding tax, provided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does not directly or indirectly, actually or constructively, own 10% or more of the total combined voting power of all classes of our voting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is not a controlled foreign corporation that is related to us through actual or constructive stock ownership (as determined under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is not a bank that received such Note on an extension of credit made pursuant to a loan agreement entered into in the ordinary course of its trade or business;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(1)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certifies, prior to the payment of interest, in a statement (generally, a properly executed IRS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W-8BEN</w:t>
            </w:r>
          </w:p>
          <w:p>
            <w:pPr>
              <w:pStyle w:val="TableContents"/>
              <w:bidi w:val="0"/>
              <w:spacing w:before="0" w:after="0"/>
              <w:jc w:val="left"/>
              <w:rPr>
                <w:rFonts w:ascii="Times New Roman" w:hAnsi="Times New Roman"/>
                <w:sz w:val="20"/>
              </w:rPr>
            </w:pPr>
            <w:r>
              <w:rPr>
                <w:rFonts w:ascii="Times New Roman" w:hAnsi="Times New Roman"/>
                <w:sz w:val="20"/>
              </w:rPr>
              <w:t xml:space="preserve">or IRS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W-8BEN-E,</w:t>
            </w:r>
          </w:p>
          <w:p>
            <w:pPr>
              <w:pStyle w:val="TableContents"/>
              <w:bidi w:val="0"/>
              <w:spacing w:before="0" w:after="0"/>
              <w:jc w:val="left"/>
              <w:rPr>
                <w:rFonts w:ascii="Times New Roman" w:hAnsi="Times New Roman"/>
                <w:sz w:val="20"/>
              </w:rPr>
            </w:pPr>
            <w:r>
              <w:rPr>
                <w:rFonts w:ascii="Times New Roman" w:hAnsi="Times New Roman"/>
                <w:sz w:val="20"/>
              </w:rPr>
              <w:t xml:space="preserve">as applicable, or a suitable substitute) provided to us or the paying agent under penalties of perjury, that it is the beneficial owner of the Note and is not a “United States person” (within the meaning of the Code) and provides its name and address, (2) a securities clearing organization, bank or other financial institution that holds customers’ securities in the ordinary course of its trade or business and holds the Note on behalf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certifies to us or the paying agent, prior to the payment of interest, under penalties of perjury that it, or the financial institution between it and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has received from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a statement under penalties of perjury, that 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is not a United States person and provides us or the paying agent with a copy of such statement or (3)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holds its Note directly through a “qualified intermediary” and certain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will also be exempt from withholding tax on interest if such amount is effectively connected with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United States trade or business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provides us with appropriate certification (as discussed below under the caption “—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United States trade or business</w:t>
      </w:r>
    </w:p>
    <w:p>
      <w:pPr>
        <w:pStyle w:val="TextBody"/>
        <w:bidi w:val="0"/>
        <w:spacing w:before="240" w:after="0"/>
        <w:jc w:val="left"/>
        <w:rPr/>
      </w:pPr>
      <w:r>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discussion below under “</w:t>
      </w:r>
    </w:p>
    <w:p>
      <w:pPr>
        <w:pStyle w:val="TextBody"/>
        <w:bidi w:val="0"/>
        <w:spacing w:before="24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United States trade or business</w:t>
      </w:r>
    </w:p>
    <w:p>
      <w:pPr>
        <w:pStyle w:val="TextBody"/>
        <w:bidi w:val="0"/>
        <w:spacing w:before="240" w:after="0"/>
        <w:jc w:val="left"/>
        <w:rPr>
          <w:rFonts w:ascii="Times New Roman" w:hAnsi="Times New Roman"/>
          <w:sz w:val="20"/>
        </w:rPr>
      </w:pPr>
      <w:r>
        <w:rPr>
          <w:rFonts w:ascii="Times New Roman" w:hAnsi="Times New Roman"/>
          <w:sz w:val="20"/>
        </w:rPr>
        <w:t xml:space="preserve">,” if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does not satisfy the requirements above, interest paid to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will be subject to a U.S. federal withholding tax imposed at a 30% rate. Such rate may be reduced or eliminated under an income tax treaty between the United States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country of residence. To claim a reduction or exemption under a tax treaty,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must generally complete an IRS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W-8BEN</w:t>
      </w:r>
    </w:p>
    <w:p>
      <w:pPr>
        <w:pStyle w:val="TextBody"/>
        <w:bidi w:val="0"/>
        <w:spacing w:before="240" w:after="0"/>
        <w:jc w:val="left"/>
        <w:rPr>
          <w:rFonts w:ascii="Times New Roman" w:hAnsi="Times New Roman"/>
          <w:sz w:val="20"/>
        </w:rPr>
      </w:pPr>
      <w:r>
        <w:rPr>
          <w:rFonts w:ascii="Times New Roman" w:hAnsi="Times New Roman"/>
          <w:sz w:val="20"/>
        </w:rPr>
        <w:t xml:space="preserve">or an IRS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W-8BEN-E</w:t>
      </w:r>
    </w:p>
    <w:p>
      <w:pPr>
        <w:pStyle w:val="TextBody"/>
        <w:bidi w:val="0"/>
        <w:spacing w:before="240" w:after="0"/>
        <w:jc w:val="left"/>
        <w:rPr>
          <w:rFonts w:ascii="Times New Roman" w:hAnsi="Times New Roman"/>
          <w:sz w:val="20"/>
        </w:rPr>
      </w:pPr>
      <w:r>
        <w:rPr>
          <w:rFonts w:ascii="Times New Roman" w:hAnsi="Times New Roman"/>
          <w:sz w:val="20"/>
        </w:rPr>
        <w:t xml:space="preserve">(or applicable successor form) and claim the reduction or exemption on the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Sale or other taxable disposition of the Notes</w:t>
      </w:r>
    </w:p>
    <w:p>
      <w:pPr>
        <w:pStyle w:val="TextBody"/>
        <w:bidi w:val="0"/>
        <w:spacing w:before="240" w:after="0"/>
        <w:jc w:val="left"/>
        <w:rPr>
          <w:rFonts w:ascii="Times New Roman" w:hAnsi="Times New Roman"/>
          <w:sz w:val="20"/>
        </w:rPr>
      </w:pPr>
      <w:r>
        <w:rPr>
          <w:rFonts w:ascii="Times New Roman" w:hAnsi="Times New Roman"/>
          <w:sz w:val="20"/>
        </w:rPr>
        <w:t>. Subject to the discussion below concerning backup</w:t>
      </w:r>
    </w:p>
    <w:p>
      <w:pPr>
        <w:pStyle w:val="TextBody"/>
        <w:bidi w:val="0"/>
        <w:spacing w:before="240" w:after="0"/>
        <w:jc w:val="left"/>
        <w:rPr>
          <w:rFonts w:ascii="Times New Roman" w:hAnsi="Times New Roman"/>
          <w:sz w:val="20"/>
        </w:rPr>
      </w:pPr>
      <w:r>
        <w:rPr>
          <w:rFonts w:ascii="Times New Roman" w:hAnsi="Times New Roman"/>
          <w:sz w:val="20"/>
        </w:rPr>
        <w:t xml:space="preserve">withholding and FATCA, any gain realized by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on the sale, exchange, retirement, redemption or other taxable disposition of the Note generally will not be subject to U.S. federal income tax unless (i) the gain is effectively connected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trade or business in the United States (and, if required by an applicable income tax treaty, the gain is not attributable to a permanent establishment maintained by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in the United States), (ii) in the case of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who is an individual,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is present in the United States for 183 days or more in the taxable year of disposition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holder is not eligible for relief under an applicable income tax treaty, or (iii) a portion of the gain is attributable to accrued but unpaid interest, in which case such amounts will be subject to tax as described above in “</w:t>
      </w:r>
    </w:p>
    <w:p>
      <w:pPr>
        <w:pStyle w:val="TextBody"/>
        <w:bidi w:val="0"/>
        <w:spacing w:before="24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Interest</w:t>
      </w:r>
    </w:p>
    <w:p>
      <w:pPr>
        <w:pStyle w:val="TextBody"/>
        <w:bidi w:val="0"/>
        <w:spacing w:before="240" w:after="0"/>
        <w:jc w:val="left"/>
        <w:rPr>
          <w:rFonts w:ascii="Times New Roman" w:hAnsi="Times New Roman"/>
          <w:sz w:val="20"/>
        </w:rPr>
      </w:pPr>
      <w:r>
        <w:rPr>
          <w:rFonts w:ascii="Times New Roman" w:hAnsi="Times New Roman"/>
          <w:sz w:val="20"/>
        </w:rPr>
        <w:t xml:space="preserv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who is an individual and does not meet this exemption should consult his or her tax advisor regarding the potential liability for U.S. federal income tax on such holder’s gain realized on a Note.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United States trade or business</w:t>
      </w:r>
    </w:p>
    <w:p>
      <w:pPr>
        <w:pStyle w:val="TextBody"/>
        <w:bidi w:val="0"/>
        <w:spacing w:before="240" w:after="0"/>
        <w:jc w:val="left"/>
        <w:rPr>
          <w:rFonts w:ascii="Times New Roman" w:hAnsi="Times New Roman"/>
          <w:sz w:val="20"/>
        </w:rPr>
      </w:pPr>
      <w:r>
        <w:rPr>
          <w:rFonts w:ascii="Times New Roman" w:hAnsi="Times New Roman"/>
          <w:sz w:val="20"/>
        </w:rPr>
        <w:t xml:space="preserve">. If interest paid on a Note or gain from a disposition of a Note is effectively connected with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trade or business in the United States (and, if required by an applicable income tax treaty, such interest or gain is attributable to a permanent establishment maintained by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in the United States), then the interest income generally will be subject to U.S. federal income tax imposed at regular graduated income tax rates in the same manner as if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were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holder (but without regard to the additional tax on net investment income described above), and if such non- U.S. holder is a corporation, it may also be subject to an additional branch profits tax at a 30% rate (or, if applicable, a reduced rate pursuant to an applicable income tax treaty). Such income will not be subject to U.S. federal withholding tax if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satisfies certain certification requirements by providing to the applicable withholding agent a properly executed IRS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W-8ECI</w:t>
      </w:r>
    </w:p>
    <w:p>
      <w:pPr>
        <w:pStyle w:val="TextBody"/>
        <w:bidi w:val="0"/>
        <w:spacing w:before="0" w:after="0"/>
        <w:jc w:val="left"/>
        <w:rPr>
          <w:rFonts w:ascii="Times New Roman" w:hAnsi="Times New Roman"/>
          <w:sz w:val="20"/>
        </w:rPr>
      </w:pPr>
      <w:r>
        <w:rPr>
          <w:rFonts w:ascii="Times New Roman" w:hAnsi="Times New Roman"/>
          <w:sz w:val="20"/>
        </w:rPr>
        <w:t xml:space="preserve">(or successor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Backup withholding and information reporting</w:t>
      </w:r>
    </w:p>
    <w:p>
      <w:pPr>
        <w:pStyle w:val="TextBody"/>
        <w:bidi w:val="0"/>
        <w:spacing w:before="240" w:after="0"/>
        <w:jc w:val="left"/>
        <w:rPr>
          <w:rFonts w:ascii="Times New Roman" w:hAnsi="Times New Roman"/>
          <w:sz w:val="20"/>
        </w:rPr>
      </w:pPr>
      <w:r>
        <w:rPr>
          <w:rFonts w:ascii="Times New Roman" w:hAnsi="Times New Roman"/>
          <w:sz w:val="20"/>
        </w:rPr>
        <w:t xml:space="preserve">. The amount of interest that we pay to any documented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on the Notes will be reported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and to the IRS annually on an IRS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1042-S,</w:t>
      </w:r>
    </w:p>
    <w:p>
      <w:pPr>
        <w:pStyle w:val="TextBody"/>
        <w:bidi w:val="0"/>
        <w:spacing w:before="240" w:after="0"/>
        <w:jc w:val="left"/>
        <w:rPr>
          <w:rFonts w:ascii="Times New Roman" w:hAnsi="Times New Roman"/>
          <w:sz w:val="20"/>
        </w:rPr>
      </w:pPr>
      <w:r>
        <w:rPr>
          <w:rFonts w:ascii="Times New Roman" w:hAnsi="Times New Roman"/>
          <w:sz w:val="20"/>
        </w:rPr>
        <w:t xml:space="preserve">regardless of whether any tax was actually withheld. Copies of these information returns may also be made available under the provisions of a specific income tax treaty or agreement to the tax authorities of the country in which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resides. However,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will not be subject to backup withholding and certain other information reporting with respect to payments that we make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provided that we do not have actual knowledge or reason to know that such holder is a “United States person,” within the meaning of the Code,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holder has given us the statement described above under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Non-U.S.</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Holders — Interest</w:t>
      </w:r>
    </w:p>
    <w:p>
      <w:pPr>
        <w:pStyle w:val="TextBody"/>
        <w:bidi w:val="0"/>
        <w:spacing w:before="240" w:after="0"/>
        <w:jc w:val="left"/>
        <w:rPr>
          <w:rFonts w:ascii="Times New Roman" w:hAnsi="Times New Roman"/>
          <w:sz w:val="20"/>
        </w:rPr>
      </w:pPr>
      <w:r>
        <w:rPr>
          <w:rFonts w:ascii="Times New Roman" w:hAnsi="Times New Roman"/>
          <w:sz w:val="20"/>
        </w:rPr>
        <w:t xml:space="preserve">.” In addition,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will not be subject to backup withholding or information reporting with respect to the proceeds of the sale or other disposition of the Notes (including a retirement or redemption of such Notes) within the United States or conducted through certain U.S.-related brokers, if the payor receives the statement described above and does not have actual knowledge or reason to know that such holder is a United States person or the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will be entitled to credit any amounts withheld under the backup withholding rules against the holder’s U.S. federal income tax liability or may claim a refund provided that the required information is furnished to the IRS in a timely manner.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Foreign Account Tax Compliance Act</w:t>
      </w:r>
    </w:p>
    <w:p>
      <w:pPr>
        <w:pStyle w:val="TextBody"/>
        <w:bidi w:val="0"/>
        <w:spacing w:before="240" w:after="0"/>
        <w:jc w:val="left"/>
        <w:rPr>
          <w:rFonts w:ascii="Times New Roman" w:hAnsi="Times New Roman"/>
          <w:sz w:val="20"/>
        </w:rPr>
      </w:pPr>
      <w:r>
        <w:rPr>
          <w:rFonts w:ascii="Times New Roman" w:hAnsi="Times New Roman"/>
          <w:sz w:val="20"/>
        </w:rPr>
        <w:t xml:space="preserve">. 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entities that have certain specified U.S. persons as substantial owners) or (ii) reside in a jurisdiction that has entered into an intergovernmental agreement (“IGA”) with the United States to provide such information and are in compliance with the terms of such IGA and any implementing legislation or regulation.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specified U.S. person and financial information associated with the holder’s account. In addition, subject to certain exceptions, this legislation also imposes a 30% withholding on certain payments to certain foreign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not financial institutions unless the foreign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entity certifies that it does not have a greater than 10% owner that is a specified U.S. person or provides the withholding agent with identifying information on each greater than 10% owner that is a specified person. Depending on the status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shareholder and the status of the intermediaries through which they hold a Note,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shareholder could be subject to this 30% withholding tax with respect to interest paid on a Note. Under certain circumstances,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shareholder might be eligible for refunds or credits of such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PLAN OF DISTRIBUTION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note purchase agreement directly with the investors in connection with this offering. We negotiated the price for the securities offered in this offering with the investors. Lucid Capital Markets LLC will receive a fee of 1.25% of the aggregate principal of the Notes sold pursuant thereto for providing certain structuring and other services with respect to those Notes. We are not using a placement agent in connection with this offering. The offering is expected to close on or about March 24,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the sale of the Notes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supplement </w:t>
      </w:r>
    </w:p>
    <w:p>
      <w:pPr>
        <w:pStyle w:val="TextBody"/>
        <w:bidi w:val="0"/>
        <w:spacing w:before="240" w:after="0"/>
        <w:jc w:val="left"/>
        <w:rPr>
          <w:rFonts w:ascii="Times New Roman" w:hAnsi="Times New Roman"/>
          <w:sz w:val="20"/>
        </w:rPr>
      </w:pPr>
      <w:r>
        <w:rPr>
          <w:rFonts w:ascii="Times New Roman" w:hAnsi="Times New Roman"/>
          <w:sz w:val="20"/>
        </w:rPr>
        <w:t xml:space="preserve">will be approximately $49.1 million, after deducting estimated offering expenses payable by us. We estimate the total offering expenses in this offering that will be payable by us will be $0.9 million which include legal, accounting, securities issuance and printing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LEGAL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regarding the Notes offered hereby will be passed upon for us by Dechert LLP, Washington, D.C.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The SEC allows us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after the date of this prospectus supplement will automatically update and, where applicable, supersede any information contained in this prospectus supplement and the accompanying prospectus or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the documents listed below that we have previously filed with the SEC, and any reports and other documents we subsequently file pursuant to Section 13(a), 13(c), 14 or 15(d) of the Exchange Act subsequent to the date of this prospectus supplement,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or other information “furnished” to the SEC, which is not deemed filed is not and will not be incorporated by reference in this prospectus supplement: </w:t>
      </w:r>
    </w:p>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 xml:space="preserve">Form </w:t>
              </w:r>
            </w:hyperlink>
            <w:hyperlink r:id="rId4">
              <w:r>
                <w:rPr>
                  <w:rStyle w:val="InternetLink"/>
                  <w:rFonts w:ascii="Times New Roman" w:hAnsi="Times New Roman"/>
                  <w:spacing w:val="0"/>
                  <w:sz w:val="20"/>
                </w:rPr>
                <w:t>10-K</w:t>
              </w:r>
            </w:hyperlink>
            <w:r>
              <w:rPr>
                <w:rFonts w:ascii="Times New Roman" w:hAnsi="Times New Roman"/>
                <w:sz w:val="20"/>
              </w:rPr>
              <w:t xml:space="preserve"> for the fiscal year ended December 31, 2025, filed with the SEC on March 5, 2026;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pPr>
            <w:r>
              <w:rPr>
                <w:rFonts w:ascii="Times New Roman" w:hAnsi="Times New Roman"/>
                <w:sz w:val="20"/>
              </w:rPr>
              <w:t xml:space="preserve">our Definitive Proxy </w:t>
            </w:r>
            <w:hyperlink r:id="rId5">
              <w:r>
                <w:rPr>
                  <w:rStyle w:val="InternetLink"/>
                  <w:rFonts w:ascii="Times New Roman" w:hAnsi="Times New Roman"/>
                  <w:sz w:val="20"/>
                </w:rPr>
                <w:t>Statement on Schedule 14A</w:t>
              </w:r>
            </w:hyperlink>
            <w:r>
              <w:rPr>
                <w:rFonts w:ascii="Times New Roman" w:hAnsi="Times New Roman"/>
                <w:sz w:val="20"/>
              </w:rPr>
              <w:t xml:space="preserve">, filed with the SEC on April 29, 2025;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Current Reports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8-K</w:t>
            </w:r>
          </w:p>
          <w:p>
            <w:pPr>
              <w:pStyle w:val="TableContents"/>
              <w:bidi w:val="0"/>
              <w:spacing w:before="0" w:after="0"/>
              <w:jc w:val="left"/>
              <w:rPr/>
            </w:pPr>
            <w:r>
              <w:rPr>
                <w:rFonts w:ascii="Times New Roman" w:hAnsi="Times New Roman"/>
                <w:sz w:val="20"/>
              </w:rPr>
              <w:t xml:space="preserve">(other than information furnished rather than filed), filed with the SEC on </w:t>
            </w:r>
            <w:hyperlink r:id="rId6">
              <w:r>
                <w:rPr>
                  <w:rStyle w:val="InternetLink"/>
                  <w:rFonts w:ascii="Times New Roman" w:hAnsi="Times New Roman"/>
                  <w:sz w:val="20"/>
                </w:rPr>
                <w:t>March 9, 2026</w:t>
              </w:r>
            </w:hyperlink>
            <w:r>
              <w:rPr>
                <w:rFonts w:ascii="Times New Roman" w:hAnsi="Times New Roman"/>
                <w:sz w:val="20"/>
              </w:rPr>
              <w:t xml:space="preserve"> and </w:t>
            </w:r>
            <w:hyperlink r:id="rId7">
              <w:r>
                <w:rPr>
                  <w:rStyle w:val="InternetLink"/>
                  <w:rFonts w:ascii="Times New Roman" w:hAnsi="Times New Roman"/>
                  <w:sz w:val="20"/>
                </w:rPr>
                <w:t>March 12, 2026</w:t>
              </w:r>
            </w:hyperlink>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description of shares of our common stock contained in a registration statement filed pursuant to the Exchange Act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To obtain copies of these filings,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 Information</w:t>
      </w:r>
    </w:p>
    <w:p>
      <w:pPr>
        <w:pStyle w:val="TextBody"/>
        <w:bidi w:val="0"/>
        <w:spacing w:before="240" w:after="0"/>
        <w:jc w:val="left"/>
        <w:rPr/>
      </w:pPr>
      <w:r>
        <w:rPr/>
        <w:t xml:space="preserve">” </w:t>
      </w:r>
      <w:r>
        <w:rPr>
          <w:rFonts w:ascii="Times New Roman" w:hAnsi="Times New Roman"/>
          <w:sz w:val="20"/>
        </w:rPr>
        <w:t xml:space="preserve">in the accompanying prospectus.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S-38 </w:t>
      </w:r>
      <w:r>
        <w:br w:type="page"/>
      </w:r>
    </w:p>
    <w:p>
      <w:pPr>
        <w:pStyle w:val="HorizontalLine"/>
        <w:bidi w:val="0"/>
        <w:jc w:val="left"/>
        <w:rPr/>
      </w:pPr>
      <w:r>
        <w:rPr/>
      </w:r>
    </w:p>
    <w:p>
      <w:pPr>
        <w:pStyle w:val="TextBody"/>
        <w:bidi w:val="0"/>
        <w:spacing w:before="0" w:after="0"/>
        <w:jc w:val="center"/>
        <w:rPr/>
      </w:pPr>
      <w:r>
        <w:rPr/>
        <w:drawing>
          <wp:inline distT="0" distB="0" distL="0" distR="0">
            <wp:extent cx="3408680" cy="847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3408680" cy="847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$500,000,000 </w:t>
      </w:r>
    </w:p>
    <w:p>
      <w:pPr>
        <w:pStyle w:val="TextBody"/>
        <w:bidi w:val="0"/>
        <w:spacing w:before="240" w:after="0"/>
        <w:jc w:val="center"/>
        <w:rPr>
          <w:rFonts w:ascii="Times New Roman" w:hAnsi="Times New Roman"/>
          <w:b/>
          <w:sz w:val="40"/>
        </w:rPr>
      </w:pPr>
      <w:r>
        <w:rPr>
          <w:rFonts w:ascii="Times New Roman" w:hAnsi="Times New Roman"/>
          <w:b/>
          <w:sz w:val="40"/>
        </w:rPr>
        <w:t xml:space="preserve">PORTMAN RIDGE FINANCE CORPORATION </w:t>
      </w:r>
    </w:p>
    <w:p>
      <w:pPr>
        <w:pStyle w:val="TextBody"/>
        <w:bidi w:val="0"/>
        <w:spacing w:before="240" w:after="0"/>
        <w:jc w:val="center"/>
        <w:rPr>
          <w:rFonts w:ascii="Times New Roman" w:hAnsi="Times New Roman"/>
          <w:b/>
          <w:sz w:val="26"/>
        </w:rPr>
      </w:pPr>
      <w:r>
        <w:rPr>
          <w:rFonts w:ascii="Times New Roman" w:hAnsi="Times New Roman"/>
          <w:b/>
          <w:sz w:val="26"/>
        </w:rPr>
        <w:t xml:space="preserve">Common Stock </w:t>
      </w:r>
    </w:p>
    <w:p>
      <w:pPr>
        <w:pStyle w:val="TextBody"/>
        <w:bidi w:val="0"/>
        <w:spacing w:before="0" w:after="0"/>
        <w:jc w:val="center"/>
        <w:rPr>
          <w:rFonts w:ascii="Times New Roman" w:hAnsi="Times New Roman"/>
          <w:b/>
          <w:sz w:val="26"/>
        </w:rPr>
      </w:pPr>
      <w:r>
        <w:rPr>
          <w:rFonts w:ascii="Times New Roman" w:hAnsi="Times New Roman"/>
          <w:b/>
          <w:sz w:val="26"/>
        </w:rPr>
        <w:t xml:space="preserve">Preferred Stock </w:t>
      </w:r>
    </w:p>
    <w:p>
      <w:pPr>
        <w:pStyle w:val="TextBody"/>
        <w:bidi w:val="0"/>
        <w:spacing w:before="0" w:after="0"/>
        <w:jc w:val="center"/>
        <w:rPr>
          <w:rFonts w:ascii="Times New Roman" w:hAnsi="Times New Roman"/>
          <w:b/>
          <w:sz w:val="26"/>
        </w:rPr>
      </w:pPr>
      <w:r>
        <w:rPr>
          <w:rFonts w:ascii="Times New Roman" w:hAnsi="Times New Roman"/>
          <w:b/>
          <w:sz w:val="26"/>
        </w:rPr>
        <w:t xml:space="preserve">Warrants </w:t>
      </w:r>
    </w:p>
    <w:p>
      <w:pPr>
        <w:pStyle w:val="TextBody"/>
        <w:bidi w:val="0"/>
        <w:spacing w:before="0" w:after="0"/>
        <w:jc w:val="center"/>
        <w:rPr>
          <w:rFonts w:ascii="Times New Roman" w:hAnsi="Times New Roman"/>
          <w:b/>
          <w:sz w:val="26"/>
        </w:rPr>
      </w:pPr>
      <w:r>
        <w:rPr>
          <w:rFonts w:ascii="Times New Roman" w:hAnsi="Times New Roman"/>
          <w:b/>
          <w:sz w:val="26"/>
        </w:rPr>
        <w:t xml:space="preserve">Subscription Rights </w:t>
      </w:r>
    </w:p>
    <w:p>
      <w:pPr>
        <w:pStyle w:val="TextBody"/>
        <w:bidi w:val="0"/>
        <w:spacing w:before="0" w:after="0"/>
        <w:jc w:val="center"/>
        <w:rPr>
          <w:rFonts w:ascii="Times New Roman" w:hAnsi="Times New Roman"/>
          <w:b/>
          <w:sz w:val="26"/>
        </w:rPr>
      </w:pPr>
      <w:r>
        <w:rPr>
          <w:rFonts w:ascii="Times New Roman" w:hAnsi="Times New Roman"/>
          <w:b/>
          <w:sz w:val="26"/>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Portman Ridge Finance Corporation, or “we” “us” or the “Company”, is an externally managed, non-diversified closed-end investment company that has elected to be regulated as a business development company (“BDC”), under the Investment Company Act of 1940 (the “1940 Act”). Subject to the overall supervision of the Board of Directors of the Company (the “Board”), Sierra Crest Investment Management LLC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 The Adviser is an affiliate of BC Partners LLP, or BC Partners. </w:t>
      </w:r>
    </w:p>
    <w:p>
      <w:pPr>
        <w:pStyle w:val="TextBody"/>
        <w:bidi w:val="0"/>
        <w:spacing w:before="240" w:after="0"/>
        <w:jc w:val="left"/>
        <w:rPr>
          <w:rFonts w:ascii="Times New Roman" w:hAnsi="Times New Roman"/>
          <w:sz w:val="18"/>
        </w:rPr>
      </w:pPr>
      <w:r>
        <w:rPr>
          <w:rFonts w:ascii="Times New Roman" w:hAnsi="Times New Roman"/>
          <w:sz w:val="18"/>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18"/>
        </w:rPr>
      </w:pPr>
      <w:r>
        <w:rPr>
          <w:rFonts w:ascii="Times New Roman" w:hAnsi="Times New Roman"/>
          <w:sz w:val="18"/>
        </w:rPr>
        <w:t xml:space="preserve">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(earnings before interest, taxes, depreciation and amortization)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first lien term loans may include traditional first lien senior secured loans or unitranche loans. Unitranche loans combine characteristics of traditional first lien senior secured loans as well as second lien and/or mezzanine debt, or junior debt. Unitranche loans will expose us to the risks associated with first lien loans and junior debt.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18"/>
        </w:rPr>
      </w:pPr>
      <w:r>
        <w:rPr>
          <w:rFonts w:ascii="Times New Roman" w:hAnsi="Times New Roman"/>
          <w:sz w:val="18"/>
        </w:rPr>
        <w:t xml:space="preserve">From time-to-time we have also made investments in CLO Fund Securities managed by other asset managers. Our collateralized loan obligation funds (“CLO Funds”) typically invest in broadly syndicated loans, high-yield bonds and other credit instruments. </w:t>
      </w:r>
    </w:p>
    <w:p>
      <w:pPr>
        <w:pStyle w:val="TextBody"/>
        <w:bidi w:val="0"/>
        <w:spacing w:before="240" w:after="0"/>
        <w:jc w:val="left"/>
        <w:rPr>
          <w:rFonts w:ascii="Times New Roman" w:hAnsi="Times New Roman"/>
          <w:sz w:val="18"/>
        </w:rPr>
      </w:pPr>
      <w:r>
        <w:rPr>
          <w:rFonts w:ascii="Times New Roman" w:hAnsi="Times New Roman"/>
          <w:sz w:val="18"/>
        </w:rPr>
        <w:t xml:space="preserve">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 </w:t>
      </w:r>
    </w:p>
    <w:p>
      <w:pPr>
        <w:pStyle w:val="TextBody"/>
        <w:bidi w:val="0"/>
        <w:spacing w:before="240" w:after="0"/>
        <w:jc w:val="left"/>
        <w:rPr>
          <w:rFonts w:ascii="Times New Roman" w:hAnsi="Times New Roman"/>
          <w:sz w:val="18"/>
        </w:rPr>
      </w:pPr>
      <w:r>
        <w:rPr>
          <w:rFonts w:ascii="Times New Roman" w:hAnsi="Times New Roman"/>
          <w:sz w:val="18"/>
        </w:rPr>
        <w:t xml:space="preserve">We have elected to be treated for U.S. federal income tax purposes as a registered investment corporation (“RIC”) under Subchapter M of the Internal Revenue Code of 1986, as amended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w:t>
      </w:r>
      <w:r>
        <w:br w:type="page"/>
      </w:r>
    </w:p>
    <w:p>
      <w:pPr>
        <w:pStyle w:val="HorizontalLine"/>
        <w:bidi w:val="0"/>
        <w:jc w:val="left"/>
        <w:rPr/>
      </w:pPr>
      <w:r>
        <w:rPr/>
      </w:r>
    </w:p>
    <w:p>
      <w:pPr>
        <w:pStyle w:val="TextBody"/>
        <w:bidi w:val="0"/>
        <w:spacing w:before="0" w:after="0"/>
        <w:jc w:val="left"/>
        <w:rPr>
          <w:rFonts w:ascii="Times New Roman" w:hAnsi="Times New Roman"/>
          <w:sz w:val="18"/>
        </w:rPr>
      </w:pPr>
      <w:r>
        <w:rPr>
          <w:rFonts w:ascii="Times New Roman" w:hAnsi="Times New Roman"/>
          <w:sz w:val="18"/>
        </w:rPr>
        <w:t xml:space="preserve">as a RIC, we must, among other things, meet certain source-of-income and asset diversification requirements. Pursuant to this election, we generally will not have to pay corporate-level U.S. federal income taxes on any income that we timely distribute to our stockholders. </w:t>
      </w:r>
    </w:p>
    <w:p>
      <w:pPr>
        <w:pStyle w:val="TextBody"/>
        <w:bidi w:val="0"/>
        <w:spacing w:before="240" w:after="0"/>
        <w:jc w:val="left"/>
        <w:rPr>
          <w:rFonts w:ascii="Times New Roman" w:hAnsi="Times New Roman"/>
          <w:sz w:val="18"/>
        </w:rPr>
      </w:pPr>
      <w:r>
        <w:rPr>
          <w:rFonts w:ascii="Times New Roman" w:hAnsi="Times New Roman"/>
          <w:sz w:val="18"/>
        </w:rPr>
        <w:t xml:space="preserve">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with unaffiliated funds and affiliated funds, divestures, spin-offs, joint ventures and other similar transactions from time to time. </w:t>
      </w:r>
    </w:p>
    <w:p>
      <w:pPr>
        <w:pStyle w:val="TextBody"/>
        <w:bidi w:val="0"/>
        <w:spacing w:before="240" w:after="0"/>
        <w:jc w:val="left"/>
        <w:rPr>
          <w:rFonts w:ascii="Times New Roman" w:hAnsi="Times New Roman"/>
          <w:sz w:val="18"/>
        </w:rPr>
      </w:pPr>
      <w:r>
        <w:rPr>
          <w:rFonts w:ascii="Times New Roman" w:hAnsi="Times New Roman"/>
          <w:sz w:val="18"/>
        </w:rPr>
        <w:t xml:space="preserve">We may offer, from time to time, in one or more offerings or series, up to $500,000,000 of our common stock, preferred stock, debt securities, subscription rights to purchase shares of our common stock, and/or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w:t>
      </w:r>
    </w:p>
    <w:p>
      <w:pPr>
        <w:pStyle w:val="TextBody"/>
        <w:bidi w:val="0"/>
        <w:spacing w:before="240" w:after="0"/>
        <w:jc w:val="left"/>
        <w:rPr>
          <w:rFonts w:ascii="Times New Roman" w:hAnsi="Times New Roman"/>
          <w:sz w:val="18"/>
        </w:rPr>
      </w:pPr>
      <w:r>
        <w:rPr>
          <w:rFonts w:ascii="Times New Roman" w:hAnsi="Times New Roman"/>
          <w:sz w:val="18"/>
        </w:rPr>
        <w:t xml:space="preserve">In the event we offer common stock, the net proceeds we receive on a per share basis, before offering expenses, will generally not be less than the net asset value (“NAV”) per share of our common stock at the time we make the offering. However, we may receive net proceeds on a per share basis, before offering expenses, that are less than our NAV per share (i) in connection with a rights offering to our existing stockholders, (ii) with the prior approval of the majority (as defined in the 1940 Act) of our common stockholders or (iii) under such other circumstances as the Securities and Exchange Commission (the “SEC”) may permit. </w:t>
      </w:r>
    </w:p>
    <w:p>
      <w:pPr>
        <w:pStyle w:val="TextBody"/>
        <w:bidi w:val="0"/>
        <w:spacing w:before="240" w:after="0"/>
        <w:jc w:val="left"/>
        <w:rPr>
          <w:rFonts w:ascii="Times New Roman" w:hAnsi="Times New Roman"/>
          <w:sz w:val="18"/>
        </w:rPr>
      </w:pPr>
      <w:r>
        <w:rPr>
          <w:rFonts w:ascii="Times New Roman" w:hAnsi="Times New Roman"/>
          <w:sz w:val="18"/>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 w:hAnsi="Times New Roman"/>
          <w:i/>
          <w:sz w:val="18"/>
        </w:rPr>
        <w:t>Plan of Distribution</w:t>
      </w:r>
      <w:r>
        <w:rPr>
          <w:rFonts w:ascii="Times New Roman" w:hAnsi="Times New Roman"/>
          <w:sz w:val="18"/>
        </w:rPr>
        <w:t xml:space="preserve">.”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traded on the NASDAQ Global Select Market, or NASDAQ, under the symbol “PTMN.” The reported closing price for our common stock on January 30, 2025 was $17.15 per share. </w:t>
      </w:r>
    </w:p>
    <w:p>
      <w:pPr>
        <w:pStyle w:val="TextBody"/>
        <w:bidi w:val="0"/>
        <w:spacing w:before="240" w:after="0"/>
        <w:jc w:val="left"/>
        <w:rPr>
          <w:rFonts w:ascii="Times New Roman" w:hAnsi="Times New Roman"/>
          <w:b/>
          <w:sz w:val="18"/>
        </w:rPr>
      </w:pPr>
      <w:r>
        <w:rPr>
          <w:rFonts w:ascii="Times New Roman" w:hAnsi="Times New Roman"/>
          <w:b/>
          <w:sz w:val="18"/>
        </w:rPr>
        <w:t xml:space="preserve">Shares of closed-end investment companies, including BDCs, frequently trade at a discount to their NAV. If our shares trade at a discount to our NAV, it will likely increase the risk of loss for purchasers in an offering made pursuant to this prospectus or any related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securities involves a high degree of risk. Before investing in our securities, you should review carefully the risks and uncertainties, including the risk of leverage and dilution, described in the section titled “</w:t>
      </w:r>
      <w:hyperlink w:anchor="toc100895_5">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 xml:space="preserve">beginning on page 7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 </w:t>
      </w:r>
    </w:p>
    <w:p>
      <w:pPr>
        <w:pStyle w:val="TextBody"/>
        <w:bidi w:val="0"/>
        <w:spacing w:before="240" w:after="0"/>
        <w:jc w:val="left"/>
        <w:rPr>
          <w:rFonts w:ascii="Times New Roman" w:hAnsi="Times New Roman"/>
          <w:sz w:val="18"/>
        </w:rPr>
      </w:pPr>
      <w:r>
        <w:rPr>
          <w:rFonts w:ascii="Times New Roman" w:hAnsi="Times New Roman"/>
          <w:sz w:val="18"/>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file annual, quarterly and current reports, proxy statements and other information with the SEC. The SEC also maintains a website at http://www.sec.gov that contains such information. This information is also available free of charge by contacting us at 650 Madison Avenue, 3rd Floor, New York, New York 10022, Attention: Investor Relations, or by calling us collect at (212) 891-2880 or on our website at http://www.portmanridge.com. Information contained on our website is not incorporated by reference into this prospectus or any supplement to this prospectus and you should not consider that information to be part of this prospectus or any supplement hereto.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18"/>
        </w:rPr>
      </w:pPr>
      <w:r>
        <w:rPr>
          <w:rFonts w:ascii="Times New Roman" w:hAnsi="Times New Roman"/>
          <w:b/>
          <w:sz w:val="18"/>
        </w:rPr>
        <w:t xml:space="preserve">This prospectus may not be used to consummate sales of securities unless accompanied by a prospectus supplement. </w:t>
      </w:r>
    </w:p>
    <w:p>
      <w:pPr>
        <w:pStyle w:val="TextBody"/>
        <w:bidi w:val="0"/>
        <w:spacing w:before="240" w:after="0"/>
        <w:jc w:val="left"/>
        <w:rPr>
          <w:rFonts w:ascii="Times New Roman" w:hAnsi="Times New Roman"/>
          <w:b/>
          <w:sz w:val="18"/>
        </w:rPr>
      </w:pPr>
      <w:r>
        <w:rPr>
          <w:rFonts w:ascii="Times New Roman" w:hAnsi="Times New Roman"/>
          <w:b/>
          <w:sz w:val="18"/>
        </w:rPr>
        <w:t xml:space="preserve">The date of this prospectus is February 5, 2025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9470"/>
        <w:gridCol w:w="120"/>
        <w:gridCol w:w="60"/>
        <w:gridCol w:w="260"/>
        <w:gridCol w:w="75"/>
      </w:tblGrid>
      <w:tr>
        <w:trPr/>
        <w:tc>
          <w:tcPr>
            <w:tcW w:w="9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4">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6">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7">
              <w:r>
                <w:rPr>
                  <w:rStyle w:val="InternetLink"/>
                  <w:rFonts w:ascii="Times New Roman" w:hAnsi="Times New Roman"/>
                  <w:sz w:val="20"/>
                </w:rPr>
                <w:t>CAUTIONARY STATEMENT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8">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9">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0">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1">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2">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4">
              <w:r>
                <w:rPr>
                  <w:rStyle w:val="InternetLink"/>
                  <w:rFonts w:ascii="Times New Roman" w:hAnsi="Times New Roman"/>
                  <w:sz w:val="20"/>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5">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6">
              <w:r>
                <w:rPr>
                  <w:rStyle w:val="InternetLink"/>
                  <w:rFonts w:ascii="Times New Roman" w:hAnsi="Times New Roman"/>
                  <w:sz w:val="20"/>
                </w:rPr>
                <w:t>PORTFOLIO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7">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8">
              <w:r>
                <w:rPr>
                  <w:rStyle w:val="InternetLink"/>
                  <w:rFonts w:ascii="Times New Roman" w:hAnsi="Times New Roman"/>
                  <w:sz w:val="20"/>
                </w:rPr>
                <w:t>CONTROL PERSONS AND 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19">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0">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1">
              <w:r>
                <w:rPr>
                  <w:rStyle w:val="InternetLink"/>
                  <w:rFonts w:ascii="Times New Roman" w:hAnsi="Times New Roman"/>
                  <w:sz w:val="20"/>
                </w:rPr>
                <w:t>CERTAIN 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2">
              <w:r>
                <w:rPr>
                  <w:rStyle w:val="InternetLink"/>
                  <w:rFonts w:ascii="Times New Roman" w:hAnsi="Times New Roman"/>
                  <w:sz w:val="20"/>
                </w:rPr>
                <w:t>DESCRIPTION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3">
              <w:r>
                <w:rPr>
                  <w:rStyle w:val="InternetLink"/>
                  <w:rFonts w:ascii="Times New Roman" w:hAnsi="Times New Roman"/>
                  <w:sz w:val="20"/>
                </w:rPr>
                <w:t>DESCRIPTION OF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4">
              <w:r>
                <w:rPr>
                  <w:rStyle w:val="InternetLink"/>
                  <w:rFonts w:ascii="Times New Roman" w:hAnsi="Times New Roman"/>
                  <w:sz w:val="20"/>
                </w:rPr>
                <w:t>DESCRIPTION OF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5">
              <w:r>
                <w:rPr>
                  <w:rStyle w:val="InternetLink"/>
                  <w:rFonts w:ascii="Times New Roman" w:hAnsi="Times New Roman"/>
                  <w:sz w:val="20"/>
                </w:rPr>
                <w:t>DESCRIPTION OF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6">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7">
              <w:r>
                <w:rPr>
                  <w:rStyle w:val="InternetLink"/>
                  <w:rFonts w:ascii="Times New Roman" w:hAnsi="Times New Roman"/>
                  <w:sz w:val="20"/>
                </w:rPr>
                <w:t>REGULATION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8">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29">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30">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3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3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33">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00895_34">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bookmarkStart w:id="2" w:name="toc100895_1"/>
      <w:bookmarkEnd w:id="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Securities and Exchange Commission (the “SEC”), using the “shelf” registration process. Under this shelf registration statement, we may offer, from time to time, in one or more offerings, up to $500,000,000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w:t>
      </w:r>
      <w:r>
        <w:rPr>
          <w:rFonts w:ascii="Times New Roman" w:hAnsi="Times New Roman"/>
          <w:i/>
          <w:sz w:val="20"/>
        </w:rPr>
        <w:t>Risk Factors</w:t>
      </w:r>
      <w:r>
        <w:rPr>
          <w:rFonts w:ascii="Times New Roman" w:hAnsi="Times New Roman"/>
          <w:sz w:val="20"/>
        </w:rPr>
        <w:t xml:space="preserve">,” that could cause results to differ materially from those expressed in these publications and reports. </w:t>
      </w:r>
    </w:p>
    <w:p>
      <w:pPr>
        <w:pStyle w:val="TextBody"/>
        <w:bidi w:val="0"/>
        <w:spacing w:before="240" w:after="0"/>
        <w:jc w:val="left"/>
        <w:rPr>
          <w:rFonts w:ascii="Times New Roman" w:hAnsi="Times New Roman"/>
          <w:sz w:val="20"/>
        </w:rPr>
      </w:pPr>
      <w:r>
        <w:rPr>
          <w:rFonts w:ascii="Times New Roman" w:hAnsi="Times New Roman"/>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 w:hAnsi="Times New Roman"/>
          <w:i/>
          <w:sz w:val="20"/>
        </w:rPr>
        <w:t>Available Information</w:t>
      </w:r>
      <w:r>
        <w:rPr>
          <w:rFonts w:ascii="Times New Roman" w:hAnsi="Times New Roman"/>
          <w:sz w:val="20"/>
        </w:rPr>
        <w:t xml:space="preserve">.” Except for the documents incorporated by reference into this prospectus and any accompanying prospectus supplement, the references in this prospectus to the SEC’s website are not intended to and do not include or incorporate by reference into this prospectus the information on that website. Similarly, references to our website are not intended to and do not include or incorporate by reference into this prospectus the information on that website.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toc100895_2"/>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certain information contained elsewhere in this prospectus or incorporated by reference into this prospectus.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Any yield information contained or incorporated by reference in this prospectus related to investments in our investment portfolio is not intended to approximate a return on your investment in us and does not take into account other aspects of our business, including our operating and other expenses, or other costs incurred by you in connection with your investment in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in this prospectus, the terms: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we,” “us,” “our,” “PTMN,” “Company” and “Portman Ridge” refer to Portman Ridge Finance Corporation, a Delaware corporation, and its wholly owned subsidiaries;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Adviser” or “Sierra Crest” refers to Sierra Crest Investment Management LLC, a Delaware limited liability company, our investment adviser and an affiliate of BC Partners LLP, or BC Partners;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Administrator” refers to BC Partners Management LLC, a Delaware limited liability company, our administrator and an affiliate of BC Partners and BC Partners Advisors L.P.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Portman Ridge Finance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Formerly known as KCAP Financial, Inc., we are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interest income.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time-to-time we have made investments in CLO Fund Securities managed by other asset managers. Our collateralized loan obligation funds (“CLO Funds”) typically invest in broadly syndicated loans, high-yield bonds and other credit instruments.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be treated and intend to continue to qualify as a regulated investment company (“RIC”) under Subchapter M of the Internal Revenue Code of 1986, as amended (the “Code”). To qualify as a RIC, we must, among other things, meet certain source-of-income, asset diversification and annual distribution requirements. As a RIC, we generally will not have to pay corporate-level U.S. federal income taxes on any income that we distribute in a timely manner to our stockholders.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Adviser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activities are managed by our Adviser, which is registered as an investment adviser under the Investment Advisers Act of 1940, as amended, or the Advisers Act, and is an affiliate of BC Partners. Subject to the overall supervision of the Board of Directors of the Company (the “Board”), the Adviser is responsible for managing the Company’s assets in accordance with our investment objective, policies and restrictions, determining the composition of the Company’s portfolio, the nature and timing of the changes to the portfolio and the manner of implementing such changes, identifying, evaluating and negotiating the structure of the Company’s investments, monitoring the Company’s investments, determining the securities and other assets that the Company will purchase, retain or sell, determining the fair valuation of the Company’s assets, directing investment professionals of the Adviser to provide managerial assistance to the Company’s portfolio companies and performing due diligence on prospective portfolio companies. Under the investment advisory agreement we have entered into with our Adviser (the “Investment Advisory Agreement”), we pay our Adviser a base management fee and an incentive fee for its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BC Partners has been a leader in private markets investing for over 35 years and currently has approximately $41 billion in assets under management through its offices in London, Paris, Hamburg and New York. The BC Partners organization comprises a private equity platform (hereinafter referred to as “BCP PE”), a credit platform (“BCP Credit” or “BC Partners Credit”) and a real estate platform (“BCP RE”), all operating as integrated businesses within the overall BC Partners organization.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Administration Agreement between us and the Administrator (the “Administration Agreement”), the Administrator will perform, or oversee the performance of, required administrative services, which includes providing office space, equipment and office services, maintaining financial records, preparing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We pay the Administrator an amount equal to our allocable portion of the Administrator’s overhead resulting from its obligations under the Administration Agreement, including rent and the allocable portion of the cost of our Chief Compliance Officer and Chief Financial Officer and their respective staffs.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Payments under the Administration Agreement are equal to an amount that reimburses the Administrator for its costs and expenses in performing its obligations and providing personnel and facilities (including rent, office equipment and utilities) for our use under the Administration Agreement, including our allocable portion of the compensation paid to our chief compliance officer and chief financial officer and their respective staff who provide services to us. The Board, including the directors that are not “interested persons” as defined in the 1940 Act (the “Independent Directors”), will review the general nature of the services provided by the Administrator as well as the related cost to us for those services and consider whether the cost is reasonable in light of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 w:name="toc100895_3"/>
      <w:bookmarkEnd w:id="4"/>
      <w:r>
        <w:rPr>
          <w:rFonts w:ascii="Times New Roman" w:hAnsi="Times New Roman"/>
          <w:b/>
          <w:sz w:val="20"/>
        </w:rPr>
        <w:t xml:space="preserve">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following table is being provided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prospectus contains a reference to fees or expenses paid by “you,” “us” or “the Company,” or that “we” will pay fees or expenses, stockholders will indirectly bear such fees or expenses as investors in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45"/>
        <w:gridCol w:w="120"/>
        <w:gridCol w:w="140"/>
        <w:gridCol w:w="560"/>
        <w:gridCol w:w="540"/>
      </w:tblGrid>
      <w:tr>
        <w:trPr/>
        <w:tc>
          <w:tcPr>
            <w:tcW w:w="8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8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 (as a percentage of offering price)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540" w:type="dxa"/>
            <w:tcBorders/>
            <w:vAlign w:val="center"/>
          </w:tcPr>
          <w:p>
            <w:pPr>
              <w:pStyle w:val="TableContents"/>
              <w:bidi w:val="0"/>
              <w:spacing w:before="0" w:after="283"/>
              <w:jc w:val="left"/>
              <w:rPr/>
            </w:pPr>
            <w:r>
              <w:rPr/>
              <w:t>%(1) </w:t>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 (as a percentage of offering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540" w:type="dxa"/>
            <w:tcBorders/>
            <w:shd w:fill="CCEEFF" w:val="clear"/>
            <w:vAlign w:val="center"/>
          </w:tcPr>
          <w:p>
            <w:pPr>
              <w:pStyle w:val="TableContents"/>
              <w:bidi w:val="0"/>
              <w:spacing w:before="0" w:after="283"/>
              <w:jc w:val="left"/>
              <w:rPr/>
            </w:pPr>
            <w:r>
              <w:rPr/>
              <w:t>%(2) </w:t>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540" w:type="dxa"/>
            <w:tcBorders/>
            <w:vAlign w:val="center"/>
          </w:tcPr>
          <w:p>
            <w:pPr>
              <w:pStyle w:val="TableContents"/>
              <w:bidi w:val="0"/>
              <w:spacing w:before="0" w:after="283"/>
              <w:jc w:val="left"/>
              <w:rPr/>
            </w:pPr>
            <w:r>
              <w:rPr/>
              <w:t>%(3) </w:t>
            </w:r>
          </w:p>
        </w:tc>
      </w:tr>
      <w:tr>
        <w:trPr/>
        <w:tc>
          <w:tcPr>
            <w:tcW w:w="8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Stockholder Transaction Expenses (as a percentage of offering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540" w:type="dxa"/>
            <w:tcBorders/>
            <w:shd w:fill="CCEEFF" w:val="clear"/>
            <w:vAlign w:val="center"/>
          </w:tcPr>
          <w:p>
            <w:pPr>
              <w:pStyle w:val="TableContents"/>
              <w:bidi w:val="0"/>
              <w:spacing w:before="0" w:after="283"/>
              <w:jc w:val="left"/>
              <w:rPr/>
            </w:pPr>
            <w:r>
              <w:rPr/>
              <w:t>% </w:t>
            </w:r>
          </w:p>
        </w:tc>
      </w:tr>
      <w:tr>
        <w:trPr/>
        <w:tc>
          <w:tcPr>
            <w:tcW w:w="8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Expenses (as percentage of net assets attributable to common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Base management fee payable under the Investment Advisory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3.32</w:t>
            </w:r>
          </w:p>
        </w:tc>
        <w:tc>
          <w:tcPr>
            <w:tcW w:w="540" w:type="dxa"/>
            <w:tcBorders/>
            <w:shd w:fill="CCEEFF" w:val="clear"/>
            <w:vAlign w:val="center"/>
          </w:tcPr>
          <w:p>
            <w:pPr>
              <w:pStyle w:val="TableContents"/>
              <w:bidi w:val="0"/>
              <w:spacing w:before="0" w:after="283"/>
              <w:jc w:val="left"/>
              <w:rPr/>
            </w:pPr>
            <w:r>
              <w:rPr/>
              <w:t>%(4) </w:t>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 payable under the Investment Advisory Agreement (17.50% of net investment income and realized capital gains)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2.54</w:t>
            </w:r>
          </w:p>
        </w:tc>
        <w:tc>
          <w:tcPr>
            <w:tcW w:w="540" w:type="dxa"/>
            <w:tcBorders/>
            <w:vAlign w:val="center"/>
          </w:tcPr>
          <w:p>
            <w:pPr>
              <w:pStyle w:val="TableContents"/>
              <w:bidi w:val="0"/>
              <w:spacing w:before="0" w:after="283"/>
              <w:jc w:val="left"/>
              <w:rPr/>
            </w:pPr>
            <w:r>
              <w:rPr/>
              <w:t>%(5) </w:t>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10.71</w:t>
            </w:r>
          </w:p>
        </w:tc>
        <w:tc>
          <w:tcPr>
            <w:tcW w:w="540" w:type="dxa"/>
            <w:tcBorders/>
            <w:shd w:fill="CCEEFF" w:val="clear"/>
            <w:vAlign w:val="center"/>
          </w:tcPr>
          <w:p>
            <w:pPr>
              <w:pStyle w:val="TableContents"/>
              <w:bidi w:val="0"/>
              <w:spacing w:before="0" w:after="283"/>
              <w:jc w:val="left"/>
              <w:rPr/>
            </w:pPr>
            <w:r>
              <w:rPr/>
              <w:t>%(6) </w:t>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2.95</w:t>
            </w:r>
          </w:p>
        </w:tc>
        <w:tc>
          <w:tcPr>
            <w:tcW w:w="540" w:type="dxa"/>
            <w:tcBorders/>
            <w:vAlign w:val="center"/>
          </w:tcPr>
          <w:p>
            <w:pPr>
              <w:pStyle w:val="TableContents"/>
              <w:bidi w:val="0"/>
              <w:spacing w:before="0" w:after="283"/>
              <w:jc w:val="left"/>
              <w:rPr/>
            </w:pPr>
            <w:r>
              <w:rPr/>
              <w:t>%(7) </w:t>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fund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6.63</w:t>
            </w:r>
          </w:p>
        </w:tc>
        <w:tc>
          <w:tcPr>
            <w:tcW w:w="540" w:type="dxa"/>
            <w:tcBorders/>
            <w:shd w:fill="CCEEFF" w:val="clear"/>
            <w:vAlign w:val="center"/>
          </w:tcPr>
          <w:p>
            <w:pPr>
              <w:pStyle w:val="TableContents"/>
              <w:bidi w:val="0"/>
              <w:spacing w:before="0" w:after="283"/>
              <w:jc w:val="left"/>
              <w:rPr/>
            </w:pPr>
            <w:r>
              <w:rPr/>
              <w:t>%(8) </w:t>
            </w:r>
          </w:p>
        </w:tc>
      </w:tr>
      <w:tr>
        <w:trPr/>
        <w:tc>
          <w:tcPr>
            <w:tcW w:w="8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annual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26.15</w:t>
            </w:r>
          </w:p>
        </w:tc>
        <w:tc>
          <w:tcPr>
            <w:tcW w:w="54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securities are sold to or through underwriters or agents, a corresponding prospectus or prospectus supplement will disclose the applicable sales load and other offering expenses to be borne by us and our stockholders.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supplement corresponding to each offering will disclose the applicable estimated amount of offering expenses, the offering price and the offering expenses borne by us as a percentage of the offering price.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us. There will be no brokerage charges or other charges to stockholders who participate in the plan.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base management fee, payable quarterly in arrears, is calculated at an annual rate of 1.50% of the Company’s gross assets, excluding cash and cash equivalents, but including assets purchased with borrowed amounts;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management fee reflected in the table is calculated by determining the ratio that the management fee bears to the Company’s net assets attributable to common stock (rather than its gross assets). The base management fees referenced in the table above are based on annualized amounts of the management fees incurred during the nine months ended September 30, 2024.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(5)</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incentive fee consists of two parts: (1) a portion based on our pre-incentive fee net investment income, or the Income-Based Fee, and (2) a portion based on the capital gains received on our portfolio of securities on a cumulative basis for each calendar year, net of all realized capital losses and all unrealized capital depreciation on a cumulative basis, less the aggregate amount of any previously paid capital gains fee, or the Capital Gains Fee. The Income-Based Fee is 17.50% of pre-incentive fee net investment income with a 7.00% hurdle rate. The Capital Gains Fee is 17.50% of capital gains computed net of all realized capital losses and gross unrealized capital depreciation.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pPr>
            <w:r>
              <w:rPr/>
              <w:t>“</w:t>
            </w:r>
            <w:r>
              <w:rPr>
                <w:rFonts w:ascii="Times New Roman" w:hAnsi="Times New Roman"/>
                <w:sz w:val="20"/>
              </w:rPr>
              <w:t xml:space="preserve">Interest payments on borrowed funds” represent the Company’s annualized interest and financing costs as reflected in the consolidated statement of operations for the nine months ended September 30, 2024 with respect to our revolving credit facility, 18-2 secured notes as well as the Company’s outstanding unsecured notes. The costs associated with any outstanding indebtedness are indirectly borne by our common stockholders. The amount of leverage we employ at any particular time will depend on, among other things, the Board’s and our Adviser’s assessment of the market and other factors at the time at any proposed borrowing. We may also issue preferred stock, subject to our compliance with applicable requirements under the 1940 Act.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(7)</w:t>
            </w:r>
          </w:p>
        </w:tc>
        <w:tc>
          <w:tcPr>
            <w:tcW w:w="9948" w:type="dxa"/>
            <w:tcBorders/>
            <w:vAlign w:val="center"/>
          </w:tcPr>
          <w:p>
            <w:pPr>
              <w:pStyle w:val="TableContents"/>
              <w:bidi w:val="0"/>
              <w:spacing w:before="0" w:after="0"/>
              <w:jc w:val="left"/>
              <w:rPr/>
            </w:pPr>
            <w:r>
              <w:rPr/>
              <w:t>“</w:t>
            </w:r>
            <w:r>
              <w:rPr>
                <w:rFonts w:ascii="Times New Roman" w:hAnsi="Times New Roman"/>
                <w:sz w:val="20"/>
              </w:rPr>
              <w:t xml:space="preserve">Other expenses” represent the annualized amounts as reflected in the consolidated statement of operations for the nine months ended September 30, 2024, including payments under the Administration Agreement based on our allocable portion of overhead and other expenses incurred by our Administrator.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(8)</w:t>
            </w:r>
          </w:p>
        </w:tc>
        <w:tc>
          <w:tcPr>
            <w:tcW w:w="9958" w:type="dxa"/>
            <w:tcBorders/>
            <w:vAlign w:val="center"/>
          </w:tcPr>
          <w:p>
            <w:pPr>
              <w:pStyle w:val="TableContents"/>
              <w:bidi w:val="0"/>
              <w:spacing w:before="0" w:after="0"/>
              <w:jc w:val="left"/>
              <w:rPr/>
            </w:pPr>
            <w:r>
              <w:rPr/>
              <w:t>“</w:t>
            </w:r>
            <w:r>
              <w:rPr>
                <w:rFonts w:ascii="Times New Roman" w:hAnsi="Times New Roman"/>
                <w:sz w:val="20"/>
              </w:rPr>
              <w:t xml:space="preserve">Acquired fund fees and expenses” are the indirect costs of investing in the Company’s joint ventures. The operating expenses in this fee table will not correlate to the expense ratio in the Company’s Financial Highlights because the financial statements include only the direct operating expenses incurred by the Company. Therefore, amounts may not agree with the Financial Highlights due to the inclusions in this table of Acquired Fund Fees and Expenses and certain other adjustments.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Example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0"/>
        <w:gridCol w:w="120"/>
        <w:gridCol w:w="175"/>
        <w:gridCol w:w="475"/>
        <w:gridCol w:w="60"/>
        <w:gridCol w:w="120"/>
        <w:gridCol w:w="199"/>
        <w:gridCol w:w="541"/>
        <w:gridCol w:w="60"/>
        <w:gridCol w:w="120"/>
        <w:gridCol w:w="199"/>
        <w:gridCol w:w="541"/>
        <w:gridCol w:w="60"/>
        <w:gridCol w:w="120"/>
        <w:gridCol w:w="172"/>
        <w:gridCol w:w="688"/>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 annual return(1)</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1,107</w:t>
            </w:r>
          </w:p>
        </w:tc>
        <w:tc>
          <w:tcPr>
            <w:tcW w:w="7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 annual return entirely from realized gains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475" w:type="dxa"/>
            <w:tcBorders/>
            <w:vAlign w:val="center"/>
          </w:tcPr>
          <w:p>
            <w:pPr>
              <w:pStyle w:val="TableContents"/>
              <w:bidi w:val="0"/>
              <w:spacing w:before="0" w:after="283"/>
              <w:jc w:val="right"/>
              <w:rPr/>
            </w:pPr>
            <w:r>
              <w:rPr/>
              <w:t>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831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1,113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we will not realize any capital gains computed net of all realized capital losses and gross unrealized capital depreciation in any of the periods indicated.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the example assumes, as required by the SEC, a 5% annual return, our performance will vary and may result in a return greater or less than 5%. Assuming a 5% annual return, the income incentive fee under the Investment Advisory Agreement may not be earned or payable and is not included in the example. If we achieve sufficient returns on our investments to trigger an income incentive fee of a material amount, our expenses, and returns to our investors, would be higher. </w:t>
      </w:r>
    </w:p>
    <w:p>
      <w:pPr>
        <w:pStyle w:val="TextBody"/>
        <w:bidi w:val="0"/>
        <w:spacing w:before="240" w:after="0"/>
        <w:jc w:val="left"/>
        <w:rPr>
          <w:rFonts w:ascii="Times New Roman" w:hAnsi="Times New Roman"/>
          <w:sz w:val="20"/>
        </w:rPr>
      </w:pPr>
      <w:r>
        <w:rPr>
          <w:rFonts w:ascii="Times New Roman" w:hAnsi="Times New Roman"/>
          <w:sz w:val="20"/>
        </w:rPr>
        <w:t xml:space="preserve">Further, while the example assumes reinvestment of all distributions at net asset value (“NAV”), participants in our dividend reinvestment plan will receive a number of shares of our common stock determined by dividing the total dollar amount of the distribution payable to a participant by (a) the market price per share of our common stock at the close of trading on the payment date fixed by the Board in the event that newly issued shares of our common stock are used to implement the dividend reinvestment plan or (b) the average purchase price of all shares of common stock purchased by the plan administrator in the event that shares are purchased in the open market to implement the requirements of the dividend reinvestment plan, which may be at, above or below NAV. </w:t>
      </w:r>
    </w:p>
    <w:p>
      <w:pPr>
        <w:pStyle w:val="TextBody"/>
        <w:bidi w:val="0"/>
        <w:spacing w:before="240" w:after="0"/>
        <w:jc w:val="left"/>
        <w:rPr>
          <w:rFonts w:ascii="Times New Roman" w:hAnsi="Times New Roman"/>
          <w:sz w:val="20"/>
        </w:rPr>
      </w:pPr>
      <w:r>
        <w:rPr>
          <w:rFonts w:ascii="Times New Roman" w:hAnsi="Times New Roman"/>
          <w:b/>
          <w:sz w:val="20"/>
        </w:rPr>
        <w:t>This example and the expenses in the table above should not be considered a representation of our future expenses, and actual expenses (including the cost of debt, if any, and other expenses) may be greater or less than those shown.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oc100895_4"/>
      <w:bookmarkEnd w:id="5"/>
      <w:r>
        <w:rPr>
          <w:rFonts w:ascii="Times New Roman" w:hAnsi="Times New Roman"/>
          <w:b/>
          <w:sz w:val="20"/>
        </w:rPr>
        <w:t xml:space="preserve">FINANCIAL HIGHLIGHTS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9B. Other Information — Financial Highlights</w:t>
      </w:r>
      <w:r>
        <w:rPr>
          <w:rFonts w:ascii="Times New Roman" w:hAnsi="Times New Roman"/>
          <w:sz w:val="20"/>
        </w:rPr>
        <w:t>” in our most recent Annual Report on Form 10-K and the “</w:t>
      </w:r>
      <w:r>
        <w:rPr>
          <w:rFonts w:ascii="Times New Roman" w:hAnsi="Times New Roman"/>
          <w:i/>
          <w:sz w:val="20"/>
        </w:rPr>
        <w:t>Consolidated Financial Highlights</w:t>
      </w:r>
      <w:r>
        <w:rPr>
          <w:rFonts w:ascii="Times New Roman" w:hAnsi="Times New Roman"/>
          <w:sz w:val="20"/>
        </w:rPr>
        <w:t xml:space="preserve">” in our audited consolidated financial statements appearing in our most recent Annual Report on Form 10-K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oc100895_5"/>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Before deciding whether to invest in our securities, you should carefully consider the risks and uncertainties described in the section titled “</w:t>
      </w:r>
      <w:r>
        <w:rPr>
          <w:rFonts w:ascii="Times New Roman" w:hAnsi="Times New Roman"/>
          <w:i/>
          <w:sz w:val="20"/>
        </w:rPr>
        <w:t>Risk Factors</w:t>
      </w:r>
      <w:r>
        <w:rPr>
          <w:rFonts w:ascii="Times New Roman" w:hAnsi="Times New Roman"/>
          <w:sz w:val="20"/>
        </w:rPr>
        <w:t>” in the applicable prospectus supplement and any related free writing prospectus, and discussed in the section titled “</w:t>
      </w:r>
      <w:r>
        <w:rPr>
          <w:rFonts w:ascii="Times New Roman" w:hAnsi="Times New Roman"/>
          <w:i/>
          <w:sz w:val="20"/>
        </w:rPr>
        <w:t>Risk Factors</w:t>
      </w:r>
      <w:r>
        <w:rPr>
          <w:rFonts w:ascii="Times New Roman" w:hAnsi="Times New Roman"/>
          <w:sz w:val="20"/>
        </w:rPr>
        <w:t>” in our most recent Annual Report on Form 10-K, our subsequently filed Quarterly Reports on Form 10-Q, and any subsequent filings we have made or will make with the SEC that are incorporated by reference into this prospectus, together with other information in this prospectus, the documents incorporated by reference herein, and any applicable prospectus supplement or free writing prospectus, including documents incorporated therein, that we may authorize for use in connection with this offering. The risks described in these documents are not the only ones we face. Additional risks and uncertainties that we are unaware of, or that we currently believe are not material, may also become important factors that adversely affect our business, financial condition and/or operating results.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NAV and the trading price of our securities to decline, resulting in a loss of all or part of your investment. Please also read carefully the section 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100895_6"/>
      <w:bookmarkEnd w:id="7"/>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7. Management’s Discussion and Analysis of Financial Condition and Results of Operations</w:t>
      </w:r>
      <w:r>
        <w:rPr>
          <w:rFonts w:ascii="Times New Roman" w:hAnsi="Times New Roman"/>
          <w:sz w:val="20"/>
        </w:rPr>
        <w:t>” of our most recent Annual Report on Form 10-K and the information in “</w:t>
      </w:r>
      <w:r>
        <w:rPr>
          <w:rFonts w:ascii="Times New Roman" w:hAnsi="Times New Roman"/>
          <w:i/>
          <w:sz w:val="20"/>
        </w:rPr>
        <w:t>Part I, Item 2. Management’s Discussion and Analysis of Financial Condition and Results of Operations</w:t>
      </w:r>
      <w:r>
        <w:rPr>
          <w:rFonts w:ascii="Times New Roman" w:hAnsi="Times New Roman"/>
          <w:sz w:val="20"/>
        </w:rPr>
        <w:t xml:space="preserve">” of our most recent Quarterly Report on Form 10-Q for the fiscal quarter ended September 30, 2024, filed with the SEC on November 12, 2024 (“most recent Quarterly Report on Form 10-Q”)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oc100895_7"/>
      <w:bookmarkEnd w:id="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We generally identify forward-looking statements by terminology such as “may,” “will,” “should,” “expect,” “plan,” “anticipate,” “could,” “intend,” “target,” “project,” “contemplate,”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prospectus, should not be regarded as a representation by us that our plans or objectives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or incorporated by reference in this prospectus and any applicable prospectus supplement or free writing prospectus may include statements as to: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existing and prospective portfolio companies;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return or impact of current and future investments;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other relationships with third parties;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ability of our existing and prospective portfolio companies to achieve their objectives;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financings and investments;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regulatory structure and tax treatment;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business development company and a regulated investment company, including the impact of changes in laws or regulations governing our operations or the operations of our portfolio companies;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fluctuations in interest rates on our business;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our ability to access additional capital; and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included in this prospectus and will base the forward-looking statements included in any accompanying prospectus supplement on information available to us on the date of this prospectus and any accompanying prospectus supplement, as appropriate, and we assume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 to update any such forward-looking statements, except as required by law. These statements are inherently uncertain and investors are cautioned not to unduly rely on these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oc100895_8"/>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or in any free writing prospectus we have authorized for use in connection with a specific offering, we intend to use any net proceeds we receive from the sale of securities pursuant to this prospectus for general corporate purposes, which includes making new investments in accordance with our investment objective and strategies, paying operating expenses, including advisory and administrative fees and expenses and reducing the amount of any of our outstanding borrowings, and other expenses such as the due diligence expenses associated with potential new investments.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substantially all of the net proceeds of an offering of securities pursuant to this prospectus and a related prospectus supplement will be used for the above purposes within three months of any such offering, depending on the availability of appropriate investment opportunities consistent with our investment objective, but no longer than within six months of any such offerings. </w:t>
      </w:r>
    </w:p>
    <w:p>
      <w:pPr>
        <w:pStyle w:val="TextBody"/>
        <w:bidi w:val="0"/>
        <w:spacing w:before="240" w:after="0"/>
        <w:jc w:val="left"/>
        <w:rPr>
          <w:rFonts w:ascii="Times New Roman" w:hAnsi="Times New Roman"/>
          <w:sz w:val="20"/>
        </w:rPr>
      </w:pPr>
      <w:r>
        <w:rPr>
          <w:rFonts w:ascii="Times New Roman" w:hAnsi="Times New Roman"/>
          <w:sz w:val="20"/>
        </w:rPr>
        <w:t xml:space="preserve">Pending any new investments we may make or the payment of expenses described above, we intend to invest any net proceeds from an offering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oc100895_9"/>
      <w:bookmarkEnd w:id="10"/>
      <w:r>
        <w:rPr>
          <w:rFonts w:ascii="Times New Roman" w:hAnsi="Times New Roman"/>
          <w:b/>
          <w:sz w:val="20"/>
        </w:rPr>
        <w:t xml:space="preserve">PRICE RANGE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under the symbol “PTMN.” The following table sets forth, for each fiscal quarter during the last two fiscal years and the current fiscal year to date, the NAV per share of our common stock, the high and low closing sales prices for our common stock and such sales prices as a percentage of NAV per share.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5"/>
        <w:gridCol w:w="60"/>
        <w:gridCol w:w="140"/>
        <w:gridCol w:w="686"/>
        <w:gridCol w:w="60"/>
        <w:gridCol w:w="60"/>
        <w:gridCol w:w="171"/>
        <w:gridCol w:w="834"/>
        <w:gridCol w:w="72"/>
        <w:gridCol w:w="72"/>
        <w:gridCol w:w="171"/>
        <w:gridCol w:w="837"/>
        <w:gridCol w:w="60"/>
        <w:gridCol w:w="60"/>
        <w:gridCol w:w="139"/>
        <w:gridCol w:w="1482"/>
        <w:gridCol w:w="331"/>
        <w:gridCol w:w="60"/>
        <w:gridCol w:w="139"/>
        <w:gridCol w:w="1482"/>
        <w:gridCol w:w="354"/>
      </w:tblGrid>
      <w:tr>
        <w:trPr/>
        <w:tc>
          <w:tcPr>
            <w:tcW w:w="2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935"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60" w:type="dxa"/>
            <w:vMerge w:val="restart"/>
            <w:tcBorders/>
            <w:vAlign w:val="center"/>
          </w:tcPr>
          <w:p>
            <w:pPr>
              <w:pStyle w:val="TableContents"/>
              <w:bidi w:val="0"/>
              <w:spacing w:before="0" w:after="283"/>
              <w:jc w:val="left"/>
              <w:rPr/>
            </w:pPr>
            <w:r>
              <w:rPr/>
              <w:t> </w:t>
            </w:r>
          </w:p>
        </w:tc>
        <w:tc>
          <w:tcPr>
            <w:tcW w:w="826"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NAV(1)</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7" w:type="dxa"/>
            <w:gridSpan w:val="6"/>
            <w:tcBorders/>
            <w:vAlign w:val="center"/>
          </w:tcPr>
          <w:p>
            <w:pPr>
              <w:pStyle w:val="TableContents"/>
              <w:bidi w:val="0"/>
              <w:spacing w:before="0" w:after="283"/>
              <w:jc w:val="center"/>
              <w:rPr>
                <w:b/>
              </w:rPr>
            </w:pPr>
            <w:r>
              <w:rPr>
                <w:b/>
              </w:rPr>
              <w:t>Closing Sale Prices(2)</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21"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Premium /</w:t>
              <w:br/>
              <w:t>(Discount)</w:t>
              <w:br/>
              <w:t>of High Sale</w:t>
            </w:r>
            <w:r>
              <w:rPr/>
              <w:br/>
            </w:r>
            <w:r>
              <w:rPr>
                <w:b/>
              </w:rPr>
              <w:t>Price to NAV(3)</w:t>
            </w:r>
          </w:p>
        </w:tc>
        <w:tc>
          <w:tcPr>
            <w:tcW w:w="331"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21"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Premium /</w:t>
              <w:br/>
              <w:t>(Discount)</w:t>
              <w:br/>
              <w:t>of Low Sale</w:t>
            </w:r>
            <w:r>
              <w:rPr/>
              <w:br/>
            </w:r>
            <w:r>
              <w:rPr>
                <w:b/>
              </w:rPr>
              <w:t>Price to NAV(3)</w:t>
            </w:r>
          </w:p>
        </w:tc>
        <w:tc>
          <w:tcPr>
            <w:tcW w:w="354" w:type="dxa"/>
            <w:vMerge w:val="restart"/>
            <w:tcBorders/>
            <w:vAlign w:val="center"/>
          </w:tcPr>
          <w:p>
            <w:pPr>
              <w:pStyle w:val="TableContents"/>
              <w:bidi w:val="0"/>
              <w:spacing w:before="0" w:after="283"/>
              <w:jc w:val="left"/>
              <w:rPr/>
            </w:pPr>
            <w:r>
              <w:rPr/>
              <w:t> </w:t>
            </w:r>
          </w:p>
        </w:tc>
      </w:tr>
      <w:tr>
        <w:trPr/>
        <w:tc>
          <w:tcPr>
            <w:tcW w:w="293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26"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21" w:type="dxa"/>
            <w:gridSpan w:val="2"/>
            <w:vMerge w:val="continue"/>
            <w:tcBorders>
              <w:bottom w:val="single" w:sz="8" w:space="0" w:color="000000"/>
            </w:tcBorders>
            <w:tcMar>
              <w:bottom w:w="28" w:type="dxa"/>
            </w:tcMar>
            <w:vAlign w:val="center"/>
          </w:tcPr>
          <w:p>
            <w:pPr>
              <w:pStyle w:val="Normal"/>
              <w:bidi w:val="0"/>
              <w:jc w:val="left"/>
              <w:rPr/>
            </w:pPr>
            <w:r>
              <w:rPr/>
            </w:r>
          </w:p>
        </w:tc>
        <w:tc>
          <w:tcPr>
            <w:tcW w:w="331"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621" w:type="dxa"/>
            <w:gridSpan w:val="2"/>
            <w:vMerge w:val="continue"/>
            <w:tcBorders/>
            <w:vAlign w:val="center"/>
          </w:tcPr>
          <w:p>
            <w:pPr>
              <w:pStyle w:val="Normal"/>
              <w:bidi w:val="0"/>
              <w:jc w:val="left"/>
              <w:rPr/>
            </w:pPr>
            <w:r>
              <w:rPr/>
            </w:r>
          </w:p>
        </w:tc>
        <w:tc>
          <w:tcPr>
            <w:tcW w:w="354" w:type="dxa"/>
            <w:vMerge w:val="continue"/>
            <w:tcBorders/>
            <w:vAlign w:val="center"/>
          </w:tcPr>
          <w:p>
            <w:pPr>
              <w:pStyle w:val="Normal"/>
              <w:bidi w:val="0"/>
              <w:jc w:val="left"/>
              <w:rPr/>
            </w:pPr>
            <w:r>
              <w:rPr/>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2025 (as of January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center"/>
              <w:rPr/>
            </w:pPr>
            <w:r>
              <w:rPr/>
              <w:t>$17.15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center"/>
              <w:rPr/>
            </w:pPr>
            <w:r>
              <w:rPr/>
              <w:t>$16.37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center"/>
              <w:rPr/>
            </w:pPr>
            <w:r>
              <w:rPr/>
              <w:t>*</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center"/>
              <w:rPr/>
            </w:pPr>
            <w:r>
              <w:rPr/>
              <w:t>*</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 of 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center"/>
              <w:rPr/>
            </w:pPr>
            <w:r>
              <w:rPr/>
              <w:t>$19.41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18.70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16.28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(3.66</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(16.13</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19.86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(2.46</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(10.85</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 of 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20.49</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(3.39</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(10.56</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19.50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(13.60</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(19.36</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 of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22.76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19.30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16.55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(15.20</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(27.28</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 of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20.81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(8.12</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(16.64</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 of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22.54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21.10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(6.39</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(16.33</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23.39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(0.70</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(13.91</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 of 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24.23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23.00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19.61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(5.08</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(19.07</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 of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24.38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(6.88</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(23.61</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 of 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27.26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24.08</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21.86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(11.66</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(19.80</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25.15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23.29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(12.55</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(19.02</w:t>
            </w:r>
          </w:p>
        </w:tc>
        <w:tc>
          <w:tcPr>
            <w:tcW w:w="35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 per share is determined as of the last day in the relevant quarter and therefore may not reflect the NAV per share on the date of the high and low sales prices. The NAVs shown are based on outstanding shares at the end of each period. </w:t>
            </w:r>
          </w:p>
        </w:tc>
      </w:tr>
    </w:tbl>
    <w:tbl>
      <w:tblPr>
        <w:tblW w:w="4330" w:type="dxa"/>
        <w:jc w:val="left"/>
        <w:tblInd w:w="0" w:type="dxa"/>
        <w:tblLayout w:type="fixed"/>
        <w:tblCellMar>
          <w:top w:w="0" w:type="dxa"/>
          <w:left w:w="0" w:type="dxa"/>
          <w:bottom w:w="0" w:type="dxa"/>
          <w:right w:w="0" w:type="dxa"/>
        </w:tblCellMar>
      </w:tblPr>
      <w:tblGrid>
        <w:gridCol w:w="305"/>
        <w:gridCol w:w="4025"/>
      </w:tblGrid>
      <w:tr>
        <w:trPr/>
        <w:tc>
          <w:tcPr>
            <w:tcW w:w="305" w:type="dxa"/>
            <w:tcBorders/>
            <w:vAlign w:val="center"/>
          </w:tcPr>
          <w:p>
            <w:pPr>
              <w:pStyle w:val="TableContents"/>
              <w:bidi w:val="0"/>
              <w:spacing w:before="0" w:after="283"/>
              <w:jc w:val="left"/>
              <w:rPr/>
            </w:pPr>
            <w:r>
              <w:rPr/>
              <w:t>(2)</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Closing sales price as provided by the NASDAQ. </w:t>
            </w:r>
          </w:p>
        </w:tc>
      </w:tr>
    </w:tbl>
    <w:tbl>
      <w:tblPr>
        <w:tblW w:w="8050" w:type="dxa"/>
        <w:jc w:val="left"/>
        <w:tblInd w:w="0" w:type="dxa"/>
        <w:tblLayout w:type="fixed"/>
        <w:tblCellMar>
          <w:top w:w="0" w:type="dxa"/>
          <w:left w:w="0" w:type="dxa"/>
          <w:bottom w:w="0" w:type="dxa"/>
          <w:right w:w="0" w:type="dxa"/>
        </w:tblCellMar>
      </w:tblPr>
      <w:tblGrid>
        <w:gridCol w:w="305"/>
        <w:gridCol w:w="7745"/>
      </w:tblGrid>
      <w:tr>
        <w:trPr/>
        <w:tc>
          <w:tcPr>
            <w:tcW w:w="305" w:type="dxa"/>
            <w:tcBorders/>
            <w:vAlign w:val="center"/>
          </w:tcPr>
          <w:p>
            <w:pPr>
              <w:pStyle w:val="TableContents"/>
              <w:bidi w:val="0"/>
              <w:spacing w:before="0" w:after="283"/>
              <w:jc w:val="left"/>
              <w:rPr/>
            </w:pPr>
            <w:r>
              <w:rPr/>
              <w:t>(3)</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as of the respective high or low closing sales price divided by the quarter end NAV. </w:t>
            </w:r>
          </w:p>
        </w:tc>
      </w:tr>
    </w:tbl>
    <w:tbl>
      <w:tblPr>
        <w:tblW w:w="3250" w:type="dxa"/>
        <w:jc w:val="left"/>
        <w:tblInd w:w="0" w:type="dxa"/>
        <w:tblLayout w:type="fixed"/>
        <w:tblCellMar>
          <w:top w:w="0" w:type="dxa"/>
          <w:left w:w="0" w:type="dxa"/>
          <w:bottom w:w="0" w:type="dxa"/>
          <w:right w:w="0" w:type="dxa"/>
        </w:tblCellMar>
      </w:tblPr>
      <w:tblGrid>
        <w:gridCol w:w="155"/>
        <w:gridCol w:w="3095"/>
      </w:tblGrid>
      <w:tr>
        <w:trPr/>
        <w:tc>
          <w:tcPr>
            <w:tcW w:w="155"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determinable at the time of filing.</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January 30, 2025, the reported closing sales price of our common stock was $17.15 per share. As of December 31, 2024, we had 48 stockholders of record, which did not include stockholders for whom shares are held in “nominee” or “street name”. </w:t>
      </w:r>
    </w:p>
    <w:p>
      <w:pPr>
        <w:pStyle w:val="TextBody"/>
        <w:bidi w:val="0"/>
        <w:spacing w:before="240" w:after="0"/>
        <w:jc w:val="left"/>
        <w:rPr>
          <w:rFonts w:ascii="Times New Roman" w:hAnsi="Times New Roman"/>
          <w:sz w:val="20"/>
        </w:rPr>
      </w:pPr>
      <w:r>
        <w:rPr>
          <w:rFonts w:ascii="Times New Roman" w:hAnsi="Times New Roman"/>
          <w:sz w:val="20"/>
        </w:rPr>
        <w:t xml:space="preserve">Shares of BDCs may trade at a market price that is less than the value of the net assets attributable to those shares. The possibility that our shares of common stock will trade at a discount from NAV per share or at premiums that are unsustainable over the long term are separate and distinct from the risk that our NAV per share will decrease. It is not possible to predict whether our common stock will trade at, above, or below NAV per share. Since our initial public offering in December 2006, our shares of common stock have traded at prices both less than and exceeding our NAV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oc100895_10"/>
      <w:bookmarkEnd w:id="11"/>
      <w:r>
        <w:rPr>
          <w:rFonts w:ascii="Times New Roman" w:hAnsi="Times New Roman"/>
          <w:b/>
          <w:sz w:val="20"/>
        </w:rPr>
        <w:t xml:space="preserve">SENIOR SECURITIES </w:t>
      </w:r>
    </w:p>
    <w:p>
      <w:pPr>
        <w:pStyle w:val="TextBody"/>
        <w:bidi w:val="0"/>
        <w:spacing w:before="240" w:after="0"/>
        <w:jc w:val="left"/>
        <w:rPr>
          <w:rFonts w:ascii="Times New Roman" w:hAnsi="Times New Roman"/>
          <w:sz w:val="20"/>
        </w:rPr>
      </w:pPr>
      <w:r>
        <w:rPr>
          <w:rFonts w:ascii="Times New Roman" w:hAnsi="Times New Roman"/>
          <w:sz w:val="20"/>
        </w:rPr>
        <w:t>Information about our senior securities as of the end of each of our last ten fiscal years can be found under “</w:t>
      </w:r>
      <w:r>
        <w:rPr>
          <w:rFonts w:ascii="Times New Roman" w:hAnsi="Times New Roman"/>
          <w:i/>
          <w:sz w:val="20"/>
        </w:rPr>
        <w:t>Notes to Consolidated Financial Statements — Note</w:t>
      </w:r>
      <w:r>
        <w:rPr>
          <w:rFonts w:ascii="Times New Roman" w:hAnsi="Times New Roman"/>
          <w:sz w:val="20"/>
        </w:rPr>
        <w:t> </w:t>
      </w:r>
      <w:r>
        <w:rPr>
          <w:rFonts w:ascii="Times New Roman" w:hAnsi="Times New Roman"/>
          <w:i/>
          <w:sz w:val="20"/>
        </w:rPr>
        <w:t>6. Borrowings — Senior Securities</w:t>
      </w:r>
      <w:r>
        <w:rPr>
          <w:rFonts w:ascii="Times New Roman" w:hAnsi="Times New Roman"/>
          <w:sz w:val="20"/>
        </w:rPr>
        <w:t>” in our most recent Annual Report on Form 10-K, which is incorporated by reference herein. Information about our senior securities as of September 30, 2024 can be found under “</w:t>
      </w:r>
      <w:r>
        <w:rPr>
          <w:rFonts w:ascii="Times New Roman" w:hAnsi="Times New Roman"/>
          <w:i/>
          <w:sz w:val="20"/>
        </w:rPr>
        <w:t>Notes to Consolidated Financial Statements — Note</w:t>
      </w:r>
      <w:r>
        <w:rPr>
          <w:rFonts w:ascii="Times New Roman" w:hAnsi="Times New Roman"/>
          <w:sz w:val="20"/>
        </w:rPr>
        <w:t> </w:t>
      </w:r>
      <w:r>
        <w:rPr>
          <w:rFonts w:ascii="Times New Roman" w:hAnsi="Times New Roman"/>
          <w:i/>
          <w:sz w:val="20"/>
        </w:rPr>
        <w:t>6. Borrowings — Senior Securities</w:t>
      </w:r>
      <w:r>
        <w:rPr>
          <w:rFonts w:ascii="Times New Roman" w:hAnsi="Times New Roman"/>
          <w:sz w:val="20"/>
        </w:rPr>
        <w:t xml:space="preserve">” in our most recent Quarterly Report on Form 10-Q,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oc100895_11"/>
      <w:bookmarkEnd w:id="12"/>
      <w:r>
        <w:rPr>
          <w:rFonts w:ascii="Times New Roman" w:hAnsi="Times New Roman"/>
          <w:b/>
          <w:sz w:val="20"/>
        </w:rPr>
        <w:t xml:space="preserve">BUSINESS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w:t>
      </w:r>
      <w:r>
        <w:rPr>
          <w:rFonts w:ascii="Times New Roman" w:hAnsi="Times New Roman"/>
          <w:sz w:val="20"/>
        </w:rPr>
        <w:t> </w:t>
      </w:r>
      <w:r>
        <w:rPr>
          <w:rFonts w:ascii="Times New Roman" w:hAnsi="Times New Roman"/>
          <w:i/>
          <w:sz w:val="20"/>
        </w:rPr>
        <w:t>1. Business</w:t>
      </w:r>
      <w:r>
        <w:rPr>
          <w:rFonts w:ascii="Times New Roman" w:hAnsi="Times New Roman"/>
          <w:sz w:val="20"/>
        </w:rPr>
        <w:t xml:space="preserve">” of our most recent Annual Report on Form 10-K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oc100895_12"/>
      <w:bookmarkEnd w:id="13"/>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as of September 30, 2024, for each portfolio company in which we had an investment. Amounts are presented in thousands, except share and per share amounts. Percentages shown for class of securities held by the Company represent percentage of the class owned and do not necessarily represent voting ownership or economic ownership. Other than these investments, our only formal relationships with our portfolio companies are the significant managerial assistance that we may provide upon request and the board observation or participation rights we may receive in connection with our investment. As defined by the 1940 Act, we do not “control” any of the portfolio companies, except as indicated below. In general, under the 1940 Act, we would be presumed to “control” a portfolio company if we owned more than 25% of its voting securities and would be an “affiliate” of a portfolio company if we owned more than 5% of its outstanding voting securities. </w:t>
      </w:r>
    </w:p>
    <w:p>
      <w:pPr>
        <w:pStyle w:val="TextBody"/>
        <w:bidi w:val="0"/>
        <w:spacing w:before="0" w:after="0"/>
        <w:jc w:val="left"/>
        <w:rPr/>
      </w:pPr>
      <w:r>
        <w:rPr/>
        <w:t> </w:t>
      </w:r>
    </w:p>
    <w:tbl>
      <w:tblPr>
        <w:tblW w:w="14445" w:type="dxa"/>
        <w:jc w:val="left"/>
        <w:tblInd w:w="0" w:type="dxa"/>
        <w:tblLayout w:type="fixed"/>
        <w:tblCellMar>
          <w:top w:w="0" w:type="dxa"/>
          <w:left w:w="0" w:type="dxa"/>
          <w:bottom w:w="0" w:type="dxa"/>
          <w:right w:w="0" w:type="dxa"/>
        </w:tblCellMar>
      </w:tblPr>
      <w:tblGrid>
        <w:gridCol w:w="1160"/>
        <w:gridCol w:w="60"/>
        <w:gridCol w:w="920"/>
        <w:gridCol w:w="60"/>
        <w:gridCol w:w="905"/>
        <w:gridCol w:w="60"/>
        <w:gridCol w:w="1145"/>
        <w:gridCol w:w="60"/>
        <w:gridCol w:w="131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Investments in Non-Control, Non-Affiliate Portfolio Companies - 190.2%</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First Lien/Senior Secured Debt - 164.2%</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Accordion Partners LLC</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31 West 52nd Street, 16th Floor, New York, NY 10019</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Finance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pPr>
            <w:r>
              <w:rPr/>
              <w:t>SOFR + 6.27%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08/29/2029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Accordion Partners LLC (Revolver)</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 West 52nd Street, 16th Floor, New York, NY 10019</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Finance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08/31/2028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Accurate Background, LLC</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200 Spectrum Center Drive Suite 1100, Irvine, CA 92618</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pPr>
            <w:r>
              <w:rPr/>
              <w:t>SOFR + 6.00%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03/26/2029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415 Bedford Road - Suite 102, Pleasantville, NY 10570</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13.00%, 5.00%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04/14/2027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14,972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14,754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14,385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AIDC IntermediateCo 2, LLC (Peak Technologies)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901 Elkridge Landing Rd Suite 300, Linthicum Heights, MD 21090</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pPr>
            <w:r>
              <w:rPr/>
              <w:t>SOFR + 5.25%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tbl>
      <w:tblPr>
        <w:tblW w:w="17415" w:type="dxa"/>
        <w:jc w:val="left"/>
        <w:tblInd w:w="0" w:type="dxa"/>
        <w:tblLayout w:type="fixed"/>
        <w:tblCellMar>
          <w:top w:w="0" w:type="dxa"/>
          <w:left w:w="0" w:type="dxa"/>
          <w:bottom w:w="0" w:type="dxa"/>
          <w:right w:w="0" w:type="dxa"/>
        </w:tblCellMar>
      </w:tblPr>
      <w:tblGrid>
        <w:gridCol w:w="1670"/>
        <w:gridCol w:w="60"/>
        <w:gridCol w:w="1220"/>
        <w:gridCol w:w="60"/>
        <w:gridCol w:w="2870"/>
        <w:gridCol w:w="60"/>
        <w:gridCol w:w="1145"/>
        <w:gridCol w:w="60"/>
        <w:gridCol w:w="1505"/>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AMCP Pet Holdings,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801 Crescent Center Drive, Franklin, TN 37067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Beverage, Food and Tobacco</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+ 6.25%, 0.75%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AMCP Pet Holdings, Inc.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801 Crescent Center Drive, Franklin, TN 37067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Beverage, Food and Tobacco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+ 6.25%, 0.75%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10/06/2026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American Academy Holdings, LLC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2222 Sedwick Drive, Durham, NC 27713</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+ 4.50%, 5.25%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14.62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Ancile Solutions,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6085 Marshalee Drive Suite 300, Elkridge, MD 21075</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+ 10.00%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15.21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06/11/2026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6,041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+ 9.50%, 12.10%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11/15/2026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8269 E. 23rd Ave, Denver, CO 80238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Media: Broadcasting &amp; Subscription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+ 9.50%, 12.10%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14.37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11/15/2026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(Revolver 2022)</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+ 9.50%, 12.10%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Appfire Technologies,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1500 District Ave, Burlington, MA 01803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+ 4.75%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03/09/2028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BetaNXT,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55 Broadway, 8th Floor, New York, NY 10006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07/01/2029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BetaNXT, Inc.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55 Broadway, 8th Floor, New York, NY 10006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+ 4.44%</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07/01/2027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Bradshaw International Parent Corp.</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9409 Buffalo Ave, Rancho Cucamonga, CA 91730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Bradshaw International Parent Corp.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9409 Buffalo Ave, Rancho Cucamonga, CA 91730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+ 5.75%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tbl>
      <w:tblPr>
        <w:tblW w:w="16275" w:type="dxa"/>
        <w:jc w:val="left"/>
        <w:tblInd w:w="0" w:type="dxa"/>
        <w:tblLayout w:type="fixed"/>
        <w:tblCellMar>
          <w:top w:w="0" w:type="dxa"/>
          <w:left w:w="0" w:type="dxa"/>
          <w:bottom w:w="0" w:type="dxa"/>
          <w:right w:w="0" w:type="dxa"/>
        </w:tblCellMar>
      </w:tblPr>
      <w:tblGrid>
        <w:gridCol w:w="1160"/>
        <w:gridCol w:w="60"/>
        <w:gridCol w:w="1205"/>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Bristol Hospice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12404 Park Central Drive, Suite 400S, Dallas, TX 75251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C.P. Converters, Inc.</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15 Grumbacher Road, York, PA 17406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Chemicals, Plastics and Rubber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+ 7.49%, 1.00%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9,956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CB MIDCO, LLC</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140 Summit St., Peabody, MA 01960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09/27/2027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CCMG Buyer, LLC (Care Connectors Medical Group)</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4695 MacArthur Court, Suite 1112A, Newport Beach, CA 92660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05/08/2030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CCMG Buyer, LLC (Care Connectors Medical Group) (Revolver)</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4695 MacArthur Court, Suite 1112A, Newport Beach, CA 92660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05/08/2030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Cenexel Clinical Research, Inc.</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4516 S 700E, #230, Salt Lake City, UT 84107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11/08/2025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5,773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Inc.</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350 Fifth Ave, Empire State Building, 6th Floor New York, NY 10118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Machinery (Non-Agrclt/Constr/Electr)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+ 5.50%, 2.00%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08/06/2029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Inc. (Term Loan A1)</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350 Fifth Ave, Empire State Building, 6th Floor New York, NY 10118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Machinery (Non-Agrclt/Constr/Electr)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02/06/2031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3,807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Inc. (Term Loan A2)</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350 Fifth Ave, Empire State Building, 6th Floor New York, NY 10118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Machinery (Non-Agrclt/Constr/Electr)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+ 8.00%, 13.23%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02/06/2031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Colonnade Intermediate, LLC</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800 Concar Drive, Suite 100, San Mateo, CA 94402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04/27/2024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7,167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5,048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Colonnade Intermediate, LLC (Revolver)</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800 Concar Drive, Suite 100, San Mateo, CA 94402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04/27/2024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tbl>
      <w:tblPr>
        <w:tblW w:w="16530" w:type="dxa"/>
        <w:jc w:val="left"/>
        <w:tblInd w:w="0" w:type="dxa"/>
        <w:tblLayout w:type="fixed"/>
        <w:tblCellMar>
          <w:top w:w="0" w:type="dxa"/>
          <w:left w:w="0" w:type="dxa"/>
          <w:bottom w:w="0" w:type="dxa"/>
          <w:right w:w="0" w:type="dxa"/>
        </w:tblCellMar>
      </w:tblPr>
      <w:tblGrid>
        <w:gridCol w:w="1220"/>
        <w:gridCol w:w="60"/>
        <w:gridCol w:w="116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Critical Nurse Staffing,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1114 N. 1st Street Suite 200, Grand Junction, CO 81501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10/30/2026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Critical Nurse Staffing, LLC (Revolver)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1114 N. 1st Street Suite 200, Grand Junction, CO 81501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10/30/2026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Datalink,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14055 Riveredge Dr Ste 600, Tampa, FL 33637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11/23/2026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Dentive,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466 W 4800 N Ste 380, Provo, Utah, 84604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12/26/2028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2,661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(13)(20)</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Dentive, LLC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466 W 4800 N Ste 380, Provo, Utah, 84604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Dodge Data &amp; Analytics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34 Crosby Drive Suite 202, Bedford, MA 01730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Construction &amp;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+ 4.75%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02/10/2029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Florida Food Products,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1025 Greenwood Blvd, Suite 500, Lake Mary, FL 32746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Beverage, Food and Tobacco</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9.93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10/18/2028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Fortis Payment Systems,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1025 Greenwood Blvd, Suite 500, Lake Mary, FL 32746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Diversified Financial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02/13/2026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2,994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(13)(20)</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Franchise Group, Inc.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109 Innovation Court Suite J, Delaware, OH 43015</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Retail</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+ 4.75%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03/10/2026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Global Integrated Flooring Systems Inc.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9000 Regency Parkway Suite 400, Cary, NC 27518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+ 8.36%, 1.00%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14.70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06/30/2025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6,521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Global Integrated Flooring Systems Inc.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9000 Regency Parkway Suite 400, Cary, NC 27518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+ 8.36%</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H.W. Lochner, Inc.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225 West Washington Street, 12th Floor, Chicago, Il 60606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07/02/2027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14,416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14,295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tbl>
      <w:tblPr>
        <w:tblW w:w="16470" w:type="dxa"/>
        <w:jc w:val="left"/>
        <w:tblInd w:w="0" w:type="dxa"/>
        <w:tblLayout w:type="fixed"/>
        <w:tblCellMar>
          <w:top w:w="0" w:type="dxa"/>
          <w:left w:w="0" w:type="dxa"/>
          <w:bottom w:w="0" w:type="dxa"/>
          <w:right w:w="0" w:type="dxa"/>
        </w:tblCellMar>
      </w:tblPr>
      <w:tblGrid>
        <w:gridCol w:w="1160"/>
        <w:gridCol w:w="60"/>
        <w:gridCol w:w="116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H.W. Lochner, Inc.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225 West Washington Street, 12th Floor, Chicago, Il 60606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07/02/2027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H-CA II,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P.O. Box 4980 Caguas, PR 00726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1,808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HDC/HW Intermediate Holdings, LLC - Term Loan A</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620 Division Street, Elizabeth, NJ 07207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+ 1.00%, 2.50%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8.75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06/21/2026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HDC/HW Intermediate Holdings, LLC - Term Loan B</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620 Division Street, Elizabeth, NJ 07207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06/21/2026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3,876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Help Systems Holdings, Inc.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11095 Viking Drive Suite 100, Eden Prairie, MN 55344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+ 4.00%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8.95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11/19/2026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Hollander Intermediate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901 Yamato Road, Suite 250, Boca Raton, FL 33431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09/19/2026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5,548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5,462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IDC Infusion Services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1726 Cole Blvd. Suite 250, Lakewood, CO 80401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07/07/2028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Ivanti Software, Inc.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10377 South Jordan Gateway Suite 110, South Jordan, UT 84095</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+ 4.25%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980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JO ET Holdings Limited</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750 N San Vicente Blvd, West Hollywood, CA 90069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Telecommunications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+ 6.00%, 7.00%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17.94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12/15/2026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Keg Logistics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9110 E. Nichols Avenue, Suite 105, Centennial, CO 80112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11,814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11,717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Keg Logistics LLC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9110 E. Nichols Avenue, Suite 105, Centennial, CO 80112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11/23/2027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tbl>
      <w:tblPr>
        <w:tblW w:w="16215" w:type="dxa"/>
        <w:jc w:val="left"/>
        <w:tblInd w:w="0" w:type="dxa"/>
        <w:tblLayout w:type="fixed"/>
        <w:tblCellMar>
          <w:top w:w="0" w:type="dxa"/>
          <w:left w:w="0" w:type="dxa"/>
          <w:bottom w:w="0" w:type="dxa"/>
          <w:right w:w="0" w:type="dxa"/>
        </w:tblCellMar>
      </w:tblPr>
      <w:tblGrid>
        <w:gridCol w:w="1160"/>
        <w:gridCol w:w="60"/>
        <w:gridCol w:w="1145"/>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Lifescan Global Corporation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825 East Middlefield Road, Mountain View, CA 94043</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Luminii LLC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30736 Wiegman Road, Hayward, CA 94544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Construction &amp;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+ 7.35%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12.68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5,888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Luminii LLC (Revolver)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30736 Wiegman Road, Hayward, CA 94544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Construction &amp; Building</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+ 7.35%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04/11/2025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MAG DS Corp.</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3923 Ranchero Drive, Ann Arbor, MI 48108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Aerospace and Defense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3,634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3,391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Money Transfer Acquisition Inc.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10777 Westheimer Rd. Suite 1040, Houston, TX 77042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Finance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Morae Global 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811 Louisiana St Ste 1020, Houston, TX 77002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IT Consulting &amp; Other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10/26/2026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2,206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Morae Global Corporation (Revolver)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811 Louisiana St Ste 1020, Houston, TX 77002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IT Consulting &amp; Other Services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MSM Acquisitions, Inc.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401 City Avenue, Bala Cynwyd, PA 19004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12/09/2026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9,877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9,174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Neptune Bidco US Inc.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675 Avenue of the Americas, New York, NY 10010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04/11/2029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Netwrix 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6160 Warren Parkway, Suite 100, Frisco, TX, 75034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06/09/2029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Netwrix Corporation (Revolver)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6160 Warren Parkway, Suite 100, Frisco, TX, 75034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06/09/2029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One Stop Mailing LLC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601 Regency Drive, Glendale Heights, IL 60139</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Transportation: Consumer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04/29/2027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7,490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7,423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PhyNet Dermatology LLC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302 Innovation Drive Suite 400, Franklin, TN 37067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10/20/2029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6290" w:type="dxa"/>
        <w:jc w:val="left"/>
        <w:tblInd w:w="0" w:type="dxa"/>
        <w:tblLayout w:type="fixed"/>
        <w:tblCellMar>
          <w:top w:w="0" w:type="dxa"/>
          <w:left w:w="0" w:type="dxa"/>
          <w:bottom w:w="0" w:type="dxa"/>
          <w:right w:w="0" w:type="dxa"/>
        </w:tblCellMar>
      </w:tblPr>
      <w:tblGrid>
        <w:gridCol w:w="1160"/>
        <w:gridCol w:w="60"/>
        <w:gridCol w:w="122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(Senior A)</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1020 Petersburg Rd, Hebron, KY 41048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04/04/2026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(Senior B)</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1020 Petersburg Rd, Hebron, KY 41048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04/04/2026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(Super Senior A)</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1020 Petersburg Rd, Hebron, KY 41048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jc w:val="right"/>
              <w:rPr/>
            </w:pPr>
            <w:r>
              <w:rPr/>
              <w:t>10.00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04/04/2026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(Super Senior B)</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1020 Petersburg Rd, Hebron, KY 41048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jc w:val="right"/>
              <w:rPr/>
            </w:pPr>
            <w:r>
              <w:rPr/>
              <w:t>9.00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04/04/2026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Premier Imaging, LLC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100 E campus View Blvd Ste 100, Columbus, OH</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+ 7.57%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01/02/2025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Project Castle,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131 Griffin Way, Mt. Washington, KY 40047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Transportation: Cargo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+ 5.62%</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06/08/2029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Project Leopard Holdings,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15211 Laguna Canyon Road, Irvine, CA 92618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07/20/2029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5,710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PVHC Holding Corp</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41 Spring Street, New Providence, NJ 07974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Containers, Packaging and Glass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 0.75%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02/17/2027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2,731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Radius Aerospace,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32125 Solon Road, Suite 100, Solon, OH 44139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Aerospace and Defense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03/29/2027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Reception Purchaser,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951 Thorndale Avenue, Bensenville, IL 60106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Transportation: Cargo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03/24/2028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4,394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Riskonnect Parent LLC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380 Interstate North Pkwy SE Suite 400, Atlanta, GA 30339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Application Software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Robertshaw US Holding Corp.</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5425 Wisconsin Avenue, Suite 200, Chevy Chase, MD 20815</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09/23/2024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tbl>
      <w:tblPr>
        <w:tblW w:w="16020" w:type="dxa"/>
        <w:jc w:val="left"/>
        <w:tblInd w:w="0" w:type="dxa"/>
        <w:tblLayout w:type="fixed"/>
        <w:tblCellMar>
          <w:top w:w="0" w:type="dxa"/>
          <w:left w:w="0" w:type="dxa"/>
          <w:bottom w:w="0" w:type="dxa"/>
          <w:right w:w="0" w:type="dxa"/>
        </w:tblCellMar>
      </w:tblPr>
      <w:tblGrid>
        <w:gridCol w:w="1160"/>
        <w:gridCol w:w="60"/>
        <w:gridCol w:w="95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South Street Securities Holdings, Inc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6800 East 163rd Street, Belton, MO 64012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09/20/2027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Sundance Holdings Group, LLC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11726 San Vicente Blvd., Suite 300, Los Angeles, CA 90049</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Retail</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+ 7.82%, 1.68%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14.81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06/30/2025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6,639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6,638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Symplr Software, Inc.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315 Capitol St., Suite 100, Houston, TX 77002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+ 4.50%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9.85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Synamedia Americas Holdings, Inc.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3500 Hyland Avenue, Costa Mesa, CA 92626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Interactive Media &amp;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12.35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12/05/2028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2,645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TA/WEG Holdings, LLC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505 N. Highway 169, Suite 900, Plymouth, MN 55441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9,568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TA/WEG Holdings, LLC (Revolver)</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505 N. Highway 169, Suite 900, Plymouth, MN 55441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10/02/2027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Tactical Air Support, Inc.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14505 Mount Anderson Street, Reno, NC 89506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Aerospace and Defense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TLE Holdings, LLC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4000 Legato Road, 9th Floor, Fairfax, VA 22033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Education and Childcare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06/29/2026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6,132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VBC Spine Opco LLC (DxTx Pain and Spine LLC)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431 Summit St Ste 101, Elgin, IL, 60120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06/14/2028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VBC Spine Opco LLC (DxTx Pain and Spine LLC) (Revolver)</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431 Summit St Ste 101, Elgin, IL, 60120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06/14/2028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Second Lien/Senior Secured Debt - 13.3%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American Academy Holdings, LLC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2222 Sedwick Drive, Durham, NC 27713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jc w:val="right"/>
              <w:rPr/>
            </w:pPr>
            <w:r>
              <w:rPr/>
              <w:t>14.50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03/01/2028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6,574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6,496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tbl>
      <w:tblPr>
        <w:tblW w:w="14960" w:type="dxa"/>
        <w:jc w:val="left"/>
        <w:tblInd w:w="0" w:type="dxa"/>
        <w:tblLayout w:type="fixed"/>
        <w:tblCellMar>
          <w:top w:w="0" w:type="dxa"/>
          <w:left w:w="0" w:type="dxa"/>
          <w:bottom w:w="0" w:type="dxa"/>
          <w:right w:w="0" w:type="dxa"/>
        </w:tblCellMar>
      </w:tblPr>
      <w:tblGrid>
        <w:gridCol w:w="1250"/>
        <w:gridCol w:w="60"/>
        <w:gridCol w:w="1220"/>
        <w:gridCol w:w="60"/>
        <w:gridCol w:w="1055"/>
        <w:gridCol w:w="60"/>
        <w:gridCol w:w="1325"/>
        <w:gridCol w:w="60"/>
        <w:gridCol w:w="1130"/>
        <w:gridCol w:w="60"/>
        <w:gridCol w:w="77"/>
        <w:gridCol w:w="723"/>
        <w:gridCol w:w="275"/>
        <w:gridCol w:w="60"/>
        <w:gridCol w:w="60"/>
        <w:gridCol w:w="875"/>
        <w:gridCol w:w="60"/>
        <w:gridCol w:w="60"/>
        <w:gridCol w:w="132"/>
        <w:gridCol w:w="968"/>
        <w:gridCol w:w="275"/>
        <w:gridCol w:w="60"/>
        <w:gridCol w:w="77"/>
        <w:gridCol w:w="873"/>
        <w:gridCol w:w="60"/>
        <w:gridCol w:w="60"/>
        <w:gridCol w:w="60"/>
        <w:gridCol w:w="560"/>
        <w:gridCol w:w="60"/>
        <w:gridCol w:w="60"/>
        <w:gridCol w:w="60"/>
        <w:gridCol w:w="560"/>
        <w:gridCol w:w="60"/>
        <w:gridCol w:w="60"/>
        <w:gridCol w:w="180"/>
        <w:gridCol w:w="965"/>
        <w:gridCol w:w="275"/>
        <w:gridCol w:w="60"/>
        <w:gridCol w:w="102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Confluence Technologies,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233 Wilshire Blvd, Suite 800, Santa Monica, CA 90401</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07/23/2029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Dcert Buyer,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131 Griffin Way, Mount Washington, KY 40047</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02/16/2029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5,392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Idera,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2950 North Loop Freeway West, Suite 700, Houston, TX 77042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02/04/2029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Ivanti Software,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10377 South Jordan Gateway Suite 110, South Jordan, UT 84095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12.83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Project Leopard Holdings,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15211 Laguna Canyon Road, Irvine, CA 92618</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+ 7.75%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07/20/2030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Robertshaw US Holding Corp.</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5425 Wisconsin Avenue, Suite 200, Chevy Chase, MD 20815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02/28/2026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Subordinated Debt - 0.9%</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Lucky Bucks Holdings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5820 Live Oak Parkway, Suite 300, Norcross, GA 30071</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Hotel, Gaming &amp; Leisure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05/29/2028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6,258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5,565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DeltaDx Limited, LP (Money Transfer Acquisition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10777 Westheimer Rd. Suite 1040, Houston, Tx 77042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Finance</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jc w:val="right"/>
              <w:rPr/>
            </w:pPr>
            <w:r>
              <w:rPr/>
              <w:t>15.00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TRSO II,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2700 E. Interstate 20 P.O. Box 2488, Odessa, TX 79760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Energy: Oil &amp; Gas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Collateralized Loan Obligations - 3.6%</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Catamaran CLO 2014-1 Ltd.</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655 Broad Street 8th Floor, Newark, NJ 07102</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CLO Fund Securities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Collateralized Loan Obligations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85.11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04/20/2030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22.2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15,161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(3)(7)(10)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tbl>
      <w:tblPr>
        <w:tblW w:w="16700" w:type="dxa"/>
        <w:jc w:val="left"/>
        <w:tblInd w:w="0" w:type="dxa"/>
        <w:tblLayout w:type="fixed"/>
        <w:tblCellMar>
          <w:top w:w="0" w:type="dxa"/>
          <w:left w:w="0" w:type="dxa"/>
          <w:bottom w:w="0" w:type="dxa"/>
          <w:right w:w="0" w:type="dxa"/>
        </w:tblCellMar>
      </w:tblPr>
      <w:tblGrid>
        <w:gridCol w:w="1160"/>
        <w:gridCol w:w="60"/>
        <w:gridCol w:w="1145"/>
        <w:gridCol w:w="60"/>
        <w:gridCol w:w="2870"/>
        <w:gridCol w:w="60"/>
        <w:gridCol w:w="1325"/>
        <w:gridCol w:w="60"/>
        <w:gridCol w:w="1130"/>
        <w:gridCol w:w="60"/>
        <w:gridCol w:w="77"/>
        <w:gridCol w:w="723"/>
        <w:gridCol w:w="275"/>
        <w:gridCol w:w="60"/>
        <w:gridCol w:w="60"/>
        <w:gridCol w:w="875"/>
        <w:gridCol w:w="60"/>
        <w:gridCol w:w="60"/>
        <w:gridCol w:w="132"/>
        <w:gridCol w:w="968"/>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Catamaran CLO 2018-1 Ltd</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Boundary Hall, Cricket Square PO Box 1093 Grand Cayman, Ky1-1102 Cayman Islands</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CLO Fund Securities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Collateralized Loan Obligations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7.91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10/27/2031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(3)(7)(10)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Dryden 30 Senior Loan Fund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Boundary Hall, Cricket Square PO Box 1093 Grand Cayman, Ky1-1102 Cayman Islands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CLO Fund Securities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Collateralized Loan Obligations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8.54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11/01/2028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(3)(7)(10)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JMP Credit Advisors CLO IV LTD</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75 Fort Street, P.O. Box 1350 Grand Cayman KY1 1108, Cayman Islands</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CLO Fund Securities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Collateralized Loan Obligations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07/17/2029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57.2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(3)(7)(10)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JMP Credit Advisors CLO V LTD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75 Fort Street, P.O. Box 1350 Grand Cayman KY1 1108, Cayman Islands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CLO Fund Securities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Collateralized Loan Obligations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07/17/2030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57.2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17,074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(3)(7)(10)</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Preferred Stock and Units - 3.9%</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4L Ultimate Topco 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4200 Columbus Street, Ottawa, IL 61350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AAPC Holdings, LLC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2222 Sedwick Drive, Durham, NC 27713</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jc w:val="right"/>
              <w:rPr/>
            </w:pPr>
            <w:r>
              <w:rPr/>
              <w:t>18.00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(22)(25)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415 Bedford Road - Suite 102, Pleasantville, NY, 10570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jc w:val="right"/>
              <w:rPr/>
            </w:pPr>
            <w:r>
              <w:rPr/>
              <w:t>12.50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2,709,329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(22)(25)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Aperture Dodge 18 LLC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10777 Westheimer Rd. Suite 1040, Houston, TX 77042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3,072,634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Epilog Partners SPV III, LLC (Care Connectors Medical Group)</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4695 MacArthur Court, Suite 1112A, Newport Beach, CA 92660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1,173,118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(20)(22)</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Prosper Marketplace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P.O. Box 396081, San Francisco, CA 94139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912,865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tbl>
      <w:tblPr>
        <w:tblW w:w="16695" w:type="dxa"/>
        <w:jc w:val="left"/>
        <w:tblInd w:w="0" w:type="dxa"/>
        <w:tblLayout w:type="fixed"/>
        <w:tblCellMar>
          <w:top w:w="0" w:type="dxa"/>
          <w:left w:w="0" w:type="dxa"/>
          <w:bottom w:w="0" w:type="dxa"/>
          <w:right w:w="0" w:type="dxa"/>
        </w:tblCellMar>
      </w:tblPr>
      <w:tblGrid>
        <w:gridCol w:w="1670"/>
        <w:gridCol w:w="60"/>
        <w:gridCol w:w="905"/>
        <w:gridCol w:w="60"/>
        <w:gridCol w:w="2870"/>
        <w:gridCol w:w="60"/>
        <w:gridCol w:w="1205"/>
        <w:gridCol w:w="60"/>
        <w:gridCol w:w="1130"/>
        <w:gridCol w:w="60"/>
        <w:gridCol w:w="150"/>
        <w:gridCol w:w="650"/>
        <w:gridCol w:w="60"/>
        <w:gridCol w:w="120"/>
        <w:gridCol w:w="467"/>
        <w:gridCol w:w="468"/>
        <w:gridCol w:w="60"/>
        <w:gridCol w:w="60"/>
        <w:gridCol w:w="173"/>
        <w:gridCol w:w="927"/>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6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Common Stock and Membership Units - 4.3%</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2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AAPC Holdings, LLC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2222 Sedwick Drive, Durham, NC 27713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 - Class A Units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415 Bedford Road - Suite 102, Pleasantville, NY, 10570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 Class A Warrant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8269 E. 23rd Ave, Denver, CO 80238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Media: Broadcasting &amp; Subscription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 Class B Warrant</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 Warrant for CS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8269 E. 23rd Ave, Denver, CO 80238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Media: Broadcasting &amp; Subscription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ATP Oil &amp; Gas Corporation</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4600 Post Oak Place, Suite 100, Houston, TX, 77027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Energy: Oil &amp; Gas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(11)</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Carestream Health Holdings, Inc.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150 Verona Street, Rochester, NY 14608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L.P.</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350 Fifth Ave, Empire State Building, 6th Floor, New York, NY 10118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Machinery (Non-Agrclt/Constr/Electr)</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DxTx Pain and Spine LLC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431 Summit St Ste 101, Elgin, IL, 60120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158,166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Everyware Global, Inc.</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519 N. Pierce Avenue, Lancaster, OH 43130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1,085,565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(16)</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FP WRCA Coinvestment Fund VII, Ltd. - Class 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2400 W75th St., Prairie Village, KS 66208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tbl>
      <w:tblPr>
        <w:tblW w:w="16350" w:type="dxa"/>
        <w:jc w:val="left"/>
        <w:tblInd w:w="0" w:type="dxa"/>
        <w:tblLayout w:type="fixed"/>
        <w:tblCellMar>
          <w:top w:w="0" w:type="dxa"/>
          <w:left w:w="0" w:type="dxa"/>
          <w:bottom w:w="0" w:type="dxa"/>
          <w:right w:w="0" w:type="dxa"/>
        </w:tblCellMar>
      </w:tblPr>
      <w:tblGrid>
        <w:gridCol w:w="1160"/>
        <w:gridCol w:w="60"/>
        <w:gridCol w:w="1070"/>
        <w:gridCol w:w="60"/>
        <w:gridCol w:w="2870"/>
        <w:gridCol w:w="60"/>
        <w:gridCol w:w="1205"/>
        <w:gridCol w:w="60"/>
        <w:gridCol w:w="1130"/>
        <w:gridCol w:w="60"/>
        <w:gridCol w:w="150"/>
        <w:gridCol w:w="650"/>
        <w:gridCol w:w="60"/>
        <w:gridCol w:w="120"/>
        <w:gridCol w:w="467"/>
        <w:gridCol w:w="468"/>
        <w:gridCol w:w="60"/>
        <w:gridCol w:w="60"/>
        <w:gridCol w:w="173"/>
        <w:gridCol w:w="927"/>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Fusion Connect, Inc.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420 Lexington Ave., Suite 1718, New York, NY 10170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Telecommunications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Fusion Connect, Inc.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420 Lexington Ave., Suite 1718, New York, NY 10170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Telecommunications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811,572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HDC/HW Holdings, LLC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620 Division Street, Elizabeth, NJ 07207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LB NewHoldCo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5820 Live Oak Parkway, Suite 300, Norcross, GA 30071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Hotel, Gaming &amp; Leisure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96,523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Morae Global Holdings Inc. - Warrant</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811 Louisiana St Ste 1020, Houston, TX 77002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IT Consulting &amp; Other Services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Ohene Holdings B.V.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1020 Petersburg Rd, Hebron, KY 41048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Roscoe Investors, LLC - Class A</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21973 Commerce Parkway, Strongsville, OH 44149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South Street Securities Holdings, Inc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6800 East 163rd Street, Belton, MO 64012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Sundance Holdings Group, LLC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11726 San Vicente Blvd., Suite 300, Los Angeles, CA 90049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Retail</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World Business Lenders,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101 Hudson Street, 33rd Floor, Jersey City, NJ 07302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- 0.0%(19)</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2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415 Bedford Road - Suite 102, Pleasantville, NY, 10570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Derivatives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(7)(22)</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Epilog Partners LP (Care Connectors Medical Group)</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4695 MacArthur Court, Suite 1112A Newport Beach, CA 92660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Derivatives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2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14940" w:type="dxa"/>
        <w:jc w:val="left"/>
        <w:tblInd w:w="0" w:type="dxa"/>
        <w:tblLayout w:type="fixed"/>
        <w:tblCellMar>
          <w:top w:w="0" w:type="dxa"/>
          <w:left w:w="0" w:type="dxa"/>
          <w:bottom w:w="0" w:type="dxa"/>
          <w:right w:w="0" w:type="dxa"/>
        </w:tblCellMar>
      </w:tblPr>
      <w:tblGrid>
        <w:gridCol w:w="1160"/>
        <w:gridCol w:w="60"/>
        <w:gridCol w:w="860"/>
        <w:gridCol w:w="60"/>
        <w:gridCol w:w="1640"/>
        <w:gridCol w:w="60"/>
        <w:gridCol w:w="1145"/>
        <w:gridCol w:w="60"/>
        <w:gridCol w:w="113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37"/>
        <w:gridCol w:w="1008"/>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HDNet Holdco LLC (Anthem)</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Derivatives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w:t>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Total Investments in Non-Control, Non-Affiliate Portfolio Companies</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Investments in Affiliate Portfolio Companies - 31.1%(17)</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First Lien/Senior Secured Debt - 4.2%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PMP OPCO, LLC (Princeton Medspa Partners, LLC)</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944 Main Street, Branford, CT 06405</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Services: Consumer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05/31/2029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PMP OPCO, LLC (Princeton Medspa Partners, LLC) (Revolver)</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05/31/2029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Riddell, Inc.</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1700 W. Higgins Road Suite 500, Des Plaines, IL 66018</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03/29/2029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6,284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Second Lien/Senior Secured Debt- 2.1%</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410 John Downey Drive, New Britain, CT 06051</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Metals &amp; Mining</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04/05/2028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410 John Downey Drive, New Britain, CT 06051</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Metals &amp; Mining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01/01/2025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Joint Ventures- 20.9%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Series A-Great Lakes Funding II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650 Madison Ave Fl 3, New York, NY 10022</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38,318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39,276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(7)(9)(20)(26)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tbl>
      <w:tblPr>
        <w:tblW w:w="15345" w:type="dxa"/>
        <w:jc w:val="left"/>
        <w:tblInd w:w="0" w:type="dxa"/>
        <w:tblLayout w:type="fixed"/>
        <w:tblCellMar>
          <w:top w:w="0" w:type="dxa"/>
          <w:left w:w="0" w:type="dxa"/>
          <w:bottom w:w="0" w:type="dxa"/>
          <w:right w:w="0" w:type="dxa"/>
        </w:tblCellMar>
      </w:tblPr>
      <w:tblGrid>
        <w:gridCol w:w="1160"/>
        <w:gridCol w:w="60"/>
        <w:gridCol w:w="1070"/>
        <w:gridCol w:w="60"/>
        <w:gridCol w:w="1985"/>
        <w:gridCol w:w="60"/>
        <w:gridCol w:w="1205"/>
        <w:gridCol w:w="60"/>
        <w:gridCol w:w="1130"/>
        <w:gridCol w:w="60"/>
        <w:gridCol w:w="800"/>
        <w:gridCol w:w="60"/>
        <w:gridCol w:w="467"/>
        <w:gridCol w:w="468"/>
        <w:gridCol w:w="60"/>
        <w:gridCol w:w="60"/>
        <w:gridCol w:w="106"/>
        <w:gridCol w:w="994"/>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Preferred Stock and Units - 3.1%</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BMP Slappey Holdco,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4260 Cahaba Heights Court, Suite 100, Birmingham, AL 35243</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Telecommunications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(21)</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BMP Slappey Investment II</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4260 Cahaba Heights Court, Suite 100, Birmingham, AL 35243</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Telecommunications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(21)</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EBSC Holdings LLC (Riddell, Inc.)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1700 W. Higgins Road Suite 500, Des Plaines, IL 66018</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10.00%</w:t>
              <w:br/>
              <w:t>PIK</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2,100,969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GreenPark Infrastructure, LLC - Series A</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221 River St, Hoboken, NJ 07030</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Energy: Electricity</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 - Preferred</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410 John Downey Drive, New Britain, CT 06051</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Metals &amp; Mining</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50.3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(21)</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 - Class O Preferred</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410 John Downey Drive, New Britain, CT 06051</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Metals &amp; Mining</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10.00%</w:t>
              <w:br/>
              <w:t>PIK</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(21)(25)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Princeton Medspa Partners,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12.50%</w:t>
              <w:br/>
              <w:t>PIK</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(22)(25)</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Common Stock and Membership Units - 0.9%</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GreenPark Infrastructure, LLC - Series M-1</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221 River St, Hoboken, NJ 07030</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Energy: Electricity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(20)(22)</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Kleen-Tech Acquisition, LLC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7100 Broadway, Suite 6-L, Denver, CO 80221</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(21)</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Princeton Medspa Partners, LLC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- 0.0%(19)</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Princeton Medspa Partners,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Derivatives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tbl>
      <w:tblPr>
        <w:tblW w:w="14925" w:type="dxa"/>
        <w:jc w:val="left"/>
        <w:tblInd w:w="0" w:type="dxa"/>
        <w:tblLayout w:type="fixed"/>
        <w:tblCellMar>
          <w:top w:w="0" w:type="dxa"/>
          <w:left w:w="0" w:type="dxa"/>
          <w:bottom w:w="0" w:type="dxa"/>
          <w:right w:w="0" w:type="dxa"/>
        </w:tblCellMar>
      </w:tblPr>
      <w:tblGrid>
        <w:gridCol w:w="1370"/>
        <w:gridCol w:w="60"/>
        <w:gridCol w:w="860"/>
        <w:gridCol w:w="60"/>
        <w:gridCol w:w="1250"/>
        <w:gridCol w:w="60"/>
        <w:gridCol w:w="1280"/>
        <w:gridCol w:w="60"/>
        <w:gridCol w:w="1130"/>
        <w:gridCol w:w="60"/>
        <w:gridCol w:w="800"/>
        <w:gridCol w:w="60"/>
        <w:gridCol w:w="60"/>
        <w:gridCol w:w="875"/>
        <w:gridCol w:w="60"/>
        <w:gridCol w:w="60"/>
        <w:gridCol w:w="106"/>
        <w:gridCol w:w="994"/>
        <w:gridCol w:w="275"/>
        <w:gridCol w:w="60"/>
        <w:gridCol w:w="60"/>
        <w:gridCol w:w="980"/>
        <w:gridCol w:w="60"/>
        <w:gridCol w:w="60"/>
        <w:gridCol w:w="60"/>
        <w:gridCol w:w="680"/>
        <w:gridCol w:w="60"/>
        <w:gridCol w:w="60"/>
        <w:gridCol w:w="60"/>
        <w:gridCol w:w="680"/>
        <w:gridCol w:w="60"/>
        <w:gridCol w:w="60"/>
        <w:gridCol w:w="180"/>
        <w:gridCol w:w="965"/>
        <w:gridCol w:w="275"/>
        <w:gridCol w:w="60"/>
        <w:gridCol w:w="102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Investments in Affiliate Portfolio Companies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Investments in Controlled Afilliated Portfolio Companies - 6.9%(8)</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Subordinated Debt - 0.0%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ProAir,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3260 Eagle Park Dr., NE, #100, Grand Rapids, MI 49525</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01/31/2023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Common Stock and Membership Units - 0.0%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ProAir HoldCo,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3260 Eagle Park Dr., NE, #100, Grand Rapids, MI 49525</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39.3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2,749,997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Joint Ventures - 6.9%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KCAP Freedom 3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650 Madison Ave Fl 3, New York, NY 10022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62.8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27,220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13,012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w:t>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Asset Manager Affiliates - 0.0%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Asset Management Company</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650 Madison Ave Fl 3, New York, NY 10022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Asset Management Company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Asset Management Company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17,791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w:t>
            </w:r>
          </w:p>
        </w:tc>
      </w:tr>
      <w:tr>
        <w:trPr/>
        <w:tc>
          <w:tcPr>
            <w:tcW w:w="13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Investments in Controlled Affiliated Portfolio Companies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Investments - 228.2%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September 30, 2024 loan. SOFR loans are typically indexed to 12 month, 6 month, 3 month, 2 month or 1 month SOFR rates. For each such loan, the Company has provided the weighted average annual stated interest rate in effect at September 30, 2024. As noted in the table above, 88.5% (based on par) of debt securities with floating rates contain floors which range between 0.50% and 5.25%.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Reflects the fair market value of all investments as of September 30, 2024 as determined in good faith using significant unobservable inputs by the Adviser in its role as “valuation designee” in accordance with Rule 2a-5 under the 1940 Act, pursuant to valuation policies and procedures that have been approved by the Board. </w:t>
            </w:r>
          </w:p>
        </w:tc>
      </w:tr>
    </w:tbl>
    <w:tbl>
      <w:tblPr>
        <w:tblW w:w="4945" w:type="dxa"/>
        <w:jc w:val="left"/>
        <w:tblInd w:w="0" w:type="dxa"/>
        <w:tblLayout w:type="fixed"/>
        <w:tblCellMar>
          <w:top w:w="0" w:type="dxa"/>
          <w:left w:w="0" w:type="dxa"/>
          <w:bottom w:w="0" w:type="dxa"/>
          <w:right w:w="0" w:type="dxa"/>
        </w:tblCellMar>
      </w:tblPr>
      <w:tblGrid>
        <w:gridCol w:w="305"/>
        <w:gridCol w:w="4640"/>
      </w:tblGrid>
      <w:tr>
        <w:trPr/>
        <w:tc>
          <w:tcPr>
            <w:tcW w:w="305" w:type="dxa"/>
            <w:tcBorders/>
            <w:vAlign w:val="center"/>
          </w:tcPr>
          <w:p>
            <w:pPr>
              <w:pStyle w:val="TableContents"/>
              <w:bidi w:val="0"/>
              <w:spacing w:before="0" w:after="283"/>
              <w:jc w:val="left"/>
              <w:rPr/>
            </w:pPr>
            <w:r>
              <w:rPr/>
              <w:t>(3)</w:t>
            </w:r>
          </w:p>
        </w:tc>
        <w:tc>
          <w:tcPr>
            <w:tcW w:w="46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Non-U.S. company or principal place of business outside the U.S.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aggregate cost of investments for federal income tax purposes is approximately $514.2 million. The aggregate gross unrealized appreciation is approximately $32.2 million, the aggregate gross unrealized depreciation is approximately $2.8 million, and the net unrealized appreciation is approximately $29.4 million. </w:t>
            </w:r>
          </w:p>
        </w:tc>
      </w:tr>
    </w:tbl>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pPr>
            <w:r>
              <w:rPr/>
              <w:t>(5)</w:t>
            </w:r>
          </w:p>
        </w:tc>
        <w:tc>
          <w:tcPr>
            <w:tcW w:w="6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Loan or debt security is on non-accrual status and therefore is considered non-income producing.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Held through Garrison Capital Equity Holdings II LLC and net of non-controlling member’s interest of 17.5% pursuant to the Amended and Restated Limited Liability Company Agreement of Garrison Capital Equity Holdings II LLC.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87.0% of the Company’s total assets and non-qualifying assets represent 13.0% of the Company’s total assets.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(8)</w:t>
            </w:r>
          </w:p>
        </w:tc>
        <w:tc>
          <w:tcPr>
            <w:tcW w:w="994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w:t>
            </w:r>
          </w:p>
        </w:tc>
      </w:tr>
    </w:tbl>
    <w:tbl>
      <w:tblPr>
        <w:tblW w:w="1240" w:type="dxa"/>
        <w:jc w:val="left"/>
        <w:tblInd w:w="0" w:type="dxa"/>
        <w:tblLayout w:type="fixed"/>
        <w:tblCellMar>
          <w:top w:w="0" w:type="dxa"/>
          <w:left w:w="0" w:type="dxa"/>
          <w:bottom w:w="0" w:type="dxa"/>
          <w:right w:w="0" w:type="dxa"/>
        </w:tblCellMar>
      </w:tblPr>
      <w:tblGrid>
        <w:gridCol w:w="305"/>
        <w:gridCol w:w="935"/>
      </w:tblGrid>
      <w:tr>
        <w:trPr/>
        <w:tc>
          <w:tcPr>
            <w:tcW w:w="305" w:type="dxa"/>
            <w:tcBorders/>
            <w:vAlign w:val="center"/>
          </w:tcPr>
          <w:p>
            <w:pPr>
              <w:pStyle w:val="TableContents"/>
              <w:bidi w:val="0"/>
              <w:spacing w:before="0" w:after="283"/>
              <w:jc w:val="left"/>
              <w:rPr/>
            </w:pPr>
            <w:r>
              <w:rPr/>
              <w:t>(9)</w:t>
            </w:r>
          </w:p>
        </w:tc>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Non-voting.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(10)</w:t>
            </w:r>
          </w:p>
        </w:tc>
        <w:tc>
          <w:tcPr>
            <w:tcW w:w="9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 </w:t>
            </w:r>
          </w:p>
        </w:tc>
      </w:tr>
    </w:tbl>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(11)</w:t>
            </w:r>
          </w:p>
        </w:tc>
        <w:tc>
          <w:tcPr>
            <w:tcW w:w="980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receives a 5% royalty interest on oil being produced on certain fields. All production payments received are being applied to the cost basis and are considered return of capital. </w:t>
            </w:r>
          </w:p>
        </w:tc>
      </w:tr>
    </w:tbl>
    <w:tbl>
      <w:tblPr>
        <w:tblW w:w="6415" w:type="dxa"/>
        <w:jc w:val="left"/>
        <w:tblInd w:w="0" w:type="dxa"/>
        <w:tblLayout w:type="fixed"/>
        <w:tblCellMar>
          <w:top w:w="0" w:type="dxa"/>
          <w:left w:w="0" w:type="dxa"/>
          <w:bottom w:w="0" w:type="dxa"/>
          <w:right w:w="0" w:type="dxa"/>
        </w:tblCellMar>
      </w:tblPr>
      <w:tblGrid>
        <w:gridCol w:w="425"/>
        <w:gridCol w:w="5990"/>
      </w:tblGrid>
      <w:tr>
        <w:trPr/>
        <w:tc>
          <w:tcPr>
            <w:tcW w:w="425" w:type="dxa"/>
            <w:tcBorders/>
            <w:vAlign w:val="center"/>
          </w:tcPr>
          <w:p>
            <w:pPr>
              <w:pStyle w:val="TableContents"/>
              <w:bidi w:val="0"/>
              <w:spacing w:before="0" w:after="283"/>
              <w:jc w:val="left"/>
              <w:rPr/>
            </w:pPr>
            <w:r>
              <w:rPr/>
              <w:t>(12)</w:t>
            </w:r>
          </w:p>
        </w:tc>
        <w:tc>
          <w:tcPr>
            <w:tcW w:w="5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investments valued using unobservable inputs (Level III), unless otherwise noted. </w:t>
            </w:r>
          </w:p>
        </w:tc>
      </w:tr>
    </w:tbl>
    <w:tbl>
      <w:tblPr>
        <w:tblW w:w="7165" w:type="dxa"/>
        <w:jc w:val="left"/>
        <w:tblInd w:w="0" w:type="dxa"/>
        <w:tblLayout w:type="fixed"/>
        <w:tblCellMar>
          <w:top w:w="0" w:type="dxa"/>
          <w:left w:w="0" w:type="dxa"/>
          <w:bottom w:w="0" w:type="dxa"/>
          <w:right w:w="0" w:type="dxa"/>
        </w:tblCellMar>
      </w:tblPr>
      <w:tblGrid>
        <w:gridCol w:w="425"/>
        <w:gridCol w:w="6740"/>
      </w:tblGrid>
      <w:tr>
        <w:trPr/>
        <w:tc>
          <w:tcPr>
            <w:tcW w:w="425" w:type="dxa"/>
            <w:tcBorders/>
            <w:vAlign w:val="center"/>
          </w:tcPr>
          <w:p>
            <w:pPr>
              <w:pStyle w:val="TableContents"/>
              <w:bidi w:val="0"/>
              <w:spacing w:before="0" w:after="283"/>
              <w:jc w:val="left"/>
              <w:rPr/>
            </w:pPr>
            <w:r>
              <w:rPr/>
              <w:t>(13)</w:t>
            </w:r>
          </w:p>
        </w:tc>
        <w:tc>
          <w:tcPr>
            <w:tcW w:w="6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of September 30, 2024, this investment is pledged to secure the Company’s debt obligations.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(14)</w:t>
            </w:r>
          </w:p>
        </w:tc>
        <w:tc>
          <w:tcPr>
            <w:tcW w:w="982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 </w:t>
            </w:r>
          </w:p>
        </w:tc>
      </w:tr>
    </w:tbl>
    <w:tbl>
      <w:tblPr>
        <w:tblW w:w="3250" w:type="dxa"/>
        <w:jc w:val="left"/>
        <w:tblInd w:w="0" w:type="dxa"/>
        <w:tblLayout w:type="fixed"/>
        <w:tblCellMar>
          <w:top w:w="0" w:type="dxa"/>
          <w:left w:w="0" w:type="dxa"/>
          <w:bottom w:w="0" w:type="dxa"/>
          <w:right w:w="0" w:type="dxa"/>
        </w:tblCellMar>
      </w:tblPr>
      <w:tblGrid>
        <w:gridCol w:w="425"/>
        <w:gridCol w:w="2825"/>
      </w:tblGrid>
      <w:tr>
        <w:trPr/>
        <w:tc>
          <w:tcPr>
            <w:tcW w:w="425" w:type="dxa"/>
            <w:tcBorders/>
            <w:vAlign w:val="center"/>
          </w:tcPr>
          <w:p>
            <w:pPr>
              <w:pStyle w:val="TableContents"/>
              <w:bidi w:val="0"/>
              <w:spacing w:before="0" w:after="283"/>
              <w:jc w:val="left"/>
              <w:rPr/>
            </w:pPr>
            <w:r>
              <w:rPr/>
              <w:t>(15)</w:t>
            </w:r>
          </w:p>
        </w:tc>
        <w:tc>
          <w:tcPr>
            <w:tcW w:w="28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classified as Level II. </w:t>
            </w:r>
          </w:p>
        </w:tc>
      </w:tr>
    </w:tbl>
    <w:tbl>
      <w:tblPr>
        <w:tblW w:w="8200" w:type="dxa"/>
        <w:jc w:val="left"/>
        <w:tblInd w:w="0" w:type="dxa"/>
        <w:tblLayout w:type="fixed"/>
        <w:tblCellMar>
          <w:top w:w="0" w:type="dxa"/>
          <w:left w:w="0" w:type="dxa"/>
          <w:bottom w:w="0" w:type="dxa"/>
          <w:right w:w="0" w:type="dxa"/>
        </w:tblCellMar>
      </w:tblPr>
      <w:tblGrid>
        <w:gridCol w:w="425"/>
        <w:gridCol w:w="7775"/>
      </w:tblGrid>
      <w:tr>
        <w:trPr/>
        <w:tc>
          <w:tcPr>
            <w:tcW w:w="425" w:type="dxa"/>
            <w:tcBorders/>
            <w:vAlign w:val="center"/>
          </w:tcPr>
          <w:p>
            <w:pPr>
              <w:pStyle w:val="TableContents"/>
              <w:bidi w:val="0"/>
              <w:spacing w:before="0" w:after="283"/>
              <w:jc w:val="left"/>
              <w:rPr/>
            </w:pPr>
            <w:r>
              <w:rPr/>
              <w:t>(16)</w:t>
            </w:r>
          </w:p>
        </w:tc>
        <w:tc>
          <w:tcPr>
            <w:tcW w:w="77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held by the Company’s wholly-owned subsidiary Garrison Capital Equity Holdings XI LLC.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(17)</w:t>
            </w:r>
          </w:p>
        </w:tc>
        <w:tc>
          <w:tcPr>
            <w:tcW w:w="981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Under the 1940 Act, the Company is deemed to be an “Affiliated Person” of, as defined in the 1940 Act, this portfolio company as the Company owns at least 5% of the portfolio company’s outstanding voting securities or is under common control with such portfolio company. </w:t>
            </w:r>
          </w:p>
        </w:tc>
      </w:tr>
    </w:tbl>
    <w:tbl>
      <w:tblPr>
        <w:tblW w:w="1165" w:type="dxa"/>
        <w:jc w:val="left"/>
        <w:tblInd w:w="0" w:type="dxa"/>
        <w:tblLayout w:type="fixed"/>
        <w:tblCellMar>
          <w:top w:w="0" w:type="dxa"/>
          <w:left w:w="0" w:type="dxa"/>
          <w:bottom w:w="0" w:type="dxa"/>
          <w:right w:w="0" w:type="dxa"/>
        </w:tblCellMar>
      </w:tblPr>
      <w:tblGrid>
        <w:gridCol w:w="425"/>
        <w:gridCol w:w="740"/>
      </w:tblGrid>
      <w:tr>
        <w:trPr/>
        <w:tc>
          <w:tcPr>
            <w:tcW w:w="425" w:type="dxa"/>
            <w:tcBorders/>
            <w:vAlign w:val="center"/>
          </w:tcPr>
          <w:p>
            <w:pPr>
              <w:pStyle w:val="TableContents"/>
              <w:bidi w:val="0"/>
              <w:spacing w:before="0" w:after="283"/>
              <w:jc w:val="left"/>
              <w:rPr/>
            </w:pPr>
            <w:r>
              <w:rPr/>
              <w:t>(18)</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Not used. </w:t>
            </w:r>
          </w:p>
        </w:tc>
      </w:tr>
    </w:tbl>
    <w:tbl>
      <w:tblPr>
        <w:tblW w:w="7120" w:type="dxa"/>
        <w:jc w:val="left"/>
        <w:tblInd w:w="0" w:type="dxa"/>
        <w:tblLayout w:type="fixed"/>
        <w:tblCellMar>
          <w:top w:w="0" w:type="dxa"/>
          <w:left w:w="0" w:type="dxa"/>
          <w:bottom w:w="0" w:type="dxa"/>
          <w:right w:w="0" w:type="dxa"/>
        </w:tblCellMar>
      </w:tblPr>
      <w:tblGrid>
        <w:gridCol w:w="425"/>
        <w:gridCol w:w="6695"/>
      </w:tblGrid>
      <w:tr>
        <w:trPr/>
        <w:tc>
          <w:tcPr>
            <w:tcW w:w="425" w:type="dxa"/>
            <w:tcBorders/>
            <w:vAlign w:val="center"/>
          </w:tcPr>
          <w:p>
            <w:pPr>
              <w:pStyle w:val="TableContents"/>
              <w:bidi w:val="0"/>
              <w:spacing w:before="0" w:after="283"/>
              <w:jc w:val="left"/>
              <w:rPr/>
            </w:pPr>
            <w:r>
              <w:rPr/>
              <w:t>(19)</w:t>
            </w:r>
          </w:p>
        </w:tc>
        <w:tc>
          <w:tcPr>
            <w:tcW w:w="6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Information related to the Company’s derivatives is presented below as of September 30, 2024: </w:t>
            </w:r>
          </w:p>
        </w:tc>
      </w:tr>
    </w:tbl>
    <w:p>
      <w:pPr>
        <w:pStyle w:val="TextBody"/>
        <w:bidi w:val="0"/>
        <w:spacing w:before="0" w:after="0"/>
        <w:jc w:val="left"/>
        <w:rPr/>
      </w:pPr>
      <w:r>
        <w:rPr/>
        <w:t> </w:t>
      </w:r>
    </w:p>
    <w:tbl>
      <w:tblPr>
        <w:tblW w:w="11465" w:type="dxa"/>
        <w:jc w:val="left"/>
        <w:tblInd w:w="0" w:type="dxa"/>
        <w:tblLayout w:type="fixed"/>
        <w:tblCellMar>
          <w:top w:w="0" w:type="dxa"/>
          <w:left w:w="0" w:type="dxa"/>
          <w:bottom w:w="0" w:type="dxa"/>
          <w:right w:w="0" w:type="dxa"/>
        </w:tblCellMar>
      </w:tblPr>
      <w:tblGrid>
        <w:gridCol w:w="1580"/>
        <w:gridCol w:w="120"/>
        <w:gridCol w:w="4370"/>
        <w:gridCol w:w="120"/>
        <w:gridCol w:w="60"/>
        <w:gridCol w:w="980"/>
        <w:gridCol w:w="60"/>
        <w:gridCol w:w="120"/>
        <w:gridCol w:w="178"/>
        <w:gridCol w:w="712"/>
        <w:gridCol w:w="60"/>
        <w:gridCol w:w="120"/>
        <w:gridCol w:w="105"/>
        <w:gridCol w:w="770"/>
        <w:gridCol w:w="60"/>
        <w:gridCol w:w="120"/>
        <w:gridCol w:w="1115"/>
        <w:gridCol w:w="120"/>
        <w:gridCol w:w="116"/>
        <w:gridCol w:w="504"/>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b/>
              </w:rPr>
            </w:pPr>
            <w:r>
              <w:rPr>
                <w:b/>
              </w:rPr>
              <w:t>($ in thousands)</w:t>
            </w:r>
          </w:p>
        </w:tc>
        <w:tc>
          <w:tcPr>
            <w:tcW w:w="1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4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Counterparty</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Notional</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Expiration</w:t>
              <w:br/>
              <w:t>date</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Call option</w:t>
            </w:r>
          </w:p>
        </w:tc>
        <w:tc>
          <w:tcPr>
            <w:tcW w:w="120" w:type="dxa"/>
            <w:tcBorders/>
            <w:shd w:fill="CCEEFF" w:val="clear"/>
            <w:vAlign w:val="center"/>
          </w:tcPr>
          <w:p>
            <w:pPr>
              <w:pStyle w:val="TableContents"/>
              <w:bidi w:val="0"/>
              <w:spacing w:before="0" w:after="283"/>
              <w:jc w:val="left"/>
              <w:rPr/>
            </w:pPr>
            <w:r>
              <w:rPr/>
              <w:t>  </w:t>
            </w:r>
          </w:p>
        </w:tc>
        <w:tc>
          <w:tcPr>
            <w:tcW w:w="4370" w:type="dxa"/>
            <w:tcBorders/>
            <w:shd w:fill="CCEEFF" w:val="clear"/>
            <w:vAlign w:val="center"/>
          </w:tcPr>
          <w:p>
            <w:pPr>
              <w:pStyle w:val="TableContents"/>
              <w:bidi w:val="0"/>
              <w:spacing w:before="0" w:after="283"/>
              <w:jc w:val="left"/>
              <w:rPr/>
            </w:pPr>
            <w:r>
              <w:rPr/>
              <w:t>HDNet Holdco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4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Counterparty</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Notional</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Expiration</w:t>
              <w:br/>
              <w:t>date</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Put option</w:t>
            </w:r>
          </w:p>
        </w:tc>
        <w:tc>
          <w:tcPr>
            <w:tcW w:w="120" w:type="dxa"/>
            <w:tcBorders/>
            <w:shd w:fill="CCEEFF" w:val="clear"/>
            <w:vAlign w:val="center"/>
          </w:tcPr>
          <w:p>
            <w:pPr>
              <w:pStyle w:val="TableContents"/>
              <w:bidi w:val="0"/>
              <w:spacing w:before="0" w:after="283"/>
              <w:jc w:val="left"/>
              <w:rPr/>
            </w:pPr>
            <w:r>
              <w:rPr/>
              <w:t>  </w:t>
            </w:r>
          </w:p>
        </w:tc>
        <w:tc>
          <w:tcPr>
            <w:tcW w:w="4370" w:type="dxa"/>
            <w:tcBorders/>
            <w:shd w:fill="CCEEFF" w:val="clear"/>
            <w:vAlign w:val="center"/>
          </w:tcPr>
          <w:p>
            <w:pPr>
              <w:pStyle w:val="TableContents"/>
              <w:bidi w:val="0"/>
              <w:spacing w:before="0" w:after="283"/>
              <w:jc w:val="left"/>
              <w:rPr/>
            </w:pPr>
            <w:r>
              <w:rPr/>
              <w:t>Advantage Capital Holdings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Put option</w:t>
            </w:r>
          </w:p>
        </w:tc>
        <w:tc>
          <w:tcPr>
            <w:tcW w:w="1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Epilog Partners LP (Care Connectors Medical Group)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N/A</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Put option</w:t>
            </w:r>
          </w:p>
        </w:tc>
        <w:tc>
          <w:tcPr>
            <w:tcW w:w="120" w:type="dxa"/>
            <w:tcBorders/>
            <w:shd w:fill="CCEEFF" w:val="clear"/>
            <w:vAlign w:val="center"/>
          </w:tcPr>
          <w:p>
            <w:pPr>
              <w:pStyle w:val="TableContents"/>
              <w:bidi w:val="0"/>
              <w:spacing w:before="0" w:after="283"/>
              <w:jc w:val="left"/>
              <w:rPr/>
            </w:pPr>
            <w:r>
              <w:rPr/>
              <w:t>  </w:t>
            </w:r>
          </w:p>
        </w:tc>
        <w:tc>
          <w:tcPr>
            <w:tcW w:w="4370" w:type="dxa"/>
            <w:tcBorders/>
            <w:shd w:fill="CCEEFF" w:val="clear"/>
            <w:vAlign w:val="center"/>
          </w:tcPr>
          <w:p>
            <w:pPr>
              <w:pStyle w:val="TableContents"/>
              <w:bidi w:val="0"/>
              <w:spacing w:before="0" w:after="283"/>
              <w:jc w:val="left"/>
              <w:rPr/>
            </w:pPr>
            <w:r>
              <w:rPr/>
              <w:t>Princeton Medspa Partners,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(20)</w:t>
            </w:r>
          </w:p>
        </w:tc>
        <w:tc>
          <w:tcPr>
            <w:tcW w:w="98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Debt security has an unfunded commitment in addition to the amounts shown in the Consolidated Schedule of Investments. See “</w:t>
            </w:r>
            <w:r>
              <w:rPr>
                <w:rFonts w:ascii="Times New Roman" w:hAnsi="Times New Roman"/>
                <w:i/>
                <w:sz w:val="16"/>
              </w:rPr>
              <w:t>Notes to Consolidated Financial Statements — Note 8. Commitments and Contingencies</w:t>
            </w:r>
            <w:r>
              <w:rPr>
                <w:rFonts w:ascii="Times New Roman" w:hAnsi="Times New Roman"/>
                <w:sz w:val="16"/>
              </w:rPr>
              <w:t xml:space="preserve">” in our most recent Annual Report on Form 10-K and our most recent Quarterly Report on Form 10-Q for additional information on the Company’s commitments and contingencies. </w:t>
            </w:r>
          </w:p>
        </w:tc>
      </w:tr>
    </w:tbl>
    <w:tbl>
      <w:tblPr>
        <w:tblW w:w="8185" w:type="dxa"/>
        <w:jc w:val="left"/>
        <w:tblInd w:w="0" w:type="dxa"/>
        <w:tblLayout w:type="fixed"/>
        <w:tblCellMar>
          <w:top w:w="0" w:type="dxa"/>
          <w:left w:w="0" w:type="dxa"/>
          <w:bottom w:w="0" w:type="dxa"/>
          <w:right w:w="0" w:type="dxa"/>
        </w:tblCellMar>
      </w:tblPr>
      <w:tblGrid>
        <w:gridCol w:w="425"/>
        <w:gridCol w:w="7760"/>
      </w:tblGrid>
      <w:tr>
        <w:trPr/>
        <w:tc>
          <w:tcPr>
            <w:tcW w:w="425" w:type="dxa"/>
            <w:tcBorders/>
            <w:vAlign w:val="center"/>
          </w:tcPr>
          <w:p>
            <w:pPr>
              <w:pStyle w:val="TableContents"/>
              <w:bidi w:val="0"/>
              <w:spacing w:before="0" w:after="283"/>
              <w:jc w:val="left"/>
              <w:rPr/>
            </w:pPr>
            <w:r>
              <w:rPr/>
              <w:t>(21)</w:t>
            </w:r>
          </w:p>
        </w:tc>
        <w:tc>
          <w:tcPr>
            <w:tcW w:w="77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owned by HCAP Equity Holdings, LLC, one of the Company’s taxable blocker subsidiaries. </w:t>
            </w:r>
          </w:p>
        </w:tc>
      </w:tr>
    </w:tbl>
    <w:tbl>
      <w:tblPr>
        <w:tblW w:w="7810" w:type="dxa"/>
        <w:jc w:val="left"/>
        <w:tblInd w:w="0" w:type="dxa"/>
        <w:tblLayout w:type="fixed"/>
        <w:tblCellMar>
          <w:top w:w="0" w:type="dxa"/>
          <w:left w:w="0" w:type="dxa"/>
          <w:bottom w:w="0" w:type="dxa"/>
          <w:right w:w="0" w:type="dxa"/>
        </w:tblCellMar>
      </w:tblPr>
      <w:tblGrid>
        <w:gridCol w:w="425"/>
        <w:gridCol w:w="7385"/>
      </w:tblGrid>
      <w:tr>
        <w:trPr/>
        <w:tc>
          <w:tcPr>
            <w:tcW w:w="425" w:type="dxa"/>
            <w:tcBorders/>
            <w:vAlign w:val="center"/>
          </w:tcPr>
          <w:p>
            <w:pPr>
              <w:pStyle w:val="TableContents"/>
              <w:bidi w:val="0"/>
              <w:spacing w:before="0" w:after="283"/>
              <w:jc w:val="left"/>
              <w:rPr/>
            </w:pPr>
            <w:r>
              <w:rPr/>
              <w:t>(22)</w:t>
            </w:r>
          </w:p>
        </w:tc>
        <w:tc>
          <w:tcPr>
            <w:tcW w:w="73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held by PTMN Sub Holdings LLC, one of the Company’s taxable blocker subsidiaries.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(23)</w:t>
            </w:r>
          </w:p>
        </w:tc>
        <w:tc>
          <w:tcPr>
            <w:tcW w:w="97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debt investments are income producing, unless otherwise noted. Equity and warrant investments are non-income producing, unless otherwise noted. </w:t>
            </w:r>
          </w:p>
        </w:tc>
      </w:tr>
    </w:tbl>
    <w:tbl>
      <w:tblPr>
        <w:tblW w:w="4780" w:type="dxa"/>
        <w:jc w:val="left"/>
        <w:tblInd w:w="0" w:type="dxa"/>
        <w:tblLayout w:type="fixed"/>
        <w:tblCellMar>
          <w:top w:w="0" w:type="dxa"/>
          <w:left w:w="0" w:type="dxa"/>
          <w:bottom w:w="0" w:type="dxa"/>
          <w:right w:w="0" w:type="dxa"/>
        </w:tblCellMar>
      </w:tblPr>
      <w:tblGrid>
        <w:gridCol w:w="425"/>
        <w:gridCol w:w="4355"/>
      </w:tblGrid>
      <w:tr>
        <w:trPr/>
        <w:tc>
          <w:tcPr>
            <w:tcW w:w="425" w:type="dxa"/>
            <w:tcBorders/>
            <w:vAlign w:val="center"/>
          </w:tcPr>
          <w:p>
            <w:pPr>
              <w:pStyle w:val="TableContents"/>
              <w:bidi w:val="0"/>
              <w:spacing w:before="0" w:after="283"/>
              <w:jc w:val="left"/>
              <w:rPr/>
            </w:pPr>
            <w:r>
              <w:rPr/>
              <w:t>(24)</w:t>
            </w:r>
          </w:p>
        </w:tc>
        <w:tc>
          <w:tcPr>
            <w:tcW w:w="43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Percentages are based on net assets as of September 30, 2024. </w:t>
            </w:r>
          </w:p>
        </w:tc>
      </w:tr>
    </w:tbl>
    <w:tbl>
      <w:tblPr>
        <w:tblW w:w="3565" w:type="dxa"/>
        <w:jc w:val="left"/>
        <w:tblInd w:w="0" w:type="dxa"/>
        <w:tblLayout w:type="fixed"/>
        <w:tblCellMar>
          <w:top w:w="0" w:type="dxa"/>
          <w:left w:w="0" w:type="dxa"/>
          <w:bottom w:w="0" w:type="dxa"/>
          <w:right w:w="0" w:type="dxa"/>
        </w:tblCellMar>
      </w:tblPr>
      <w:tblGrid>
        <w:gridCol w:w="425"/>
        <w:gridCol w:w="3140"/>
      </w:tblGrid>
      <w:tr>
        <w:trPr/>
        <w:tc>
          <w:tcPr>
            <w:tcW w:w="425" w:type="dxa"/>
            <w:tcBorders/>
            <w:vAlign w:val="center"/>
          </w:tcPr>
          <w:p>
            <w:pPr>
              <w:pStyle w:val="TableContents"/>
              <w:bidi w:val="0"/>
              <w:spacing w:before="0" w:after="283"/>
              <w:jc w:val="left"/>
              <w:rPr/>
            </w:pPr>
            <w:r>
              <w:rPr/>
              <w:t>(25)</w:t>
            </w:r>
          </w:p>
        </w:tc>
        <w:tc>
          <w:tcPr>
            <w:tcW w:w="31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equity investment is income producing. </w:t>
            </w:r>
          </w:p>
        </w:tc>
      </w:tr>
    </w:tbl>
    <w:tbl>
      <w:tblPr>
        <w:tblW w:w="4735" w:type="dxa"/>
        <w:jc w:val="left"/>
        <w:tblInd w:w="0" w:type="dxa"/>
        <w:tblLayout w:type="fixed"/>
        <w:tblCellMar>
          <w:top w:w="0" w:type="dxa"/>
          <w:left w:w="0" w:type="dxa"/>
          <w:bottom w:w="0" w:type="dxa"/>
          <w:right w:w="0" w:type="dxa"/>
        </w:tblCellMar>
      </w:tblPr>
      <w:tblGrid>
        <w:gridCol w:w="425"/>
        <w:gridCol w:w="4310"/>
      </w:tblGrid>
      <w:tr>
        <w:trPr/>
        <w:tc>
          <w:tcPr>
            <w:tcW w:w="425" w:type="dxa"/>
            <w:tcBorders/>
            <w:vAlign w:val="center"/>
          </w:tcPr>
          <w:p>
            <w:pPr>
              <w:pStyle w:val="TableContents"/>
              <w:bidi w:val="0"/>
              <w:spacing w:before="0" w:after="283"/>
              <w:jc w:val="left"/>
              <w:rPr/>
            </w:pPr>
            <w:r>
              <w:rPr/>
              <w:t>(26)</w:t>
            </w:r>
          </w:p>
        </w:tc>
        <w:tc>
          <w:tcPr>
            <w:tcW w:w="4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valued at the NAV of the underlying fund. </w:t>
            </w:r>
          </w:p>
        </w:tc>
      </w:tr>
    </w:tbl>
    <w:tbl>
      <w:tblPr>
        <w:tblW w:w="9175" w:type="dxa"/>
        <w:jc w:val="left"/>
        <w:tblInd w:w="0" w:type="dxa"/>
        <w:tblLayout w:type="fixed"/>
        <w:tblCellMar>
          <w:top w:w="0" w:type="dxa"/>
          <w:left w:w="0" w:type="dxa"/>
          <w:bottom w:w="0" w:type="dxa"/>
          <w:right w:w="0" w:type="dxa"/>
        </w:tblCellMar>
      </w:tblPr>
      <w:tblGrid>
        <w:gridCol w:w="455"/>
        <w:gridCol w:w="8720"/>
      </w:tblGrid>
      <w:tr>
        <w:trPr/>
        <w:tc>
          <w:tcPr>
            <w:tcW w:w="455"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Par amount is presented for debt investments, while the number of shares or units owned is presented for equity investments.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toc100895_13"/>
      <w:bookmarkEnd w:id="14"/>
      <w:r>
        <w:rPr>
          <w:rFonts w:ascii="Times New Roman" w:hAnsi="Times New Roman"/>
          <w:b/>
          <w:sz w:val="20"/>
        </w:rPr>
        <w:t xml:space="preserve">LEGAL PROCEEDINGS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currently a party to any material legal proceedings except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Harvest Capital Credit Corporation (“HCAP”) and certain of its officers and directors as well as JMP Group LLC were named as defendants in two putative stockholder class action lawsuits, both filed in the Court of Chancery in the State of Delaware, captioned Stewart Thompson v. Joseph Jolson, et al., Case No. 2021-0164 and Ronald Tornese v. Joseph Jolson, et al., Case No. 2021-0167 (the “Delaware Actions”). The complaints in the Delaware Actions allege certain breaches of fiduciary duties against the defendants as well as aiding and abetting claims against JMP Group LLC and HCAP’s Chief Executive Officer concerning HCAP’s proposed merger with the Company and acquisition sub that resulted in the merger with and into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June 9, 2021, HCAP merged with and into the Company with the Company as the surviving corporation. As a result, the Company became responsible for any claims against HCAP as well as for any advancement and/or indemnification owed to the former officers and directors of HCAP. On or about May 10, 2022, plaintiffs in the Delaware Actions filed a consolidated amended complaint seeking damages against defendants for allegedly breaching their fiduciary duties in connection with the proposed merger. On or about May 31, 2022, defendants moved to dismiss the Delaware Actions. </w:t>
      </w:r>
    </w:p>
    <w:p>
      <w:pPr>
        <w:pStyle w:val="TextBody"/>
        <w:bidi w:val="0"/>
        <w:spacing w:before="240" w:after="0"/>
        <w:jc w:val="left"/>
        <w:rPr>
          <w:rFonts w:ascii="Times New Roman" w:hAnsi="Times New Roman"/>
          <w:sz w:val="20"/>
        </w:rPr>
      </w:pPr>
      <w:r>
        <w:rPr>
          <w:rFonts w:ascii="Times New Roman" w:hAnsi="Times New Roman"/>
          <w:sz w:val="20"/>
        </w:rPr>
        <w:t xml:space="preserve">Thereafter, in December 2022, plaintiffs in the Delaware Actions again amended their complaint, and defendants again moved to dismiss the Delaware Action. On June 7, 2023, the Court heard oral argument on defendants’ motions to dismiss. The Court dismissed all claims against HCAP’s former independent directors but denied the motions of the remaining defendants.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2024, the parties in the Delaware Actions entered into a stipulation of settlement pursuant to which all claims will be dismissed with prejudice, subject to approval by the Court. On July 2, 2024, the Court held a settlement hearing and approved the settlement. The claims asserted against the defendants were dismissed with prejudice. The Company will not be responsible for paying any portion of the settlement amount, either directly or through indemnification of former officers or directors of HCAP.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100895_14"/>
      <w:bookmarkEnd w:id="15"/>
      <w:r>
        <w:rPr>
          <w:rFonts w:ascii="Times New Roman" w:hAnsi="Times New Roman"/>
          <w:b/>
          <w:sz w:val="20"/>
        </w:rPr>
        <w:t xml:space="preserve">FINANCIAL STATEMENTS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8. Financial Statements and Supplementary Data</w:t>
      </w:r>
      <w:r>
        <w:rPr>
          <w:rFonts w:ascii="Times New Roman" w:hAnsi="Times New Roman"/>
          <w:sz w:val="20"/>
        </w:rPr>
        <w:t>” in the Company’s most recent Annual Report on Form 10-K and “</w:t>
      </w:r>
      <w:r>
        <w:rPr>
          <w:rFonts w:ascii="Times New Roman" w:hAnsi="Times New Roman"/>
          <w:i/>
          <w:sz w:val="20"/>
        </w:rPr>
        <w:t>Part 1, Item 1.</w:t>
      </w:r>
      <w:r>
        <w:rPr>
          <w:rFonts w:ascii="Times New Roman" w:hAnsi="Times New Roman"/>
          <w:sz w:val="20"/>
        </w:rPr>
        <w:t xml:space="preserve"> </w:t>
      </w:r>
      <w:r>
        <w:rPr>
          <w:rFonts w:ascii="Times New Roman" w:hAnsi="Times New Roman"/>
          <w:i/>
          <w:sz w:val="20"/>
        </w:rPr>
        <w:t>Financial Statements</w:t>
      </w:r>
      <w:r>
        <w:rPr>
          <w:rFonts w:ascii="Times New Roman" w:hAnsi="Times New Roman"/>
          <w:sz w:val="20"/>
        </w:rPr>
        <w:t>” in the Company’s most recent Quarterly Report on Form 10-Q is incorporated by reference herein. The financial data should be read in conjunction with the Company’s consolidated financial statements and related notes thereto and “</w:t>
      </w:r>
      <w:r>
        <w:rPr>
          <w:rFonts w:ascii="Times New Roman" w:hAnsi="Times New Roman"/>
          <w:i/>
          <w:sz w:val="20"/>
        </w:rPr>
        <w:t>Management’s Discussion and Analysis of Financial Condition and Results of Operations</w:t>
      </w:r>
      <w:r>
        <w:rPr>
          <w:rFonts w:ascii="Times New Roman" w:hAnsi="Times New Roman"/>
          <w:sz w:val="20"/>
        </w:rPr>
        <w:t xml:space="preserve">” as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oc100895_15"/>
      <w:bookmarkEnd w:id="16"/>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The information contained under “</w:t>
      </w:r>
      <w:r>
        <w:rPr>
          <w:rFonts w:ascii="Times New Roman" w:hAnsi="Times New Roman"/>
          <w:i/>
          <w:sz w:val="20"/>
        </w:rPr>
        <w:t>Director and Executive Officer Information</w:t>
      </w:r>
      <w:r>
        <w:rPr>
          <w:rFonts w:ascii="Times New Roman" w:hAnsi="Times New Roman"/>
          <w:sz w:val="20"/>
        </w:rPr>
        <w:t>,” “</w:t>
      </w:r>
      <w:r>
        <w:rPr>
          <w:rFonts w:ascii="Times New Roman" w:hAnsi="Times New Roman"/>
          <w:i/>
          <w:sz w:val="20"/>
        </w:rPr>
        <w:t>Director Compensation</w:t>
      </w:r>
      <w:r>
        <w:rPr>
          <w:rFonts w:ascii="Times New Roman" w:hAnsi="Times New Roman"/>
          <w:sz w:val="20"/>
        </w:rPr>
        <w:t>,”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Security Ownership of Certain Beneficial Owners and Management</w:t>
      </w:r>
      <w:r>
        <w:rPr>
          <w:rFonts w:ascii="Times New Roman" w:hAnsi="Times New Roman"/>
          <w:sz w:val="20"/>
        </w:rPr>
        <w:t>” of our most recent Definitive Proxy Statement on Schedule 14A filed with the SEC on April 29, 2024 (“most recent Definitive Proxy Statement on Schedule 14A”), and under “</w:t>
      </w:r>
      <w:r>
        <w:rPr>
          <w:rFonts w:ascii="Times New Roman" w:hAnsi="Times New Roman"/>
          <w:i/>
          <w:sz w:val="20"/>
        </w:rPr>
        <w:t>Item 1. Business —</w:t>
      </w:r>
      <w:r>
        <w:rPr>
          <w:rFonts w:ascii="Times New Roman" w:hAnsi="Times New Roman"/>
          <w:sz w:val="20"/>
        </w:rPr>
        <w:t xml:space="preserve"> </w:t>
      </w:r>
      <w:r>
        <w:rPr>
          <w:rFonts w:ascii="Times New Roman" w:hAnsi="Times New Roman"/>
          <w:i/>
          <w:sz w:val="20"/>
        </w:rPr>
        <w:t xml:space="preserve">Advisory Agreement </w:t>
      </w:r>
      <w:r>
        <w:rPr>
          <w:rFonts w:ascii="Times New Roman" w:hAnsi="Times New Roman"/>
          <w:sz w:val="20"/>
        </w:rPr>
        <w:t xml:space="preserve">— </w:t>
      </w:r>
      <w:r>
        <w:rPr>
          <w:rFonts w:ascii="Times New Roman" w:hAnsi="Times New Roman"/>
          <w:i/>
          <w:sz w:val="20"/>
        </w:rPr>
        <w:t>Board Approval of the Advisory Agreement</w:t>
      </w:r>
      <w:r>
        <w:rPr>
          <w:rFonts w:ascii="Times New Roman" w:hAnsi="Times New Roman"/>
          <w:sz w:val="20"/>
        </w:rPr>
        <w:t>” and “</w:t>
      </w:r>
      <w:r>
        <w:rPr>
          <w:rFonts w:ascii="Times New Roman" w:hAnsi="Times New Roman"/>
          <w:i/>
          <w:sz w:val="20"/>
        </w:rPr>
        <w:t>Item 7. Management’s Discussion and Analysis of Financial Condition and Results of Operations — Results of Operations — Expenses</w:t>
      </w:r>
      <w:r>
        <w:rPr>
          <w:rFonts w:ascii="Times New Roman" w:hAnsi="Times New Roman"/>
          <w:sz w:val="20"/>
        </w:rPr>
        <w:t>” of our most recent Annual Report on Form 10-K, and under “</w:t>
      </w:r>
      <w:r>
        <w:rPr>
          <w:rFonts w:ascii="Times New Roman" w:hAnsi="Times New Roman"/>
          <w:i/>
          <w:sz w:val="20"/>
        </w:rPr>
        <w:t>Notes to Consolidated Financial Statements — Note 5. Related Party Transactions — Board Approval of the Advisory Agreement</w:t>
      </w:r>
      <w:r>
        <w:rPr>
          <w:rFonts w:ascii="Times New Roman" w:hAnsi="Times New Roman"/>
          <w:sz w:val="20"/>
        </w:rPr>
        <w:t>” and “</w:t>
      </w:r>
      <w:r>
        <w:rPr>
          <w:rFonts w:ascii="Times New Roman" w:hAnsi="Times New Roman"/>
          <w:i/>
          <w:sz w:val="20"/>
        </w:rPr>
        <w:t>Part 1,</w:t>
      </w:r>
      <w:r>
        <w:rPr>
          <w:rFonts w:ascii="Times New Roman" w:hAnsi="Times New Roman"/>
          <w:sz w:val="20"/>
        </w:rPr>
        <w:t xml:space="preserve"> </w:t>
      </w:r>
      <w:r>
        <w:rPr>
          <w:rFonts w:ascii="Times New Roman" w:hAnsi="Times New Roman"/>
          <w:i/>
          <w:sz w:val="20"/>
        </w:rPr>
        <w:t>Item 2. Management’s Discussion and Analysis of Financial Condition and Results of Operations — Results of Operations — Expenses</w:t>
      </w:r>
      <w:r>
        <w:rPr>
          <w:rFonts w:ascii="Times New Roman" w:hAnsi="Times New Roman"/>
          <w:sz w:val="20"/>
        </w:rPr>
        <w:t xml:space="preserve">” of our most recent Quarterly Report on Form 10-Q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 w:name="toc100895_16"/>
      <w:bookmarkEnd w:id="17"/>
      <w:r>
        <w:rPr>
          <w:rFonts w:ascii="Times New Roman" w:hAnsi="Times New Roman"/>
          <w:b/>
          <w:sz w:val="20"/>
        </w:rPr>
        <w:t xml:space="preserve">PORTFOLIO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our investment portfolio is the responsibility of Sierra Crest and our investment team (the “PTMN Investment Team”). All investment decisions require the majority approval of the PTMN investment committee (the “PTMN Investment Committee”). The PTMN Investment Team sources, identifies and diligences investment opportunities and presents the opportunity to the PTMN Investment Committee for approval. The PTMN Investment Committee is currently comprised of five members of BCP Credit (Ted Goldthorpe, Matthias Ederer, Henry Wang, Ivelin Dimitrov and Patrick Schafer). The PTMN Investment Committee meets regularly to review the opportunities presented by the PTMN Investment Team. Follow-on investments in existing portfolio companies may require the PTMN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PTMN Investment Committee. Our Board, including a majority of the Independent Directors, oversees and monitors our investment performance and annually reviews the compensation we pay to the Adviser. </w:t>
      </w:r>
    </w:p>
    <w:p>
      <w:pPr>
        <w:pStyle w:val="TextBody"/>
        <w:bidi w:val="0"/>
        <w:spacing w:before="240" w:after="0"/>
        <w:jc w:val="left"/>
        <w:rPr>
          <w:rFonts w:ascii="Times New Roman" w:hAnsi="Times New Roman"/>
          <w:sz w:val="20"/>
        </w:rPr>
      </w:pPr>
      <w:r>
        <w:rPr>
          <w:rFonts w:ascii="Times New Roman" w:hAnsi="Times New Roman"/>
          <w:sz w:val="20"/>
        </w:rPr>
        <w:t xml:space="preserve">None of the Adviser’s investment professionals receive any direct compensation from us in connection with the management of our portfolio. </w:t>
      </w:r>
    </w:p>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regarding senior members of the PTMN Investment Committee who are not directors or executive officers is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Matthias Ederer </w:t>
      </w:r>
    </w:p>
    <w:p>
      <w:pPr>
        <w:pStyle w:val="TextBody"/>
        <w:bidi w:val="0"/>
        <w:spacing w:before="120" w:after="0"/>
        <w:jc w:val="left"/>
        <w:rPr>
          <w:rFonts w:ascii="Times New Roman" w:hAnsi="Times New Roman"/>
          <w:sz w:val="20"/>
        </w:rPr>
      </w:pPr>
      <w:r>
        <w:rPr>
          <w:rFonts w:ascii="Times New Roman" w:hAnsi="Times New Roman"/>
          <w:sz w:val="20"/>
        </w:rPr>
        <w:t xml:space="preserve">Mr. Ederer is a founding partner of BCP Credit, having previously been a partner and founding team member of Wingspan Investment Management, which he joined in 2013. Prior to Wingspan, he spent seven years in Goldman Sachs’ Special Situations Group and Bank Loan Distressed Investing Group in New York and London. </w:t>
      </w:r>
    </w:p>
    <w:p>
      <w:pPr>
        <w:pStyle w:val="TextBody"/>
        <w:bidi w:val="0"/>
        <w:spacing w:before="360" w:after="0"/>
        <w:jc w:val="left"/>
        <w:rPr>
          <w:rFonts w:ascii="Times New Roman" w:hAnsi="Times New Roman"/>
          <w:b/>
          <w:sz w:val="20"/>
        </w:rPr>
      </w:pPr>
      <w:r>
        <w:rPr>
          <w:rFonts w:ascii="Times New Roman" w:hAnsi="Times New Roman"/>
          <w:b/>
          <w:sz w:val="20"/>
        </w:rPr>
        <w:t xml:space="preserve">Henry Wang </w:t>
      </w:r>
    </w:p>
    <w:p>
      <w:pPr>
        <w:pStyle w:val="TextBody"/>
        <w:bidi w:val="0"/>
        <w:spacing w:before="120" w:after="0"/>
        <w:jc w:val="left"/>
        <w:rPr>
          <w:rFonts w:ascii="Times New Roman" w:hAnsi="Times New Roman"/>
          <w:sz w:val="20"/>
        </w:rPr>
      </w:pPr>
      <w:r>
        <w:rPr>
          <w:rFonts w:ascii="Times New Roman" w:hAnsi="Times New Roman"/>
          <w:sz w:val="20"/>
        </w:rPr>
        <w:t xml:space="preserve">Mr. Wang is a founding partner of BCP Credit, having formerly been a Partner at Stonerise Capital Partners where he spent over five years. Previously, he worked for over seven years at Goldman Sachs in its Special Situations Group and Investment Banking Division. Mr. Wang also worked for Vulcan Capital (Paul Allen’s investment firm, co-founder of Microsoft) and Thomas Weisel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Ivelin Dimitrov </w:t>
      </w:r>
    </w:p>
    <w:p>
      <w:pPr>
        <w:pStyle w:val="TextBody"/>
        <w:bidi w:val="0"/>
        <w:spacing w:before="120" w:after="0"/>
        <w:jc w:val="left"/>
        <w:rPr>
          <w:rFonts w:ascii="Times New Roman" w:hAnsi="Times New Roman"/>
          <w:sz w:val="20"/>
        </w:rPr>
      </w:pPr>
      <w:r>
        <w:rPr>
          <w:rFonts w:ascii="Times New Roman" w:hAnsi="Times New Roman"/>
          <w:sz w:val="20"/>
        </w:rPr>
        <w:t xml:space="preserve">Mr. Dimitrov joined BC Partners in 2018 and is a Managing Director in the Credit team. Previously, he was a Partner at Fifth Street Management LLC, where he focused on the investment activities of the firm, including private debt origination and capital markets solutions for financials sponsors and corporate clients. </w:t>
      </w:r>
    </w:p>
    <w:p>
      <w:pPr>
        <w:pStyle w:val="TextBody"/>
        <w:bidi w:val="0"/>
        <w:spacing w:before="240" w:after="0"/>
        <w:jc w:val="left"/>
        <w:rPr>
          <w:rFonts w:ascii="Times New Roman" w:hAnsi="Times New Roman"/>
          <w:sz w:val="20"/>
        </w:rPr>
      </w:pPr>
      <w:r>
        <w:rPr>
          <w:rFonts w:ascii="Times New Roman" w:hAnsi="Times New Roman"/>
          <w:sz w:val="20"/>
        </w:rPr>
        <w:t>Material conflicts of interest may arise in connection with the PTMN Investment Committee’s management of our investments and the investments of the other accounts managed by the Adviser and its affiliates. See “</w:t>
      </w:r>
      <w:r>
        <w:rPr>
          <w:rFonts w:ascii="Times New Roman" w:hAnsi="Times New Roman"/>
          <w:i/>
          <w:sz w:val="20"/>
        </w:rPr>
        <w:t>Item 1A.</w:t>
      </w:r>
      <w:r>
        <w:rPr>
          <w:rFonts w:ascii="Times New Roman" w:hAnsi="Times New Roman"/>
          <w:sz w:val="20"/>
        </w:rPr>
        <w:t xml:space="preserve"> </w:t>
      </w:r>
      <w:r>
        <w:rPr>
          <w:rFonts w:ascii="Times New Roman" w:hAnsi="Times New Roman"/>
          <w:i/>
          <w:sz w:val="20"/>
        </w:rPr>
        <w:t>Risk Factors —Risks Related to Our Business and Structure — There may be conflicts of interest related to obligations that the Adviser’s senior management and investment team has to other clients</w:t>
      </w:r>
      <w:r>
        <w:rPr>
          <w:rFonts w:ascii="Times New Roman" w:hAnsi="Times New Roman"/>
          <w:sz w:val="20"/>
        </w:rPr>
        <w:t xml:space="preserve">” in our most recent Annual Report on Form 10-K,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dollar range of equity securities in us beneficially owned at September 30, 2024 by each portfolio manager is as follows: </w:t>
      </w:r>
    </w:p>
    <w:p>
      <w:pPr>
        <w:pStyle w:val="TextBody"/>
        <w:bidi w:val="0"/>
        <w:spacing w:before="0" w:after="0"/>
        <w:jc w:val="left"/>
        <w:rPr/>
      </w:pPr>
      <w:r>
        <w:rPr/>
        <w:t> </w:t>
      </w:r>
    </w:p>
    <w:tbl>
      <w:tblPr>
        <w:tblW w:w="3600" w:type="dxa"/>
        <w:jc w:val="left"/>
        <w:tblInd w:w="0" w:type="dxa"/>
        <w:tblLayout w:type="fixed"/>
        <w:tblCellMar>
          <w:top w:w="0" w:type="dxa"/>
          <w:left w:w="0" w:type="dxa"/>
          <w:bottom w:w="0" w:type="dxa"/>
          <w:right w:w="0" w:type="dxa"/>
        </w:tblCellMar>
      </w:tblPr>
      <w:tblGrid>
        <w:gridCol w:w="1325"/>
        <w:gridCol w:w="120"/>
        <w:gridCol w:w="140"/>
        <w:gridCol w:w="1940"/>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080" w:type="dxa"/>
            <w:gridSpan w:val="2"/>
            <w:tcBorders>
              <w:bottom w:val="single" w:sz="8" w:space="0" w:color="000000"/>
            </w:tcBorders>
            <w:tcMar>
              <w:bottom w:w="28" w:type="dxa"/>
            </w:tcMar>
            <w:vAlign w:val="center"/>
          </w:tcPr>
          <w:p>
            <w:pPr>
              <w:pStyle w:val="TableContents"/>
              <w:bidi w:val="0"/>
              <w:spacing w:before="0" w:after="283"/>
              <w:jc w:val="center"/>
              <w:rPr/>
            </w:pPr>
            <w:r>
              <w:rPr>
                <w:b/>
              </w:rPr>
              <w:t>Dollar Range of</w:t>
            </w:r>
            <w:r>
              <w:rPr/>
              <w:br/>
            </w:r>
            <w:r>
              <w:rPr>
                <w:b/>
              </w:rPr>
              <w:t>Equity Securities in</w:t>
              <w:br/>
              <w:t>PTMN(1)</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Matthias Ederer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None</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right"/>
              <w:rPr/>
            </w:pPr>
            <w:r>
              <w:rPr/>
              <w:t>100,001—$500,000</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940" w:type="dxa"/>
            <w:tcBorders/>
            <w:shd w:fill="CCEEFF" w:val="clear"/>
            <w:vAlign w:val="center"/>
          </w:tcPr>
          <w:p>
            <w:pPr>
              <w:pStyle w:val="TableContents"/>
              <w:bidi w:val="0"/>
              <w:spacing w:before="0" w:after="283"/>
              <w:jc w:val="right"/>
              <w:rPr/>
            </w:pPr>
            <w:r>
              <w:rPr/>
              <w:t>100,001—$500,000</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Ivelin Dimitrov</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pPr>
            <w:r>
              <w:rPr/>
              <w:t>None</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Wang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None</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closing price of PTMN Common Stock on NASDAQ on September 30, 2024 of $18.55 per share. The dollar range of equity securities beneficially owned are: none; $1 – $10,000; $10,001 – $50,000; $50,001 – $100,000; $100,001 – $500,000; $500,001 – $1,000,000; or Over $1,000,000.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Accounts Managed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below lists the number of other accounts for which each portfolio manager was primarily responsible for the day-to-day management as of September 30,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5"/>
        <w:gridCol w:w="120"/>
        <w:gridCol w:w="2531"/>
        <w:gridCol w:w="60"/>
        <w:gridCol w:w="442"/>
        <w:gridCol w:w="1033"/>
        <w:gridCol w:w="60"/>
        <w:gridCol w:w="60"/>
        <w:gridCol w:w="266"/>
        <w:gridCol w:w="1064"/>
        <w:gridCol w:w="60"/>
        <w:gridCol w:w="60"/>
        <w:gridCol w:w="411"/>
        <w:gridCol w:w="959"/>
        <w:gridCol w:w="60"/>
        <w:gridCol w:w="60"/>
        <w:gridCol w:w="281"/>
        <w:gridCol w:w="1126"/>
        <w:gridCol w:w="77"/>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PTMN</w:t>
              <w:br/>
              <w:t>Investment</w:t>
              <w:br/>
              <w:t>Committee Member</w:t>
            </w:r>
          </w:p>
        </w:tc>
        <w:tc>
          <w:tcPr>
            <w:tcW w:w="120" w:type="dxa"/>
            <w:tcBorders/>
            <w:vAlign w:val="center"/>
          </w:tcPr>
          <w:p>
            <w:pPr>
              <w:pStyle w:val="TableContents"/>
              <w:bidi w:val="0"/>
              <w:spacing w:before="0" w:after="283"/>
              <w:jc w:val="left"/>
              <w:rPr/>
            </w:pPr>
            <w:r>
              <w:rPr/>
              <w:t>  </w:t>
            </w:r>
          </w:p>
        </w:tc>
        <w:tc>
          <w:tcPr>
            <w:tcW w:w="25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Type of Accounts</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Other</w:t>
              <w:br/>
              <w:t>Accounts</w:t>
              <w:br/>
              <w:t>Managed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Assets</w:t>
              <w:br/>
              <w:t>(in millions)(1)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Accounts for</w:t>
              <w:br/>
              <w:t>which</w:t>
              <w:br/>
              <w:t>Advisory Fee</w:t>
              <w:br/>
              <w:t>is Based on</w:t>
              <w:br/>
              <w:t>Performance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Assets</w:t>
              <w:br/>
              <w:t>for which</w:t>
              <w:br/>
              <w:t>Advisory Fee</w:t>
              <w:br/>
              <w:t>is Based on</w:t>
              <w:br/>
              <w:t>Performance</w:t>
              <w:br/>
              <w:t>(in millions)(2)</w:t>
            </w:r>
          </w:p>
        </w:tc>
        <w:tc>
          <w:tcPr>
            <w:tcW w:w="77"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Matthias Ederer</w:t>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Registered Investment Companies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780</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Pooled Investment Vehicles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5,002</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Accounts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19</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Registered Investment Companies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780</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Pooled Investment Vehicles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5,002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5,002</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Accounts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Registered Investment Companies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780</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Pooled Investment Vehicles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5,002</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Accounts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19</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Ivelin Dimitrov</w:t>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Registered Investment Companies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780</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Pooled Investment Vehicles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5,002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5,002</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Accounts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Wang</w:t>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Registered Investment Companies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780</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Pooled Investment Vehicles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5,002</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Accounts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760" w:type="dxa"/>
        <w:jc w:val="left"/>
        <w:tblInd w:w="0" w:type="dxa"/>
        <w:tblLayout w:type="fixed"/>
        <w:tblCellMar>
          <w:top w:w="0" w:type="dxa"/>
          <w:left w:w="0" w:type="dxa"/>
          <w:bottom w:w="0" w:type="dxa"/>
          <w:right w:w="0" w:type="dxa"/>
        </w:tblCellMar>
      </w:tblPr>
      <w:tblGrid>
        <w:gridCol w:w="305"/>
        <w:gridCol w:w="6455"/>
      </w:tblGrid>
      <w:tr>
        <w:trPr/>
        <w:tc>
          <w:tcPr>
            <w:tcW w:w="305" w:type="dxa"/>
            <w:tcBorders/>
            <w:vAlign w:val="center"/>
          </w:tcPr>
          <w:p>
            <w:pPr>
              <w:pStyle w:val="TableContents"/>
              <w:bidi w:val="0"/>
              <w:spacing w:before="0" w:after="283"/>
              <w:jc w:val="left"/>
              <w:rPr/>
            </w:pPr>
            <w:r>
              <w:rPr/>
              <w:t>(1)</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Assets as defined by BC Partners, which includes undrawn commitments.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assets under management of the accounts managed that have the potential to generate fees in addition to management fees based on total assets.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w:t>
      </w:r>
    </w:p>
    <w:p>
      <w:pPr>
        <w:pStyle w:val="TextBody"/>
        <w:bidi w:val="0"/>
        <w:spacing w:before="120" w:after="0"/>
        <w:jc w:val="left"/>
        <w:rPr>
          <w:rFonts w:ascii="Times New Roman" w:hAnsi="Times New Roman"/>
          <w:sz w:val="20"/>
        </w:rPr>
      </w:pPr>
      <w:r>
        <w:rPr>
          <w:rFonts w:ascii="Times New Roman" w:hAnsi="Times New Roman"/>
          <w:sz w:val="20"/>
        </w:rPr>
        <w:t xml:space="preserve">BC Partners’ financial arrangements with the portfolio managers, its competitive compensation and its career path emphasis at all levels reflect the value senior management places on key resources.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include a variety of components and may vary from year to year based on a number of factors. The principal components of compensation include base compensation and performance-based, discretionary compensation. </w:t>
      </w:r>
    </w:p>
    <w:p>
      <w:pPr>
        <w:pStyle w:val="TextBody"/>
        <w:bidi w:val="0"/>
        <w:spacing w:before="240" w:after="0"/>
        <w:jc w:val="left"/>
        <w:rPr>
          <w:rFonts w:ascii="Times New Roman" w:hAnsi="Times New Roman"/>
          <w:sz w:val="20"/>
        </w:rPr>
      </w:pPr>
      <w:r>
        <w:rPr>
          <w:rFonts w:ascii="Times New Roman" w:hAnsi="Times New Roman"/>
          <w:sz w:val="20"/>
          <w:u w:val="single"/>
        </w:rPr>
        <w:t>Base Compensation</w:t>
      </w:r>
      <w:r>
        <w:rPr>
          <w:rFonts w:ascii="Times New Roman" w:hAnsi="Times New Roman"/>
          <w:sz w:val="20"/>
        </w:rPr>
        <w:t xml:space="preserve">: Generally, the portfolio managers receive base compensation based on their position with the firm that is consistent with the market rate of annual salaries paid to similarly situated investment professionals. </w:t>
      </w:r>
    </w:p>
    <w:p>
      <w:pPr>
        <w:pStyle w:val="TextBody"/>
        <w:bidi w:val="0"/>
        <w:spacing w:before="240" w:after="0"/>
        <w:jc w:val="left"/>
        <w:rPr>
          <w:rFonts w:ascii="Times New Roman" w:hAnsi="Times New Roman"/>
          <w:sz w:val="20"/>
        </w:rPr>
      </w:pPr>
      <w:r>
        <w:rPr>
          <w:rFonts w:ascii="Times New Roman" w:hAnsi="Times New Roman"/>
          <w:sz w:val="20"/>
          <w:u w:val="single"/>
        </w:rPr>
        <w:t>Discretionary Compensation</w:t>
      </w:r>
      <w:r>
        <w:rPr>
          <w:rFonts w:ascii="Times New Roman" w:hAnsi="Times New Roman"/>
          <w:sz w:val="20"/>
        </w:rPr>
        <w:t xml:space="preserve">: The PTMN Investment Committee members also receive discretionary compensation generally consisting of two components: an annual bonus and carried interest.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Annual Bonus</w:t>
            </w:r>
            <w:r>
              <w:rPr>
                <w:rFonts w:ascii="Times New Roman" w:hAnsi="Times New Roman"/>
                <w:sz w:val="20"/>
              </w:rPr>
              <w:t xml:space="preserve">: Generally, a PTMN Investment Committee member receives an annual bonus based on the performance of BC Partners, the performance of the PTMN Investment Committee within BC Partners and the individual’s performance, achievement of certain internal objectives and contribution to the overall performance of these portfolios and BC Partners as a whole.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Carried Interest</w:t>
            </w:r>
            <w:r>
              <w:rPr>
                <w:rFonts w:ascii="Times New Roman" w:hAnsi="Times New Roman"/>
                <w:sz w:val="20"/>
              </w:rPr>
              <w:t xml:space="preserve">: Generally, a PTMN Investment Committee member receives carried interests with respect to the BC Partners-advised funds, subject to standard terms and conditions, including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toc100895_17"/>
      <w:bookmarkEnd w:id="18"/>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The information contained under the caption “</w:t>
      </w:r>
      <w:r>
        <w:rPr>
          <w:rFonts w:ascii="Times New Roman" w:hAnsi="Times New Roman"/>
          <w:i/>
          <w:sz w:val="20"/>
        </w:rPr>
        <w:t>Transactions with Related Persons</w:t>
      </w:r>
      <w:r>
        <w:rPr>
          <w:rFonts w:ascii="Times New Roman" w:hAnsi="Times New Roman"/>
          <w:sz w:val="20"/>
        </w:rPr>
        <w:t xml:space="preserve">” in our most recent Definitive Proxy Statement on Schedule 14A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9" w:name="toc100895_18"/>
      <w:bookmarkEnd w:id="19"/>
      <w:r>
        <w:rPr>
          <w:rFonts w:ascii="Times New Roman" w:hAnsi="Times New Roman"/>
          <w:b/>
          <w:sz w:val="20"/>
        </w:rPr>
        <w:t xml:space="preserve">CONTROL PERSONS AND 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of January 24, 2025, there were 9,198,175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No person is deemed to control us, as such term is defined in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date of this prospectus, information with respect to the beneficial ownership of our common stock by: </w:t>
      </w:r>
    </w:p>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more than 5% of the outstanding shares of our common stock;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each named executive officer;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the securities. Ownership information for those persons who beneficially own 5% or more of the shares of the Company’s common stock is based upon filings by such persons with the SEC and other information obtained from such persons, if available.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Company believes that each beneficial owner set forth in the table below has sole voting and investment power over the shares beneficially owned by such beneficial owner. The directors are divided into two groups — interested directors and independent directors. Each interested director is an “interested person” (as defined in Section 2(a)(19) of the 1940 Act) of the Company. The address of all executive officers and directors is c/o Portman Ridge Finance Corporation at 650 Madison Avenue, 3rd Floor, New York, New York 10022. </w:t>
      </w:r>
    </w:p>
    <w:p>
      <w:pPr>
        <w:pStyle w:val="TextBody"/>
        <w:bidi w:val="0"/>
        <w:spacing w:before="0" w:after="0"/>
        <w:jc w:val="left"/>
        <w:rPr/>
      </w:pPr>
      <w:r>
        <w:rPr/>
        <w:t> </w:t>
      </w:r>
    </w:p>
    <w:tbl>
      <w:tblPr>
        <w:tblW w:w="7639" w:type="dxa"/>
        <w:jc w:val="left"/>
        <w:tblInd w:w="0" w:type="dxa"/>
        <w:tblLayout w:type="fixed"/>
        <w:tblCellMar>
          <w:top w:w="0" w:type="dxa"/>
          <w:left w:w="0" w:type="dxa"/>
          <w:bottom w:w="0" w:type="dxa"/>
          <w:right w:w="0" w:type="dxa"/>
        </w:tblCellMar>
      </w:tblPr>
      <w:tblGrid>
        <w:gridCol w:w="3560"/>
        <w:gridCol w:w="60"/>
        <w:gridCol w:w="149"/>
        <w:gridCol w:w="2000"/>
        <w:gridCol w:w="60"/>
        <w:gridCol w:w="120"/>
        <w:gridCol w:w="221"/>
        <w:gridCol w:w="1179"/>
        <w:gridCol w:w="290"/>
      </w:tblGrid>
      <w:tr>
        <w:trPr/>
        <w:tc>
          <w:tcPr>
            <w:tcW w:w="3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b/>
              </w:rPr>
            </w:pPr>
            <w:r>
              <w:rPr>
                <w:b/>
              </w:rPr>
              <w:t>Number of Shares(1)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Percentage of</w:t>
              <w:br/>
              <w:t>Class</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 and Address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167,400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1.8</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4,571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Morea</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9,764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8,315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Brandon Satoren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Held</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194,039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5% Holders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230" w:type="dxa"/>
        <w:jc w:val="left"/>
        <w:tblInd w:w="0" w:type="dxa"/>
        <w:tblLayout w:type="fixed"/>
        <w:tblCellMar>
          <w:top w:w="0" w:type="dxa"/>
          <w:left w:w="0" w:type="dxa"/>
          <w:bottom w:w="0" w:type="dxa"/>
          <w:right w:w="0" w:type="dxa"/>
        </w:tblCellMar>
      </w:tblPr>
      <w:tblGrid>
        <w:gridCol w:w="155"/>
        <w:gridCol w:w="2075"/>
      </w:tblGrid>
      <w:tr>
        <w:trPr/>
        <w:tc>
          <w:tcPr>
            <w:tcW w:w="155"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13d-3 of the Securities Exchange Act of 1934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dollar range of our equity securities beneficially owned by each of our directors as of December 31, 2024. We are not part of a “family of investment companies,” as that term is defined in Schedule 14A. </w:t>
      </w:r>
    </w:p>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2315"/>
        <w:gridCol w:w="120"/>
        <w:gridCol w:w="60"/>
        <w:gridCol w:w="1775"/>
        <w:gridCol w:w="7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Dollar Range of</w:t>
              <w:br/>
              <w:t>Equity</w:t>
              <w:br/>
              <w:t>Securities($)(1)(2)</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Independent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$10,001-$50,000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None</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$10,001-$50,000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$50,000-$100,000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Morea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$10,001-$50,000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None</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Non-Independent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16a-1(a)(2) of the Exchange Act.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closing price of PTMN Common Stock on NASDAQ on December 31, 2024 of $16.34 per share. The dollar range of equity securities beneficially owned are: none, $1 – $10,000, $10,001 – $50,000, $50,001 – $100,000, or Over $100,000.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dollar range of equity interests beneficially owned by any of our Independent Directors and his or her immediate family as of December 31, 2024 in other funds managed by the Adviser or its affiliates.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20"/>
        <w:gridCol w:w="60"/>
        <w:gridCol w:w="2359"/>
        <w:gridCol w:w="60"/>
        <w:gridCol w:w="2929"/>
        <w:gridCol w:w="60"/>
        <w:gridCol w:w="1880"/>
        <w:gridCol w:w="60"/>
        <w:gridCol w:w="1477"/>
      </w:tblGrid>
      <w:tr>
        <w:trPr/>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60" w:type="dxa"/>
            <w:tcBorders/>
            <w:vAlign w:val="center"/>
          </w:tcPr>
          <w:p>
            <w:pPr>
              <w:pStyle w:val="TableContents"/>
              <w:bidi w:val="0"/>
              <w:spacing w:before="0" w:after="283"/>
              <w:jc w:val="left"/>
              <w:rPr/>
            </w:pPr>
            <w:r>
              <w:rPr/>
              <w:t> </w:t>
            </w:r>
          </w:p>
        </w:tc>
        <w:tc>
          <w:tcPr>
            <w:tcW w:w="23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Owners</w:t>
            </w:r>
          </w:p>
        </w:tc>
        <w:tc>
          <w:tcPr>
            <w:tcW w:w="60" w:type="dxa"/>
            <w:tcBorders/>
            <w:vAlign w:val="center"/>
          </w:tcPr>
          <w:p>
            <w:pPr>
              <w:pStyle w:val="TableContents"/>
              <w:bidi w:val="0"/>
              <w:spacing w:before="0" w:after="283"/>
              <w:jc w:val="left"/>
              <w:rPr/>
            </w:pPr>
            <w:r>
              <w:rPr/>
              <w:t> </w:t>
            </w:r>
          </w:p>
        </w:tc>
        <w:tc>
          <w:tcPr>
            <w:tcW w:w="292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Investment</w:t>
            </w:r>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Class</w:t>
            </w:r>
          </w:p>
        </w:tc>
        <w:tc>
          <w:tcPr>
            <w:tcW w:w="60" w:type="dxa"/>
            <w:tcBorders/>
            <w:vAlign w:val="center"/>
          </w:tcPr>
          <w:p>
            <w:pPr>
              <w:pStyle w:val="TableContents"/>
              <w:bidi w:val="0"/>
              <w:spacing w:before="0" w:after="283"/>
              <w:jc w:val="left"/>
              <w:rPr/>
            </w:pPr>
            <w:r>
              <w:rPr/>
              <w:t> </w:t>
            </w:r>
          </w:p>
        </w:tc>
        <w:tc>
          <w:tcPr>
            <w:tcW w:w="147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Value of</w:t>
              <w:br/>
              <w:t>Securities(1)</w:t>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Alexander Duka and Barbara Duka</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283"/>
              <w:jc w:val="left"/>
              <w:rPr/>
            </w:pPr>
            <w:r>
              <w:rPr/>
              <w:t>BC Partners Special Opportunities Fund I LP</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Alexander Duka and Barbara Duka</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 Partners Lending</w:t>
            </w:r>
          </w:p>
          <w:p>
            <w:pPr>
              <w:pStyle w:val="TableContents"/>
              <w:bidi w:val="0"/>
              <w:spacing w:before="0" w:after="20"/>
              <w:jc w:val="left"/>
              <w:rPr>
                <w:rFonts w:ascii="Times New Roman" w:hAnsi="Times New Roman"/>
                <w:sz w:val="20"/>
              </w:rPr>
            </w:pPr>
            <w:r>
              <w:rPr>
                <w:rFonts w:ascii="Times New Roman" w:hAnsi="Times New Roman"/>
                <w:sz w:val="20"/>
              </w:rPr>
              <w:t>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Alexander Duka</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283"/>
              <w:jc w:val="left"/>
              <w:rPr/>
            </w:pPr>
            <w:r>
              <w:rPr/>
              <w:t>BC Partners Fund XI</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George Grunebaum</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 Partners Lending</w:t>
            </w:r>
          </w:p>
          <w:p>
            <w:pPr>
              <w:pStyle w:val="TableContents"/>
              <w:bidi w:val="0"/>
              <w:spacing w:before="0" w:after="20"/>
              <w:jc w:val="left"/>
              <w:rPr>
                <w:rFonts w:ascii="Times New Roman" w:hAnsi="Times New Roman"/>
                <w:sz w:val="20"/>
              </w:rPr>
            </w:pPr>
            <w:r>
              <w:rPr>
                <w:rFonts w:ascii="Times New Roman" w:hAnsi="Times New Roman"/>
                <w:sz w:val="20"/>
              </w:rPr>
              <w:t>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Robert Warshauer</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283"/>
              <w:jc w:val="left"/>
              <w:rPr/>
            </w:pPr>
            <w:r>
              <w:rPr/>
              <w:t>BC Partners Lending 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Robert Warshauer</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BCP Special</w:t>
            </w:r>
          </w:p>
          <w:p>
            <w:pPr>
              <w:pStyle w:val="TableContents"/>
              <w:bidi w:val="0"/>
              <w:spacing w:before="0" w:after="20"/>
              <w:jc w:val="left"/>
              <w:rPr>
                <w:rFonts w:ascii="Times New Roman" w:hAnsi="Times New Roman"/>
                <w:sz w:val="20"/>
              </w:rPr>
            </w:pPr>
            <w:r>
              <w:rPr>
                <w:rFonts w:ascii="Times New Roman" w:hAnsi="Times New Roman"/>
                <w:sz w:val="20"/>
              </w:rPr>
              <w:t>Opportunities Fund I LLP</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305"/>
        <w:gridCol w:w="8915"/>
      </w:tblGrid>
      <w:tr>
        <w:trPr/>
        <w:tc>
          <w:tcPr>
            <w:tcW w:w="305" w:type="dxa"/>
            <w:tcBorders/>
            <w:vAlign w:val="center"/>
          </w:tcPr>
          <w:p>
            <w:pPr>
              <w:pStyle w:val="TableContents"/>
              <w:bidi w:val="0"/>
              <w:spacing w:before="0" w:after="283"/>
              <w:jc w:val="left"/>
              <w:rPr/>
            </w:pPr>
            <w:r>
              <w:rPr/>
              <w:t>(1)</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or Over $100,000.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toc100895_19"/>
      <w:bookmarkEnd w:id="20"/>
      <w:r>
        <w:rPr>
          <w:rFonts w:ascii="Times New Roman" w:hAnsi="Times New Roman"/>
          <w:b/>
          <w:sz w:val="20"/>
        </w:rPr>
        <w:t xml:space="preserve">DETERMINATION OF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The NAV per share of our outstanding shares of common stock is determined quarterly by dividing the value of total assets minus liabilities by the total number of shares outstanding. </w:t>
      </w:r>
    </w:p>
    <w:p>
      <w:pPr>
        <w:pStyle w:val="TextBody"/>
        <w:bidi w:val="0"/>
        <w:spacing w:before="240" w:after="0"/>
        <w:jc w:val="left"/>
        <w:rPr>
          <w:rFonts w:ascii="Times New Roman" w:hAnsi="Times New Roman"/>
          <w:sz w:val="20"/>
        </w:rPr>
      </w:pPr>
      <w:r>
        <w:rPr>
          <w:rFonts w:ascii="Times New Roman" w:hAnsi="Times New Roman"/>
          <w:sz w:val="20"/>
        </w:rPr>
        <w:t>We calculate the value of our investments in accordance with the procedures described in “</w:t>
      </w:r>
      <w:r>
        <w:rPr>
          <w:rFonts w:ascii="Times New Roman" w:hAnsi="Times New Roman"/>
          <w:i/>
          <w:sz w:val="20"/>
        </w:rPr>
        <w:t>Item</w:t>
      </w:r>
      <w:r>
        <w:rPr>
          <w:rFonts w:ascii="Times New Roman" w:hAnsi="Times New Roman"/>
          <w:sz w:val="20"/>
        </w:rPr>
        <w:t> </w:t>
      </w:r>
      <w:r>
        <w:rPr>
          <w:rFonts w:ascii="Times New Roman" w:hAnsi="Times New Roman"/>
          <w:i/>
          <w:sz w:val="20"/>
        </w:rPr>
        <w:t>1. Business — Determination of Net Asset Value</w:t>
      </w:r>
      <w:r>
        <w:rPr>
          <w:rFonts w:ascii="Times New Roman" w:hAnsi="Times New Roman"/>
          <w:sz w:val="20"/>
        </w:rPr>
        <w:t xml:space="preserve">” of our most recent Annual Report on Form 10-K,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1" w:name="toc100895_20"/>
      <w:bookmarkEnd w:id="21"/>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1. Business — Dividend Reinvestment Plan</w:t>
      </w:r>
      <w:r>
        <w:rPr>
          <w:rFonts w:ascii="Times New Roman" w:hAnsi="Times New Roman"/>
          <w:sz w:val="20"/>
        </w:rPr>
        <w:t xml:space="preserve">” in our most recent Annual Report on Form 10-K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toc100895_21"/>
      <w:bookmarkEnd w:id="22"/>
      <w:r>
        <w:rPr>
          <w:rFonts w:ascii="Times New Roman" w:hAnsi="Times New Roman"/>
          <w:b/>
          <w:sz w:val="20"/>
        </w:rPr>
        <w:t xml:space="preserve">CERTAIN 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general summary of certain material U.S. federal income tax considerations applicable to us and to an investment in shares of our common stock. This discussion is based on the provisions of the Code, the regulations of the U.S. Department of Treasury promulgated thereunder, or “Treasury regulations,” and administrative and judicial interpretations, each as in effect as of the date of this prospectus and all of which are subject to change, possibly retroactively, which could affect the continuing validity of this discussion.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IRS regarding any matter discussed herein.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discuss the consequences of an investment in our preferred stock, subscription rights, debt securities or warrants representing rights to purchase shares of our preferred stock, common stock, or debt securities. The U.S. federal income tax consequences of such an investment is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is generally a beneficial owner of shares of our common stock that is for U.S. federal income tax purposes: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classified as a corporation for U.S. tax purposes created or organized in or under the laws of the United States, any state therein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jurisdiction over the administration of the trust and one or more U.S. persons have authority to control all substantial decisions of the trust (or a trust that has made a valid election to be treated as a U.S.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stockholder” generally is a beneficial owner of shares of our common stock other than a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classified as a partnership, for U.S. federal income tax purposes, holds our shares, the U.S. tax treatment of the partnership and each partner generally depends on the status of the partner, the activities of the partnership and certain determinations made at the partner level. A partnership (and any partner in such partnership) considering an investment in our common stock should consult its own tax advisers regarding the U.S. federal income tax consequences of the acquisition, ownership and disposition of shares by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Tax matters are very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Taxation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treated and intend to qualify each year as a RIC under Subchapter M of the Code. As a RIC, we generally do not pay corporate-level U.S. federal income taxes on any ordinary income or capital gains that we timely distribute to our stockholders as dividends.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RIC, we must,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diversify our holdings so that, at the end of each quarter of each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is invested in the securities of any issuer (other than U.S. Government securities and the securities of other regulated investment companies), the securities of any two or more issuers that we control and that are determined to be engaged in the same business or similar or related trades or businesses, or the securities of one or more QPTPs (the “Diversification Tests”).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which we refer to as “SEC Certification.” We have not sought SEC Certification, but it is possible that we will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 </w:t>
      </w:r>
    </w:p>
    <w:p>
      <w:pPr>
        <w:pStyle w:val="TextBody"/>
        <w:bidi w:val="0"/>
        <w:spacing w:before="240" w:after="0"/>
        <w:jc w:val="left"/>
        <w:rPr>
          <w:rFonts w:ascii="Times New Roman" w:hAnsi="Times New Roman"/>
          <w:sz w:val="20"/>
        </w:rPr>
      </w:pPr>
      <w:r>
        <w:rPr>
          <w:rFonts w:ascii="Times New Roman" w:hAnsi="Times New Roman"/>
          <w:sz w:val="20"/>
        </w:rPr>
        <w:t xml:space="preserve">As a RIC, we are generally not subject to U.S. federal income tax on investment company taxable income and net capital gains that we distribute to our stockholders in any taxable year with respect to which we distribute an amount equal to at least 90% of the sum of our (i)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net tax-exempt interest income (which is the excess of our gross tax-exempt interest income over certain disallowed deductions) (the “Annual Distribution Requirement”). We intend to distribute annually all or substantially all of such income. Generally, if we fail to meet this Annual Distribution Requirement for any taxable year, we will fail to qualify for tax treatment as a RIC for such taxable year. To the extent we meet the Annual Distribution Requirement for a taxable year, but retain our net capital gains for investment or any investment company taxable income, we are subject to U.S. federal income tax on such retained capital gains and investment company taxable income. We may choose to retain our net capital gains for investment or any investment company taxable income, and pay the associated U.S. federal corporate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subject to a nondeductible 4% U.S. federal excise tax on certain of our undistributed income, unless we timely distribute (or are deemed to have timely distributed) an amount equal to the sum of: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98% of our ordinary income (not taking into account any capital gains or losses) for the calendar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98.2% of the amount by which our capital gains exceed our capital losses (adjusted for certain ordinary losses) for a one-year period generally ending on October 31 of the calendar year (unless an election is made by us to use our taxable year); and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undistributed amounts from previous years on which we paid no U.S. federal income tax. </w:t>
            </w:r>
          </w:p>
        </w:tc>
      </w:tr>
    </w:tbl>
    <w:p>
      <w:pPr>
        <w:pStyle w:val="TextBody"/>
        <w:bidi w:val="0"/>
        <w:spacing w:before="240" w:after="0"/>
        <w:jc w:val="left"/>
        <w:rPr>
          <w:rFonts w:ascii="Times New Roman" w:hAnsi="Times New Roman"/>
          <w:sz w:val="20"/>
        </w:rPr>
      </w:pPr>
      <w:r>
        <w:rPr>
          <w:rFonts w:ascii="Times New Roman" w:hAnsi="Times New Roman"/>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w:t>
      </w:r>
      <w:r>
        <w:rPr>
          <w:rFonts w:ascii="Times New Roman" w:hAnsi="Times New Roman"/>
          <w:i/>
          <w:sz w:val="20"/>
        </w:rPr>
        <w:t>Item 1.</w:t>
      </w:r>
      <w:r>
        <w:rPr>
          <w:rFonts w:ascii="Times New Roman" w:hAnsi="Times New Roman"/>
          <w:sz w:val="20"/>
        </w:rPr>
        <w:t xml:space="preserve"> </w:t>
      </w:r>
      <w:r>
        <w:rPr>
          <w:rFonts w:ascii="Times New Roman" w:hAnsi="Times New Roman"/>
          <w:i/>
          <w:sz w:val="20"/>
        </w:rPr>
        <w:t>Business—Regulation—Indebtedness; Coverage Ratio</w:t>
      </w:r>
      <w:r>
        <w:rPr>
          <w:rFonts w:ascii="Times New Roman" w:hAnsi="Times New Roman"/>
          <w:sz w:val="20"/>
        </w:rPr>
        <w:t xml:space="preserve">” in our most recent Annual Report on Form 10-K, as well as in subsequent filings we make with the SEC.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 </w:t>
      </w:r>
    </w:p>
    <w:p>
      <w:pPr>
        <w:pStyle w:val="TextBody"/>
        <w:bidi w:val="0"/>
        <w:spacing w:before="240" w:after="0"/>
        <w:jc w:val="left"/>
        <w:rPr>
          <w:rFonts w:ascii="Times New Roman" w:hAnsi="Times New Roman"/>
          <w:sz w:val="20"/>
        </w:rPr>
      </w:pPr>
      <w:r>
        <w:rPr>
          <w:rFonts w:ascii="Times New Roman" w:hAnsi="Times New Roman"/>
          <w:sz w:val="20"/>
        </w:rPr>
        <w:t xml:space="preserve">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Investments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 </w:t>
      </w:r>
    </w:p>
    <w:p>
      <w:pPr>
        <w:pStyle w:val="TextBody"/>
        <w:bidi w:val="0"/>
        <w:spacing w:before="240" w:after="0"/>
        <w:jc w:val="left"/>
        <w:rPr>
          <w:rFonts w:ascii="Times New Roman" w:hAnsi="Times New Roman"/>
          <w:sz w:val="20"/>
        </w:rPr>
      </w:pPr>
      <w:r>
        <w:rPr>
          <w:rFonts w:ascii="Times New Roman" w:hAnsi="Times New Roman"/>
          <w:b/>
          <w:i/>
          <w:sz w:val="20"/>
        </w:rPr>
        <w:t>Debt Instruments.</w:t>
      </w:r>
      <w:r>
        <w:rPr>
          <w:rFonts w:ascii="Times New Roman" w:hAnsi="Times New Roman"/>
          <w:sz w:val="20"/>
        </w:rPr>
        <w:t xml:space="preserve"> In certain circumstances, we may be required to recognize taxable income prior to which we receive cash. For example, if we 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 </w:t>
      </w:r>
    </w:p>
    <w:p>
      <w:pPr>
        <w:pStyle w:val="TextBody"/>
        <w:bidi w:val="0"/>
        <w:spacing w:before="240" w:after="0"/>
        <w:jc w:val="left"/>
        <w:rPr>
          <w:rFonts w:ascii="Times New Roman" w:hAnsi="Times New Roman"/>
          <w:sz w:val="20"/>
        </w:rPr>
      </w:pPr>
      <w:r>
        <w:rPr>
          <w:rFonts w:ascii="Times New Roman" w:hAnsi="Times New Roman"/>
          <w:b/>
          <w:i/>
          <w:sz w:val="20"/>
        </w:rPr>
        <w:t xml:space="preserve">Warrants. </w:t>
      </w:r>
      <w:r>
        <w:rPr>
          <w:rFonts w:ascii="Times New Roman" w:hAnsi="Times New Roman"/>
          <w:sz w:val="20"/>
        </w:rPr>
        <w:t xml:space="preserve">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w:t>
      </w:r>
    </w:p>
    <w:p>
      <w:pPr>
        <w:pStyle w:val="TextBody"/>
        <w:bidi w:val="0"/>
        <w:spacing w:before="240" w:after="0"/>
        <w:jc w:val="left"/>
        <w:rPr>
          <w:rFonts w:ascii="Times New Roman" w:hAnsi="Times New Roman"/>
          <w:sz w:val="20"/>
        </w:rPr>
      </w:pPr>
      <w:r>
        <w:rPr>
          <w:rFonts w:ascii="Times New Roman" w:hAnsi="Times New Roman"/>
          <w:b/>
          <w:i/>
          <w:sz w:val="20"/>
        </w:rPr>
        <w:t>Foreign Investments.</w:t>
      </w:r>
      <w:r>
        <w:rPr>
          <w:rFonts w:ascii="Times New Roman" w:hAnsi="Times New Roman"/>
          <w:sz w:val="20"/>
        </w:rPr>
        <w:t xml:space="preserve"> In the event we invest in foreign securities, we may be subject to withholding and other foreign taxes with respect to those securities. We do not expect to satisfy the requirement to pass through to our stockholders their share of the foreign taxes paid by us. </w:t>
      </w:r>
    </w:p>
    <w:p>
      <w:pPr>
        <w:pStyle w:val="TextBody"/>
        <w:bidi w:val="0"/>
        <w:spacing w:before="240" w:after="0"/>
        <w:jc w:val="left"/>
        <w:rPr>
          <w:rFonts w:ascii="Times New Roman" w:hAnsi="Times New Roman"/>
          <w:sz w:val="20"/>
        </w:rPr>
      </w:pPr>
      <w:r>
        <w:rPr>
          <w:rFonts w:ascii="Times New Roman" w:hAnsi="Times New Roman"/>
          <w:b/>
          <w:i/>
          <w:sz w:val="20"/>
        </w:rPr>
        <w:t>Passive Foreign Investment Companies.</w:t>
      </w:r>
      <w:r>
        <w:rPr>
          <w:rFonts w:ascii="Times New Roman" w:hAnsi="Times New Roman"/>
          <w:sz w:val="20"/>
        </w:rPr>
        <w:t xml:space="preserve"> We may invest in the stock of a foreign corporation which is classified as a “passive foreign investment company” (within the meaning of Section 1297 of the Code), or “PFIC.” In general, unless a special tax election has been made, we are required to pay tax at ordinary income rates on any gains and “excess distributions” with respect to PFIC stock as if such items had been realized ratably over the period during which we held the PFIC stock, plus an interest charge. Certain adverse tax consequences of a PFIC investment may be limited if we are eligible to elect alternative tax treatment with respect to such investment. No assurances can be given that any such election will be available or that, if available, we will make such an election. For these reasons, we intend to manage our holdings in passive foreign investment companies to minimize our tax liability. </w:t>
      </w:r>
    </w:p>
    <w:p>
      <w:pPr>
        <w:pStyle w:val="TextBody"/>
        <w:bidi w:val="0"/>
        <w:spacing w:before="240" w:after="0"/>
        <w:jc w:val="left"/>
        <w:rPr>
          <w:rFonts w:ascii="Times New Roman" w:hAnsi="Times New Roman"/>
          <w:sz w:val="20"/>
        </w:rPr>
      </w:pPr>
      <w:r>
        <w:rPr>
          <w:rFonts w:ascii="Times New Roman" w:hAnsi="Times New Roman"/>
          <w:b/>
          <w:i/>
          <w:sz w:val="20"/>
        </w:rPr>
        <w:t>Foreign Currency Transactions.</w:t>
      </w:r>
      <w:r>
        <w:rPr>
          <w:rFonts w:ascii="Times New Roman" w:hAnsi="Times New Roman"/>
          <w:sz w:val="20"/>
        </w:rPr>
        <w:t xml:space="preserve"> 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 </w:t>
      </w:r>
    </w:p>
    <w:p>
      <w:pPr>
        <w:pStyle w:val="TextBody"/>
        <w:bidi w:val="0"/>
        <w:spacing w:before="360" w:after="0"/>
        <w:jc w:val="left"/>
        <w:rPr>
          <w:rFonts w:ascii="Times New Roman" w:hAnsi="Times New Roman"/>
          <w:b/>
          <w:sz w:val="20"/>
        </w:rPr>
      </w:pPr>
      <w:r>
        <w:rPr>
          <w:rFonts w:ascii="Times New Roman" w:hAnsi="Times New Roman"/>
          <w:b/>
          <w:sz w:val="20"/>
        </w:rPr>
        <w:t xml:space="preserve">Failure to Qualify as a RIC </w:t>
      </w:r>
    </w:p>
    <w:p>
      <w:pPr>
        <w:pStyle w:val="TextBody"/>
        <w:bidi w:val="0"/>
        <w:spacing w:before="120" w:after="0"/>
        <w:jc w:val="left"/>
        <w:rPr>
          <w:rFonts w:ascii="Times New Roman" w:hAnsi="Times New Roman"/>
          <w:sz w:val="20"/>
        </w:rPr>
      </w:pPr>
      <w:r>
        <w:rPr>
          <w:rFonts w:ascii="Times New Roman" w:hAnsi="Times New Roman"/>
          <w:sz w:val="20"/>
        </w:rPr>
        <w:t>If we were unable to qualify for treatment as a RIC, and if certain cure provisions described below are not available, we would be subject to tax on all of our taxable income (including our net capital gains)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If we fail to qualify as a RIC for a period greater than two taxable years, to qualify as a RIC in a subsequent year we may be subject to regular corporate tax on any net built-in gains with respect to certain of our assets (</w:t>
      </w:r>
      <w:r>
        <w:rPr>
          <w:rFonts w:ascii="Times New Roman" w:hAnsi="Times New Roman"/>
          <w:i/>
          <w:sz w:val="20"/>
        </w:rPr>
        <w:t>i.e.</w:t>
      </w:r>
      <w:r>
        <w:rPr>
          <w:rFonts w:ascii="Times New Roman" w:hAnsi="Times New Roman"/>
          <w:sz w:val="20"/>
        </w:rPr>
        <w:t xml:space="preserv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remainder of this discussion assumes that we qualify for tax treatment as a RIC for each taxable year.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are taxable as ordinary income to U.S. stockholders to the extent of our current or accumulated earnings and profits, whether paid in cash or reinvested in additional shares of our common stock. To the extent such distributions paid by us to non-corporate stockholders (including individuals) are attributable to dividends from U.S. corporations and certain qualified foreign corporations and if certain holding period requirements are met, such distributions generally will be treated as qualified dividend income and eligible for a maximum U.S. federal tax rate of 20%. In this regard, it is anticipated that distributions paid by us will generally not be attributable to dividends and, therefore, generally will not qualify for the 20% maximum U.S. federal tax rate.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net capital gain (which is generally our realized net long-term capital gains in excess of realized net short-term capital losses) properly reported by us as “capital gain dividends” will be taxable to a U.S. stockholder as long-term capital gains (currently at a maximum U.S. federal tax rate of 20%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Stockholders receiving dividends or distributions in the form of additional shares of our common stock purchased in the market should be treated for U.S. federal income tax purposes as receiving a distribution in an amount equal to the amount of money that the stockholders receiving cash dividends or distributions will receive, and should have a cost basis in the shares received equal to such amount. Stockholders receiving dividends in newly issued shares of our common stock will be treated as receiving a distribution equal to the value of the shares received, and should have a cost basis of such amount. </w:t>
      </w:r>
    </w:p>
    <w:p>
      <w:pPr>
        <w:pStyle w:val="TextBody"/>
        <w:bidi w:val="0"/>
        <w:spacing w:before="240" w:after="0"/>
        <w:jc w:val="left"/>
        <w:rPr>
          <w:rFonts w:ascii="Times New Roman" w:hAnsi="Times New Roman"/>
          <w:sz w:val="20"/>
        </w:rPr>
      </w:pPr>
      <w:r>
        <w:rPr>
          <w:rFonts w:ascii="Times New Roman" w:hAnsi="Times New Roman"/>
          <w:sz w:val="20"/>
        </w:rPr>
        <w:t xml:space="preserve">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An additional 3.8% Medicare tax is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Generally, you will be provided with a written notice each year reporting the amount of any (i) ordinary income dividends, and (ii) capital gain dividends.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you a dividend in January which was declared in the previous October, November or December to stockholders of record on a specified date in one of these months, then the dividend will be treated for tax purposes as being paid by us and received by you on December 31 of the year in which the dividend was declared. If an investor purchases shares of our stock shortly before the record date of a distribution, the price of the shares will include the value of the distribution and the investor will be subject to tax on the distribution even though it represents a return of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Certain distributions reported by the Company as Section 163(j) interest dividends may be treated as interest income by shareholders for purposes of the tax rules applicable to interest expense limitations under Section 163(j) of the Code. Such treatment by the shareholder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 </w:t>
      </w:r>
    </w:p>
    <w:p>
      <w:pPr>
        <w:pStyle w:val="TextBody"/>
        <w:bidi w:val="0"/>
        <w:spacing w:before="240" w:after="0"/>
        <w:jc w:val="left"/>
        <w:rPr>
          <w:rFonts w:ascii="Times New Roman" w:hAnsi="Times New Roman"/>
          <w:sz w:val="20"/>
        </w:rPr>
      </w:pPr>
      <w:r>
        <w:rPr>
          <w:rFonts w:ascii="Times New Roman" w:hAnsi="Times New Roman"/>
          <w:b/>
          <w:i/>
          <w:sz w:val="20"/>
        </w:rPr>
        <w:t>Dividend Reinvestment Plan.</w:t>
      </w:r>
      <w:r>
        <w:rPr>
          <w:rFonts w:ascii="Times New Roman" w:hAnsi="Times New Roman"/>
          <w:sz w:val="20"/>
        </w:rPr>
        <w:t xml:space="preserve"> 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our dividend paying agent prior to the record date of the next dividend or distribution. See “</w:t>
      </w:r>
      <w:r>
        <w:rPr>
          <w:rFonts w:ascii="Times New Roman" w:hAnsi="Times New Roman"/>
          <w:i/>
          <w:sz w:val="20"/>
        </w:rPr>
        <w:t>Dividend Reinvestment Plan</w:t>
      </w:r>
      <w:r>
        <w:rPr>
          <w:rFonts w:ascii="Times New Roman" w:hAnsi="Times New Roman"/>
          <w:sz w:val="20"/>
        </w:rPr>
        <w:t xml:space="preserve">.” Any distributions reinvested under the plan will nevertheless remain taxable to the U.S. stockholder. The U.S. stockholder will have an adjusted basis in the additional common stock purchased through the plan equal to the amount of the reinvested distribution. The additional shares will have a new holding period commencing on the day following the day on which the shares are credited to the U.S. stockholder’s account. </w:t>
      </w:r>
    </w:p>
    <w:p>
      <w:pPr>
        <w:pStyle w:val="TextBody"/>
        <w:bidi w:val="0"/>
        <w:spacing w:before="240" w:after="0"/>
        <w:jc w:val="left"/>
        <w:rPr>
          <w:rFonts w:ascii="Times New Roman" w:hAnsi="Times New Roman"/>
          <w:sz w:val="20"/>
        </w:rPr>
      </w:pPr>
      <w:r>
        <w:rPr>
          <w:rFonts w:ascii="Times New Roman" w:hAnsi="Times New Roman"/>
          <w:b/>
          <w:i/>
          <w:sz w:val="20"/>
        </w:rPr>
        <w:t xml:space="preserve">Dispositions. </w:t>
      </w:r>
      <w:r>
        <w:rPr>
          <w:rFonts w:ascii="Times New Roman" w:hAnsi="Times New Roman"/>
          <w:sz w:val="20"/>
        </w:rPr>
        <w:t xml:space="preserve">A U.S. stockholder generally will recognize gain or loss on the sale, exchange or other taxable disposition of shares of our common stock in an amount equal to the difference between the U.S. stockholder’s adjusted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Any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that the shares are disposed. In this case, the basis of the shares acquired will be adjusted to reflect the disallowed loss. </w:t>
      </w:r>
    </w:p>
    <w:p>
      <w:pPr>
        <w:pStyle w:val="TextBody"/>
        <w:bidi w:val="0"/>
        <w:spacing w:before="240" w:after="0"/>
        <w:jc w:val="left"/>
        <w:rPr>
          <w:rFonts w:ascii="Times New Roman" w:hAnsi="Times New Roman"/>
          <w:sz w:val="20"/>
        </w:rPr>
      </w:pPr>
      <w:r>
        <w:rPr>
          <w:rFonts w:ascii="Times New Roman" w:hAnsi="Times New Roman"/>
          <w:b/>
          <w:i/>
          <w:sz w:val="20"/>
        </w:rPr>
        <w:t>Tax Shelter Reporting Regulations.</w:t>
      </w:r>
      <w:r>
        <w:rPr>
          <w:rFonts w:ascii="Times New Roman" w:hAnsi="Times New Roman"/>
          <w:sz w:val="20"/>
        </w:rPr>
        <w:t xml:space="preserve"> Under applicable Treasury regulations, if a U.S. stockholder recognizes a loss with respect to shares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 </w:t>
      </w:r>
    </w:p>
    <w:p>
      <w:pPr>
        <w:pStyle w:val="TextBody"/>
        <w:bidi w:val="0"/>
        <w:spacing w:before="240" w:after="0"/>
        <w:jc w:val="left"/>
        <w:rPr>
          <w:rFonts w:ascii="Times New Roman" w:hAnsi="Times New Roman"/>
          <w:sz w:val="20"/>
        </w:rPr>
      </w:pPr>
      <w:r>
        <w:rPr>
          <w:rFonts w:ascii="Times New Roman" w:hAnsi="Times New Roman"/>
          <w:b/>
          <w:i/>
          <w:sz w:val="20"/>
        </w:rPr>
        <w:t>Backup Withholding.</w:t>
      </w:r>
      <w:r>
        <w:rPr>
          <w:rFonts w:ascii="Times New Roman" w:hAnsi="Times New Roman"/>
          <w:sz w:val="20"/>
        </w:rPr>
        <w:t xml:space="preserve"> We are required in certain circumstances to backup withhold on taxable dividends or distributions paid to non-corporate U.S. stockholders who do not furnish us or the dividend-paying agent with their correct taxpayer identification number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only applies to certain non-U.S. stockholders. Whether an investment in shares of our common stock is appropriate for a non-U.S. stockholder depends upon that person’s particular circumstances. An investment in shares of our common stock by a non-U.S. stockholder may have adverse tax consequences. Non-U.S. stockholders should consult their own tax advisers before investing in shares of our common stock. </w:t>
      </w:r>
    </w:p>
    <w:p>
      <w:pPr>
        <w:pStyle w:val="TextBody"/>
        <w:bidi w:val="0"/>
        <w:spacing w:before="240" w:after="0"/>
        <w:jc w:val="left"/>
        <w:rPr>
          <w:rFonts w:ascii="Times New Roman" w:hAnsi="Times New Roman"/>
          <w:sz w:val="20"/>
        </w:rPr>
      </w:pPr>
      <w:r>
        <w:rPr>
          <w:rFonts w:ascii="Times New Roman" w:hAnsi="Times New Roman"/>
          <w:b/>
          <w:i/>
          <w:sz w:val="20"/>
        </w:rPr>
        <w:t>Actual and Deemed Distributions; Dispositions.</w:t>
      </w:r>
      <w:r>
        <w:rPr>
          <w:rFonts w:ascii="Times New Roman" w:hAnsi="Times New Roman"/>
          <w:sz w:val="20"/>
        </w:rPr>
        <w:t xml:space="preserve"> Distributions of ordinary income dividends to non-U.S. stockholders, subject to the discussion below, are generally subject to withholding of U.S. federal tax at a 30% rate (or lower rate provided by an applicable treaty) to the extent of our current or accumulated earnings and profits even if they are funded by income or gains (such as portfolio interest, short-term capital gains, or foreign-source dividend and interest income) that, if paid to a non-U.S. stockholder directly, would not be subject to withholding.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 </w:t>
      </w:r>
    </w:p>
    <w:p>
      <w:pPr>
        <w:pStyle w:val="TextBody"/>
        <w:bidi w:val="0"/>
        <w:spacing w:before="240" w:after="0"/>
        <w:jc w:val="left"/>
        <w:rPr>
          <w:rFonts w:ascii="Times New Roman" w:hAnsi="Times New Roman"/>
          <w:sz w:val="20"/>
        </w:rPr>
      </w:pPr>
      <w:r>
        <w:rPr>
          <w:rFonts w:ascii="Times New Roman" w:hAnsi="Times New Roman"/>
          <w:sz w:val="20"/>
        </w:rPr>
        <w:t xml:space="preserve">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were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 </w:t>
      </w:r>
    </w:p>
    <w:p>
      <w:pPr>
        <w:pStyle w:val="TextBody"/>
        <w:bidi w:val="0"/>
        <w:spacing w:before="240" w:after="0"/>
        <w:jc w:val="left"/>
        <w:rPr>
          <w:rFonts w:ascii="Times New Roman" w:hAnsi="Times New Roman"/>
          <w:sz w:val="20"/>
        </w:rPr>
      </w:pPr>
      <w:r>
        <w:rPr>
          <w:rFonts w:ascii="Times New Roman" w:hAnsi="Times New Roman"/>
          <w:sz w:val="20"/>
        </w:rPr>
        <w:t xml:space="preserve">If we distribute our net capital gains in the form of deemed rather than actual distributions,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is not otherwise required to obtain a U.S. taxpayer identification number or file a federal income tax return. For a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tax treaty). Accordingly, investment in shares of our common stock may not be appropriate for certain non-U.S. stockholders. </w:t>
      </w:r>
    </w:p>
    <w:p>
      <w:pPr>
        <w:pStyle w:val="TextBody"/>
        <w:bidi w:val="0"/>
        <w:spacing w:before="240" w:after="0"/>
        <w:jc w:val="left"/>
        <w:rPr>
          <w:rFonts w:ascii="Times New Roman" w:hAnsi="Times New Roman"/>
          <w:sz w:val="20"/>
        </w:rPr>
      </w:pPr>
      <w:r>
        <w:rPr>
          <w:rFonts w:ascii="Times New Roman" w:hAnsi="Times New Roman"/>
          <w:b/>
          <w:i/>
          <w:sz w:val="20"/>
        </w:rPr>
        <w:t>Dividend Reinvestment Plan.</w:t>
      </w:r>
      <w:r>
        <w:rPr>
          <w:rFonts w:ascii="Times New Roman" w:hAnsi="Times New Roman"/>
          <w:sz w:val="20"/>
        </w:rPr>
        <w:t xml:space="preserve"> Under our dividend reinvestment plan, if a non-U.S. stockholder owns shares of common stock registered in its own name, the non-U.S. stockholder will have all cash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automatically reinvested in additional shares of common stock unless it opts out of our dividend reinvestment plan by delivering a written notice to our dividend paying agent prior to the record date of the next dividend or distribution. See “</w:t>
      </w:r>
      <w:r>
        <w:rPr>
          <w:rFonts w:ascii="Times New Roman" w:hAnsi="Times New Roman"/>
          <w:i/>
          <w:sz w:val="20"/>
        </w:rPr>
        <w:t>Dividend Reinvestment Plan</w:t>
      </w:r>
      <w:r>
        <w:rPr>
          <w:rFonts w:ascii="Times New Roman" w:hAnsi="Times New Roman"/>
          <w:sz w:val="20"/>
        </w:rPr>
        <w:t xml:space="preserve">.” If the distribution is a distribution of our investment company taxable income, is not reported by us as a short-term capital gains dividend or interest-related dividend and it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U.S. federal income tax at a 30% rate (or lower rate provided by an applicable treaty) and only the net after-tax amount will be reinvested in common stock. The non-U.S. stockholder will have an adjusted basis in the additional common stock purchased through the plan equal to the amount reinvested. The additional shares will have a new holding period commencing on the day following the day on which the shares are credited to the non-U.S. stockholder’s account. </w:t>
      </w:r>
    </w:p>
    <w:p>
      <w:pPr>
        <w:pStyle w:val="TextBody"/>
        <w:bidi w:val="0"/>
        <w:spacing w:before="240" w:after="0"/>
        <w:jc w:val="left"/>
        <w:rPr>
          <w:rFonts w:ascii="Times New Roman" w:hAnsi="Times New Roman"/>
          <w:sz w:val="20"/>
        </w:rPr>
      </w:pPr>
      <w:r>
        <w:rPr>
          <w:rFonts w:ascii="Times New Roman" w:hAnsi="Times New Roman"/>
          <w:b/>
          <w:i/>
          <w:sz w:val="20"/>
        </w:rPr>
        <w:t>Backup Withholding.</w:t>
      </w:r>
      <w:r>
        <w:rPr>
          <w:rFonts w:ascii="Times New Roman" w:hAnsi="Times New Roman"/>
          <w:sz w:val="20"/>
        </w:rPr>
        <w:t xml:space="preserve"> A non-U.S. stockholder who is a nonresident alien individual, and who is otherwise subject to withholding of federal income tax, will be subject to information reporting, but may not be subject to backup withholding of federal income tax on taxable dividends or distributions if the non-U.S. stockholder provides us or the dividend paying agent with an IRS Form W-8BEN, IRS Form W-8BEN-E, or an acceptable substitute form. Backup withholding is not an additional tax. Any amounts withheld from payments made to you may be refunded or credited against your U.S. federal income tax liability, if any,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w:t>
      </w:r>
    </w:p>
    <w:p>
      <w:pPr>
        <w:pStyle w:val="TextBody"/>
        <w:bidi w:val="0"/>
        <w:spacing w:before="120" w:after="0"/>
        <w:jc w:val="left"/>
        <w:rPr>
          <w:rFonts w:ascii="Times New Roman" w:hAnsi="Times New Roman"/>
          <w:sz w:val="20"/>
        </w:rPr>
      </w:pPr>
      <w:r>
        <w:rPr>
          <w:rFonts w:ascii="Times New Roman" w:hAnsi="Times New Roman"/>
          <w:sz w:val="20"/>
        </w:rPr>
        <w:t xml:space="preserve">Legislation commonly referred to as the “Foreign Account Tax Compliance Act,” or “FATCA”, and the Treasury regulations promulgated thereunder, generally impose a withholding tax of 30% on certain payments of U.S. source interest, dividends and other fixed or determinable annual or periodical gains, profits, and income to foreign financial institutions (“FFIs”) unless such FFIs enter into an agreement with the U.S. Treasury to report certain required information with respect to accounts held by U.S. persons (or held by foreign entities that have U.S. persons as substantial owners), or such FFIs reside in a jurisdiction that has entered into an intergovernmental agreement with the IRS to provide such information and such FFIs comply with the terms of such intergovernmental agreement and any enabling legislation or administrative authority with respect to such intergovernmental agreement.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financial institutions unless such foreign entities certify that they do not have any greater than 10% U.S. owner or provides the withholding agent with identifying information on each greater than 10% U.S. owner. Depending on the status of a Non-U.S. Holder and the status of the intermediaries through which they hold their shares, Non-U.S. Holders could be subject to this 30% withholding tax with respect to distributions on their shares of our common stock and proceeds from the sale of their shares of our common stock. Under certain circumstances, a Non-U.S. Holder might be eligible for refunds or credits of such taxes.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is urged to consult its tax adviser regarding the applicability of FATCA and any other reporting requirements with respect to the prospective investor’s own situation, including investments through an intermediary.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3" w:name="toc100895_22"/>
      <w:bookmarkEnd w:id="23"/>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Exhibit 4.7, “Description of Portman Ridge Finance Corporation’s Registered Securities,” to our most recent Annual Report on Form 10-K, which is incorporated by reference herein, for a description of our common stock. We urge you to read the applicable prospectus supplement and any related free writing prospectus that we may authorize to be provided to you related to any shares of our capital stock being offered. The number of outstanding shares of our common stock as of January 24, 2025 was 9,198,175.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4" w:name="toc100895_23"/>
      <w:bookmarkEnd w:id="24"/>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charter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preferred stock we may issue from time to time. Particular terms of any preferred stock we offer will be described in the prospectus supplement relating to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issue preferred stock, it will pay dividends to the holders of the preferred stock at either a fixed rate or a rate that will be reset frequently based on short-term interest rates, as described in a prospectus supplement accompanying each preferred share offering. </w:t>
      </w:r>
    </w:p>
    <w:p>
      <w:pPr>
        <w:pStyle w:val="TextBody"/>
        <w:bidi w:val="0"/>
        <w:spacing w:before="240" w:after="0"/>
        <w:jc w:val="left"/>
        <w:rPr>
          <w:rFonts w:ascii="Times New Roman" w:hAnsi="Times New Roman"/>
          <w:sz w:val="20"/>
        </w:rPr>
      </w:pPr>
      <w:r>
        <w:rPr>
          <w:rFonts w:ascii="Times New Roman" w:hAnsi="Times New Roman"/>
          <w:sz w:val="20"/>
        </w:rPr>
        <w:t xml:space="preserve">You should note that any issuance of preferred stock must comply with the requirements of the 1940 Act. The 1940 Act requires, among other things, that (1) immediately after issuance and before any cash dividend or other distribution is made with respect to our common stock and before any purchase of common stock is made, the liquidation preference of any preferred stock, together with all other senior securities, must not exceed an amount equal to 662/3% of our total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In addition, under the 1940 Act, shares of preferred stock must be cumulative as to dividends and have a complete preference over our common stock to payment of their liquidation preference in the event of a dissolution.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provides us with increased flexibility in structuring future financings and acquisitions. However, we do not currently have any plans to issue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For any class or series of preferred stock that we may issue, our Board will determine and the articles supplementary and prospectus supplement relating to such class or series will describe: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class or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whether fixed or variable, and time at which, and the preferences and conditions under which, any dividends will be paid on shares of such class or series, as well as whether such dividends are participating or non-participating;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class or series, including adjustments to the conversion price of such class or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class or series upon our liquidation, dissolution or winding up of our affairs;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class or series;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class or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class or series are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class or series or other securities;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class or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We urge you to read the applicable prospectus supplement and any free writing prospectus that we may authorize to be provided to you related to any preferred stock being offered, as well as the complete articles supplementary that contain the terms of the applicable class or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5" w:name="toc100895_24"/>
      <w:bookmarkEnd w:id="25"/>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You should read the prospectus supplement related to any such subscription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subscription rights (or method of calculation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subscription rights issued to each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right we may have in connection with such subscription rights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offered securities directly to persons other than stockholders, to or through agents, underwriters or dealers or through a combination of such methods, as set forth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NAV per share, the rights offering may reduce our NAV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6" w:name="toc100895_25"/>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You should read the prospectus supplement related to any warrants offering.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shares of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number of such warrants issued with each security;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7" w:name="toc100895_26"/>
      <w:bookmarkEnd w:id="27"/>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We urge you to read the applicable prospectus supplement and any free writing prospectus that we may authorize to be provided to you related to the series of debt securities being offered, as well as the complete indentures that contain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w:t>
      </w:r>
      <w:r>
        <w:rPr>
          <w:rFonts w:ascii="Times New Roman" w:hAnsi="Times New Roman"/>
          <w:i/>
          <w:sz w:val="20"/>
        </w:rPr>
        <w:t>Events of Default—Remedies if an Event of Default Occurs</w:t>
      </w:r>
      <w:r>
        <w:rPr>
          <w:rFonts w:ascii="Times New Roman" w:hAnsi="Times New Roman"/>
          <w:sz w:val="20"/>
        </w:rPr>
        <w:t xml:space="preserve">.” Second, the trustee performs certain administrative duties for us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This section includes a description of the material provisions of the indenture. Any accompanying prospectus supplement will describe any other material terms of the debt securities being offered thereunder.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w:t>
      </w:r>
      <w:r>
        <w:rPr>
          <w:rFonts w:ascii="Times New Roman" w:hAnsi="Times New Roman"/>
          <w:i/>
          <w:sz w:val="20"/>
        </w:rPr>
        <w:t>Available Information</w:t>
      </w:r>
      <w:r>
        <w:rPr>
          <w:rFonts w:ascii="Times New Roman" w:hAnsi="Times New Roman"/>
          <w:sz w:val="20"/>
        </w:rPr>
        <w:t xml:space="preserve">” for information on how to obtain a copy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of payment, transfer, conversion and/or exchange of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Events of Default (as defined in “</w:t>
            </w:r>
            <w:r>
              <w:rPr>
                <w:rFonts w:ascii="Times New Roman" w:hAnsi="Times New Roman"/>
                <w:i/>
                <w:sz w:val="20"/>
              </w:rPr>
              <w:t>Events of Default</w:t>
            </w:r>
            <w:r>
              <w:rPr>
                <w:rFonts w:ascii="Times New Roman" w:hAnsi="Times New Roman"/>
                <w:sz w:val="20"/>
              </w:rPr>
              <w:t xml:space="preserve">” below);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is issuable in certificated form;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federal income tax considerations relating to original issue discount;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The debt securities may be secured or unsecured obligations. Under the provisions of the 1940 Act, we, as a BDC, are permitted to issue debt only in amounts such that our asset coverage, as defined in the 1940 Act, equals at least 150% after each issuance of debt, but giving effect to any exemptive relief granted to us by the SEC. For a discussion of risks involved with incurring additional leverage, see “</w:t>
      </w:r>
      <w:r>
        <w:rPr>
          <w:rFonts w:ascii="Times New Roman" w:hAnsi="Times New Roman"/>
          <w:i/>
          <w:sz w:val="20"/>
        </w:rPr>
        <w:t>Item 1A. Risk Factors</w:t>
      </w:r>
      <w:r>
        <w:rPr>
          <w:rFonts w:ascii="Times New Roman" w:hAnsi="Times New Roman"/>
          <w:sz w:val="20"/>
        </w:rPr>
        <w:t xml:space="preserve">” in our most recent Annual Report on Form 10-K, as well as in any of our subsequent SEC filings. Unless the prospectus supplement states otherwise, principal (and premium, if any) and interest, if any, will be paid by us in immediately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w:t>
      </w:r>
      <w:r>
        <w:rPr>
          <w:rFonts w:ascii="Times New Roman" w:hAnsi="Times New Roman"/>
          <w:i/>
          <w:sz w:val="20"/>
        </w:rPr>
        <w:t>Resignation of Trustee</w:t>
      </w:r>
      <w:r>
        <w:rPr>
          <w:rFonts w:ascii="Times New Roman" w:hAnsi="Times New Roman"/>
          <w:sz w:val="20"/>
        </w:rPr>
        <w:t xml:space="preserv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Except as described under “—</w:t>
      </w:r>
      <w:r>
        <w:rPr>
          <w:rFonts w:ascii="Times New Roman" w:hAnsi="Times New Roman"/>
          <w:i/>
          <w:sz w:val="20"/>
        </w:rPr>
        <w:t>Events of Default</w:t>
      </w:r>
      <w:r>
        <w:rPr>
          <w:rFonts w:ascii="Times New Roman" w:hAnsi="Times New Roman"/>
          <w:sz w:val="20"/>
        </w:rPr>
        <w:t>” and “—</w:t>
      </w:r>
      <w:r>
        <w:rPr>
          <w:rFonts w:ascii="Times New Roman" w:hAnsi="Times New Roman"/>
          <w:i/>
          <w:sz w:val="20"/>
        </w:rPr>
        <w:t>Merger or Consolidation</w:t>
      </w:r>
      <w:r>
        <w:rPr>
          <w:rFonts w:ascii="Times New Roman" w:hAnsi="Times New Roman"/>
          <w:sz w:val="20"/>
        </w:rPr>
        <w:t xml:space="preserve">” below, 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Securities in Registered Form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240" w:after="0"/>
        <w:jc w:val="left"/>
        <w:rPr>
          <w:rFonts w:ascii="Times New Roman" w:hAnsi="Times New Roman"/>
          <w:sz w:val="20"/>
        </w:rPr>
      </w:pPr>
      <w:r>
        <w:rPr>
          <w:rFonts w:ascii="Times New Roman" w:hAnsi="Times New Roman"/>
          <w:sz w:val="20"/>
        </w:rPr>
        <w:t>When we refer to you in this “</w:t>
      </w:r>
      <w:r>
        <w:rPr>
          <w:rFonts w:ascii="Times New Roman" w:hAnsi="Times New Roman"/>
          <w:i/>
          <w:sz w:val="20"/>
        </w:rPr>
        <w:t>Description of Our Debt Securities</w:t>
      </w:r>
      <w:r>
        <w:rPr>
          <w:rFonts w:ascii="Times New Roman" w:hAnsi="Times New Roman"/>
          <w:sz w:val="20"/>
        </w:rPr>
        <w:t xml:space="preserve">” section,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A global security may not be transferred to or registered in the name of anyone other than the depositary or its nominee, unless special termination situations arise. We describe those situations below under “—</w:t>
      </w:r>
      <w:r>
        <w:rPr>
          <w:rFonts w:ascii="Times New Roman" w:hAnsi="Times New Roman"/>
          <w:i/>
          <w:sz w:val="20"/>
        </w:rPr>
        <w:t xml:space="preserve">Termination of a Global Security.” </w:t>
      </w:r>
      <w:r>
        <w:rPr>
          <w:rFonts w:ascii="Times New Roman" w:hAnsi="Times New Roman"/>
          <w:sz w:val="20"/>
        </w:rPr>
        <w:t xml:space="preserve">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debt securities to be registered in his, her or its name and cannot obtain certificates for his, her or its interest in the debt securities, except in the special situations we describe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 investor will be an indirect holder and must look to his, her or its own bank or broker for payments on the debt securities and protection of his, her or its legal rights relating to the debt securities, as we describe under “—</w:t>
            </w:r>
            <w:r>
              <w:rPr>
                <w:rFonts w:ascii="Times New Roman" w:hAnsi="Times New Roman"/>
                <w:i/>
                <w:sz w:val="20"/>
              </w:rPr>
              <w:t>Issuance of Securities in Registered Form</w:t>
            </w:r>
            <w:r>
              <w:rPr>
                <w:rFonts w:ascii="Times New Roman" w:hAnsi="Times New Roman"/>
                <w:sz w:val="20"/>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her or its interest in a global security in circumstances where certificates representing the debt securities must be delivered to the lender or other beneficiary of the pledge in order for the pledge to be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nor are we responsible for the actions of, any of those intermediaries.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w:t>
      </w:r>
      <w:r>
        <w:rPr>
          <w:rFonts w:ascii="Times New Roman" w:hAnsi="Times New Roman"/>
          <w:i/>
          <w:sz w:val="20"/>
        </w:rPr>
        <w:t>Issuance of Securities in Registered Form</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us or the applicable trustee, is responsible for deciding the investors in whose names the debt securities represented by the global security will be registered and, therefore, who will be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Since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w:t>
      </w:r>
      <w:r>
        <w:rPr>
          <w:rFonts w:ascii="Times New Roman" w:hAnsi="Times New Roman"/>
          <w:i/>
          <w:sz w:val="20"/>
        </w:rPr>
        <w:t>Special Considerations for Global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to the holder of debt securities as shown on the trustee’s records as of the close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regular record date at our office and/or at other offices that may be specified in the prospectus supplement. We will make all payments of principal and premium, if any, by check at the office of the applicable trustee in New York, New York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w:t>
      </w:r>
    </w:p>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premium, if any, on) a debt security of the series within five days of its due date;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within 30 days of its due date;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110"/>
        <w:gridCol w:w="60"/>
        <w:gridCol w:w="9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within five days of its due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or holders of at least 25.0% of the principal amount of debt securities of the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voluntarily file for bankruptcy or consent to the commencement of certain other events of bankruptcy, insolvency or reorganization;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an order or decree under bankruptcy law that is for relief against us in an involuntary case or proceeding, adjudges us bankrupt or insolvent or orders the winding up or liquidation of us and the continuance of any such decree or order remains undischarged or unstayed for a period of 90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series of debt securities has an asset coverage, as such term is defined in the 1940 Act, of less than 100.0% on the last business day of each of 24 consecutive calendar months, giving effect to any exemptive relief granted to us by the SEC; or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withhold notice to the holders of debt securities of any default, except in the payment of principal, premium, interest, or sinking or purchase fund installment, if it in good faith considers the withholding of notice to be in the interest of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is continuing, the trustee or the holders of not less than 25.0% in principal amount of the outstanding debt securities of the affected series may (and the trustee shall at the request of such holders) declare the entire principal amount of all the outstanding debt securities of that series to be due and immediately payable by a notice in writing to us (and to the trustee if given by such holders).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with respect to the relevant series of debt securities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25.0% in principal amount of all outstanding debt securities of the relevant series must make a written request that the trustee take action because of the default and must offer indemnity, security, or both reasonably satisfactory to the trustee against the costs, expenses, and other liabilities of taking that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and/or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that series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Waiver of Default </w:t>
      </w:r>
    </w:p>
    <w:p>
      <w:pPr>
        <w:pStyle w:val="TextBody"/>
        <w:bidi w:val="0"/>
        <w:spacing w:before="120" w:after="0"/>
        <w:jc w:val="left"/>
        <w:rPr>
          <w:rFonts w:ascii="Times New Roman" w:hAnsi="Times New Roman"/>
          <w:sz w:val="20"/>
        </w:rPr>
      </w:pPr>
      <w:r>
        <w:rPr>
          <w:rFonts w:ascii="Times New Roman" w:hAnsi="Times New Roman"/>
          <w:sz w:val="20"/>
        </w:rPr>
        <w:t xml:space="preserve">Holders of a majority in principal amount of the outstanding debt securities of the affected series may waive any past defaults other than a default: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principal, any premium or interest; or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substantially all of our assets, the resulting entity or transferee must agree to be legally responsible for our obligations under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w:t>
            </w:r>
            <w:r>
              <w:rPr>
                <w:rFonts w:ascii="Times New Roman" w:hAnsi="Times New Roman"/>
                <w:i/>
                <w:sz w:val="20"/>
              </w:rPr>
              <w:t>Events of Default</w:t>
            </w:r>
            <w:r>
              <w:rPr>
                <w:rFonts w:ascii="Times New Roman" w:hAnsi="Times New Roman"/>
                <w:sz w:val="20"/>
              </w:rPr>
              <w:t xml:space="preserve">” above. A default for this purpose would also include any event that would be an Event of Default if the requirements for giving us a notice of default or our default having to exist for a specific period of time were disregarded;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or the terms of any sinking fund with respect to any security;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an original issue discount or indexed security following a default or upon the redemption thereof or the amount thereof provable in a bankruptcy proceeding;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debt security (except as otherwise described in the prospectus or prospectus supplement);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of the indenture dealing with supplemental indentures with the consent of holders,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240" w:after="0"/>
        <w:jc w:val="left"/>
        <w:rPr>
          <w:rFonts w:ascii="Times New Roman" w:hAnsi="Times New Roman"/>
          <w:sz w:val="20"/>
        </w:rPr>
      </w:pPr>
      <w:r>
        <w:rPr>
          <w:rFonts w:ascii="Times New Roman" w:hAnsi="Times New Roman"/>
          <w:sz w:val="20"/>
        </w:rPr>
        <w:t>The holders of a majority in principal amount of a series of debt securities issued under the indenture, voting together as one class for this purpose, may waive our compliance with some of the covenants applicable to that series of debt securities. However, we cannot obtain a waiver of a payment default or of any of the matters covered by the bullet points included above under “—</w:t>
      </w:r>
      <w:r>
        <w:rPr>
          <w:rFonts w:ascii="Times New Roman" w:hAnsi="Times New Roman"/>
          <w:i/>
          <w:sz w:val="20"/>
        </w:rPr>
        <w:t>Changes Requiring Your Approval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the principal face amount at original issuance or a special rule for that debt security described in the prospectus supplement; and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240" w:after="0"/>
        <w:jc w:val="left"/>
        <w:rPr>
          <w:rFonts w:ascii="Times New Roman" w:hAnsi="Times New Roman"/>
          <w:sz w:val="20"/>
        </w:rPr>
      </w:pPr>
      <w:r>
        <w:rPr>
          <w:rFonts w:ascii="Times New Roman" w:hAnsi="Times New Roman"/>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w:t>
      </w:r>
      <w:r>
        <w:rPr>
          <w:rFonts w:ascii="Times New Roman" w:hAnsi="Times New Roman"/>
          <w:i/>
          <w:sz w:val="20"/>
        </w:rPr>
        <w:t>Defeasance—Full Defeasance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w:t>
      </w:r>
      <w:r>
        <w:rPr>
          <w:rFonts w:ascii="Times New Roman" w:hAnsi="Times New Roman"/>
          <w:i/>
          <w:sz w:val="20"/>
        </w:rPr>
        <w:t>Indenture Provisions—Subordination</w:t>
      </w:r>
      <w:r>
        <w:rPr>
          <w:rFonts w:ascii="Times New Roman" w:hAnsi="Times New Roman"/>
          <w:sz w:val="20"/>
        </w:rPr>
        <w:t xml:space="preserve">”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of the indenture or any of our other material agreements or instruments,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covenant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For example, if one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remaining Events of Default occurred (such as our bankruptcy) and the debt securities became immediately due and payable, there might be such a shortfall. However, there is no assurance that we would have sufficient funds to make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or we obtain an IRS ruling, as described in the second bullet below, we can legally release ourself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of the indenture or any of our other material agreements or instruments,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full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as applicable, if we ever became bankrupt or insolvent. If your debt securities were subordinated as described later under “—</w:t>
      </w:r>
      <w:r>
        <w:rPr>
          <w:rFonts w:ascii="Times New Roman" w:hAnsi="Times New Roman"/>
          <w:i/>
          <w:sz w:val="20"/>
        </w:rPr>
        <w:t>Indenture Provisions—Subordination</w:t>
      </w:r>
      <w:r>
        <w:rPr>
          <w:rFonts w:ascii="Times New Roman" w:hAnsi="Times New Roman"/>
          <w:sz w:val="20"/>
        </w:rPr>
        <w:t xml:space="preserve">”,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in denominations of $1,000 and amounts that are multiples of $1,000.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ourself.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as applicable,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Secured Indebtedness and Ranking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will rank structurally junior to all existing and future indebtedness (including trade payables) incurred by any subsidiaries, financing vehicles, or similar facilities we may have.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U.S. Bank National Association serves as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8" w:name="toc100895_27"/>
      <w:bookmarkEnd w:id="28"/>
      <w:r>
        <w:rPr>
          <w:rFonts w:ascii="Times New Roman" w:hAnsi="Times New Roman"/>
          <w:b/>
          <w:sz w:val="20"/>
        </w:rPr>
        <w:t xml:space="preserve">REGULATION </w:t>
      </w:r>
    </w:p>
    <w:p>
      <w:pPr>
        <w:pStyle w:val="TextBody"/>
        <w:bidi w:val="0"/>
        <w:spacing w:before="240" w:after="0"/>
        <w:jc w:val="left"/>
        <w:rPr>
          <w:rFonts w:ascii="Times New Roman" w:hAnsi="Times New Roman"/>
          <w:sz w:val="20"/>
        </w:rPr>
      </w:pPr>
      <w:r>
        <w:rPr>
          <w:rFonts w:ascii="Times New Roman" w:hAnsi="Times New Roman"/>
          <w:sz w:val="20"/>
        </w:rPr>
        <w:t>We are subject to regulation as described in “</w:t>
      </w:r>
      <w:r>
        <w:rPr>
          <w:rFonts w:ascii="Times New Roman" w:hAnsi="Times New Roman"/>
          <w:i/>
          <w:sz w:val="20"/>
        </w:rPr>
        <w:t>Item</w:t>
      </w:r>
      <w:r>
        <w:rPr>
          <w:rFonts w:ascii="Times New Roman" w:hAnsi="Times New Roman"/>
          <w:sz w:val="20"/>
        </w:rPr>
        <w:t> </w:t>
      </w:r>
      <w:r>
        <w:rPr>
          <w:rFonts w:ascii="Times New Roman" w:hAnsi="Times New Roman"/>
          <w:i/>
          <w:sz w:val="20"/>
        </w:rPr>
        <w:t>1. Business — Regulation</w:t>
      </w:r>
      <w:r>
        <w:rPr>
          <w:rFonts w:ascii="Times New Roman" w:hAnsi="Times New Roman"/>
          <w:sz w:val="20"/>
        </w:rPr>
        <w:t xml:space="preserve">” of our most recent Annual Report on Form 10-K,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9" w:name="toc100895_28"/>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up to $500,000,000 of our common stock, preferred stock, debt securities, subscription rights to purchase shares of our common stock, and/or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underwriters or dealers, directly to one or more purchasers, including existing stockholders in a rights offering by us,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common stock, less any underwriting commissions and discounts or agency fees paid, must equal or exceed the NAV per share of our common stock at the time of the offering except (i) in connection with a rights offering to our existing stockholders, (ii) with the prior approval of the majority (as defined in the 1940 Act) of our common stockholders, or (iii) under such other circumstances as the SEC may permit. See “</w:t>
      </w:r>
      <w:r>
        <w:rPr>
          <w:rFonts w:ascii="Times New Roman" w:hAnsi="Times New Roman"/>
          <w:i/>
          <w:sz w:val="20"/>
        </w:rPr>
        <w:t>Determination of Net Asset Value</w:t>
      </w:r>
      <w:r>
        <w:rPr>
          <w:rFonts w:ascii="Times New Roman" w:hAnsi="Times New Roman"/>
          <w:sz w:val="20"/>
        </w:rPr>
        <w:t xml:space="preserve">” for a discussion of how NAV is determined. Any offering of securities by us that requires the consent of the majority of our common stockholders, must occur, if at all, within one year after receiving such consent. The price at which the securities may be distributed may represent a discount from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securities, underwriters or agents may receive compensation from us or from purchasers of our securities, for whom they may act as agents, in the form of discounts, concessions or commissions. Our common stockholders will bear, directly or indirectly, such expenses payable by us, as well as any other fees and the expenses incurred by us in connection with any offering of the securities, including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in connection with an offering of our securities.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may engage in passive market-making transactions in our common stock, preferred stock, subscription rights, warrants or debt securities, as applicable, on the NASDAQ in accordance with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listed on the NASDAQ under the symbol “PTMN”. We may elect to list any other class or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into which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0" w:name="toc100895_29"/>
      <w:bookmarkEnd w:id="30"/>
      <w:r>
        <w:rPr>
          <w:rFonts w:ascii="Times New Roman" w:hAnsi="Times New Roman"/>
          <w:b/>
          <w:sz w:val="20"/>
        </w:rPr>
        <w:t xml:space="preserve">CUSTODIAN, TRANSFER AND DIVIDEND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assets are held by U.S. Bank National Association pursuant to a custody agreement. The principal business address of U.S. Bank National Association is One Federal Street, 3rd Floor, Boston, Massachusetts 02110. Equiniti Trust Company, LLC, serves as our transfer agent, registrar and dividend disbursing agent, pursuant to a transfer agency and registrar services agreement. The principal business address of Equiniti Trust Company, LLC, is 48 Wall Street, 23rd floor New York, New York, 10043. </w:t>
      </w:r>
    </w:p>
    <w:p>
      <w:pPr>
        <w:pStyle w:val="TextBody"/>
        <w:bidi w:val="0"/>
        <w:spacing w:before="240" w:after="0"/>
        <w:jc w:val="left"/>
        <w:rPr>
          <w:rFonts w:ascii="Times New Roman" w:hAnsi="Times New Roman"/>
          <w:sz w:val="20"/>
        </w:rPr>
      </w:pPr>
      <w:r>
        <w:rPr>
          <w:rFonts w:ascii="Times New Roman" w:hAnsi="Times New Roman"/>
          <w:sz w:val="20"/>
        </w:rPr>
        <w:t xml:space="preserve">U.S. Bank National Association serves as our trustee under an indenture and the third supplemental indenture thereto relating to the 2026 Notes, is the paying agent, registrar and transfer agent relating to the 2026 Notes. The principal business address of U.S. Bank National Association is One Federal Street, 10th Floor, Boston, MA 02110. </w:t>
      </w:r>
    </w:p>
    <w:p>
      <w:pPr>
        <w:pStyle w:val="TextBody"/>
        <w:bidi w:val="0"/>
        <w:spacing w:before="480" w:after="0"/>
        <w:jc w:val="center"/>
        <w:rPr>
          <w:rFonts w:ascii="Times New Roman" w:hAnsi="Times New Roman"/>
          <w:b/>
          <w:sz w:val="20"/>
        </w:rPr>
      </w:pPr>
      <w:bookmarkStart w:id="31" w:name="toc100895_30"/>
      <w:bookmarkEnd w:id="31"/>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generally acquire and dispose of investments in privately negotiated transactions, we will infrequently use brokers in the normal course of our business. Subject to policies established by our Board, our Adviser will be primarily responsible for the execution of the publicly traded securities portion of our portfolio transactions and the allocation of brokerage commissions. Our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our Adviser generally will seek reasonably competitive trade execution costs, we will not necessarily pay the lowest spread or commission available. Subject to applicable legal requirements, our Adviser may select a broker based partly upon brokerage or research services provided to us, our Adviser and any other accounts. Such brokerage or research services may include research reports on companies, industries and securities; economic and financial data; financial publications; computer data bases; quotation equipment and services; and research-oriented computer hardware, software and other services. In return for such services, we may pay a higher commission than other brokers would charge if our Adviser determines in good faith that such commission is reasonable in relation to the services provided. </w:t>
      </w:r>
    </w:p>
    <w:p>
      <w:pPr>
        <w:pStyle w:val="TextBody"/>
        <w:bidi w:val="0"/>
        <w:spacing w:before="480" w:after="0"/>
        <w:jc w:val="center"/>
        <w:rPr>
          <w:rFonts w:ascii="Times New Roman" w:hAnsi="Times New Roman"/>
          <w:b/>
          <w:sz w:val="20"/>
        </w:rPr>
      </w:pPr>
      <w:bookmarkStart w:id="32" w:name="toc100895_31"/>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regarding the securities offered by this prospectus will be passed upon for the Company by Dechert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3" w:name="toc100895_32"/>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Deloitte &amp; Touche LLP, located at 30 Rockefeller Plaza, 41st Floor, New York, New York 10112 is our independent registered public accounting firm. Deloitte &amp; Touche LLP audits our financial statements and provides audit related services.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our most recent Annual Report on Form 10-K have been so incorporated in reliance on the report of Deloitte &amp; Touche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4" w:name="toc100895_33"/>
      <w:bookmarkEnd w:id="3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The SEC allows us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the documents listed below that we have previously filed with the SEC, and any reports and other documents we subsequently file pursuant to Section 13(a), 13(c), 14 or 15(d) of the Exchange Act prior to the termination of the offering of the securities covered by this prospectus, including all such filings we may file with the SEC after the date of the initial filing of the registration statement of which this prospectus is part and prior to its effectiveness, will also be incorporated by reference into this prospectus and deemed to be part of this prospectus from the date of the filing of such reports and documents; provided, however, that information “furnished” under Item 2.02 or Item 7.01 of Form 8-K, or other information “furnished” to the SEC, which is not deemed filed is not and will not be incorporated by reference in this prospectus and any accompanying prospectus supplement: </w:t>
      </w:r>
    </w:p>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6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9">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March 13, 2024;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pPr>
            <w:r>
              <w:rPr>
                <w:rFonts w:ascii="Times New Roman" w:hAnsi="Times New Roman"/>
                <w:sz w:val="20"/>
              </w:rPr>
              <w:t xml:space="preserve">our Quarterly Report on </w:t>
            </w:r>
            <w:hyperlink r:id="rId10">
              <w:r>
                <w:rPr>
                  <w:rStyle w:val="InternetLink"/>
                  <w:rFonts w:ascii="Times New Roman" w:hAnsi="Times New Roman"/>
                  <w:sz w:val="20"/>
                </w:rPr>
                <w:t>Form 10-Q</w:t>
              </w:r>
            </w:hyperlink>
            <w:r>
              <w:rPr>
                <w:rFonts w:ascii="Times New Roman" w:hAnsi="Times New Roman"/>
                <w:sz w:val="20"/>
              </w:rPr>
              <w:t xml:space="preserve"> for the quarter ended September 30, 2024, filed with the SEC on November 7, 2024;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pPr>
            <w:r>
              <w:rPr>
                <w:rFonts w:ascii="Times New Roman" w:hAnsi="Times New Roman"/>
                <w:sz w:val="20"/>
              </w:rPr>
              <w:t xml:space="preserve">our Definitive Proxy Statement on </w:t>
            </w:r>
            <w:hyperlink r:id="rId11">
              <w:r>
                <w:rPr>
                  <w:rStyle w:val="InternetLink"/>
                  <w:rFonts w:ascii="Times New Roman" w:hAnsi="Times New Roman"/>
                  <w:sz w:val="20"/>
                </w:rPr>
                <w:t>Schedule 14A</w:t>
              </w:r>
            </w:hyperlink>
            <w:r>
              <w:rPr>
                <w:rFonts w:ascii="Times New Roman" w:hAnsi="Times New Roman"/>
                <w:sz w:val="20"/>
              </w:rPr>
              <w:t xml:space="preserve">, filed with the SEC on April 29, 2024;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pPr>
            <w:r>
              <w:rPr>
                <w:rFonts w:ascii="Times New Roman" w:hAnsi="Times New Roman"/>
                <w:sz w:val="20"/>
              </w:rPr>
              <w:t xml:space="preserve">our Current Report on </w:t>
            </w:r>
            <w:hyperlink r:id="rId12">
              <w:r>
                <w:rPr>
                  <w:rStyle w:val="InternetLink"/>
                  <w:rFonts w:ascii="Times New Roman" w:hAnsi="Times New Roman"/>
                  <w:sz w:val="20"/>
                </w:rPr>
                <w:t>Form 8-K</w:t>
              </w:r>
            </w:hyperlink>
            <w:r>
              <w:rPr>
                <w:rFonts w:ascii="Times New Roman" w:hAnsi="Times New Roman"/>
                <w:sz w:val="20"/>
              </w:rPr>
              <w:t xml:space="preserve">, filed with the SEC on February 4,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description of shares of our common stock contained in a registration statement filed pursuant to the Exchange Act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To obtain copies of these filings, see “</w:t>
      </w:r>
      <w:r>
        <w:rPr>
          <w:rFonts w:ascii="Times New Roman" w:hAnsi="Times New Roman"/>
          <w:i/>
          <w:sz w:val="20"/>
        </w:rPr>
        <w:t>Available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5" w:name="toc100895_34"/>
      <w:bookmarkEnd w:id="35"/>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or incorporated by reference as an exhibit is qualified in all respects by such exhibit.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annual, quarterly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at </w:t>
      </w:r>
      <w:r>
        <w:rPr>
          <w:rFonts w:ascii="Times New Roman" w:hAnsi="Times New Roman"/>
          <w:i/>
          <w:sz w:val="20"/>
        </w:rPr>
        <w:t>www.sec.gov</w:t>
      </w:r>
      <w:r>
        <w:rPr>
          <w:rFonts w:ascii="Times New Roman" w:hAnsi="Times New Roman"/>
          <w:sz w:val="20"/>
        </w:rPr>
        <w:t xml:space="preserve">. This information is also available free of charge by contacting us by telephone at (212) 891-2880 or on our website at </w:t>
      </w:r>
      <w:r>
        <w:rPr>
          <w:rFonts w:ascii="Times New Roman" w:hAnsi="Times New Roman"/>
          <w:i/>
          <w:sz w:val="20"/>
        </w:rPr>
        <w:t>www.portmanridge.com</w:t>
      </w:r>
      <w:r>
        <w:rPr>
          <w:rFonts w:ascii="Times New Roman" w:hAnsi="Times New Roman"/>
          <w:sz w:val="20"/>
        </w:rPr>
        <w:t xml:space="preserve">. Information contained on our website is not incorporated by reference into this prospectus or any prospectus supplement, and you should not consider that information to be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can request a copy of any of our SEC filings (other than exhibits, unless the exhibits are specifically incorporated by reference into these documents), including those incorporated by reference herein,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Portman Ridge Finance Corporation </w:t>
      </w:r>
    </w:p>
    <w:p>
      <w:pPr>
        <w:pStyle w:val="TextBody"/>
        <w:bidi w:val="0"/>
        <w:spacing w:before="0" w:after="0"/>
        <w:jc w:val="center"/>
        <w:rPr>
          <w:rFonts w:ascii="Times New Roman" w:hAnsi="Times New Roman"/>
          <w:sz w:val="20"/>
        </w:rPr>
      </w:pPr>
      <w:r>
        <w:rPr>
          <w:rFonts w:ascii="Times New Roman" w:hAnsi="Times New Roman"/>
          <w:sz w:val="20"/>
        </w:rPr>
        <w:t xml:space="preserve">650 Madison Avenue, 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891-2880 </w:t>
      </w:r>
    </w:p>
    <w:p>
      <w:pPr>
        <w:pStyle w:val="TextBody"/>
        <w:bidi w:val="0"/>
        <w:spacing w:before="0" w:after="0"/>
        <w:jc w:val="center"/>
        <w:rPr>
          <w:rFonts w:ascii="Times New Roman" w:hAnsi="Times New Roman"/>
          <w:sz w:val="20"/>
        </w:rPr>
      </w:pPr>
      <w:r>
        <w:rPr>
          <w:rFonts w:ascii="Times New Roman" w:hAnsi="Times New Roman"/>
          <w:sz w:val="20"/>
        </w:rPr>
        <w:t xml:space="preserve">Attn: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000" w:after="0"/>
        <w:jc w:val="center"/>
        <w:rPr>
          <w:rFonts w:ascii="Times New Roman" w:hAnsi="Times New Roman"/>
          <w:b/>
          <w:sz w:val="32"/>
        </w:rPr>
      </w:pPr>
      <w:r>
        <w:rPr>
          <w:rFonts w:ascii="Times New Roman" w:hAnsi="Times New Roman"/>
          <w:b/>
          <w:sz w:val="32"/>
        </w:rPr>
        <w:t xml:space="preserve">$50,000,000 7.50% Notes due 2029 </w:t>
      </w:r>
    </w:p>
    <w:p>
      <w:pPr>
        <w:pStyle w:val="TextBody"/>
        <w:bidi w:val="0"/>
        <w:spacing w:before="480" w:after="0"/>
        <w:jc w:val="center"/>
        <w:rPr>
          <w:rFonts w:ascii="Times New Roman" w:hAnsi="Times New Roman"/>
          <w:b/>
          <w:sz w:val="48"/>
        </w:rPr>
      </w:pPr>
      <w:r>
        <w:rPr>
          <w:rFonts w:ascii="Times New Roman" w:hAnsi="Times New Roman"/>
          <w:b/>
          <w:sz w:val="48"/>
        </w:rPr>
        <w:t xml:space="preserve">BCP Investment Corporation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March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372807/000119312526093918/bcic-20251231.htm" TargetMode="External"/><Relationship Id="rId4" Type="http://schemas.openxmlformats.org/officeDocument/2006/relationships/hyperlink" Target="http://www.sec.gov/Archives/edgar/data/../../../ix?doc=/Archives/edgar/data/0001372807/000119312526093918/bcic-20251231.htm" TargetMode="External"/><Relationship Id="rId5" Type="http://schemas.openxmlformats.org/officeDocument/2006/relationships/hyperlink" Target="http://www.sec.gov/Archives/edgar/data/../../../ix?doc=/Archives/edgar/data/0001372807/000119312525103952/d914666ddef14a.htm" TargetMode="External"/><Relationship Id="rId6" Type="http://schemas.openxmlformats.org/officeDocument/2006/relationships/hyperlink" Target="http://www.sec.gov/Archives/edgar/data/../../../ix?doc=/Archives/edgar/data/0001372807/000119312526098787/d75337d8k.htm" TargetMode="External"/><Relationship Id="rId7" Type="http://schemas.openxmlformats.org/officeDocument/2006/relationships/hyperlink" Target="http://www.sec.gov/Archives/edgar/data/../../../ix?doc=/Archives/edgar/data/0001372807/000119312526104166/d42440d8k.htm" TargetMode="External"/><Relationship Id="rId8" Type="http://schemas.openxmlformats.org/officeDocument/2006/relationships/image" Target="media/image2.jpeg"/><Relationship Id="rId9" Type="http://schemas.openxmlformats.org/officeDocument/2006/relationships/hyperlink" Target="http://www.sec.gov/Archives/edgar/data/../../../ix?doc=/Archives/edgar/data/1372807/000095017024030788/ptmn-20231231.htm" TargetMode="External"/><Relationship Id="rId10" Type="http://schemas.openxmlformats.org/officeDocument/2006/relationships/hyperlink" Target="http://www.sec.gov/Archives/edgar/data/../../../ix?doc=/Archives/edgar/data/1372807/000095017024123269/ptmn-20240930.htm" TargetMode="External"/><Relationship Id="rId11" Type="http://schemas.openxmlformats.org/officeDocument/2006/relationships/hyperlink" Target="http://www.sec.gov/Archives/edgar/data/1372807/000119312524122300/d688319ddef14a.htm" TargetMode="External"/><Relationship Id="rId12" Type="http://schemas.openxmlformats.org/officeDocument/2006/relationships/hyperlink" Target="http://www.sec.gov/Archives/edgar/data/../../../ix?doc=/Archives/edgar/data/1372807/000119312525020007/d823270d8k.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56994</Words>
  <Characters>295126</Characters>
  <CharactersWithSpaces>355366</CharactersWithSpaces>
  <Paragraphs>10726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