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176530</wp:posOffset>
            </wp:positionV>
            <wp:extent cx="2529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97"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58420</wp:posOffset>
            </wp:positionV>
            <wp:extent cx="2529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51" w:lineRule="exact"/>
        <w:rPr>
          <w:sz w:val="24"/>
          <w:szCs w:val="24"/>
          <w:color w:val="auto"/>
        </w:rPr>
      </w:pPr>
    </w:p>
    <w:p>
      <w:pPr>
        <w:ind w:left="1040" w:right="1120" w:hanging="1032"/>
        <w:spacing w:after="0" w:line="282"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2015</w:t>
      </w:r>
    </w:p>
    <w:p>
      <w:pPr>
        <w:spacing w:after="0" w:line="162" w:lineRule="exact"/>
        <w:rPr>
          <w:sz w:val="24"/>
          <w:szCs w:val="24"/>
          <w:color w:val="auto"/>
        </w:rPr>
      </w:pPr>
    </w:p>
    <w:p>
      <w:pPr>
        <w:ind w:left="1040" w:hanging="1032"/>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7" w:lineRule="exact"/>
        <w:rPr>
          <w:sz w:val="24"/>
          <w:szCs w:val="24"/>
          <w:color w:val="auto"/>
        </w:rPr>
      </w:pPr>
    </w:p>
    <w:p>
      <w:pPr>
        <w:ind w:left="1040"/>
        <w:spacing w:after="0"/>
        <w:tabs>
          <w:tab w:leader="none" w:pos="39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No. 814-00735</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KCAP Financial,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38735</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34" w:lineRule="exact"/>
        <w:rPr>
          <w:sz w:val="24"/>
          <w:szCs w:val="24"/>
          <w:color w:val="auto"/>
        </w:rPr>
      </w:pPr>
    </w:p>
    <w:tbl>
      <w:tblPr>
        <w:tblLayout w:type="fixed"/>
        <w:tblInd w:w="1900" w:type="dxa"/>
        <w:tblCellMar>
          <w:top w:w="0" w:type="dxa"/>
          <w:left w:w="0" w:type="dxa"/>
          <w:bottom w:w="0" w:type="dxa"/>
          <w:right w:w="0" w:type="dxa"/>
        </w:tblCellMar>
      </w:tblPr>
      <w:tr>
        <w:trPr>
          <w:trHeight w:val="216"/>
        </w:trPr>
        <w:tc>
          <w:tcPr>
            <w:tcW w:w="388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20-5951150</w:t>
            </w:r>
          </w:p>
        </w:tc>
      </w:tr>
      <w:tr>
        <w:trPr>
          <w:trHeight w:val="216"/>
        </w:trPr>
        <w:tc>
          <w:tcPr>
            <w:tcW w:w="388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(State or other jurisdiction of</w:t>
            </w:r>
          </w:p>
        </w:tc>
        <w:tc>
          <w:tcPr>
            <w:tcW w:w="3300" w:type="dxa"/>
            <w:vAlign w:val="bottom"/>
          </w:tcPr>
          <w:p>
            <w:pPr>
              <w:jc w:val="center"/>
              <w:ind w:left="1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880" w:type="dxa"/>
            <w:vAlign w:val="bottom"/>
          </w:tcPr>
          <w:p>
            <w:pPr>
              <w:jc w:val="center"/>
              <w:ind w:right="1410"/>
              <w:spacing w:after="0"/>
              <w:rPr>
                <w:sz w:val="20"/>
                <w:szCs w:val="20"/>
                <w:color w:val="auto"/>
              </w:rPr>
            </w:pPr>
            <w:r>
              <w:rPr>
                <w:rFonts w:ascii="Arial" w:cs="Arial" w:eastAsia="Arial" w:hAnsi="Arial"/>
                <w:sz w:val="18"/>
                <w:szCs w:val="18"/>
                <w:b w:val="1"/>
                <w:bCs w:val="1"/>
                <w:color w:val="auto"/>
                <w:w w:val="92"/>
              </w:rPr>
              <w:t>Incorporation or organization)</w:t>
            </w:r>
          </w:p>
        </w:tc>
        <w:tc>
          <w:tcPr>
            <w:tcW w:w="3300" w:type="dxa"/>
            <w:vAlign w:val="bottom"/>
          </w:tcPr>
          <w:p>
            <w:pPr>
              <w:jc w:val="center"/>
              <w:ind w:left="1410"/>
              <w:spacing w:after="0"/>
              <w:rPr>
                <w:sz w:val="20"/>
                <w:szCs w:val="20"/>
                <w:color w:val="auto"/>
              </w:rPr>
            </w:pPr>
            <w:r>
              <w:rPr>
                <w:rFonts w:ascii="Arial" w:cs="Arial" w:eastAsia="Arial" w:hAnsi="Arial"/>
                <w:sz w:val="18"/>
                <w:szCs w:val="18"/>
                <w:b w:val="1"/>
                <w:bCs w:val="1"/>
                <w:color w:val="auto"/>
                <w:w w:val="94"/>
              </w:rPr>
              <w:t>Identification Number)</w:t>
            </w:r>
          </w:p>
        </w:tc>
      </w:tr>
    </w:tbl>
    <w:p>
      <w:pPr>
        <w:spacing w:after="0" w:line="200" w:lineRule="exact"/>
        <w:rPr>
          <w:sz w:val="24"/>
          <w:szCs w:val="24"/>
          <w:color w:val="auto"/>
        </w:rPr>
      </w:pPr>
    </w:p>
    <w:p>
      <w:pPr>
        <w:spacing w:after="0" w:line="21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295 Madison Avenue, 6th Floor</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(212) 455-8300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40005</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26"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1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right="2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320"/>
          </w:cols>
          <w:pgMar w:left="240" w:top="747" w:right="339" w:bottom="1440" w:gutter="0" w:footer="0" w:header="0"/>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1700" w:space="720"/>
            <w:col w:w="4180" w:space="720"/>
            <w:col w:w="2820" w:space="720"/>
            <w:col w:w="460"/>
          </w:cols>
          <w:pgMar w:left="240" w:top="747" w:right="3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5">
            <w:col w:w="1700" w:space="720"/>
            <w:col w:w="100" w:space="360"/>
            <w:col w:w="3720" w:space="720"/>
            <w:col w:w="2820" w:space="720"/>
            <w:col w:w="460"/>
          </w:cols>
          <w:pgMar w:left="240" w:top="747" w:right="339" w:bottom="1440" w:gutter="0" w:footer="0" w:header="0"/>
          <w:type w:val="continuous"/>
        </w:sectPr>
      </w:pPr>
    </w:p>
    <w:p>
      <w:pPr>
        <w:spacing w:after="0" w:line="4"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o 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common stock of the registrant as of May 4, 2015 was 36,875,942.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74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0" w:type="dxa"/>
            <w:vAlign w:val="bottom"/>
            <w:gridSpan w:val="15"/>
          </w:tcPr>
          <w:p>
            <w:pPr>
              <w:ind w:left="4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60" w:type="dxa"/>
            <w:vAlign w:val="bottom"/>
            <w:gridSpan w:val="16"/>
            <w:shd w:val="clear" w:color="auto" w:fill="CCEEFF"/>
          </w:tcPr>
          <w:p>
            <w:pPr>
              <w:jc w:val="center"/>
              <w:ind w:right="2500"/>
              <w:spacing w:after="0" w:line="176" w:lineRule="exact"/>
              <w:rPr>
                <w:sz w:val="20"/>
                <w:szCs w:val="20"/>
                <w:color w:val="auto"/>
              </w:rPr>
            </w:pPr>
            <w:r>
              <w:rPr>
                <w:rFonts w:ascii="Arial" w:cs="Arial" w:eastAsia="Arial" w:hAnsi="Arial"/>
                <w:sz w:val="18"/>
                <w:szCs w:val="18"/>
                <w:b w:val="1"/>
                <w:bCs w:val="1"/>
                <w:color w:val="auto"/>
                <w:w w:val="94"/>
              </w:rPr>
              <w:t>Part I. Financial Information</w:t>
            </w: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2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2015 (unaudited) and December 31, 2014</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(unaudited) for the three months ended March 31, 2015 and 2014</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3"/>
            <w:shd w:val="clear" w:color="auto" w:fill="CCEEFF"/>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Statements of Changes in Net Assets (unaudited) for the three months ended March 31, 2015 and 2014</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3"/>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three months ended March 31, 2015 and 2014</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3"/>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March 31, 2015 (unaudited) and December 31, 2014</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3"/>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Consolidated Financial Highlights (unaudited) for the three months ended March 31, 2015 and 2014</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3"/>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Notes to Consolidated Financial Statements (unaudited)</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23"/>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23"/>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Quantitative and Qualitative Disclosures About Market Risk</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23"/>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Changes in and Disagreements with Accountants on Accounting and Financial Disclosure</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360" w:type="dxa"/>
            <w:vAlign w:val="bottom"/>
            <w:gridSpan w:val="23"/>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Controls and Procedures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720" w:type="dxa"/>
            <w:vAlign w:val="bottom"/>
            <w:gridSpan w:val="14"/>
            <w:shd w:val="clear" w:color="auto" w:fill="CCEEFF"/>
          </w:tcPr>
          <w:p>
            <w:pPr>
              <w:jc w:val="center"/>
              <w:ind w:right="3660"/>
              <w:spacing w:after="0" w:line="176" w:lineRule="exact"/>
              <w:rPr>
                <w:rFonts w:ascii="Arial" w:cs="Arial" w:eastAsia="Arial" w:hAnsi="Arial"/>
                <w:sz w:val="18"/>
                <w:szCs w:val="18"/>
                <w:b w:val="1"/>
                <w:bCs w:val="1"/>
                <w:color w:val="0000EE"/>
                <w:w w:val="97"/>
              </w:rPr>
            </w:pPr>
            <w:hyperlink w:anchor="page81">
              <w:r>
                <w:rPr>
                  <w:rFonts w:ascii="Arial" w:cs="Arial" w:eastAsia="Arial" w:hAnsi="Arial"/>
                  <w:sz w:val="18"/>
                  <w:szCs w:val="18"/>
                  <w:b w:val="1"/>
                  <w:bCs w:val="1"/>
                  <w:color w:val="0000EE"/>
                  <w:w w:val="97"/>
                </w:rPr>
                <w:t>Part II. Other Information</w:t>
              </w:r>
            </w:hyperlink>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23"/>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Legal Proceedings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360" w:type="dxa"/>
            <w:vAlign w:val="bottom"/>
            <w:gridSpan w:val="23"/>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Risk Factors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23"/>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Unregistered Sales of Equity Securities and Use of Proceeds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23"/>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Defaults Upon Senior Securities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23"/>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Mine Safety Disclosures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360" w:type="dxa"/>
            <w:vAlign w:val="bottom"/>
            <w:gridSpan w:val="23"/>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Other Information</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360" w:type="dxa"/>
            <w:vAlign w:val="bottom"/>
            <w:gridSpan w:val="23"/>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Exhibits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3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As of</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 2015</w:t>
            </w:r>
          </w:p>
        </w:tc>
        <w:tc>
          <w:tcPr>
            <w:tcW w:w="20" w:type="dxa"/>
            <w:vAlign w:val="bottom"/>
          </w:tcPr>
          <w:p>
            <w:pPr>
              <w:spacing w:after="0"/>
              <w:rPr>
                <w:sz w:val="20"/>
                <w:szCs w:val="20"/>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4"/>
              </w:rPr>
              <w:t>December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 (cost: 2015 - $1,729,575; 2014 - $1,602,741)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1,729,575</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1,602,741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Debt securities (cost: 2015 - $321,962,047; 2014 - $322,884,934)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320,470,495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320,143,170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 Fund Securities managed by affiliates (cost: 2015 - $94,330,773; 2014 - $85,355,897)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82,455,704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74,139,696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CLO Fund Securities managed by non-affiliates (cost: 2015 - $5,482,114; 2014 - $5,533,293)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3,397,774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3,375,206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securities (cost: 2015 - $8,828,812; 2014 - $8,828,812)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8,063,558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8,119,681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Asset Manager Affiliates (cost: 2015 - $59,006,651; 2014 - $60,292,677)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71,524,000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72,326,000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 (cost: 2015 - $491,339,972; 2014 - $484,498,354)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487,641,106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479,706,494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Cash</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1,521,555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1,220,798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3,962,192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19,325,550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2,189,109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1,748,821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Due from affiliates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3,985,732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3,027,409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5,453,839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5,417,725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504,753,533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510,446,797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Convertible Notes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38,647,000</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38,647,000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7.375% Notes Due 2019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41,400,000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w w:val="97"/>
              </w:rPr>
              <w:t>Notes issued by KCAP Senior Funding I, LLC (net of discount: 2015 - $3,362,714; 2014 - $3,512,407)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143,987,286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143,837,593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Payable for open trades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11,952,000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18,293,725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1,606,701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2,274,150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850,932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1,566,255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Due to affiliates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2,386,179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Shareholder distribution payable</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9,080,373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240,830,098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255,130,096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par value $0.01 per share, 100,000,000 common shares authorized; 36,859,957 and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w w:val="91"/>
              </w:rPr>
              <w:t>36,775,127 common shares issued and outstanding at March 31, 2015 and December 31, 2014, respectively</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368,600</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367,751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363,345,425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362,411,830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Excess distribution of net investment income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(19,072,917)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(25,579,865)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Accumulated net realized losses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(75,439,778)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(75,512,134)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(5,277,895)</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(6,370,881)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263,923,435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255,316,701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504,753,533</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510,446,797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vMerge w:val="restart"/>
          </w:tcPr>
          <w:p>
            <w:pPr>
              <w:spacing w:after="0"/>
              <w:rPr>
                <w:sz w:val="20"/>
                <w:szCs w:val="20"/>
                <w:color w:val="auto"/>
              </w:rPr>
            </w:pPr>
            <w:r>
              <w:rPr>
                <w:rFonts w:ascii="Arial" w:cs="Arial" w:eastAsia="Arial" w:hAnsi="Arial"/>
                <w:sz w:val="18"/>
                <w:szCs w:val="18"/>
                <w:color w:val="auto"/>
              </w:rPr>
              <w:t>NET ASSET VALUE PER COMMON SHARE</w:t>
            </w: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7.16</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Interest from investments in debt securities</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6,197,828</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5,247,236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from cash and time deposits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Investment income on CLO Fund Securities managed by affiliates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4,340,143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2,822,378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 on CLO Fund Securities managed by non-affiliates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227,679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Dividends from Asset Manager Affiliates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1,413,975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1,378,466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structuring service fees</w:t>
            </w: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161,803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227,083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investment income</w:t>
            </w:r>
          </w:p>
        </w:tc>
        <w:tc>
          <w:tcPr>
            <w:tcW w:w="9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12,342,129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9,995,363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Interest and amortization of debt issuance costs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2,967,187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2,990,166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1,072,822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1,171,441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671,210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112,439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135,961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Administrative and other</w:t>
            </w: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511,292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468,283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expenses</w:t>
            </w:r>
          </w:p>
        </w:tc>
        <w:tc>
          <w:tcPr>
            <w:tcW w:w="9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5,835,181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5,528,057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6,506,948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4,467,306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Gains (Losses) On Investments: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Net realized gains from investment transactions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72,356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309,581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unrealized (depreciation) appreciation on:</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Debt securities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1,250,211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(603,315)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securities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(56,123)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CLO Fund Securities managed by affiliates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(658,871)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933,828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CLO Fund Securities managed by non-affiliates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73,744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(340,705)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Asset Manager Affiliates investments</w:t>
            </w: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484,025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(997,444)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net change in unrealized (depreciation) appreciation</w:t>
            </w:r>
          </w:p>
        </w:tc>
        <w:tc>
          <w:tcPr>
            <w:tcW w:w="9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1,092,986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(1,335,297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realized and unrealized (depreciation) appreciation on investments</w:t>
            </w:r>
          </w:p>
        </w:tc>
        <w:tc>
          <w:tcPr>
            <w:tcW w:w="9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1,165,342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(1,025,716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Stockholders’ Equity Resulting From Operations</w:t>
            </w:r>
          </w:p>
        </w:tc>
        <w:tc>
          <w:tcPr>
            <w:tcW w:w="9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7,672,290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3,441,590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160"/>
              <w:spacing w:after="0"/>
              <w:rPr>
                <w:sz w:val="20"/>
                <w:szCs w:val="20"/>
                <w:color w:val="auto"/>
              </w:rPr>
            </w:pPr>
            <w:r>
              <w:rPr>
                <w:rFonts w:ascii="Arial" w:cs="Arial" w:eastAsia="Arial" w:hAnsi="Arial"/>
                <w:sz w:val="18"/>
                <w:szCs w:val="18"/>
                <w:color w:val="auto"/>
              </w:rPr>
              <w:t>Net Increase In Stockholders' Equity Resulting from Operations per Common Share:</w:t>
            </w:r>
          </w:p>
        </w:tc>
        <w:tc>
          <w:tcPr>
            <w:tcW w:w="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1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0.21</w:t>
            </w: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Diluted:</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 Per Common Share:</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Basic:</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0.18</w:t>
            </w: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Weighted Average Shares of Common Stock Outstanding—Basic</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36,834,266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33,337,967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Shares of Common Stock Outstanding—Diluted</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36,843,382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33,349,916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investment income</w:t>
            </w:r>
          </w:p>
        </w:tc>
        <w:tc>
          <w:tcPr>
            <w:tcW w:w="6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6,506,948</w:t>
            </w:r>
          </w:p>
        </w:tc>
        <w:tc>
          <w:tcPr>
            <w:tcW w:w="52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4,467,306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(losses) from investment transactions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72,356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309,581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change in unrealized (depreciation) appreciation on investments</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1,092,986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(1,335,297)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increase in net assets resulting from operations</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7,672,290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3,441,590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distributions: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Distributions of ordinary income</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35,535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decrease in net assets resulting from stockholder distributions</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Issuance of common stock for:</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reinvestment plan</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579,913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354,531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187,750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increase in net assets resulting from capital transactions</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934,444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assets at beginning of period</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255,316,701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250,369,693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w w:val="94"/>
              </w:rPr>
              <w:t>Net assets at end of period (including undistributed net investment income of $0 in 2015 and $0 in 2014)</w:t>
            </w:r>
          </w:p>
        </w:tc>
        <w:tc>
          <w:tcPr>
            <w:tcW w:w="6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263,923,435</w:t>
            </w:r>
          </w:p>
        </w:tc>
        <w:tc>
          <w:tcPr>
            <w:tcW w:w="52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254,102,611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asset value per common share</w:t>
            </w: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Common shares outstanding at end of period</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36,859,957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33,340,607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8"/>
                <w:szCs w:val="18"/>
                <w:b w:val="1"/>
                <w:bCs w:val="1"/>
                <w:color w:val="auto"/>
                <w:w w:val="96"/>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Net increase in stockholder's equity resulting from operations</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7,672,290</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3,441,590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Adjustments to reconcile net increase in stockholder’s equity resulting from operations to net cash (used in)</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provided by in operations:</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Net realized (gains) losses on investment transactions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(72,356)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(309,581)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(1,092,986)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Purchases of investments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(20,176,406)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(29,053,979)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sales and redemptions of investments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10,822,846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37,218,653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Net accretion of discount on debt securities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2,930,687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2,247,339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original issue discount on indebtedness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149,693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295,455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275,889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Payment-in-kind interest income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(346,395)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Amortization of stock-based compensation expense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354,531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Increase (decrease) in payable for open trades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(6,341,725)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receivable for open trades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Increase in interest and dividends receivable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(440,288)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(159,703)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accounts receivable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Increase in other assets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(331,533)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(496,827)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due from affiliates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(958,341)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Increase in due to affiliates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2,355,179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accounts payable and accrued expenses</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(1,382,772)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(2,224,782)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(6,562,121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9,856,170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rPr>
          <w:sz w:val="20"/>
          <w:szCs w:val="20"/>
          <w:color w:val="auto"/>
        </w:rPr>
      </w:pPr>
      <w:r>
        <w:rPr>
          <w:rFonts w:ascii="Arial" w:cs="Arial" w:eastAsia="Arial" w:hAnsi="Arial"/>
          <w:sz w:val="18"/>
          <w:szCs w:val="18"/>
          <w:color w:val="auto"/>
        </w:rPr>
        <w:t>FINANCING ACTIVITIES: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Distributions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Increase (Decrease) in restricted cash</w:t>
      </w:r>
    </w:p>
    <w:p>
      <w:pPr>
        <w:spacing w:after="0" w:line="9" w:lineRule="exact"/>
        <w:rPr>
          <w:sz w:val="20"/>
          <w:szCs w:val="20"/>
          <w:color w:val="auto"/>
        </w:rPr>
      </w:pPr>
    </w:p>
    <w:p>
      <w:pPr>
        <w:jc w:val="right"/>
        <w:ind w:right="3800"/>
        <w:spacing w:after="0"/>
        <w:rPr>
          <w:sz w:val="20"/>
          <w:szCs w:val="20"/>
          <w:color w:val="auto"/>
        </w:rPr>
      </w:pPr>
      <w:r>
        <w:rPr>
          <w:rFonts w:ascii="Arial" w:cs="Arial" w:eastAsia="Arial" w:hAnsi="Arial"/>
          <w:sz w:val="18"/>
          <w:szCs w:val="18"/>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0"/>
        <w:spacing w:after="0"/>
        <w:tabs>
          <w:tab w:leader="none" w:pos="1700" w:val="left"/>
        </w:tabs>
        <w:rPr>
          <w:sz w:val="20"/>
          <w:szCs w:val="20"/>
          <w:color w:val="auto"/>
        </w:rPr>
      </w:pPr>
      <w:r>
        <w:rPr>
          <w:rFonts w:ascii="Arial" w:cs="Arial" w:eastAsia="Arial" w:hAnsi="Arial"/>
          <w:sz w:val="16"/>
          <w:szCs w:val="16"/>
          <w:color w:val="auto"/>
        </w:rPr>
        <w:t>(8,500,480)</w:t>
      </w:r>
      <w:r>
        <w:rPr>
          <w:sz w:val="20"/>
          <w:szCs w:val="20"/>
          <w:color w:val="auto"/>
        </w:rPr>
        <w:tab/>
      </w:r>
      <w:r>
        <w:rPr>
          <w:rFonts w:ascii="Arial" w:cs="Arial" w:eastAsia="Arial" w:hAnsi="Arial"/>
          <w:sz w:val="16"/>
          <w:szCs w:val="16"/>
          <w:color w:val="auto"/>
        </w:rPr>
        <w:t>(8,229,454)</w:t>
      </w:r>
    </w:p>
    <w:p>
      <w:pPr>
        <w:spacing w:after="0" w:line="46" w:lineRule="exact"/>
        <w:rPr>
          <w:sz w:val="20"/>
          <w:szCs w:val="20"/>
          <w:color w:val="auto"/>
        </w:rPr>
      </w:pPr>
    </w:p>
    <w:p>
      <w:pPr>
        <w:spacing w:after="0"/>
        <w:tabs>
          <w:tab w:leader="none" w:pos="1700" w:val="left"/>
        </w:tabs>
        <w:rPr>
          <w:sz w:val="20"/>
          <w:szCs w:val="20"/>
          <w:color w:val="auto"/>
        </w:rPr>
      </w:pPr>
      <w:r>
        <w:rPr>
          <w:rFonts w:ascii="Arial" w:cs="Arial" w:eastAsia="Arial" w:hAnsi="Arial"/>
          <w:sz w:val="16"/>
          <w:szCs w:val="16"/>
          <w:color w:val="auto"/>
        </w:rPr>
        <w:t>15,363,358</w:t>
      </w:r>
      <w:r>
        <w:rPr>
          <w:sz w:val="20"/>
          <w:szCs w:val="20"/>
          <w:color w:val="auto"/>
        </w:rPr>
        <w:tab/>
      </w:r>
      <w:r>
        <w:rPr>
          <w:rFonts w:ascii="Arial" w:cs="Arial" w:eastAsia="Arial" w:hAnsi="Arial"/>
          <w:sz w:val="16"/>
          <w:szCs w:val="16"/>
          <w:color w:val="auto"/>
        </w:rPr>
        <w:t>(1,782,643)</w:t>
      </w:r>
    </w:p>
    <w:p>
      <w:pPr>
        <w:spacing w:after="0" w:line="46" w:lineRule="exact"/>
        <w:rPr>
          <w:sz w:val="20"/>
          <w:szCs w:val="20"/>
          <w:color w:val="auto"/>
        </w:rPr>
      </w:pPr>
    </w:p>
    <w:p>
      <w:pPr>
        <w:ind w:left="80"/>
        <w:spacing w:after="0"/>
        <w:tabs>
          <w:tab w:leader="none" w:pos="1600" w:val="left"/>
        </w:tabs>
        <w:rPr>
          <w:sz w:val="20"/>
          <w:szCs w:val="20"/>
          <w:color w:val="auto"/>
        </w:rPr>
      </w:pPr>
      <w:r>
        <w:rPr>
          <w:rFonts w:ascii="Arial" w:cs="Arial" w:eastAsia="Arial" w:hAnsi="Arial"/>
          <w:sz w:val="16"/>
          <w:szCs w:val="16"/>
          <w:color w:val="auto"/>
        </w:rPr>
        <w:t>6,862,878</w:t>
      </w:r>
      <w:r>
        <w:rPr>
          <w:sz w:val="20"/>
          <w:szCs w:val="20"/>
          <w:color w:val="auto"/>
        </w:rPr>
        <w:tab/>
      </w:r>
      <w:r>
        <w:rPr>
          <w:rFonts w:ascii="Arial" w:cs="Arial" w:eastAsia="Arial" w:hAnsi="Arial"/>
          <w:sz w:val="16"/>
          <w:szCs w:val="16"/>
          <w:color w:val="auto"/>
        </w:rPr>
        <w:t>(10,012,097)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29210</wp:posOffset>
            </wp:positionV>
            <wp:extent cx="2023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8100" w:space="720"/>
            <w:col w:w="2600"/>
          </w:cols>
          <w:pgMar w:left="240" w:top="877" w:right="239" w:bottom="144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CHANGE IN CASH</w:t>
            </w: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300,757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(155,927)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1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1,220,798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3,433,675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1,521,555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3,277,748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Interest paid during the period</w:t>
            </w:r>
          </w:p>
        </w:tc>
        <w:tc>
          <w:tcPr>
            <w:tcW w:w="18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3,237,329</w:t>
            </w:r>
          </w:p>
        </w:tc>
        <w:tc>
          <w:tcPr>
            <w:tcW w:w="52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3,572,753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during the period under the dividend reinvestment plan</w:t>
            </w:r>
          </w:p>
        </w:tc>
        <w:tc>
          <w:tcPr>
            <w:tcW w:w="18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579,913</w:t>
            </w:r>
          </w:p>
        </w:tc>
        <w:tc>
          <w:tcPr>
            <w:tcW w:w="5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68,043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Debt Securities Portfolio</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4580" w:type="dxa"/>
            <w:vAlign w:val="bottom"/>
          </w:tcPr>
          <w:p>
            <w:pPr>
              <w:spacing w:after="0"/>
              <w:rPr>
                <w:sz w:val="24"/>
                <w:szCs w:val="24"/>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58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4L Technologies Inc. (fka Clover Holdings, Inc.)</w:t>
            </w:r>
            <w:r>
              <w:rPr>
                <w:rFonts w:ascii="Arial" w:cs="Arial" w:eastAsia="Arial" w:hAnsi="Arial"/>
                <w:sz w:val="22"/>
                <w:szCs w:val="22"/>
                <w:color w:val="auto"/>
                <w:vertAlign w:val="superscript"/>
              </w:rPr>
              <w:t>9, 11</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8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Consumer goods: Non-durable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5/20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2,786,000</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2,762,266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2,692,390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Advanced Lighting Technologies, Inc.</w:t>
      </w:r>
      <w:r>
        <w:rPr>
          <w:rFonts w:ascii="Arial" w:cs="Arial" w:eastAsia="Arial" w:hAnsi="Arial"/>
          <w:sz w:val="30"/>
          <w:szCs w:val="30"/>
          <w:color w:val="auto"/>
          <w:vertAlign w:val="superscript"/>
        </w:rPr>
        <w:t>9, 11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Advantage Sales &amp; Marketing Inc.</w:t>
      </w:r>
      <w:r>
        <w:rPr>
          <w:rFonts w:ascii="Arial" w:cs="Arial" w:eastAsia="Arial" w:hAnsi="Arial"/>
          <w:sz w:val="30"/>
          <w:szCs w:val="30"/>
          <w:color w:val="auto"/>
          <w:vertAlign w:val="superscript"/>
        </w:rPr>
        <w:t>9</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Alaska Communications Systems Holdings, Inc.</w:t>
      </w:r>
      <w:r>
        <w:rPr>
          <w:rFonts w:ascii="Arial" w:cs="Arial" w:eastAsia="Arial" w:hAnsi="Arial"/>
          <w:sz w:val="26"/>
          <w:szCs w:val="26"/>
          <w:color w:val="auto"/>
          <w:vertAlign w:val="superscript"/>
        </w:rPr>
        <w:t>9, 11</w:t>
      </w:r>
    </w:p>
    <w:p>
      <w:pPr>
        <w:spacing w:after="0" w:line="1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Alere Inc. (fka IM US Holdings, LLC)</w:t>
      </w:r>
      <w:r>
        <w:rPr>
          <w:rFonts w:ascii="Arial" w:cs="Arial" w:eastAsia="Arial" w:hAnsi="Arial"/>
          <w:sz w:val="30"/>
          <w:szCs w:val="30"/>
          <w:color w:val="auto"/>
          <w:vertAlign w:val="superscript"/>
        </w:rPr>
        <w:t>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AmSurg Corp.</w:t>
      </w:r>
      <w:r>
        <w:rPr>
          <w:rFonts w:ascii="Arial" w:cs="Arial" w:eastAsia="Arial" w:hAnsi="Arial"/>
          <w:sz w:val="30"/>
          <w:szCs w:val="30"/>
          <w:color w:val="auto"/>
          <w:vertAlign w:val="superscript"/>
        </w:rPr>
        <w:t>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Anaren, Inc.</w:t>
      </w:r>
      <w:r>
        <w:rPr>
          <w:rFonts w:ascii="Arial" w:cs="Arial" w:eastAsia="Arial" w:hAnsi="Arial"/>
          <w:sz w:val="30"/>
          <w:szCs w:val="30"/>
          <w:color w:val="auto"/>
          <w:vertAlign w:val="superscript"/>
        </w:rPr>
        <w:t>9, 11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First Lien Bond — 10.5% -</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06/2019 - 00753CAE2</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7"/>
        </w:trPr>
        <w:tc>
          <w:tcPr>
            <w:tcW w:w="2600" w:type="dxa"/>
            <w:vAlign w:val="bottom"/>
          </w:tcPr>
          <w:p>
            <w:pPr>
              <w:spacing w:after="0"/>
              <w:rPr>
                <w:sz w:val="20"/>
                <w:szCs w:val="20"/>
                <w:color w:val="auto"/>
              </w:rPr>
            </w:pPr>
            <w:r>
              <w:rPr>
                <w:rFonts w:ascii="Arial" w:cs="Arial" w:eastAsia="Arial" w:hAnsi="Arial"/>
                <w:sz w:val="18"/>
                <w:szCs w:val="18"/>
                <w:color w:val="auto"/>
              </w:rPr>
              <w:t>10.5% Cash, Due 6/19</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3,000,000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2,967,369</w:t>
            </w:r>
          </w:p>
        </w:tc>
        <w:tc>
          <w:tcPr>
            <w:tcW w:w="1100" w:type="dxa"/>
            <w:vAlign w:val="bottom"/>
          </w:tcPr>
          <w:p>
            <w:pPr>
              <w:jc w:val="right"/>
              <w:spacing w:after="0"/>
              <w:rPr>
                <w:sz w:val="20"/>
                <w:szCs w:val="20"/>
                <w:color w:val="auto"/>
              </w:rPr>
            </w:pPr>
            <w:r>
              <w:rPr>
                <w:rFonts w:ascii="Arial" w:cs="Arial" w:eastAsia="Arial" w:hAnsi="Arial"/>
                <w:sz w:val="18"/>
                <w:szCs w:val="18"/>
                <w:color w:val="auto"/>
              </w:rPr>
              <w:t>2,580,000</w:t>
            </w: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Junior Secured Loan — Term</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Loan (Second Lien)</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7.5% Cash, 1.0% Libor Floor,</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Due 7/22</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1,000,000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1,002,307</w:t>
            </w:r>
          </w:p>
        </w:tc>
        <w:tc>
          <w:tcPr>
            <w:tcW w:w="1100" w:type="dxa"/>
            <w:vAlign w:val="bottom"/>
          </w:tcPr>
          <w:p>
            <w:pPr>
              <w:jc w:val="right"/>
              <w:spacing w:after="0"/>
              <w:rPr>
                <w:sz w:val="20"/>
                <w:szCs w:val="20"/>
                <w:color w:val="auto"/>
              </w:rPr>
            </w:pPr>
            <w:r>
              <w:rPr>
                <w:rFonts w:ascii="Arial" w:cs="Arial" w:eastAsia="Arial" w:hAnsi="Arial"/>
                <w:sz w:val="18"/>
                <w:szCs w:val="18"/>
                <w:color w:val="auto"/>
              </w:rPr>
              <w:t>1,003,540</w:t>
            </w: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Senior Secured Loan — Term</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Loan</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6.3% Cash, 1.5% Libor Floor,</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Due 10/16</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1,309,993</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1,307,890</w:t>
            </w:r>
          </w:p>
        </w:tc>
        <w:tc>
          <w:tcPr>
            <w:tcW w:w="1100" w:type="dxa"/>
            <w:vAlign w:val="bottom"/>
          </w:tcPr>
          <w:p>
            <w:pPr>
              <w:jc w:val="right"/>
              <w:spacing w:after="0"/>
              <w:rPr>
                <w:sz w:val="20"/>
                <w:szCs w:val="20"/>
                <w:color w:val="auto"/>
              </w:rPr>
            </w:pPr>
            <w:r>
              <w:rPr>
                <w:rFonts w:ascii="Arial" w:cs="Arial" w:eastAsia="Arial" w:hAnsi="Arial"/>
                <w:sz w:val="18"/>
                <w:szCs w:val="18"/>
                <w:color w:val="auto"/>
              </w:rPr>
              <w:t>1,310,126</w:t>
            </w: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Senior Secured Loan — B</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Term Loan</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4.3% Cash, 1.0% Libor Floor,</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Due 6/17</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2,351,590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2,349,006</w:t>
            </w:r>
          </w:p>
        </w:tc>
        <w:tc>
          <w:tcPr>
            <w:tcW w:w="1100" w:type="dxa"/>
            <w:vAlign w:val="bottom"/>
          </w:tcPr>
          <w:p>
            <w:pPr>
              <w:jc w:val="right"/>
              <w:spacing w:after="0"/>
              <w:rPr>
                <w:sz w:val="20"/>
                <w:szCs w:val="20"/>
                <w:color w:val="auto"/>
              </w:rPr>
            </w:pPr>
            <w:r>
              <w:rPr>
                <w:rFonts w:ascii="Arial" w:cs="Arial" w:eastAsia="Arial" w:hAnsi="Arial"/>
                <w:sz w:val="18"/>
                <w:szCs w:val="18"/>
                <w:color w:val="auto"/>
              </w:rPr>
              <w:t>2,358,939</w:t>
            </w: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Senior Secured Loan — Initial</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Term Loan</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3.8% Cash, 0.8% Libor Floor,</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Due 7/21</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2,984,962</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2,984,962</w:t>
            </w:r>
          </w:p>
        </w:tc>
        <w:tc>
          <w:tcPr>
            <w:tcW w:w="1100" w:type="dxa"/>
            <w:vAlign w:val="bottom"/>
          </w:tcPr>
          <w:p>
            <w:pPr>
              <w:jc w:val="right"/>
              <w:spacing w:after="0"/>
              <w:rPr>
                <w:sz w:val="20"/>
                <w:szCs w:val="20"/>
                <w:color w:val="auto"/>
              </w:rPr>
            </w:pPr>
            <w:r>
              <w:rPr>
                <w:rFonts w:ascii="Arial" w:cs="Arial" w:eastAsia="Arial" w:hAnsi="Arial"/>
                <w:sz w:val="18"/>
                <w:szCs w:val="18"/>
                <w:color w:val="auto"/>
              </w:rPr>
              <w:t>2,995,992</w:t>
            </w: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Senior Secured Loan — Term</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Loan (First Lien)</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5.5% Cash, 1.0% Libor Floor,</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Due 2/21</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1,975,000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1,958,328</w:t>
            </w:r>
          </w:p>
        </w:tc>
        <w:tc>
          <w:tcPr>
            <w:tcW w:w="1100" w:type="dxa"/>
            <w:vAlign w:val="bottom"/>
          </w:tcPr>
          <w:p>
            <w:pPr>
              <w:jc w:val="right"/>
              <w:spacing w:after="0"/>
              <w:rPr>
                <w:sz w:val="20"/>
                <w:szCs w:val="20"/>
                <w:color w:val="auto"/>
              </w:rPr>
            </w:pPr>
            <w:r>
              <w:rPr>
                <w:rFonts w:ascii="Arial" w:cs="Arial" w:eastAsia="Arial" w:hAnsi="Arial"/>
                <w:sz w:val="18"/>
                <w:szCs w:val="18"/>
                <w:color w:val="auto"/>
              </w:rPr>
              <w:t>1,975,000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-3858260</wp:posOffset>
            </wp:positionV>
            <wp:extent cx="7246620"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-3292475</wp:posOffset>
            </wp:positionV>
            <wp:extent cx="7246620" cy="548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-2606675</wp:posOffset>
            </wp:positionV>
            <wp:extent cx="7246620" cy="548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-1920240</wp:posOffset>
            </wp:positionV>
            <wp:extent cx="7246620" cy="548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-1234440</wp:posOffset>
            </wp:positionV>
            <wp:extent cx="7246620" cy="548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-548005</wp:posOffset>
            </wp:positionV>
            <wp:extent cx="7246620" cy="548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3980" w:space="720"/>
            <w:col w:w="672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Asurion, LLC (fka Asurion Corporation)</w:t>
            </w:r>
            <w:r>
              <w:rPr>
                <w:rFonts w:ascii="Arial" w:cs="Arial" w:eastAsia="Arial" w:hAnsi="Arial"/>
                <w:sz w:val="30"/>
                <w:szCs w:val="30"/>
                <w:color w:val="auto"/>
                <w:vertAlign w:val="superscript"/>
              </w:rPr>
              <w:t>9, 11</w:t>
            </w:r>
          </w:p>
        </w:tc>
        <w:tc>
          <w:tcPr>
            <w:tcW w:w="3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Senior Secured Loan —</w:t>
            </w:r>
          </w:p>
        </w:tc>
        <w:tc>
          <w:tcPr>
            <w:tcW w:w="1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Incremental Tranche B-1 Term</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Banking, Finance, Insurance &amp; Real Estate</w:t>
            </w:r>
          </w:p>
        </w:tc>
        <w:tc>
          <w:tcPr>
            <w:tcW w:w="3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Loan</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5.0% Cash, 1.3% Libor Floor,</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3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Due 5/19</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1,907,705</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1,920,804</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1,915,784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AZ Chem US Inc.</w:t>
            </w:r>
            <w:r>
              <w:rPr>
                <w:rFonts w:ascii="Arial" w:cs="Arial" w:eastAsia="Arial" w:hAnsi="Arial"/>
                <w:sz w:val="23"/>
                <w:szCs w:val="23"/>
                <w:color w:val="auto"/>
                <w:vertAlign w:val="superscript"/>
              </w:rPr>
              <w:t>9, 11</w:t>
            </w:r>
          </w:p>
        </w:tc>
        <w:tc>
          <w:tcPr>
            <w:tcW w:w="32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Senior Secured Loan — Initial</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Term Loan (First Lien)</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Chemicals, Plastics and Rubber</w:t>
            </w:r>
          </w:p>
        </w:tc>
        <w:tc>
          <w:tcPr>
            <w:tcW w:w="3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4.5% Cash, 1.0% Libor Floor,</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3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Due 6/21</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460,274</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458,230</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461,745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Bankruptcy Management Solutions, Inc.</w:t>
            </w:r>
            <w:r>
              <w:rPr>
                <w:rFonts w:ascii="Arial" w:cs="Arial" w:eastAsia="Arial" w:hAnsi="Arial"/>
                <w:sz w:val="23"/>
                <w:szCs w:val="23"/>
                <w:color w:val="auto"/>
                <w:vertAlign w:val="superscript"/>
              </w:rPr>
              <w:t>9</w:t>
            </w:r>
          </w:p>
        </w:tc>
        <w:tc>
          <w:tcPr>
            <w:tcW w:w="32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Senior Secured Loan — Term</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 Loan</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3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7.0% Cash, 1.0% Libor Floor,</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3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Due 6/18</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695,795</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695,795</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634,774</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5</w:t>
            </w:r>
          </w:p>
        </w:tc>
        <w:tc>
          <w:tcPr>
            <w:tcW w:w="1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BarBri, Inc. (Gemini Holdings, Inc.)</w:t>
            </w:r>
            <w:r>
              <w:rPr>
                <w:rFonts w:ascii="Arial" w:cs="Arial" w:eastAsia="Arial" w:hAnsi="Arial"/>
                <w:sz w:val="22"/>
                <w:szCs w:val="22"/>
                <w:color w:val="auto"/>
                <w:vertAlign w:val="superscript"/>
              </w:rPr>
              <w:t>9, 11</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Consumer</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4.5%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7/19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2,872,500</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2,862,151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2,869,053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BBB Industries US Holdings,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Automotive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11/21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2,943,430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3,005,625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Bellisio Foods, Inc. </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8"/>
              </w:rPr>
              <w:t>Senior Secured Loan — U.S.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B Loans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5.3%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2,233,881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2,225,420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2,197,469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Blue Coat Systems,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7"/>
              </w:rPr>
              <w:t>Senior Secured Loan — New</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High Tech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466,453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467,710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466,940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Carolina Beverage Group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Bond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10.625% - 08/2018 -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143818AA0 144A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10.6% Cash, Due 8/18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1,513,639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CCS Intermediate Holdings,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2,985,000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2,971,429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2,947,688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Cengage Learning Acquisitions, Inc. (fka TL Acquisitions,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Inc.)</w:t>
            </w:r>
            <w:r>
              <w:rPr>
                <w:rFonts w:ascii="Arial" w:cs="Arial" w:eastAsia="Arial" w:hAnsi="Arial"/>
                <w:sz w:val="25"/>
                <w:szCs w:val="25"/>
                <w:color w:val="auto"/>
                <w:vertAlign w:val="superscript"/>
              </w:rPr>
              <w:t>9, 11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7.0%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3/20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2,979,950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2,973,574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2,996,190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Charter Communications Operating, LLC (aka CCO Safari</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LLC)</w:t>
            </w:r>
            <w:r>
              <w:rPr>
                <w:rFonts w:ascii="Arial" w:cs="Arial" w:eastAsia="Arial" w:hAnsi="Arial"/>
                <w:sz w:val="25"/>
                <w:szCs w:val="25"/>
                <w:color w:val="auto"/>
                <w:vertAlign w:val="superscript"/>
              </w:rPr>
              <w:t>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4.3% Cash, 0.8%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9/21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3,021,583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3,029,175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Checkout Holding Corp. (fka Catalina Marketing)</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4.5%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4/21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992,500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988,220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870,090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Consolidated Communications, Inc.</w:t>
            </w:r>
            <w:r>
              <w:rPr>
                <w:rFonts w:ascii="Arial" w:cs="Arial" w:eastAsia="Arial" w:hAnsi="Arial"/>
                <w:sz w:val="23"/>
                <w:szCs w:val="23"/>
                <w:color w:val="auto"/>
                <w:vertAlign w:val="superscript"/>
              </w:rPr>
              <w:t>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Telecommunications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4.3%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2,984,887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2,995,545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3,001,214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CRGT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High Tech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7.5%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2,981,250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2,923,930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2,978,269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Crowley Holdings Preferred,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Preferred Stock — 12.000%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12/2049 - Series A Income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Transportation: Cargo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Preferred Securities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10.0% Cash, 2.0% PIK, Due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12/49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10,257,047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10,257,047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10,470,393</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5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Crowne Group, LLC</w:t>
            </w:r>
            <w:r>
              <w:rPr>
                <w:rFonts w:ascii="Arial" w:cs="Arial" w:eastAsia="Arial" w:hAnsi="Arial"/>
                <w:sz w:val="22"/>
                <w:szCs w:val="22"/>
                <w:color w:val="auto"/>
                <w:vertAlign w:val="superscript"/>
              </w:rPr>
              <w:t>9, 11</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Automotive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9/20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3,980,000</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3,925,109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3,884,480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CSM Bakery Solutions Limited (fka CSM Bakery Supplies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Limited)</w:t>
            </w:r>
            <w:r>
              <w:rPr>
                <w:rFonts w:ascii="Arial" w:cs="Arial" w:eastAsia="Arial" w:hAnsi="Arial"/>
                <w:sz w:val="25"/>
                <w:szCs w:val="25"/>
                <w:color w:val="auto"/>
                <w:vertAlign w:val="superscript"/>
              </w:rPr>
              <w:t>9</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8.8%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3,015,737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CSM Bakery Solutions Limited (fka CSM Bakery Supplies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Limited)</w:t>
            </w:r>
            <w:r>
              <w:rPr>
                <w:rFonts w:ascii="Arial" w:cs="Arial" w:eastAsia="Arial" w:hAnsi="Arial"/>
                <w:sz w:val="25"/>
                <w:szCs w:val="25"/>
                <w:color w:val="auto"/>
                <w:vertAlign w:val="superscript"/>
              </w:rPr>
              <w:t>9, 11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2,616,742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2,615,868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2,616,742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CT Technologies Intermediate Holdings, Inc. (Smart Holdings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Corp.)</w:t>
            </w:r>
            <w:r>
              <w:rPr>
                <w:rFonts w:ascii="Arial" w:cs="Arial" w:eastAsia="Arial" w:hAnsi="Arial"/>
                <w:sz w:val="25"/>
                <w:szCs w:val="25"/>
                <w:color w:val="auto"/>
                <w:vertAlign w:val="superscript"/>
              </w:rPr>
              <w:t>9, 11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2,992,500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2,963,902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3,022,425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DBI Holding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Unsecured Bond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09/2019 – PIK Note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0.0% Cash, 16.0% PIK, Due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3,590,248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3,368,751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3,482,540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DBI Holding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7"/>
              </w:rPr>
              <w:t>Senior Subordinated Bond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09/2019 - Senior Subordinated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Note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12.0% Cash, 4.0% PIK, Due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4,347,911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4,330,633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4,295,736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DJO Finance LLC (ReAble Therapeutics Fin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7"/>
              </w:rPr>
              <w:t>Senior Secured Loan — New</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Tranche B 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4.3%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9/17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2,058,377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2,058,377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2,066,610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Drew Marine Group Inc.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Transportation: Cargo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8.0%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2,494,861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ELO Touch Solutions,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High Tech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8.0% Cash, 1.5%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6/18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1,726,036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1,678,577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1,670,457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EWT Holdings III Corp. (fka WTG Holdings III Corp.)</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Environmental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8.5%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3,983,007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Fender Musical Instruments Corporation</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5.8% Cash, 1.3%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4/19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1,846,934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1,856,268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FHC Health Systems,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3,407,143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3,374,391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3,411,231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5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9" w:name="page10"/>
    <w:bookmarkEnd w:id="9"/>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 / Principal Business</w:t>
      </w:r>
    </w:p>
    <w:p>
      <w:pPr>
        <w:spacing w:after="0" w:line="30" w:lineRule="exact"/>
        <w:rPr>
          <w:sz w:val="20"/>
          <w:szCs w:val="20"/>
          <w:color w:val="auto"/>
        </w:rPr>
      </w:pPr>
    </w:p>
    <w:p>
      <w:pPr>
        <w:ind w:left="180" w:right="660" w:hanging="161"/>
        <w:spacing w:after="0" w:line="504" w:lineRule="auto"/>
        <w:rPr>
          <w:sz w:val="20"/>
          <w:szCs w:val="20"/>
          <w:color w:val="auto"/>
        </w:rPr>
      </w:pPr>
      <w:r>
        <w:rPr>
          <w:rFonts w:ascii="Arial" w:cs="Arial" w:eastAsia="Arial" w:hAnsi="Arial"/>
          <w:sz w:val="16"/>
          <w:szCs w:val="16"/>
          <w:color w:val="auto"/>
        </w:rPr>
        <w:t>First American Payment Systems, L.P.</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w:t>
      </w:r>
      <w:r>
        <w:rPr>
          <w:rFonts w:ascii="Arial" w:cs="Arial" w:eastAsia="Arial" w:hAnsi="Arial"/>
          <w:sz w:val="16"/>
          <w:szCs w:val="16"/>
          <w:i w:val="1"/>
          <w:iCs w:val="1"/>
          <w:color w:val="auto"/>
        </w:rPr>
        <w:t>Banking, Finance, Insurance &amp; Real Estate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First Data Corporation</w:t>
      </w:r>
      <w:r>
        <w:rPr>
          <w:rFonts w:ascii="Arial" w:cs="Arial" w:eastAsia="Arial" w:hAnsi="Arial"/>
          <w:sz w:val="30"/>
          <w:szCs w:val="30"/>
          <w:color w:val="auto"/>
          <w:vertAlign w:val="superscript"/>
        </w:rPr>
        <w:t>9, 11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Banking, Finance, Insurance &amp; Real Estate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Getty Images, Inc.</w:t>
      </w:r>
      <w:r>
        <w:rPr>
          <w:rFonts w:ascii="Arial" w:cs="Arial" w:eastAsia="Arial" w:hAnsi="Arial"/>
          <w:sz w:val="30"/>
          <w:szCs w:val="30"/>
          <w:color w:val="auto"/>
          <w:vertAlign w:val="superscript"/>
        </w:rPr>
        <w:t>9, 11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Advertising, Printing &amp; Publishing</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GK Holdings, Inc. (aka Global Knowledge)</w:t>
      </w:r>
      <w:r>
        <w:rPr>
          <w:rFonts w:ascii="Arial" w:cs="Arial" w:eastAsia="Arial" w:hAnsi="Arial"/>
          <w:sz w:val="28"/>
          <w:szCs w:val="28"/>
          <w:color w:val="auto"/>
          <w:vertAlign w:val="superscript"/>
        </w:rPr>
        <w:t>9</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GK Holdings, Inc. (aka Global Knowledge)</w:t>
      </w:r>
      <w:r>
        <w:rPr>
          <w:rFonts w:ascii="Arial" w:cs="Arial" w:eastAsia="Arial" w:hAnsi="Arial"/>
          <w:sz w:val="26"/>
          <w:szCs w:val="26"/>
          <w:color w:val="auto"/>
          <w:vertAlign w:val="superscript"/>
        </w:rPr>
        <w:t>9, 11</w:t>
      </w:r>
    </w:p>
    <w:p>
      <w:pPr>
        <w:spacing w:after="0" w:line="1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Global Tel*Link Corporation</w:t>
      </w:r>
      <w:r>
        <w:rPr>
          <w:rFonts w:ascii="Arial" w:cs="Arial" w:eastAsia="Arial" w:hAnsi="Arial"/>
          <w:sz w:val="30"/>
          <w:szCs w:val="30"/>
          <w:color w:val="auto"/>
          <w:vertAlign w:val="superscript"/>
        </w:rPr>
        <w:t>9</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Grande Communications Networks LLC</w:t>
      </w:r>
      <w:r>
        <w:rPr>
          <w:rFonts w:ascii="Arial" w:cs="Arial" w:eastAsia="Arial" w:hAnsi="Arial"/>
          <w:sz w:val="28"/>
          <w:szCs w:val="28"/>
          <w:color w:val="auto"/>
          <w:vertAlign w:val="superscript"/>
        </w:rPr>
        <w:t>9, 11</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Grifols Worldwide Operations Limited</w:t>
      </w:r>
      <w:r>
        <w:rPr>
          <w:rFonts w:ascii="Arial" w:cs="Arial" w:eastAsia="Arial" w:hAnsi="Arial"/>
          <w:sz w:val="30"/>
          <w:szCs w:val="30"/>
          <w:color w:val="auto"/>
          <w:vertAlign w:val="superscript"/>
        </w:rPr>
        <w:t>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Grupo HIMA San Pablo, Inc.</w:t>
      </w:r>
      <w:r>
        <w:rPr>
          <w:rFonts w:ascii="Arial" w:cs="Arial" w:eastAsia="Arial" w:hAnsi="Arial"/>
          <w:sz w:val="30"/>
          <w:szCs w:val="30"/>
          <w:color w:val="auto"/>
          <w:vertAlign w:val="superscript"/>
        </w:rPr>
        <w:t>9</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Grupo HIMA San Pablo, Inc.</w:t>
      </w:r>
      <w:r>
        <w:rPr>
          <w:rFonts w:ascii="Arial" w:cs="Arial" w:eastAsia="Arial" w:hAnsi="Arial"/>
          <w:sz w:val="30"/>
          <w:szCs w:val="30"/>
          <w:color w:val="auto"/>
          <w:vertAlign w:val="superscript"/>
        </w:rPr>
        <w:t>9</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Gymboree Corporation., The</w:t>
      </w:r>
      <w:r>
        <w:rPr>
          <w:rFonts w:ascii="Arial" w:cs="Arial" w:eastAsia="Arial" w:hAnsi="Arial"/>
          <w:sz w:val="30"/>
          <w:szCs w:val="30"/>
          <w:color w:val="auto"/>
          <w:vertAlign w:val="superscript"/>
        </w:rPr>
        <w:t>9, 11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Retail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c>
          <w:tcPr>
            <w:tcW w:w="0" w:type="dxa"/>
            <w:vAlign w:val="bottom"/>
          </w:tcPr>
          <w:p>
            <w:pPr>
              <w:spacing w:after="0"/>
              <w:rPr>
                <w:sz w:val="1"/>
                <w:szCs w:val="1"/>
                <w:color w:val="auto"/>
              </w:rPr>
            </w:pPr>
          </w:p>
        </w:tc>
      </w:tr>
      <w:tr>
        <w:trPr>
          <w:trHeight w:val="234"/>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Junior Secured Loan — Term</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 (Second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3"/>
              </w:rPr>
              <w:t>10.8% Cash, 1.3%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Due 4/19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2,796,448</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2,761,682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2,822,176</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Senior Secured Loan — 2018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New Dollar Term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3.7% Cash, Due 3/18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494,440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500,500</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Initial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4.8% Cash, 1.3%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Due 10/19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2,179,590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2,183,139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1,845,295</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Junior Secured Loan — Initial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 (Second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3"/>
              </w:rPr>
              <w:t>10.5%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Due 1/22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1,470,638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1,470,000</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Initial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 (First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6.5%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Due 1/21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2,493,750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2,469,432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2,499,984</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Junior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 (Second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9.0% Cash, 1.3%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Due 11/20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4,000,000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3,938,349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3,880,800</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Initial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4.5%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Due 5/20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3,930,053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3,934,658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3,928,481</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8"/>
              </w:rPr>
              <w:t>Senior Secured Loan — U.S.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Tranche B Term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3.2% Cash, Due 2/21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2,984,925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2,963,642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2,985,432</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B Loan (First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8.5% Cash, 1.5%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Due 1/18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2,940,000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2,906,621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2,940,000</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Junior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 (Second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13.8% Cash, Due 7/18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6,902,001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7,105,000</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5.0% Cash, 1.5%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Due 2/18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1,421,105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1,394,907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1,086,463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-6362700</wp:posOffset>
            </wp:positionV>
            <wp:extent cx="7246620" cy="428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-5796915</wp:posOffset>
            </wp:positionV>
            <wp:extent cx="7246620" cy="548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-5110480</wp:posOffset>
            </wp:positionV>
            <wp:extent cx="7246620" cy="548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-4424680</wp:posOffset>
            </wp:positionV>
            <wp:extent cx="7246620" cy="548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-3738245</wp:posOffset>
            </wp:positionV>
            <wp:extent cx="7246620" cy="548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-3052445</wp:posOffset>
            </wp:positionV>
            <wp:extent cx="7246620" cy="548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-2366010</wp:posOffset>
            </wp:positionV>
            <wp:extent cx="7246620" cy="428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-1800225</wp:posOffset>
            </wp:positionV>
            <wp:extent cx="7246620" cy="548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-1114425</wp:posOffset>
            </wp:positionV>
            <wp:extent cx="7246620" cy="428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-548005</wp:posOffset>
            </wp:positionV>
            <wp:extent cx="7246620" cy="548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-7057390</wp:posOffset>
            </wp:positionV>
            <wp:extent cx="7246620" cy="557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877" w:right="23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99"/>
              </w:rPr>
              <w:t>Hargray Communications Group, Inc. (HCP Acquisition</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Senior Secured Loan — Initial</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7"/>
        </w:trPr>
        <w:tc>
          <w:tcPr>
            <w:tcW w:w="4400" w:type="dxa"/>
            <w:vAlign w:val="bottom"/>
            <w:shd w:val="clear" w:color="auto" w:fill="CCEEFF"/>
          </w:tcPr>
          <w:p>
            <w:pPr>
              <w:spacing w:after="0" w:line="217" w:lineRule="exact"/>
              <w:rPr>
                <w:sz w:val="20"/>
                <w:szCs w:val="20"/>
                <w:color w:val="auto"/>
              </w:rPr>
            </w:pPr>
            <w:r>
              <w:rPr>
                <w:rFonts w:ascii="Arial" w:cs="Arial" w:eastAsia="Arial" w:hAnsi="Arial"/>
                <w:sz w:val="25"/>
                <w:szCs w:val="25"/>
                <w:color w:val="auto"/>
                <w:vertAlign w:val="subscript"/>
              </w:rPr>
              <w:t>LLC)</w:t>
            </w:r>
            <w:r>
              <w:rPr>
                <w:rFonts w:ascii="Arial" w:cs="Arial" w:eastAsia="Arial" w:hAnsi="Arial"/>
                <w:sz w:val="12"/>
                <w:szCs w:val="12"/>
                <w:color w:val="auto"/>
              </w:rPr>
              <w:t>9, 11</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Term Loan</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4400" w:type="dxa"/>
            <w:vAlign w:val="bottom"/>
            <w:shd w:val="clear" w:color="auto" w:fill="CCEEFF"/>
          </w:tcPr>
          <w:p>
            <w:pPr>
              <w:spacing w:after="0"/>
              <w:rPr>
                <w:sz w:val="18"/>
                <w:szCs w:val="18"/>
                <w:color w:val="auto"/>
              </w:rPr>
            </w:pP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5.3% Cash, 1.0% Libor Floor,</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57"/>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Media: Broadcasting &amp; Subscription</w:t>
            </w:r>
          </w:p>
        </w:tc>
        <w:tc>
          <w:tcPr>
            <w:tcW w:w="2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Due 6/19</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2,930,662</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2,909,856</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2,934,179</w:t>
            </w:r>
          </w:p>
        </w:tc>
      </w:tr>
      <w:tr>
        <w:trPr>
          <w:trHeight w:val="648"/>
        </w:trPr>
        <w:tc>
          <w:tcPr>
            <w:tcW w:w="44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8</w:t>
            </w:r>
          </w:p>
        </w:tc>
        <w:tc>
          <w:tcPr>
            <w:tcW w:w="1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Harland Clarke Holdings Corp. (fka Clarke American Corp.)</w:t>
            </w:r>
            <w:r>
              <w:rPr>
                <w:rFonts w:ascii="Arial" w:cs="Arial" w:eastAsia="Arial" w:hAnsi="Arial"/>
                <w:sz w:val="22"/>
                <w:szCs w:val="22"/>
                <w:color w:val="auto"/>
                <w:vertAlign w:val="superscript"/>
              </w:rPr>
              <w:t>9,</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Senior Secured Loan —</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Tranche B-3 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7.0% Cash, 1.5%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5/18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3,346,875</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3,323,417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3,377,214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Harland Clarke Holdings Corp. (fka Clarke American Corp.)</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Tranche B-4 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8/19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1,453,125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1,447,375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Hoffmaster Group, Inc.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(Second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Forest Products &amp; Paper</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10.0%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1,973,785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Hoffmaster Group,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Forest Products &amp; Paper</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5.3%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3,936,052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3,994,813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Hunter Defense Technologies, Inc.</w:t>
      </w:r>
      <w:r>
        <w:rPr>
          <w:rFonts w:ascii="Arial" w:cs="Arial" w:eastAsia="Arial" w:hAnsi="Arial"/>
          <w:sz w:val="30"/>
          <w:szCs w:val="30"/>
          <w:color w:val="auto"/>
          <w:vertAlign w:val="superscript"/>
        </w:rPr>
        <w:t>9, 11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Integra Telecom Holdings, Inc.</w:t>
      </w:r>
      <w:r>
        <w:rPr>
          <w:rFonts w:ascii="Arial" w:cs="Arial" w:eastAsia="Arial" w:hAnsi="Arial"/>
          <w:sz w:val="30"/>
          <w:szCs w:val="30"/>
          <w:color w:val="auto"/>
          <w:vertAlign w:val="superscript"/>
        </w:rPr>
        <w:t>9, 11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International Architectural Products, Inc.</w:t>
      </w:r>
      <w:r>
        <w:rPr>
          <w:rFonts w:ascii="Arial" w:cs="Arial" w:eastAsia="Arial" w:hAnsi="Arial"/>
          <w:sz w:val="30"/>
          <w:szCs w:val="30"/>
          <w:color w:val="auto"/>
          <w:vertAlign w:val="superscript"/>
        </w:rPr>
        <w:t>7, 9</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Metals &amp; Mining</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Kellermeyer Bergensons Services, LLC</w:t>
      </w:r>
      <w:r>
        <w:rPr>
          <w:rFonts w:ascii="Arial" w:cs="Arial" w:eastAsia="Arial" w:hAnsi="Arial"/>
          <w:sz w:val="30"/>
          <w:szCs w:val="30"/>
          <w:color w:val="auto"/>
          <w:vertAlign w:val="superscript"/>
        </w:rPr>
        <w:t>9</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Key Safety Systems, Inc.</w:t>
      </w:r>
      <w:r>
        <w:rPr>
          <w:rFonts w:ascii="Arial" w:cs="Arial" w:eastAsia="Arial" w:hAnsi="Arial"/>
          <w:sz w:val="30"/>
          <w:szCs w:val="30"/>
          <w:color w:val="auto"/>
          <w:vertAlign w:val="superscript"/>
        </w:rPr>
        <w:t>9, 11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Kinetic Concepts, Inc.</w:t>
      </w:r>
      <w:r>
        <w:rPr>
          <w:rFonts w:ascii="Arial" w:cs="Arial" w:eastAsia="Arial" w:hAnsi="Arial"/>
          <w:sz w:val="30"/>
          <w:szCs w:val="30"/>
          <w:color w:val="auto"/>
          <w:vertAlign w:val="superscript"/>
        </w:rPr>
        <w:t>9, 11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Landslide Holdings, Inc. (Crimson Acquisition Corp.)</w:t>
      </w:r>
      <w:r>
        <w:rPr>
          <w:rFonts w:ascii="Arial" w:cs="Arial" w:eastAsia="Arial" w:hAnsi="Arial"/>
          <w:sz w:val="26"/>
          <w:szCs w:val="26"/>
          <w:color w:val="auto"/>
          <w:vertAlign w:val="superscript"/>
        </w:rPr>
        <w:t>9, 11</w:t>
      </w:r>
    </w:p>
    <w:p>
      <w:pPr>
        <w:spacing w:after="0" w:line="1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MB Aerospace ACP Holdings III Corp.</w:t>
      </w:r>
      <w:r>
        <w:rPr>
          <w:rFonts w:ascii="Arial" w:cs="Arial" w:eastAsia="Arial" w:hAnsi="Arial"/>
          <w:sz w:val="30"/>
          <w:szCs w:val="30"/>
          <w:color w:val="auto"/>
          <w:vertAlign w:val="superscript"/>
        </w:rPr>
        <w:t>9, 11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Senior Secured Loan — Term</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Loan (First Lien)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6.5% Cash, 1.0% Libor Floor,</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Due 8/19</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2,925,000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2,899,268</w:t>
            </w:r>
          </w:p>
        </w:tc>
        <w:tc>
          <w:tcPr>
            <w:tcW w:w="1100" w:type="dxa"/>
            <w:vAlign w:val="bottom"/>
          </w:tcPr>
          <w:p>
            <w:pPr>
              <w:jc w:val="right"/>
              <w:spacing w:after="0"/>
              <w:rPr>
                <w:sz w:val="20"/>
                <w:szCs w:val="20"/>
                <w:color w:val="auto"/>
              </w:rPr>
            </w:pPr>
            <w:r>
              <w:rPr>
                <w:rFonts w:ascii="Arial" w:cs="Arial" w:eastAsia="Arial" w:hAnsi="Arial"/>
                <w:sz w:val="18"/>
                <w:szCs w:val="18"/>
                <w:color w:val="auto"/>
              </w:rPr>
              <w:t>2,953,080</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Term</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B Loan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5.3% Cash, 1.3% Libor Floor,</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Due 2/19</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2,984,772</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2,973,885</w:t>
            </w:r>
          </w:p>
        </w:tc>
        <w:tc>
          <w:tcPr>
            <w:tcW w:w="1100" w:type="dxa"/>
            <w:vAlign w:val="bottom"/>
          </w:tcPr>
          <w:p>
            <w:pPr>
              <w:jc w:val="right"/>
              <w:spacing w:after="0"/>
              <w:rPr>
                <w:sz w:val="20"/>
                <w:szCs w:val="20"/>
                <w:color w:val="auto"/>
              </w:rPr>
            </w:pPr>
            <w:r>
              <w:rPr>
                <w:rFonts w:ascii="Arial" w:cs="Arial" w:eastAsia="Arial" w:hAnsi="Arial"/>
                <w:sz w:val="18"/>
                <w:szCs w:val="18"/>
                <w:color w:val="auto"/>
              </w:rPr>
              <w:t>2,988,503</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Term</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Loan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12.0% Cash, 3.3% PIK, 2.5%</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Libor Floor, Due 5/15</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247,636</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228,563</w:t>
            </w: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Initial</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Term Loan (First Lien)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6.0% Cash, 1.0% Libor Floor,</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Due 10/21</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1,995,000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1,976,185</w:t>
            </w:r>
          </w:p>
        </w:tc>
        <w:tc>
          <w:tcPr>
            <w:tcW w:w="1100" w:type="dxa"/>
            <w:vAlign w:val="bottom"/>
          </w:tcPr>
          <w:p>
            <w:pPr>
              <w:jc w:val="right"/>
              <w:spacing w:after="0"/>
              <w:rPr>
                <w:sz w:val="20"/>
                <w:szCs w:val="20"/>
                <w:color w:val="auto"/>
              </w:rPr>
            </w:pPr>
            <w:r>
              <w:rPr>
                <w:rFonts w:ascii="Arial" w:cs="Arial" w:eastAsia="Arial" w:hAnsi="Arial"/>
                <w:sz w:val="18"/>
                <w:szCs w:val="18"/>
                <w:color w:val="auto"/>
              </w:rPr>
              <w:t>1,990,013</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Initial</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Term Loan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4.8% Cash, 1.0% Libor Floor,</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Due 8/21</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1,492,500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1,485,665</w:t>
            </w:r>
          </w:p>
        </w:tc>
        <w:tc>
          <w:tcPr>
            <w:tcW w:w="1100" w:type="dxa"/>
            <w:vAlign w:val="bottom"/>
          </w:tcPr>
          <w:p>
            <w:pPr>
              <w:jc w:val="right"/>
              <w:spacing w:after="0"/>
              <w:rPr>
                <w:sz w:val="20"/>
                <w:szCs w:val="20"/>
                <w:color w:val="auto"/>
              </w:rPr>
            </w:pPr>
            <w:r>
              <w:rPr>
                <w:rFonts w:ascii="Arial" w:cs="Arial" w:eastAsia="Arial" w:hAnsi="Arial"/>
                <w:sz w:val="18"/>
                <w:szCs w:val="18"/>
                <w:color w:val="auto"/>
              </w:rPr>
              <w:t>1,501,365</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Dollar</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Term E-1 Loan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4.5% Cash, 1.0% Libor Floor,</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Due 5/18</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2,984,886</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2,977,946</w:t>
            </w:r>
          </w:p>
        </w:tc>
        <w:tc>
          <w:tcPr>
            <w:tcW w:w="1100" w:type="dxa"/>
            <w:vAlign w:val="bottom"/>
          </w:tcPr>
          <w:p>
            <w:pPr>
              <w:jc w:val="right"/>
              <w:spacing w:after="0"/>
              <w:rPr>
                <w:sz w:val="20"/>
                <w:szCs w:val="20"/>
                <w:color w:val="auto"/>
              </w:rPr>
            </w:pPr>
            <w:r>
              <w:rPr>
                <w:rFonts w:ascii="Arial" w:cs="Arial" w:eastAsia="Arial" w:hAnsi="Arial"/>
                <w:sz w:val="18"/>
                <w:szCs w:val="18"/>
                <w:color w:val="auto"/>
              </w:rPr>
              <w:t>2,999,811</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New</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Term Loan (First Lien)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5.0% Cash, 1.0% Libor Floor,</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Due 2/20</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3,447,675</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3,455,727</w:t>
            </w:r>
          </w:p>
        </w:tc>
        <w:tc>
          <w:tcPr>
            <w:tcW w:w="1100" w:type="dxa"/>
            <w:vAlign w:val="bottom"/>
          </w:tcPr>
          <w:p>
            <w:pPr>
              <w:jc w:val="right"/>
              <w:spacing w:after="0"/>
              <w:rPr>
                <w:sz w:val="20"/>
                <w:szCs w:val="20"/>
                <w:color w:val="auto"/>
              </w:rPr>
            </w:pPr>
            <w:r>
              <w:rPr>
                <w:rFonts w:ascii="Arial" w:cs="Arial" w:eastAsia="Arial" w:hAnsi="Arial"/>
                <w:sz w:val="18"/>
                <w:szCs w:val="18"/>
                <w:color w:val="auto"/>
              </w:rPr>
              <w:t>3,448,020</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Dollar</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Term Loan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5.0% Cash, 1.0% Libor Floor,</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Due 5/19</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3,930,000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3,902,669</w:t>
            </w:r>
          </w:p>
        </w:tc>
        <w:tc>
          <w:tcPr>
            <w:tcW w:w="1100" w:type="dxa"/>
            <w:vAlign w:val="bottom"/>
          </w:tcPr>
          <w:p>
            <w:pPr>
              <w:jc w:val="right"/>
              <w:spacing w:after="0"/>
              <w:rPr>
                <w:sz w:val="20"/>
                <w:szCs w:val="20"/>
                <w:color w:val="auto"/>
              </w:rPr>
            </w:pPr>
            <w:r>
              <w:rPr>
                <w:rFonts w:ascii="Arial" w:cs="Arial" w:eastAsia="Arial" w:hAnsi="Arial"/>
                <w:sz w:val="18"/>
                <w:szCs w:val="18"/>
                <w:color w:val="auto"/>
              </w:rPr>
              <w:t>3,929,214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-5350510</wp:posOffset>
            </wp:positionV>
            <wp:extent cx="7246620" cy="548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-4664710</wp:posOffset>
            </wp:positionV>
            <wp:extent cx="7246620" cy="548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-3978275</wp:posOffset>
            </wp:positionV>
            <wp:extent cx="7246620" cy="548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-3292475</wp:posOffset>
            </wp:positionV>
            <wp:extent cx="7246620" cy="548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-2606675</wp:posOffset>
            </wp:positionV>
            <wp:extent cx="7246620" cy="548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-1920240</wp:posOffset>
            </wp:positionV>
            <wp:extent cx="7246620" cy="548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-1234440</wp:posOffset>
            </wp:positionV>
            <wp:extent cx="7246620" cy="548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-548005</wp:posOffset>
            </wp:positionV>
            <wp:extent cx="7246620" cy="548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500"/>
            <w:col w:w="6720"/>
          </w:cols>
          <w:pgMar w:left="240" w:top="877"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Media General, Inc.</w:t>
            </w:r>
            <w:r>
              <w:rPr>
                <w:rFonts w:ascii="Arial" w:cs="Arial" w:eastAsia="Arial" w:hAnsi="Arial"/>
                <w:sz w:val="22"/>
                <w:szCs w:val="22"/>
                <w:color w:val="auto"/>
                <w:vertAlign w:val="superscript"/>
              </w:rPr>
              <w:t>11</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4.3%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2,938,272</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2,941,805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Medical Specialties Distributors,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6.5%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3,919,145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3,845,325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Millennium Health, LLC (fka Millennium Laboratories,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Senior 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LLC)</w:t>
            </w:r>
            <w:r>
              <w:rPr>
                <w:rFonts w:ascii="Arial" w:cs="Arial" w:eastAsia="Arial" w:hAnsi="Arial"/>
                <w:sz w:val="25"/>
                <w:szCs w:val="25"/>
                <w:color w:val="auto"/>
                <w:vertAlign w:val="superscript"/>
              </w:rPr>
              <w:t>9, 11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Tranche B 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5.3%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4/21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2,984,962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2,984,962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3,011,081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Nellson Nutraceutical,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A-1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2,083,333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2,062,834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Nellson Nutraceutical,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A-2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1,916,667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1,897,807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Nielsen &amp; Bainbrige,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997,500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988,426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968,373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Nielsen &amp; Bainbrige,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10.3%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1,972,319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Nielsen &amp; Bainbrige,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2,992,500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2,965,279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2,905,119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Novetta,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10/20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2,736,250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2,710,440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2,708,340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Novitex Acquisition, LLC (fka ARSloane Acquisition,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Tranche B-2 Term Loan (First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7.5% Cash, 1.3%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987,538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978,870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936,778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Onex Carestream Finance LP</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9.5%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1,932,311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1,932,311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1,932,794</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500" w:type="dxa"/>
            <w:vAlign w:val="bottom"/>
            <w:gridSpan w:val="4"/>
          </w:tcPr>
          <w:p>
            <w:pPr>
              <w:ind w:left="12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Onex Carestream Finance LP</w:t>
            </w:r>
            <w:r>
              <w:rPr>
                <w:rFonts w:ascii="Arial" w:cs="Arial" w:eastAsia="Arial" w:hAnsi="Arial"/>
                <w:sz w:val="22"/>
                <w:szCs w:val="22"/>
                <w:color w:val="auto"/>
                <w:vertAlign w:val="superscript"/>
              </w:rPr>
              <w:t>9, 11</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 2013)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5.0% Cash, 1.0% Libor Floor,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6/19</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1,935,755</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1,941,952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Orbitz Worldwide, Inc.</w:t>
            </w:r>
            <w:r>
              <w:rPr>
                <w:rFonts w:ascii="Arial" w:cs="Arial" w:eastAsia="Arial" w:hAnsi="Arial"/>
                <w:sz w:val="23"/>
                <w:szCs w:val="23"/>
                <w:color w:val="auto"/>
                <w:vertAlign w:val="superscript"/>
              </w:rPr>
              <w:t>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Tranche C Term Loan</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Hotel, Gaming &amp; Leisure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4.5% Cash, 1.0% Libor Floor,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4/21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2,819,576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2,819,576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2,827,950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Otter Products, LLC (OtterBox Holdings,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 Loan</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5.8% Cash, 1.0% Libor Floor,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6/20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2,984,962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2,962,089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2,895,712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Ozburn-Hessey Holding Company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Transportation: Cargo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6.8% Cash, 1.3% Libor Floor,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5/19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3,503,511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3,495,769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3,537,145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PGX Holdings,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Consumer</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6.3% Cash, 1.0% Libor Floor,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9/20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3,913,683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3,959,875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Post Holdings, Inc.</w:t>
            </w:r>
            <w:r>
              <w:rPr>
                <w:rFonts w:ascii="Arial" w:cs="Arial" w:eastAsia="Arial" w:hAnsi="Arial"/>
                <w:sz w:val="23"/>
                <w:szCs w:val="23"/>
                <w:color w:val="auto"/>
                <w:vertAlign w:val="superscript"/>
              </w:rPr>
              <w:t>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1"/>
              </w:rPr>
              <w:t>Senior Secured Loan — Series</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 Incremental Term Loan</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3.8% Cash, 0.8% Libor Floor,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6/21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2,984,962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2,977,910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2,995,335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PQ Corporation</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Senior Secured Loan — 2014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Chemicals, Plastics and Rubber</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4.0% Cash, 1.0% Libor Floor,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8/17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2,984,733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2,984,733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2,979,136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PSC Industrial Holdings Corp.</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Environmental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5.8% Cash, 1.0% Libor Floor,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1,975,993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2,011,958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Puerto Rico Cable Acquisition Company Inc. (D/B/A Choice</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TV)</w:t>
            </w:r>
            <w:r>
              <w:rPr>
                <w:rFonts w:ascii="Arial" w:cs="Arial" w:eastAsia="Arial" w:hAnsi="Arial"/>
                <w:sz w:val="25"/>
                <w:szCs w:val="25"/>
                <w:color w:val="auto"/>
                <w:vertAlign w:val="superscript"/>
              </w:rPr>
              <w:t>9</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7/18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895,364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896,481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895,364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Puerto Rico Cable Acquisition Company Inc. (D/B/A Choice</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25"/>
                <w:szCs w:val="25"/>
                <w:color w:val="auto"/>
                <w:vertAlign w:val="subscript"/>
              </w:rPr>
              <w:t>TV)</w:t>
            </w:r>
            <w:r>
              <w:rPr>
                <w:rFonts w:ascii="Arial" w:cs="Arial" w:eastAsia="Arial" w:hAnsi="Arial"/>
                <w:sz w:val="12"/>
                <w:szCs w:val="12"/>
                <w:color w:val="auto"/>
              </w:rPr>
              <w:t>9, 11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7/18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2,686,092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2,677,062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2,686,092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QoL Meds,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497,500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495,307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483,023</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3" w:name="page14"/>
    <w:bookmarkEnd w:id="13"/>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 / Principal Business</w:t>
      </w:r>
    </w:p>
    <w:p>
      <w:pPr>
        <w:spacing w:after="0" w:line="30" w:lineRule="exact"/>
        <w:rPr>
          <w:sz w:val="20"/>
          <w:szCs w:val="20"/>
          <w:color w:val="auto"/>
        </w:rPr>
      </w:pPr>
    </w:p>
    <w:p>
      <w:pPr>
        <w:ind w:left="180" w:right="100" w:hanging="161"/>
        <w:spacing w:after="0" w:line="365" w:lineRule="auto"/>
        <w:rPr>
          <w:sz w:val="20"/>
          <w:szCs w:val="20"/>
          <w:color w:val="auto"/>
        </w:rPr>
      </w:pPr>
      <w:r>
        <w:rPr>
          <w:rFonts w:ascii="Arial" w:cs="Arial" w:eastAsia="Arial" w:hAnsi="Arial"/>
          <w:sz w:val="17"/>
          <w:szCs w:val="17"/>
          <w:color w:val="auto"/>
        </w:rPr>
        <w:t>Quad-C JH Holdings Inc. (aka Joerns Healthcare)</w:t>
      </w:r>
      <w:r>
        <w:rPr>
          <w:rFonts w:ascii="Arial" w:cs="Arial" w:eastAsia="Arial" w:hAnsi="Arial"/>
          <w:sz w:val="28"/>
          <w:szCs w:val="28"/>
          <w:color w:val="auto"/>
          <w:vertAlign w:val="superscript"/>
        </w:rPr>
        <w:t>9, 11</w:t>
      </w:r>
      <w:r>
        <w:rPr>
          <w:rFonts w:ascii="Arial" w:cs="Arial" w:eastAsia="Arial" w:hAnsi="Arial"/>
          <w:sz w:val="17"/>
          <w:szCs w:val="17"/>
          <w:color w:val="auto"/>
        </w:rPr>
        <w:t xml:space="preserve"> </w:t>
      </w:r>
      <w:r>
        <w:rPr>
          <w:rFonts w:ascii="Arial" w:cs="Arial" w:eastAsia="Arial" w:hAnsi="Arial"/>
          <w:sz w:val="17"/>
          <w:szCs w:val="17"/>
          <w:i w:val="1"/>
          <w:iCs w:val="1"/>
          <w:color w:val="auto"/>
        </w:rPr>
        <w:t>Healthcare &amp; Pharmaceuticals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Restorix Health, Inc.</w:t>
      </w:r>
      <w:r>
        <w:rPr>
          <w:rFonts w:ascii="Arial" w:cs="Arial" w:eastAsia="Arial" w:hAnsi="Arial"/>
          <w:sz w:val="30"/>
          <w:szCs w:val="30"/>
          <w:color w:val="auto"/>
          <w:vertAlign w:val="superscript"/>
        </w:rPr>
        <w:t>9</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Restorix Health, Inc.</w:t>
      </w:r>
      <w:r>
        <w:rPr>
          <w:rFonts w:ascii="Arial" w:cs="Arial" w:eastAsia="Arial" w:hAnsi="Arial"/>
          <w:sz w:val="30"/>
          <w:szCs w:val="30"/>
          <w:color w:val="auto"/>
          <w:vertAlign w:val="superscript"/>
        </w:rPr>
        <w:t>9</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Reynolds Group Holdings Inc.</w:t>
      </w:r>
      <w:r>
        <w:rPr>
          <w:rFonts w:ascii="Arial" w:cs="Arial" w:eastAsia="Arial" w:hAnsi="Arial"/>
          <w:sz w:val="30"/>
          <w:szCs w:val="30"/>
          <w:color w:val="auto"/>
          <w:vertAlign w:val="superscript"/>
        </w:rPr>
        <w:t>9, 11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Containers, Packaging and Glass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Roscoe Medical, Inc.</w:t>
      </w:r>
      <w:r>
        <w:rPr>
          <w:rFonts w:ascii="Arial" w:cs="Arial" w:eastAsia="Arial" w:hAnsi="Arial"/>
          <w:sz w:val="30"/>
          <w:szCs w:val="30"/>
          <w:color w:val="auto"/>
          <w:vertAlign w:val="superscript"/>
        </w:rPr>
        <w:t>9</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Rovi Solutions Corporation / Rovi Guides, Inc.</w:t>
      </w:r>
      <w:r>
        <w:rPr>
          <w:rFonts w:ascii="Arial" w:cs="Arial" w:eastAsia="Arial" w:hAnsi="Arial"/>
          <w:sz w:val="30"/>
          <w:szCs w:val="30"/>
          <w:color w:val="auto"/>
          <w:vertAlign w:val="superscript"/>
        </w:rPr>
        <w:t>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Sandy Creek Energy Associates, L.P.</w:t>
      </w:r>
      <w:r>
        <w:rPr>
          <w:rFonts w:ascii="Arial" w:cs="Arial" w:eastAsia="Arial" w:hAnsi="Arial"/>
          <w:sz w:val="30"/>
          <w:szCs w:val="30"/>
          <w:color w:val="auto"/>
          <w:vertAlign w:val="superscript"/>
        </w:rPr>
        <w:t>9, 11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Utilities: Electric</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SGF Produce Holding Corp.(Frozsun, Inc.)</w:t>
      </w:r>
      <w:r>
        <w:rPr>
          <w:rFonts w:ascii="Arial" w:cs="Arial" w:eastAsia="Arial" w:hAnsi="Arial"/>
          <w:sz w:val="30"/>
          <w:szCs w:val="30"/>
          <w:color w:val="auto"/>
          <w:vertAlign w:val="superscript"/>
        </w:rPr>
        <w:t>9</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SGF Produce Holding Corp.(Frozsun, Inc.)</w:t>
      </w:r>
      <w:r>
        <w:rPr>
          <w:rFonts w:ascii="Arial" w:cs="Arial" w:eastAsia="Arial" w:hAnsi="Arial"/>
          <w:sz w:val="30"/>
          <w:szCs w:val="30"/>
          <w:color w:val="auto"/>
          <w:vertAlign w:val="superscript"/>
        </w:rPr>
        <w:t>9, 11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Stafford Logistics, Inc.(dba Custom Ecology, Inc.)</w:t>
      </w:r>
      <w:r>
        <w:rPr>
          <w:rFonts w:ascii="Arial" w:cs="Arial" w:eastAsia="Arial" w:hAnsi="Arial"/>
          <w:sz w:val="26"/>
          <w:szCs w:val="26"/>
          <w:color w:val="auto"/>
          <w:vertAlign w:val="superscript"/>
        </w:rPr>
        <w:t>9, 11</w:t>
      </w:r>
    </w:p>
    <w:p>
      <w:pPr>
        <w:spacing w:after="0" w:line="1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c>
          <w:tcPr>
            <w:tcW w:w="0" w:type="dxa"/>
            <w:vAlign w:val="bottom"/>
          </w:tcPr>
          <w:p>
            <w:pPr>
              <w:spacing w:after="0"/>
              <w:rPr>
                <w:sz w:val="1"/>
                <w:szCs w:val="1"/>
                <w:color w:val="auto"/>
              </w:rPr>
            </w:pPr>
          </w:p>
        </w:tc>
      </w:tr>
      <w:tr>
        <w:trPr>
          <w:trHeight w:val="234"/>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500" w:type="dxa"/>
            <w:vAlign w:val="bottom"/>
            <w:gridSpan w:val="4"/>
          </w:tcPr>
          <w:p>
            <w:pPr>
              <w:ind w:left="12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Senior Secured Loan — Term</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 A</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6.0% Cash, 1.0% Libor Floor,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Due 5/20</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3,970,000</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3,944,386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3,837,005</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Senior Unsecured Loan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Delayed Draw</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10.0% Cash, 1.5% PIK, Due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2,011,110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2,011,110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2,011,110</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Senior Unsecured Loan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Subordinated Term Loan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10.0% Cash, 1.5% PIK, Due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8,093,672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8,093,672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8,093,672</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Senior Secured Loan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Incremental U.S. Term Loan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4.5% Cash, 1.0% Libor Floor,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Due 12/18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2,916,649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2,916,649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2,933,055</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Junior Secured Loan — Term</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 (Second Lien)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11.3% Cash, Due 9/19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6,700,000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6,645,367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6,569,350</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B Loan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3.8% Cash, 0.8% Libor Floor,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2,984,962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2,948,543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2,984,664</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5.0% Cash, 1.0% Libor Floor,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Due 11/20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2,837,361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2,825,948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2,832,807</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5.5% Cash, 1.0% Libor Floor,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Due 3/19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2,185,755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2,171,061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2,185,755</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5.5% Cash, 1.0% Libor Floor,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Due 3/19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3,431,840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3,424,174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3,431,840</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6.8% Cash, 1.3% Libor Floor,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Due 6/19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2,861,935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2,841,682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2,856,211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-5916930</wp:posOffset>
            </wp:positionV>
            <wp:extent cx="7246620" cy="548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-5230495</wp:posOffset>
            </wp:positionV>
            <wp:extent cx="7246620" cy="548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-4544695</wp:posOffset>
            </wp:positionV>
            <wp:extent cx="7246620" cy="548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-3858260</wp:posOffset>
            </wp:positionV>
            <wp:extent cx="7246620" cy="4286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-3292475</wp:posOffset>
            </wp:positionV>
            <wp:extent cx="7246620" cy="548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-2606675</wp:posOffset>
            </wp:positionV>
            <wp:extent cx="7246620" cy="548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-1920240</wp:posOffset>
            </wp:positionV>
            <wp:extent cx="7246620" cy="548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-1234440</wp:posOffset>
            </wp:positionV>
            <wp:extent cx="7246620" cy="548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-548005</wp:posOffset>
            </wp:positionV>
            <wp:extent cx="7246620" cy="548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-6611620</wp:posOffset>
            </wp:positionV>
            <wp:extent cx="7246620" cy="557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3980" w:space="720"/>
            <w:col w:w="6720"/>
          </w:cols>
          <w:pgMar w:left="240" w:top="877" w:right="239" w:bottom="1440" w:gutter="0" w:footer="0" w:header="0"/>
        </w:sectPr>
      </w:pPr>
    </w:p>
    <w:tbl>
      <w:tblPr>
        <w:tblLayout w:type="fixed"/>
        <w:tblInd w:w="0" w:type="dxa"/>
        <w:tblCellMar>
          <w:top w:w="0" w:type="dxa"/>
          <w:left w:w="0" w:type="dxa"/>
          <w:bottom w:w="0" w:type="dxa"/>
          <w:right w:w="0" w:type="dxa"/>
        </w:tblCellMar>
      </w:tblPr>
      <w:tr>
        <w:trPr>
          <w:trHeight w:val="345"/>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w w:val="90"/>
              </w:rPr>
              <w:t>Sun Products Corporation, The (fka Huish Detergents Inc.)</w:t>
            </w:r>
            <w:r>
              <w:rPr>
                <w:rFonts w:ascii="Arial" w:cs="Arial" w:eastAsia="Arial" w:hAnsi="Arial"/>
                <w:sz w:val="30"/>
                <w:szCs w:val="30"/>
                <w:color w:val="auto"/>
                <w:w w:val="90"/>
                <w:vertAlign w:val="superscript"/>
              </w:rPr>
              <w:t>9, 11</w:t>
            </w:r>
          </w:p>
        </w:tc>
        <w:tc>
          <w:tcPr>
            <w:tcW w:w="2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Senior Secured Loan —</w:t>
            </w:r>
          </w:p>
        </w:tc>
        <w:tc>
          <w:tcPr>
            <w:tcW w:w="14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15"/>
        </w:trPr>
        <w:tc>
          <w:tcPr>
            <w:tcW w:w="4640" w:type="dxa"/>
            <w:vAlign w:val="bottom"/>
            <w:shd w:val="clear" w:color="auto" w:fill="CCEEFF"/>
          </w:tcPr>
          <w:p>
            <w:pPr>
              <w:spacing w:after="0"/>
              <w:rPr>
                <w:sz w:val="18"/>
                <w:szCs w:val="18"/>
                <w:color w:val="auto"/>
              </w:rPr>
            </w:pPr>
          </w:p>
        </w:tc>
        <w:tc>
          <w:tcPr>
            <w:tcW w:w="2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Tranche B Term Loan</w:t>
            </w: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Consumer goods: Non-durable</w:t>
            </w:r>
          </w:p>
        </w:tc>
        <w:tc>
          <w:tcPr>
            <w:tcW w:w="2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5.5% Cash, 1.3% Libor Floor,</w:t>
            </w: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4640" w:type="dxa"/>
            <w:vAlign w:val="bottom"/>
            <w:shd w:val="clear" w:color="auto" w:fill="CCEEFF"/>
          </w:tcPr>
          <w:p>
            <w:pPr>
              <w:spacing w:after="0"/>
              <w:rPr>
                <w:sz w:val="20"/>
                <w:szCs w:val="20"/>
                <w:color w:val="auto"/>
              </w:rPr>
            </w:pPr>
          </w:p>
        </w:tc>
        <w:tc>
          <w:tcPr>
            <w:tcW w:w="2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Due 3/20</w:t>
            </w:r>
          </w:p>
        </w:tc>
        <w:tc>
          <w:tcPr>
            <w:tcW w:w="1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3,882,654</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3,860,392</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3,764,718</w:t>
            </w:r>
          </w:p>
        </w:tc>
      </w:tr>
      <w:tr>
        <w:trPr>
          <w:trHeight w:val="648"/>
        </w:trPr>
        <w:tc>
          <w:tcPr>
            <w:tcW w:w="46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12</w:t>
            </w:r>
          </w:p>
        </w:tc>
        <w:tc>
          <w:tcPr>
            <w:tcW w:w="1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type w:val="continuous"/>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500" w:type="dxa"/>
            <w:vAlign w:val="bottom"/>
            <w:gridSpan w:val="4"/>
          </w:tcPr>
          <w:p>
            <w:pPr>
              <w:ind w:left="12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Tank Partners Holdings, LLC</w:t>
            </w:r>
            <w:r>
              <w:rPr>
                <w:rFonts w:ascii="Arial" w:cs="Arial" w:eastAsia="Arial" w:hAnsi="Arial"/>
                <w:sz w:val="22"/>
                <w:szCs w:val="22"/>
                <w:color w:val="auto"/>
                <w:vertAlign w:val="superscript"/>
              </w:rPr>
              <w:t>9</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6"/>
              </w:rPr>
              <w:t>Senior Secured Loan — Loan</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9.8% Cash, 3.5% PIK, 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Libor Floor, Due 8/19</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10,477,484</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10,314,187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9,953,609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TPF II Power, LLC (TPF II Covert Midco,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Utilities: Electric</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10/21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2,992,500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3,018,385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3,000,879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Trimaran Advisors, L.L.C.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Unsecured Loan —</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Revolving Credit Facility</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Portfolio Company Loan</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9.0% Cash, Due 11/17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TRSO I, Inc.</w:t>
      </w:r>
      <w:r>
        <w:rPr>
          <w:rFonts w:ascii="Arial" w:cs="Arial" w:eastAsia="Arial" w:hAnsi="Arial"/>
          <w:sz w:val="30"/>
          <w:szCs w:val="30"/>
          <w:color w:val="auto"/>
          <w:vertAlign w:val="superscript"/>
        </w:rPr>
        <w:t>9</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Energy: Oil &amp; Gas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TWCC Holding Corp.</w:t>
      </w:r>
      <w:r>
        <w:rPr>
          <w:rFonts w:ascii="Arial" w:cs="Arial" w:eastAsia="Arial" w:hAnsi="Arial"/>
          <w:sz w:val="30"/>
          <w:szCs w:val="30"/>
          <w:color w:val="auto"/>
          <w:vertAlign w:val="superscript"/>
        </w:rPr>
        <w:t>9</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TWCC Holding Corp.</w:t>
      </w:r>
      <w:r>
        <w:rPr>
          <w:rFonts w:ascii="Arial" w:cs="Arial" w:eastAsia="Arial" w:hAnsi="Arial"/>
          <w:sz w:val="30"/>
          <w:szCs w:val="30"/>
          <w:color w:val="auto"/>
          <w:vertAlign w:val="superscript"/>
        </w:rPr>
        <w:t>9, 11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Univar Inc.</w:t>
      </w:r>
      <w:r>
        <w:rPr>
          <w:rFonts w:ascii="Arial" w:cs="Arial" w:eastAsia="Arial" w:hAnsi="Arial"/>
          <w:sz w:val="30"/>
          <w:szCs w:val="30"/>
          <w:color w:val="auto"/>
          <w:vertAlign w:val="superscript"/>
        </w:rPr>
        <w:t>9, 11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Chemicals, Plastics and Rubber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USJ-IMECO Holding Company, LLC</w:t>
      </w:r>
      <w:r>
        <w:rPr>
          <w:rFonts w:ascii="Arial" w:cs="Arial" w:eastAsia="Arial" w:hAnsi="Arial"/>
          <w:sz w:val="26"/>
          <w:szCs w:val="26"/>
          <w:color w:val="auto"/>
          <w:vertAlign w:val="superscript"/>
        </w:rPr>
        <w:t>9, 11</w:t>
      </w:r>
    </w:p>
    <w:p>
      <w:pPr>
        <w:spacing w:after="0" w:line="1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Junior Secured Loan — Term</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Loan (Second Lien)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11.0% Cash, 1.0% Libor Floor,</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Due 12/17</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1,000,000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989,084</w:t>
            </w:r>
          </w:p>
        </w:tc>
        <w:tc>
          <w:tcPr>
            <w:tcW w:w="1100" w:type="dxa"/>
            <w:vAlign w:val="bottom"/>
          </w:tcPr>
          <w:p>
            <w:pPr>
              <w:jc w:val="right"/>
              <w:spacing w:after="0"/>
              <w:rPr>
                <w:sz w:val="20"/>
                <w:szCs w:val="20"/>
                <w:color w:val="auto"/>
              </w:rPr>
            </w:pPr>
            <w:r>
              <w:rPr>
                <w:rFonts w:ascii="Arial" w:cs="Arial" w:eastAsia="Arial" w:hAnsi="Arial"/>
                <w:sz w:val="18"/>
                <w:szCs w:val="18"/>
                <w:color w:val="auto"/>
              </w:rPr>
              <w:t>960,000</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Junior Secured Loan — Term</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Loan (Second Lien)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7.0% Cash, 1.0% Libor Floor,</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Due 6/20</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1,000,000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1,003,825</w:t>
            </w:r>
          </w:p>
        </w:tc>
        <w:tc>
          <w:tcPr>
            <w:tcW w:w="1100" w:type="dxa"/>
            <w:vAlign w:val="bottom"/>
          </w:tcPr>
          <w:p>
            <w:pPr>
              <w:jc w:val="right"/>
              <w:spacing w:after="0"/>
              <w:rPr>
                <w:sz w:val="20"/>
                <w:szCs w:val="20"/>
                <w:color w:val="auto"/>
              </w:rPr>
            </w:pPr>
            <w:r>
              <w:rPr>
                <w:rFonts w:ascii="Arial" w:cs="Arial" w:eastAsia="Arial" w:hAnsi="Arial"/>
                <w:sz w:val="18"/>
                <w:szCs w:val="18"/>
                <w:color w:val="auto"/>
              </w:rPr>
              <w:t>888,750</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Term</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Loan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3.5% Cash, 0.8% Libor Floor,</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Due 2/17</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888,574</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891,750</w:t>
            </w:r>
          </w:p>
        </w:tc>
        <w:tc>
          <w:tcPr>
            <w:tcW w:w="1100" w:type="dxa"/>
            <w:vAlign w:val="bottom"/>
          </w:tcPr>
          <w:p>
            <w:pPr>
              <w:jc w:val="right"/>
              <w:spacing w:after="0"/>
              <w:rPr>
                <w:sz w:val="20"/>
                <w:szCs w:val="20"/>
                <w:color w:val="auto"/>
              </w:rPr>
            </w:pPr>
            <w:r>
              <w:rPr>
                <w:rFonts w:ascii="Arial" w:cs="Arial" w:eastAsia="Arial" w:hAnsi="Arial"/>
                <w:sz w:val="18"/>
                <w:szCs w:val="18"/>
                <w:color w:val="auto"/>
              </w:rPr>
              <w:t>854,617</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Term</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B Loan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5.0% Cash, 1.5% Libor Floor,</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Due 6/17</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2,887,053</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2,882,840</w:t>
            </w:r>
          </w:p>
        </w:tc>
        <w:tc>
          <w:tcPr>
            <w:tcW w:w="1100" w:type="dxa"/>
            <w:vAlign w:val="bottom"/>
          </w:tcPr>
          <w:p>
            <w:pPr>
              <w:jc w:val="right"/>
              <w:spacing w:after="0"/>
              <w:rPr>
                <w:sz w:val="20"/>
                <w:szCs w:val="20"/>
                <w:color w:val="auto"/>
              </w:rPr>
            </w:pPr>
            <w:r>
              <w:rPr>
                <w:rFonts w:ascii="Arial" w:cs="Arial" w:eastAsia="Arial" w:hAnsi="Arial"/>
                <w:sz w:val="18"/>
                <w:szCs w:val="18"/>
                <w:color w:val="auto"/>
              </w:rPr>
              <w:t>2,886,851</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Term</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Loan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7.0% Cash, 1.0% Libor Floor,</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Due 4/20</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3,960,000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3,943,208</w:t>
            </w:r>
          </w:p>
        </w:tc>
        <w:tc>
          <w:tcPr>
            <w:tcW w:w="1100" w:type="dxa"/>
            <w:vAlign w:val="bottom"/>
          </w:tcPr>
          <w:p>
            <w:pPr>
              <w:jc w:val="right"/>
              <w:spacing w:after="0"/>
              <w:rPr>
                <w:sz w:val="20"/>
                <w:szCs w:val="20"/>
                <w:color w:val="auto"/>
              </w:rPr>
            </w:pPr>
            <w:r>
              <w:rPr>
                <w:rFonts w:ascii="Arial" w:cs="Arial" w:eastAsia="Arial" w:hAnsi="Arial"/>
                <w:sz w:val="18"/>
                <w:szCs w:val="18"/>
                <w:color w:val="auto"/>
              </w:rPr>
              <w:t>3,960,000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-3292475</wp:posOffset>
            </wp:positionV>
            <wp:extent cx="7246620" cy="548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-2606675</wp:posOffset>
            </wp:positionV>
            <wp:extent cx="7246620" cy="548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-1920240</wp:posOffset>
            </wp:positionV>
            <wp:extent cx="7246620" cy="548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-1234440</wp:posOffset>
            </wp:positionV>
            <wp:extent cx="7246620" cy="548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-548005</wp:posOffset>
            </wp:positionV>
            <wp:extent cx="7246620" cy="548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877"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620" w:type="dxa"/>
            <w:vAlign w:val="bottom"/>
            <w:gridSpan w:val="4"/>
          </w:tcPr>
          <w:p>
            <w:pPr>
              <w:ind w:left="120"/>
              <w:spacing w:after="0"/>
              <w:rPr>
                <w:sz w:val="20"/>
                <w:szCs w:val="20"/>
                <w:color w:val="auto"/>
              </w:rPr>
            </w:pPr>
            <w:r>
              <w:rPr>
                <w:rFonts w:ascii="Arial" w:cs="Arial" w:eastAsia="Arial" w:hAnsi="Arial"/>
                <w:sz w:val="18"/>
                <w:szCs w:val="18"/>
                <w:b w:val="1"/>
                <w:bCs w:val="1"/>
                <w:color w:val="auto"/>
              </w:rPr>
              <w:t>Principal</w:t>
            </w: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Amortized Cost</w:t>
            </w: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Vantiv, LLC (fka Fifth Third Processing Solutions, LLC)</w:t>
            </w:r>
            <w:r>
              <w:rPr>
                <w:rFonts w:ascii="Arial" w:cs="Arial" w:eastAsia="Arial" w:hAnsi="Arial"/>
                <w:sz w:val="22"/>
                <w:szCs w:val="22"/>
                <w:color w:val="auto"/>
                <w:vertAlign w:val="superscript"/>
              </w:rPr>
              <w:t>11</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 Loan</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Banking, Finance, Insurance &amp; Real Estate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3.8% Cash, 0.8% Libor Floor,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6/21</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1,703,545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1,707,601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1,713,127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Verdesian Life Sciences,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Environmental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962,525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949,834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Verdesian Life Sciences,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Environmental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3,179,987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3,139,235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3,095,717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Vestcom International, Inc. (fka Vector Investment Holdings,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Inc.)</w:t>
            </w:r>
            <w:r>
              <w:rPr>
                <w:rFonts w:ascii="Arial" w:cs="Arial" w:eastAsia="Arial" w:hAnsi="Arial"/>
                <w:sz w:val="25"/>
                <w:szCs w:val="25"/>
                <w:color w:val="auto"/>
                <w:vertAlign w:val="superscript"/>
              </w:rPr>
              <w:t>9, 11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5.3% Cash, 1.0% Libor Floor,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Retail</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9/21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3,012,690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2,993,506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3,020,222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9, 11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WideOpenWest Finance, LLC</w:t>
      </w:r>
      <w:r>
        <w:rPr>
          <w:rFonts w:ascii="Arial" w:cs="Arial" w:eastAsia="Arial" w:hAnsi="Arial"/>
          <w:sz w:val="30"/>
          <w:szCs w:val="30"/>
          <w:color w:val="auto"/>
          <w:vertAlign w:val="superscript"/>
        </w:rPr>
        <w:t>9</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30"/>
          <w:szCs w:val="30"/>
          <w:color w:val="auto"/>
          <w:vertAlign w:val="superscript"/>
        </w:rPr>
        <w:t>9</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30"/>
          <w:szCs w:val="30"/>
          <w:color w:val="auto"/>
          <w:vertAlign w:val="superscript"/>
        </w:rPr>
        <w:t>9, 11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248" w:lineRule="exact"/>
        <w:rPr>
          <w:sz w:val="20"/>
          <w:szCs w:val="20"/>
          <w:color w:val="auto"/>
        </w:rPr>
      </w:pPr>
    </w:p>
    <w:p>
      <w:pPr>
        <w:ind w:left="140" w:right="940" w:hanging="129"/>
        <w:spacing w:after="0" w:line="347" w:lineRule="auto"/>
        <w:rPr>
          <w:sz w:val="20"/>
          <w:szCs w:val="20"/>
          <w:color w:val="auto"/>
        </w:rPr>
      </w:pPr>
      <w:r>
        <w:rPr>
          <w:rFonts w:ascii="Arial" w:cs="Arial" w:eastAsia="Arial" w:hAnsi="Arial"/>
          <w:sz w:val="16"/>
          <w:szCs w:val="16"/>
          <w:b w:val="1"/>
          <w:bCs w:val="1"/>
          <w:color w:val="auto"/>
        </w:rPr>
        <w:t>Total Investment in Debt Securities (121%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Senior Secured Loan — Term</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Loan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6.3% Cash, 1.0% Libor Floor,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660" w:type="dxa"/>
            <w:vAlign w:val="bottom"/>
            <w:gridSpan w:val="2"/>
          </w:tcPr>
          <w:p>
            <w:pPr>
              <w:spacing w:after="0"/>
              <w:rPr>
                <w:sz w:val="20"/>
                <w:szCs w:val="20"/>
                <w:color w:val="auto"/>
              </w:rPr>
            </w:pPr>
            <w:r>
              <w:rPr>
                <w:rFonts w:ascii="Arial" w:cs="Arial" w:eastAsia="Arial" w:hAnsi="Arial"/>
                <w:sz w:val="18"/>
                <w:szCs w:val="18"/>
                <w:color w:val="auto"/>
              </w:rPr>
              <w:t>Due 11/18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2,964,755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2,942,630</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2,964,755</w:t>
            </w:r>
          </w:p>
        </w:tc>
      </w:tr>
      <w:tr>
        <w:trPr>
          <w:trHeight w:val="418"/>
        </w:trPr>
        <w:tc>
          <w:tcPr>
            <w:tcW w:w="2660" w:type="dxa"/>
            <w:vAlign w:val="bottom"/>
            <w:gridSpan w:val="2"/>
          </w:tcPr>
          <w:p>
            <w:pPr>
              <w:spacing w:after="0"/>
              <w:rPr>
                <w:sz w:val="20"/>
                <w:szCs w:val="20"/>
                <w:color w:val="auto"/>
              </w:rPr>
            </w:pPr>
            <w:r>
              <w:rPr>
                <w:rFonts w:ascii="Arial" w:cs="Arial" w:eastAsia="Arial" w:hAnsi="Arial"/>
                <w:sz w:val="18"/>
                <w:szCs w:val="18"/>
                <w:color w:val="auto"/>
              </w:rPr>
              <w:t>Senior Secured Loan — Term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Loan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6.3% Cash, 1.0% Libor Floor,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660" w:type="dxa"/>
            <w:vAlign w:val="bottom"/>
            <w:gridSpan w:val="2"/>
          </w:tcPr>
          <w:p>
            <w:pPr>
              <w:spacing w:after="0"/>
              <w:rPr>
                <w:sz w:val="20"/>
                <w:szCs w:val="20"/>
                <w:color w:val="auto"/>
              </w:rPr>
            </w:pPr>
            <w:r>
              <w:rPr>
                <w:rFonts w:ascii="Arial" w:cs="Arial" w:eastAsia="Arial" w:hAnsi="Arial"/>
                <w:sz w:val="18"/>
                <w:szCs w:val="18"/>
                <w:color w:val="auto"/>
              </w:rPr>
              <w:t>Due 11/18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3,953,007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3,924,193</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3,953,007</w:t>
            </w:r>
          </w:p>
        </w:tc>
      </w:tr>
      <w:tr>
        <w:trPr>
          <w:trHeight w:val="418"/>
        </w:trPr>
        <w:tc>
          <w:tcPr>
            <w:tcW w:w="2660" w:type="dxa"/>
            <w:vAlign w:val="bottom"/>
            <w:gridSpan w:val="2"/>
          </w:tcPr>
          <w:p>
            <w:pPr>
              <w:spacing w:after="0"/>
              <w:rPr>
                <w:sz w:val="20"/>
                <w:szCs w:val="20"/>
                <w:color w:val="auto"/>
              </w:rPr>
            </w:pPr>
            <w:r>
              <w:rPr>
                <w:rFonts w:ascii="Arial" w:cs="Arial" w:eastAsia="Arial" w:hAnsi="Arial"/>
                <w:sz w:val="18"/>
                <w:szCs w:val="18"/>
                <w:color w:val="auto"/>
              </w:rPr>
              <w:t>Senior Secured Loan — Term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B Loan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4.8% Cash, 1.0% Libor Floor,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660" w:type="dxa"/>
            <w:vAlign w:val="bottom"/>
            <w:gridSpan w:val="2"/>
          </w:tcPr>
          <w:p>
            <w:pPr>
              <w:spacing w:after="0"/>
              <w:rPr>
                <w:sz w:val="20"/>
                <w:szCs w:val="20"/>
                <w:color w:val="auto"/>
              </w:rPr>
            </w:pPr>
            <w:r>
              <w:rPr>
                <w:rFonts w:ascii="Arial" w:cs="Arial" w:eastAsia="Arial" w:hAnsi="Arial"/>
                <w:sz w:val="18"/>
                <w:szCs w:val="18"/>
                <w:color w:val="auto"/>
              </w:rPr>
              <w:t>Due 4/19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2,947,368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2,962,880</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2,954,280</w:t>
            </w:r>
          </w:p>
        </w:tc>
      </w:tr>
      <w:tr>
        <w:trPr>
          <w:trHeight w:val="418"/>
        </w:trPr>
        <w:tc>
          <w:tcPr>
            <w:tcW w:w="2660" w:type="dxa"/>
            <w:vAlign w:val="bottom"/>
            <w:gridSpan w:val="2"/>
          </w:tcPr>
          <w:p>
            <w:pPr>
              <w:spacing w:after="0"/>
              <w:rPr>
                <w:sz w:val="20"/>
                <w:szCs w:val="20"/>
                <w:color w:val="auto"/>
              </w:rPr>
            </w:pPr>
            <w:r>
              <w:rPr>
                <w:rFonts w:ascii="Arial" w:cs="Arial" w:eastAsia="Arial" w:hAnsi="Arial"/>
                <w:sz w:val="18"/>
                <w:szCs w:val="18"/>
                <w:color w:val="auto"/>
              </w:rPr>
              <w:t>Senior Unsecured Bond —</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9.000% - 05/2017</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7"/>
        </w:trPr>
        <w:tc>
          <w:tcPr>
            <w:tcW w:w="2660" w:type="dxa"/>
            <w:vAlign w:val="bottom"/>
            <w:gridSpan w:val="2"/>
          </w:tcPr>
          <w:p>
            <w:pPr>
              <w:spacing w:after="0"/>
              <w:rPr>
                <w:sz w:val="20"/>
                <w:szCs w:val="20"/>
                <w:color w:val="auto"/>
              </w:rPr>
            </w:pPr>
            <w:r>
              <w:rPr>
                <w:rFonts w:ascii="Arial" w:cs="Arial" w:eastAsia="Arial" w:hAnsi="Arial"/>
                <w:sz w:val="18"/>
                <w:szCs w:val="18"/>
                <w:color w:val="auto"/>
              </w:rPr>
              <w:t>9.0% Cash, Due 5/17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4,996,959</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5,000,000</w:t>
            </w:r>
          </w:p>
        </w:tc>
      </w:tr>
      <w:tr>
        <w:trPr>
          <w:trHeight w:val="418"/>
        </w:trPr>
        <w:tc>
          <w:tcPr>
            <w:tcW w:w="2660" w:type="dxa"/>
            <w:vAlign w:val="bottom"/>
            <w:gridSpan w:val="2"/>
          </w:tcPr>
          <w:p>
            <w:pPr>
              <w:spacing w:after="0"/>
              <w:rPr>
                <w:sz w:val="20"/>
                <w:szCs w:val="20"/>
                <w:color w:val="auto"/>
              </w:rPr>
            </w:pPr>
            <w:r>
              <w:rPr>
                <w:rFonts w:ascii="Arial" w:cs="Arial" w:eastAsia="Arial" w:hAnsi="Arial"/>
                <w:sz w:val="18"/>
                <w:szCs w:val="18"/>
                <w:color w:val="auto"/>
              </w:rPr>
              <w:t>Senior Unsecured Bond —</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9.000% - 05/2017</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1"/>
        </w:trPr>
        <w:tc>
          <w:tcPr>
            <w:tcW w:w="2420" w:type="dxa"/>
            <w:vAlign w:val="bottom"/>
          </w:tcPr>
          <w:p>
            <w:pPr>
              <w:spacing w:after="0"/>
              <w:rPr>
                <w:sz w:val="20"/>
                <w:szCs w:val="20"/>
                <w:color w:val="auto"/>
              </w:rPr>
            </w:pPr>
            <w:r>
              <w:rPr>
                <w:rFonts w:ascii="Arial" w:cs="Arial" w:eastAsia="Arial" w:hAnsi="Arial"/>
                <w:sz w:val="18"/>
                <w:szCs w:val="18"/>
                <w:color w:val="auto"/>
              </w:rPr>
              <w:t>9.0% Cash, Due 5/17</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2,998,175</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r>
      <w:tr>
        <w:trPr>
          <w:trHeight w:val="655"/>
        </w:trPr>
        <w:tc>
          <w:tcPr>
            <w:tcW w:w="24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323,806,894</w:t>
            </w:r>
          </w:p>
        </w:tc>
        <w:tc>
          <w:tcPr>
            <w:tcW w:w="10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321,962,047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320,470,495</w:t>
            </w:r>
          </w:p>
        </w:tc>
      </w:tr>
      <w:tr>
        <w:trPr>
          <w:trHeight w:val="20"/>
        </w:trPr>
        <w:tc>
          <w:tcPr>
            <w:tcW w:w="2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-3498215</wp:posOffset>
            </wp:positionV>
            <wp:extent cx="7246620" cy="548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-2812415</wp:posOffset>
            </wp:positionV>
            <wp:extent cx="7246620" cy="548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-2125980</wp:posOffset>
            </wp:positionV>
            <wp:extent cx="7246620" cy="548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-1440180</wp:posOffset>
            </wp:positionV>
            <wp:extent cx="7246620" cy="4286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-874395</wp:posOffset>
            </wp:positionV>
            <wp:extent cx="7246620" cy="437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-290830</wp:posOffset>
            </wp:positionV>
            <wp:extent cx="7246620" cy="283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3980" w:space="720"/>
            <w:col w:w="6720"/>
          </w:cols>
          <w:pgMar w:left="240" w:top="877" w:right="239" w:bottom="1440" w:gutter="0" w:footer="0" w:header="0"/>
          <w:type w:val="continuous"/>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 Portfolio</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5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Interest/Shares</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Aerostructures Holdings L.P.</w:t>
            </w:r>
            <w:r>
              <w:rPr>
                <w:rFonts w:ascii="Arial" w:cs="Arial" w:eastAsia="Arial" w:hAnsi="Arial"/>
                <w:sz w:val="30"/>
                <w:szCs w:val="30"/>
                <w:color w:val="auto"/>
                <w:vertAlign w:val="superscript"/>
              </w:rPr>
              <w:t>5, 9</w:t>
            </w:r>
          </w:p>
        </w:tc>
        <w:tc>
          <w:tcPr>
            <w:tcW w:w="120" w:type="dxa"/>
            <w:vAlign w:val="bottom"/>
            <w:tcBorders>
              <w:top w:val="single" w:sz="8" w:color="CCEEFF"/>
            </w:tcBorders>
            <w:shd w:val="clear" w:color="auto" w:fill="CCEEFF"/>
          </w:tcPr>
          <w:p>
            <w:pPr>
              <w:spacing w:after="0"/>
              <w:rPr>
                <w:sz w:val="24"/>
                <w:szCs w:val="24"/>
                <w:color w:val="auto"/>
              </w:rPr>
            </w:pPr>
          </w:p>
        </w:tc>
        <w:tc>
          <w:tcPr>
            <w:tcW w:w="23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Aerospace and Defense</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Partnership Interests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0" w:type="dxa"/>
            <w:vAlign w:val="bottom"/>
            <w:vMerge w:val="continue"/>
          </w:tcPr>
          <w:p>
            <w:pPr>
              <w:spacing w:after="0"/>
              <w:rPr>
                <w:sz w:val="24"/>
                <w:szCs w:val="2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Aerostructures Holdings L.P.</w:t>
            </w:r>
            <w:r>
              <w:rPr>
                <w:rFonts w:ascii="Arial" w:cs="Arial" w:eastAsia="Arial" w:hAnsi="Arial"/>
                <w:sz w:val="30"/>
                <w:szCs w:val="30"/>
                <w:color w:val="auto"/>
                <w:vertAlign w:val="superscript"/>
              </w:rPr>
              <w:t>5, 9</w:t>
            </w:r>
          </w:p>
        </w:tc>
        <w:tc>
          <w:tcPr>
            <w:tcW w:w="1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Aerospace and Defense</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Series A Preferred Interests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659,435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0" w:type="dxa"/>
            <w:vAlign w:val="bottom"/>
            <w:vMerge w:val="continue"/>
          </w:tcPr>
          <w:p>
            <w:pPr>
              <w:spacing w:after="0"/>
              <w:rPr>
                <w:sz w:val="24"/>
                <w:szCs w:val="2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Bankruptcy Management Solutions, Inc.</w:t>
            </w:r>
            <w:r>
              <w:rPr>
                <w:rFonts w:ascii="Arial" w:cs="Arial" w:eastAsia="Arial" w:hAnsi="Arial"/>
                <w:sz w:val="30"/>
                <w:szCs w:val="30"/>
                <w:color w:val="auto"/>
                <w:vertAlign w:val="superscript"/>
              </w:rPr>
              <w:t>5, 9</w:t>
            </w:r>
          </w:p>
        </w:tc>
        <w:tc>
          <w:tcPr>
            <w:tcW w:w="1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Class A Warrants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0" w:type="dxa"/>
            <w:vAlign w:val="bottom"/>
            <w:vMerge w:val="continue"/>
          </w:tcPr>
          <w:p>
            <w:pPr>
              <w:spacing w:after="0"/>
              <w:rPr>
                <w:sz w:val="24"/>
                <w:szCs w:val="2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Bankruptcy Management Solutions, Inc.</w:t>
            </w:r>
            <w:r>
              <w:rPr>
                <w:rFonts w:ascii="Arial" w:cs="Arial" w:eastAsia="Arial" w:hAnsi="Arial"/>
                <w:sz w:val="30"/>
                <w:szCs w:val="30"/>
                <w:color w:val="auto"/>
                <w:vertAlign w:val="superscript"/>
              </w:rPr>
              <w:t>5, 9</w:t>
            </w:r>
          </w:p>
        </w:tc>
        <w:tc>
          <w:tcPr>
            <w:tcW w:w="1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Class B Warrants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0" w:type="dxa"/>
            <w:vAlign w:val="bottom"/>
            <w:vMerge w:val="continue"/>
          </w:tcPr>
          <w:p>
            <w:pPr>
              <w:spacing w:after="0"/>
              <w:rPr>
                <w:sz w:val="24"/>
                <w:szCs w:val="2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Bankruptcy Management Solutions, Inc.</w:t>
            </w:r>
            <w:r>
              <w:rPr>
                <w:rFonts w:ascii="Arial" w:cs="Arial" w:eastAsia="Arial" w:hAnsi="Arial"/>
                <w:sz w:val="30"/>
                <w:szCs w:val="30"/>
                <w:color w:val="auto"/>
                <w:vertAlign w:val="superscript"/>
              </w:rPr>
              <w:t>5, 9</w:t>
            </w:r>
          </w:p>
        </w:tc>
        <w:tc>
          <w:tcPr>
            <w:tcW w:w="1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Class C Warrants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0" w:type="dxa"/>
            <w:vAlign w:val="bottom"/>
            <w:vMerge w:val="continue"/>
          </w:tcPr>
          <w:p>
            <w:pPr>
              <w:spacing w:after="0"/>
              <w:rPr>
                <w:sz w:val="24"/>
                <w:szCs w:val="2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Bankruptcy Management Solutions, Inc.</w:t>
            </w:r>
            <w:r>
              <w:rPr>
                <w:rFonts w:ascii="Arial" w:cs="Arial" w:eastAsia="Arial" w:hAnsi="Arial"/>
                <w:sz w:val="30"/>
                <w:szCs w:val="30"/>
                <w:color w:val="auto"/>
                <w:vertAlign w:val="superscript"/>
              </w:rPr>
              <w:t>5, 9</w:t>
            </w:r>
          </w:p>
        </w:tc>
        <w:tc>
          <w:tcPr>
            <w:tcW w:w="1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Common Stock 2013</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314,325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540,619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 Investments</w:t>
            </w:r>
          </w:p>
        </w:tc>
        <w:tc>
          <w:tcPr>
            <w:tcW w:w="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Incorporated)</w:t>
            </w:r>
            <w:r>
              <w:rPr>
                <w:rFonts w:ascii="Arial" w:cs="Arial" w:eastAsia="Arial" w:hAnsi="Arial"/>
                <w:sz w:val="30"/>
                <w:szCs w:val="30"/>
                <w:color w:val="auto"/>
                <w:vertAlign w:val="superscript"/>
              </w:rPr>
              <w:t>5, 9</w:t>
            </w:r>
          </w:p>
        </w:tc>
        <w:tc>
          <w:tcPr>
            <w:tcW w:w="1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Common</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593,555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0" w:type="dxa"/>
            <w:vAlign w:val="bottom"/>
            <w:vMerge w:val="continue"/>
          </w:tcPr>
          <w:p>
            <w:pPr>
              <w:spacing w:after="0"/>
              <w:rPr>
                <w:sz w:val="24"/>
                <w:szCs w:val="2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DBI Holding LLC</w:t>
            </w:r>
            <w:r>
              <w:rPr>
                <w:rFonts w:ascii="Arial" w:cs="Arial" w:eastAsia="Arial" w:hAnsi="Arial"/>
                <w:sz w:val="30"/>
                <w:szCs w:val="30"/>
                <w:color w:val="auto"/>
                <w:vertAlign w:val="superscript"/>
              </w:rPr>
              <w:t>5, 9</w:t>
            </w:r>
          </w:p>
        </w:tc>
        <w:tc>
          <w:tcPr>
            <w:tcW w:w="1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Class A Warrants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0" w:type="dxa"/>
            <w:vAlign w:val="bottom"/>
            <w:vMerge w:val="continue"/>
          </w:tcPr>
          <w:p>
            <w:pPr>
              <w:spacing w:after="0"/>
              <w:rPr>
                <w:sz w:val="24"/>
                <w:szCs w:val="2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eInstruction Acquisition, LLC</w:t>
            </w:r>
            <w:r>
              <w:rPr>
                <w:rFonts w:ascii="Arial" w:cs="Arial" w:eastAsia="Arial" w:hAnsi="Arial"/>
                <w:sz w:val="30"/>
                <w:szCs w:val="30"/>
                <w:color w:val="auto"/>
                <w:vertAlign w:val="superscript"/>
              </w:rPr>
              <w:t>5, 9</w:t>
            </w:r>
          </w:p>
        </w:tc>
        <w:tc>
          <w:tcPr>
            <w:tcW w:w="1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Membership Units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1,079,617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0" w:type="dxa"/>
            <w:vAlign w:val="bottom"/>
            <w:vMerge w:val="continue"/>
          </w:tcPr>
          <w:p>
            <w:pPr>
              <w:spacing w:after="0"/>
              <w:rPr>
                <w:sz w:val="24"/>
                <w:szCs w:val="2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FP WRCA Coinvestment Fund VII, Ltd.</w:t>
            </w:r>
            <w:r>
              <w:rPr>
                <w:rFonts w:ascii="Arial" w:cs="Arial" w:eastAsia="Arial" w:hAnsi="Arial"/>
                <w:sz w:val="30"/>
                <w:szCs w:val="30"/>
                <w:color w:val="auto"/>
                <w:vertAlign w:val="superscript"/>
              </w:rPr>
              <w:t>3, 5</w:t>
            </w:r>
          </w:p>
        </w:tc>
        <w:tc>
          <w:tcPr>
            <w:tcW w:w="1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Capital Equipment</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Class A Shares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2,237,566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0" w:type="dxa"/>
            <w:vAlign w:val="bottom"/>
            <w:vMerge w:val="continue"/>
          </w:tcPr>
          <w:p>
            <w:pPr>
              <w:spacing w:after="0"/>
              <w:rPr>
                <w:sz w:val="24"/>
                <w:szCs w:val="2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Perseus Holding Corp.</w:t>
            </w:r>
            <w:r>
              <w:rPr>
                <w:rFonts w:ascii="Arial" w:cs="Arial" w:eastAsia="Arial" w:hAnsi="Arial"/>
                <w:sz w:val="30"/>
                <w:szCs w:val="30"/>
                <w:color w:val="auto"/>
                <w:vertAlign w:val="superscript"/>
              </w:rPr>
              <w:t>5, 9</w:t>
            </w:r>
          </w:p>
        </w:tc>
        <w:tc>
          <w:tcPr>
            <w:tcW w:w="1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Hotel, Gaming &amp; Leisure</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Common</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5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Interest/Shares</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Roscoe Investors, LLC</w:t>
            </w:r>
            <w:r>
              <w:rPr>
                <w:rFonts w:ascii="Arial" w:cs="Arial" w:eastAsia="Arial" w:hAnsi="Arial"/>
                <w:sz w:val="30"/>
                <w:szCs w:val="30"/>
                <w:color w:val="auto"/>
                <w:vertAlign w:val="superscript"/>
              </w:rPr>
              <w:t>5, 9</w:t>
            </w:r>
          </w:p>
        </w:tc>
        <w:tc>
          <w:tcPr>
            <w:tcW w:w="120" w:type="dxa"/>
            <w:vAlign w:val="bottom"/>
            <w:tcBorders>
              <w:top w:val="single" w:sz="8" w:color="CCEEFF"/>
            </w:tcBorders>
            <w:shd w:val="clear" w:color="auto" w:fill="CCEEFF"/>
          </w:tcPr>
          <w:p>
            <w:pPr>
              <w:spacing w:after="0"/>
              <w:rPr>
                <w:sz w:val="24"/>
                <w:szCs w:val="24"/>
                <w:color w:val="auto"/>
              </w:rPr>
            </w:pPr>
          </w:p>
        </w:tc>
        <w:tc>
          <w:tcPr>
            <w:tcW w:w="23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Class A Units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0" w:type="dxa"/>
            <w:vAlign w:val="bottom"/>
            <w:vMerge w:val="continue"/>
          </w:tcPr>
          <w:p>
            <w:pPr>
              <w:spacing w:after="0"/>
              <w:rPr>
                <w:sz w:val="24"/>
                <w:szCs w:val="2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Tank Partners Holdings, LLC</w:t>
            </w:r>
            <w:r>
              <w:rPr>
                <w:rFonts w:ascii="Arial" w:cs="Arial" w:eastAsia="Arial" w:hAnsi="Arial"/>
                <w:sz w:val="30"/>
                <w:szCs w:val="30"/>
                <w:color w:val="auto"/>
                <w:vertAlign w:val="superscript"/>
              </w:rPr>
              <w:t>5, 9</w:t>
            </w:r>
          </w:p>
        </w:tc>
        <w:tc>
          <w:tcPr>
            <w:tcW w:w="1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Unit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546,095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0" w:type="dxa"/>
            <w:vAlign w:val="bottom"/>
            <w:vMerge w:val="continue"/>
          </w:tcPr>
          <w:p>
            <w:pPr>
              <w:spacing w:after="0"/>
              <w:rPr>
                <w:sz w:val="24"/>
                <w:szCs w:val="2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Tank Partners Holdings, LLC</w:t>
            </w:r>
            <w:r>
              <w:rPr>
                <w:rFonts w:ascii="Arial" w:cs="Arial" w:eastAsia="Arial" w:hAnsi="Arial"/>
                <w:sz w:val="30"/>
                <w:szCs w:val="30"/>
                <w:color w:val="auto"/>
                <w:vertAlign w:val="superscript"/>
              </w:rPr>
              <w:t>5, 9</w:t>
            </w:r>
          </w:p>
        </w:tc>
        <w:tc>
          <w:tcPr>
            <w:tcW w:w="1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Warrants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0" w:type="dxa"/>
            <w:vAlign w:val="bottom"/>
            <w:vMerge w:val="continue"/>
          </w:tcPr>
          <w:p>
            <w:pPr>
              <w:spacing w:after="0"/>
              <w:rPr>
                <w:sz w:val="24"/>
                <w:szCs w:val="2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TRSO II, Inc.</w:t>
            </w:r>
            <w:r>
              <w:rPr>
                <w:rFonts w:ascii="Arial" w:cs="Arial" w:eastAsia="Arial" w:hAnsi="Arial"/>
                <w:sz w:val="30"/>
                <w:szCs w:val="30"/>
                <w:color w:val="auto"/>
                <w:vertAlign w:val="superscript"/>
              </w:rPr>
              <w:t>5, 9</w:t>
            </w:r>
          </w:p>
        </w:tc>
        <w:tc>
          <w:tcPr>
            <w:tcW w:w="1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1,452,600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Equity Securities</w:t>
            </w:r>
          </w:p>
        </w:tc>
        <w:tc>
          <w:tcPr>
            <w:tcW w:w="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(3% of net asset value at fair value)</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8,828,812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8,063,558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877" w:right="239" w:bottom="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CLO Subordinated Investments</w:t>
            </w: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Percentage</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25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Interest</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Grant Grove CLO, Ltd.</w:t>
            </w:r>
            <w:r>
              <w:rPr>
                <w:rFonts w:ascii="Arial" w:cs="Arial" w:eastAsia="Arial" w:hAnsi="Arial"/>
                <w:sz w:val="28"/>
                <w:szCs w:val="28"/>
                <w:color w:val="auto"/>
                <w:vertAlign w:val="superscript"/>
              </w:rPr>
              <w:t>3</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Subordinated Securities</w:t>
            </w:r>
          </w:p>
        </w:tc>
        <w:tc>
          <w:tcPr>
            <w:tcW w:w="10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2,534,223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515,049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w:t>
            </w: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Preferred Shares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1,160,437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VII CLO Ltd.</w:t>
            </w:r>
            <w:r>
              <w:rPr>
                <w:rFonts w:ascii="Arial" w:cs="Arial" w:eastAsia="Arial" w:hAnsi="Arial"/>
                <w:sz w:val="29"/>
                <w:szCs w:val="29"/>
                <w:color w:val="auto"/>
                <w:vertAlign w:val="superscript"/>
              </w:rPr>
              <w:t>3, 6</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Securities</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3,613,232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Pr>
          <w:p>
            <w:pPr>
              <w:spacing w:after="0" w:line="256" w:lineRule="exact"/>
              <w:rPr>
                <w:sz w:val="20"/>
                <w:szCs w:val="20"/>
                <w:color w:val="auto"/>
              </w:rPr>
            </w:pPr>
            <w:r>
              <w:rPr>
                <w:rFonts w:ascii="Arial" w:cs="Arial" w:eastAsia="Arial" w:hAnsi="Arial"/>
                <w:sz w:val="18"/>
                <w:szCs w:val="18"/>
                <w:color w:val="auto"/>
              </w:rPr>
              <w:t>Katonah VIII CLO Ltd</w:t>
            </w:r>
            <w:r>
              <w:rPr>
                <w:rFonts w:ascii="Arial" w:cs="Arial" w:eastAsia="Arial" w:hAnsi="Arial"/>
                <w:sz w:val="29"/>
                <w:szCs w:val="29"/>
                <w:color w:val="auto"/>
                <w:vertAlign w:val="superscript"/>
              </w:rPr>
              <w:t>3, 6</w:t>
            </w: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Subordinated Securities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2,689,907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IX CLO Ltd</w:t>
            </w:r>
            <w:r>
              <w:rPr>
                <w:rFonts w:ascii="Arial" w:cs="Arial" w:eastAsia="Arial" w:hAnsi="Arial"/>
                <w:sz w:val="29"/>
                <w:szCs w:val="29"/>
                <w:color w:val="auto"/>
                <w:vertAlign w:val="superscript"/>
              </w:rPr>
              <w:t>3, 6</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Preferred Shares</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1,244,315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525,102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Pr>
          <w:p>
            <w:pPr>
              <w:spacing w:after="0" w:line="256" w:lineRule="exact"/>
              <w:rPr>
                <w:sz w:val="20"/>
                <w:szCs w:val="20"/>
                <w:color w:val="auto"/>
              </w:rPr>
            </w:pPr>
            <w:r>
              <w:rPr>
                <w:rFonts w:ascii="Arial" w:cs="Arial" w:eastAsia="Arial" w:hAnsi="Arial"/>
                <w:sz w:val="18"/>
                <w:szCs w:val="18"/>
                <w:color w:val="auto"/>
              </w:rPr>
              <w:t xml:space="preserve">Katonah X CLO Ltd </w:t>
            </w:r>
            <w:r>
              <w:rPr>
                <w:rFonts w:ascii="Arial" w:cs="Arial" w:eastAsia="Arial" w:hAnsi="Arial"/>
                <w:sz w:val="29"/>
                <w:szCs w:val="29"/>
                <w:color w:val="auto"/>
                <w:vertAlign w:val="superscript"/>
              </w:rPr>
              <w:t>3, 6</w:t>
            </w: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Subordinated Securities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8,887,506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4,739,933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3, 6</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Preferred Shares</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23,553,162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25,101,770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Pr>
          <w:p>
            <w:pPr>
              <w:spacing w:after="0" w:line="256" w:lineRule="exact"/>
              <w:rPr>
                <w:sz w:val="20"/>
                <w:szCs w:val="20"/>
                <w:color w:val="auto"/>
              </w:rPr>
            </w:pPr>
            <w:r>
              <w:rPr>
                <w:rFonts w:ascii="Arial" w:cs="Arial" w:eastAsia="Arial" w:hAnsi="Arial"/>
                <w:sz w:val="18"/>
                <w:szCs w:val="18"/>
                <w:color w:val="auto"/>
              </w:rPr>
              <w:t>Trimaran CLO IV, Ltd.</w:t>
            </w:r>
            <w:r>
              <w:rPr>
                <w:rFonts w:ascii="Arial" w:cs="Arial" w:eastAsia="Arial" w:hAnsi="Arial"/>
                <w:sz w:val="29"/>
                <w:szCs w:val="29"/>
                <w:color w:val="auto"/>
                <w:vertAlign w:val="superscript"/>
              </w:rPr>
              <w:t>3, 6</w:t>
            </w: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Preferred Shares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4,276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Trimaran CLO V, Ltd.</w:t>
            </w:r>
            <w:r>
              <w:rPr>
                <w:rFonts w:ascii="Arial" w:cs="Arial" w:eastAsia="Arial" w:hAnsi="Arial"/>
                <w:sz w:val="29"/>
                <w:szCs w:val="29"/>
                <w:color w:val="auto"/>
                <w:vertAlign w:val="superscript"/>
              </w:rPr>
              <w:t>3, 6</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 Notes</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1,345,117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1,802,607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Pr>
          <w:p>
            <w:pPr>
              <w:spacing w:after="0" w:line="256" w:lineRule="exact"/>
              <w:rPr>
                <w:sz w:val="20"/>
                <w:szCs w:val="20"/>
                <w:color w:val="auto"/>
              </w:rPr>
            </w:pPr>
            <w:r>
              <w:rPr>
                <w:rFonts w:ascii="Arial" w:cs="Arial" w:eastAsia="Arial" w:hAnsi="Arial"/>
                <w:sz w:val="18"/>
                <w:szCs w:val="18"/>
                <w:color w:val="auto"/>
              </w:rPr>
              <w:t>Trimaran CLO VI, Ltd.</w:t>
            </w:r>
            <w:r>
              <w:rPr>
                <w:rFonts w:ascii="Arial" w:cs="Arial" w:eastAsia="Arial" w:hAnsi="Arial"/>
                <w:sz w:val="29"/>
                <w:szCs w:val="29"/>
                <w:color w:val="auto"/>
                <w:vertAlign w:val="superscript"/>
              </w:rPr>
              <w:t>3, 6</w:t>
            </w: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Income Notes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39,078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3, 6</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Income Notes</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1,353,943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2,088,764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Pr>
          <w:p>
            <w:pPr>
              <w:spacing w:after="0" w:line="256" w:lineRule="exact"/>
              <w:rPr>
                <w:sz w:val="20"/>
                <w:szCs w:val="20"/>
                <w:color w:val="auto"/>
              </w:rPr>
            </w:pPr>
            <w:r>
              <w:rPr>
                <w:rFonts w:ascii="Arial" w:cs="Arial" w:eastAsia="Arial" w:hAnsi="Arial"/>
                <w:sz w:val="18"/>
                <w:szCs w:val="18"/>
                <w:color w:val="auto"/>
              </w:rPr>
              <w:t>Catamaran CLO 2012-1 Ltd.</w:t>
            </w:r>
            <w:r>
              <w:rPr>
                <w:rFonts w:ascii="Arial" w:cs="Arial" w:eastAsia="Arial" w:hAnsi="Arial"/>
                <w:sz w:val="29"/>
                <w:szCs w:val="29"/>
                <w:color w:val="auto"/>
                <w:vertAlign w:val="superscript"/>
              </w:rPr>
              <w:t>3, 6</w:t>
            </w: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7,717,181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5,753,784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Catamaran CLO 2013- 1 Ltd.</w:t>
            </w:r>
            <w:r>
              <w:rPr>
                <w:rFonts w:ascii="Arial" w:cs="Arial" w:eastAsia="Arial" w:hAnsi="Arial"/>
                <w:sz w:val="29"/>
                <w:szCs w:val="29"/>
                <w:color w:val="auto"/>
                <w:vertAlign w:val="superscript"/>
              </w:rPr>
              <w:t>3, 6</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7,200,636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7,531,200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Pr>
          <w:p>
            <w:pPr>
              <w:spacing w:after="0" w:line="256" w:lineRule="exact"/>
              <w:rPr>
                <w:sz w:val="20"/>
                <w:szCs w:val="20"/>
                <w:color w:val="auto"/>
              </w:rPr>
            </w:pPr>
            <w:r>
              <w:rPr>
                <w:rFonts w:ascii="Arial" w:cs="Arial" w:eastAsia="Arial" w:hAnsi="Arial"/>
                <w:sz w:val="18"/>
                <w:szCs w:val="18"/>
                <w:color w:val="auto"/>
              </w:rPr>
              <w:t>Catamaran CLO 2014-1 Ltd.</w:t>
            </w:r>
            <w:r>
              <w:rPr>
                <w:rFonts w:ascii="Arial" w:cs="Arial" w:eastAsia="Arial" w:hAnsi="Arial"/>
                <w:sz w:val="29"/>
                <w:szCs w:val="29"/>
                <w:color w:val="auto"/>
                <w:vertAlign w:val="superscript"/>
              </w:rPr>
              <w:t>3, 6</w:t>
            </w: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10,075,468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8,545,844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Dryden 30 Senior Loan Fund</w:t>
            </w:r>
            <w:r>
              <w:rPr>
                <w:rFonts w:ascii="Arial" w:cs="Arial" w:eastAsia="Arial" w:hAnsi="Arial"/>
                <w:sz w:val="29"/>
                <w:szCs w:val="29"/>
                <w:color w:val="auto"/>
                <w:vertAlign w:val="superscript"/>
              </w:rPr>
              <w:t>3</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1,787,454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2,532,725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Pr>
          <w:p>
            <w:pPr>
              <w:spacing w:after="0" w:line="256" w:lineRule="exact"/>
              <w:rPr>
                <w:sz w:val="20"/>
                <w:szCs w:val="20"/>
                <w:color w:val="auto"/>
              </w:rPr>
            </w:pPr>
            <w:r>
              <w:rPr>
                <w:rFonts w:ascii="Arial" w:cs="Arial" w:eastAsia="Arial" w:hAnsi="Arial"/>
                <w:sz w:val="18"/>
                <w:szCs w:val="18"/>
                <w:color w:val="auto"/>
              </w:rPr>
              <w:t>Catamaran CLO 2014-2 Ltd.</w:t>
            </w:r>
            <w:r>
              <w:rPr>
                <w:rFonts w:ascii="Arial" w:cs="Arial" w:eastAsia="Arial" w:hAnsi="Arial"/>
                <w:sz w:val="29"/>
                <w:szCs w:val="29"/>
                <w:color w:val="auto"/>
                <w:vertAlign w:val="superscript"/>
              </w:rPr>
              <w:t>3, 6</w:t>
            </w: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9,299,928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8,543,700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Catamaran CLO 2015-1 Ltd.</w:t>
            </w:r>
            <w:r>
              <w:rPr>
                <w:rFonts w:ascii="Arial" w:cs="Arial" w:eastAsia="Arial" w:hAnsi="Arial"/>
                <w:sz w:val="30"/>
                <w:szCs w:val="30"/>
                <w:color w:val="auto"/>
                <w:vertAlign w:val="superscript"/>
              </w:rPr>
              <w:t>3, 6</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11,952,000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11,952,000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 CLO Subordinated Securities</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94,457,863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80,303,478</w:t>
            </w:r>
          </w:p>
        </w:tc>
        <w:tc>
          <w:tcPr>
            <w:tcW w:w="0" w:type="dxa"/>
            <w:vAlign w:val="bottom"/>
          </w:tcPr>
          <w:p>
            <w:pPr>
              <w:spacing w:after="0"/>
              <w:rPr>
                <w:sz w:val="1"/>
                <w:szCs w:val="1"/>
                <w:color w:val="auto"/>
              </w:rPr>
            </w:pPr>
          </w:p>
        </w:tc>
      </w:tr>
      <w:tr>
        <w:trPr>
          <w:trHeight w:val="426"/>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CLO Rated-Note Investment</w:t>
            </w: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Catamaran CLO 2012-1 Ltd.</w:t>
      </w:r>
      <w:r>
        <w:rPr>
          <w:rFonts w:ascii="Arial" w:cs="Arial" w:eastAsia="Arial" w:hAnsi="Arial"/>
          <w:sz w:val="30"/>
          <w:szCs w:val="30"/>
          <w:color w:val="auto"/>
          <w:vertAlign w:val="superscript"/>
        </w:rPr>
        <w:t>3, 6</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Catamaran CLO 2014-1 Ltd.</w:t>
      </w:r>
      <w:r>
        <w:rPr>
          <w:rFonts w:ascii="Arial" w:cs="Arial" w:eastAsia="Arial" w:hAnsi="Arial"/>
          <w:sz w:val="30"/>
          <w:szCs w:val="30"/>
          <w:color w:val="auto"/>
          <w:vertAlign w:val="superscript"/>
        </w:rPr>
        <w:t>3, 6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Investment in CLO Rated-Note</w:t>
      </w:r>
    </w:p>
    <w:p>
      <w:pPr>
        <w:spacing w:after="0" w:line="252" w:lineRule="exact"/>
        <w:rPr>
          <w:sz w:val="20"/>
          <w:szCs w:val="20"/>
          <w:color w:val="auto"/>
        </w:rPr>
      </w:pPr>
    </w:p>
    <w:p>
      <w:pPr>
        <w:ind w:left="140" w:right="800" w:hanging="129"/>
        <w:spacing w:after="0" w:line="347" w:lineRule="auto"/>
        <w:rPr>
          <w:sz w:val="20"/>
          <w:szCs w:val="20"/>
          <w:color w:val="auto"/>
        </w:rPr>
      </w:pPr>
      <w:r>
        <w:rPr>
          <w:rFonts w:ascii="Arial" w:cs="Arial" w:eastAsia="Arial" w:hAnsi="Arial"/>
          <w:sz w:val="16"/>
          <w:szCs w:val="16"/>
          <w:b w:val="1"/>
          <w:bCs w:val="1"/>
          <w:color w:val="auto"/>
        </w:rPr>
        <w:t>Total Investment in CLO Fund Securities (33%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c>
          <w:tcPr>
            <w:tcW w:w="0" w:type="dxa"/>
            <w:vAlign w:val="bottom"/>
          </w:tcPr>
          <w:p>
            <w:pPr>
              <w:spacing w:after="0"/>
              <w:rPr>
                <w:sz w:val="1"/>
                <w:szCs w:val="1"/>
                <w:color w:val="auto"/>
              </w:rPr>
            </w:pPr>
          </w:p>
        </w:tc>
      </w:tr>
      <w:tr>
        <w:trPr>
          <w:trHeight w:val="234"/>
        </w:trPr>
        <w:tc>
          <w:tcPr>
            <w:tcW w:w="240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Interest</w:t>
            </w:r>
          </w:p>
        </w:tc>
        <w:tc>
          <w:tcPr>
            <w:tcW w:w="6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Float - 12/2023 - F -</w:t>
            </w: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0" w:type="dxa"/>
            <w:vAlign w:val="bottom"/>
            <w:gridSpan w:val="3"/>
          </w:tcPr>
          <w:p>
            <w:pPr>
              <w:spacing w:after="0"/>
              <w:rPr>
                <w:sz w:val="20"/>
                <w:szCs w:val="20"/>
                <w:color w:val="auto"/>
              </w:rPr>
            </w:pPr>
            <w:r>
              <w:rPr>
                <w:rFonts w:ascii="Arial" w:cs="Arial" w:eastAsia="Arial" w:hAnsi="Arial"/>
                <w:sz w:val="18"/>
                <w:szCs w:val="18"/>
                <w:color w:val="auto"/>
              </w:rPr>
              <w:t>14889CAE0</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42.9%</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3,935,339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4,180,000</w:t>
            </w:r>
          </w:p>
        </w:tc>
        <w:tc>
          <w:tcPr>
            <w:tcW w:w="0" w:type="dxa"/>
            <w:vAlign w:val="bottom"/>
          </w:tcPr>
          <w:p>
            <w:pPr>
              <w:spacing w:after="0"/>
              <w:rPr>
                <w:sz w:val="1"/>
                <w:szCs w:val="1"/>
                <w:color w:val="auto"/>
              </w:rPr>
            </w:pPr>
          </w:p>
        </w:tc>
      </w:tr>
      <w:tr>
        <w:trPr>
          <w:trHeight w:val="216"/>
        </w:trPr>
        <w:tc>
          <w:tcPr>
            <w:tcW w:w="2400" w:type="dxa"/>
            <w:vAlign w:val="bottom"/>
            <w:gridSpan w:val="3"/>
          </w:tcPr>
          <w:p>
            <w:pPr>
              <w:spacing w:after="0"/>
              <w:rPr>
                <w:sz w:val="20"/>
                <w:szCs w:val="20"/>
                <w:color w:val="auto"/>
              </w:rPr>
            </w:pPr>
            <w:r>
              <w:rPr>
                <w:rFonts w:ascii="Arial" w:cs="Arial" w:eastAsia="Arial" w:hAnsi="Arial"/>
                <w:sz w:val="18"/>
                <w:szCs w:val="18"/>
                <w:color w:val="auto"/>
              </w:rPr>
              <w:t>Float - 04/2026 - E -</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400" w:type="dxa"/>
            <w:vAlign w:val="bottom"/>
            <w:gridSpan w:val="3"/>
          </w:tcPr>
          <w:p>
            <w:pPr>
              <w:spacing w:after="0"/>
              <w:rPr>
                <w:sz w:val="20"/>
                <w:szCs w:val="20"/>
                <w:color w:val="auto"/>
              </w:rPr>
            </w:pPr>
            <w:r>
              <w:rPr>
                <w:rFonts w:ascii="Arial" w:cs="Arial" w:eastAsia="Arial" w:hAnsi="Arial"/>
                <w:sz w:val="18"/>
                <w:szCs w:val="18"/>
                <w:color w:val="auto"/>
              </w:rPr>
              <w:t>14889FAC7</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1,419,685</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1,370,000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5,355,024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99,812,887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85,853,478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-728345</wp:posOffset>
            </wp:positionV>
            <wp:extent cx="72466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-436880</wp:posOffset>
            </wp:positionV>
            <wp:extent cx="72466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-1294130</wp:posOffset>
            </wp:positionV>
            <wp:extent cx="7246620" cy="283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3980" w:space="720"/>
            <w:col w:w="6720"/>
          </w:cols>
          <w:pgMar w:left="240" w:top="877" w:right="239" w:bottom="1440" w:gutter="0" w:footer="0" w:header="0"/>
          <w:type w:val="continuous"/>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Asset Manager Affiliates</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Percentage</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5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Interest</w:t>
            </w:r>
          </w:p>
        </w:tc>
        <w:tc>
          <w:tcPr>
            <w:tcW w:w="20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Asset Manager Affiliates</w:t>
            </w:r>
            <w:r>
              <w:rPr>
                <w:rFonts w:ascii="Arial" w:cs="Arial" w:eastAsia="Arial" w:hAnsi="Arial"/>
                <w:sz w:val="28"/>
                <w:szCs w:val="28"/>
                <w:color w:val="auto"/>
                <w:vertAlign w:val="superscript"/>
              </w:rPr>
              <w:t>9</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6"/>
              </w:rPr>
              <w:t>Asset Management Company</w:t>
            </w:r>
          </w:p>
        </w:tc>
        <w:tc>
          <w:tcPr>
            <w:tcW w:w="10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59,006,651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71,524,000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Asset Manager Affiliates</w:t>
            </w:r>
          </w:p>
        </w:tc>
        <w:tc>
          <w:tcPr>
            <w:tcW w:w="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(27% of net asset value at fair value)</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59,006,651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71,524,000</w:t>
            </w:r>
          </w:p>
        </w:tc>
        <w:tc>
          <w:tcPr>
            <w:tcW w:w="0" w:type="dxa"/>
            <w:vAlign w:val="bottom"/>
          </w:tcPr>
          <w:p>
            <w:pPr>
              <w:spacing w:after="0"/>
              <w:rPr>
                <w:sz w:val="1"/>
                <w:szCs w:val="1"/>
                <w:color w:val="auto"/>
              </w:rPr>
            </w:pPr>
          </w:p>
        </w:tc>
      </w:tr>
      <w:tr>
        <w:trPr>
          <w:trHeight w:val="426"/>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Time Deposits and Money Market Account</w:t>
            </w: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Par /Amortized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Time Deposit and Money Market Accounts</w:t>
            </w:r>
          </w:p>
        </w:tc>
        <w:tc>
          <w:tcPr>
            <w:tcW w:w="25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Yield</w:t>
            </w:r>
          </w:p>
        </w:tc>
        <w:tc>
          <w:tcPr>
            <w:tcW w:w="20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JP Morgan Business Money Market Account</w:t>
            </w:r>
            <w:r>
              <w:rPr>
                <w:rFonts w:ascii="Arial" w:cs="Arial" w:eastAsia="Arial" w:hAnsi="Arial"/>
                <w:sz w:val="28"/>
                <w:szCs w:val="28"/>
                <w:color w:val="auto"/>
                <w:vertAlign w:val="superscript"/>
              </w:rPr>
              <w:t>8, 9</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0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249,154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520" w:type="dxa"/>
            <w:vAlign w:val="bottom"/>
            <w:gridSpan w:val="3"/>
          </w:tcPr>
          <w:p>
            <w:pPr>
              <w:spacing w:after="0"/>
              <w:rPr>
                <w:sz w:val="18"/>
                <w:szCs w:val="18"/>
                <w:color w:val="auto"/>
              </w:rPr>
            </w:pPr>
          </w:p>
        </w:tc>
        <w:tc>
          <w:tcPr>
            <w:tcW w:w="15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US Bank Money Market Account</w:t>
            </w:r>
            <w:r>
              <w:rPr>
                <w:rFonts w:ascii="Arial" w:cs="Arial" w:eastAsia="Arial" w:hAnsi="Arial"/>
                <w:sz w:val="29"/>
                <w:szCs w:val="29"/>
                <w:color w:val="auto"/>
                <w:vertAlign w:val="superscript"/>
              </w:rPr>
              <w:t>9</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Money Market Account</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1,480,421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1,480,421</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7080" w:type="dxa"/>
            <w:vAlign w:val="bottom"/>
            <w:gridSpan w:val="4"/>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08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Time Deposit and Money Market Accounts</w:t>
            </w:r>
          </w:p>
        </w:tc>
        <w:tc>
          <w:tcPr>
            <w:tcW w:w="12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(1% of net asset value at fair value)</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1,729,575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1,729,575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(185% of net asset value at fair value)</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491,339,972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487,641,106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29" w:lineRule="exact"/>
        <w:rPr>
          <w:sz w:val="20"/>
          <w:szCs w:val="20"/>
          <w:color w:val="auto"/>
        </w:rPr>
      </w:pPr>
    </w:p>
    <w:p>
      <w:pPr>
        <w:jc w:val="both"/>
        <w:ind w:left="460" w:right="20" w:hanging="430"/>
        <w:spacing w:after="0" w:line="238" w:lineRule="auto"/>
        <w:tabs>
          <w:tab w:leader="none" w:pos="46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w:t>
      </w:r>
    </w:p>
    <w:p>
      <w:pPr>
        <w:spacing w:after="0" w:line="1" w:lineRule="exact"/>
        <w:rPr>
          <w:sz w:val="20"/>
          <w:szCs w:val="20"/>
          <w:color w:val="auto"/>
        </w:rPr>
      </w:pPr>
    </w:p>
    <w:p>
      <w:pPr>
        <w:ind w:left="460"/>
        <w:spacing w:after="0" w:line="250" w:lineRule="auto"/>
        <w:rPr>
          <w:sz w:val="20"/>
          <w:szCs w:val="20"/>
          <w:color w:val="auto"/>
        </w:rPr>
      </w:pPr>
      <w:r>
        <w:rPr>
          <w:rFonts w:ascii="Arial" w:cs="Arial" w:eastAsia="Arial" w:hAnsi="Arial"/>
          <w:sz w:val="18"/>
          <w:szCs w:val="18"/>
          <w:color w:val="auto"/>
        </w:rPr>
        <w:t>provided the weighted average annual stated interest rate in effect at March 31, 2015. As noted in the table above, 75% (based on par) of debt securities contain LIBOR floors which range between .75% and 3.00%.</w:t>
      </w:r>
    </w:p>
    <w:p>
      <w:pPr>
        <w:ind w:left="460" w:hanging="430"/>
        <w:spacing w:after="0" w:line="181" w:lineRule="auto"/>
        <w:tabs>
          <w:tab w:leader="none" w:pos="460"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Reflects the fair market value of all investments as of March 31, 2015, as determined by the Company’s Board of Directors.</w:t>
      </w:r>
    </w:p>
    <w:p>
      <w:pPr>
        <w:ind w:left="460" w:hanging="430"/>
        <w:spacing w:after="0" w:line="180" w:lineRule="auto"/>
        <w:tabs>
          <w:tab w:leader="none" w:pos="460"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spacing w:after="0" w:line="2" w:lineRule="exact"/>
        <w:rPr>
          <w:sz w:val="20"/>
          <w:szCs w:val="20"/>
          <w:color w:val="auto"/>
        </w:rPr>
      </w:pPr>
    </w:p>
    <w:p>
      <w:pPr>
        <w:ind w:left="460" w:right="520" w:hanging="430"/>
        <w:spacing w:after="0" w:line="214" w:lineRule="auto"/>
        <w:tabs>
          <w:tab w:leader="none" w:pos="46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The aggregate cost of investments for federal income tax purposes is approximately $509 million. The aggregate gross unrealized appreciation is approximately $17 million, the aggregate gross unrealized depreciation is approximately $38 million, and the net unrealized depreciation is</w:t>
      </w:r>
    </w:p>
    <w:p>
      <w:pPr>
        <w:ind w:left="460"/>
        <w:spacing w:after="0"/>
        <w:rPr>
          <w:sz w:val="20"/>
          <w:szCs w:val="20"/>
          <w:color w:val="auto"/>
        </w:rPr>
      </w:pPr>
      <w:r>
        <w:rPr>
          <w:rFonts w:ascii="Arial" w:cs="Arial" w:eastAsia="Arial" w:hAnsi="Arial"/>
          <w:sz w:val="18"/>
          <w:szCs w:val="18"/>
          <w:color w:val="auto"/>
        </w:rPr>
        <w:t>approximately $21 million.</w:t>
      </w:r>
    </w:p>
    <w:p>
      <w:pPr>
        <w:ind w:left="460" w:hanging="430"/>
        <w:spacing w:after="0" w:line="180" w:lineRule="auto"/>
        <w:tabs>
          <w:tab w:leader="none" w:pos="46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Non-income producing.</w:t>
      </w:r>
    </w:p>
    <w:p>
      <w:pPr>
        <w:ind w:left="460" w:hanging="430"/>
        <w:spacing w:after="0" w:line="181" w:lineRule="auto"/>
        <w:tabs>
          <w:tab w:leader="none" w:pos="46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consolidated financial statements).</w:t>
      </w:r>
    </w:p>
    <w:p>
      <w:pPr>
        <w:ind w:left="460" w:hanging="430"/>
        <w:spacing w:after="0" w:line="180" w:lineRule="auto"/>
        <w:tabs>
          <w:tab w:leader="none" w:pos="46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460" w:hanging="430"/>
        <w:spacing w:after="0" w:line="180" w:lineRule="auto"/>
        <w:tabs>
          <w:tab w:leader="none" w:pos="46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benefit plans.</w:t>
      </w:r>
    </w:p>
    <w:p>
      <w:pPr>
        <w:ind w:left="460" w:hanging="430"/>
        <w:spacing w:after="0" w:line="181" w:lineRule="auto"/>
        <w:tabs>
          <w:tab w:leader="none" w:pos="46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ind w:left="460" w:hanging="430"/>
        <w:spacing w:after="0" w:line="180" w:lineRule="auto"/>
        <w:tabs>
          <w:tab w:leader="none" w:pos="46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Affiliated portfolio company.</w:t>
      </w:r>
    </w:p>
    <w:p>
      <w:pPr>
        <w:spacing w:after="0" w:line="2" w:lineRule="exact"/>
        <w:rPr>
          <w:rFonts w:ascii="Arial" w:cs="Arial" w:eastAsia="Arial" w:hAnsi="Arial"/>
          <w:sz w:val="25"/>
          <w:szCs w:val="25"/>
          <w:color w:val="auto"/>
          <w:vertAlign w:val="superscript"/>
        </w:rPr>
      </w:pPr>
    </w:p>
    <w:p>
      <w:pPr>
        <w:ind w:left="460" w:right="780" w:hanging="430"/>
        <w:spacing w:after="0" w:line="187" w:lineRule="auto"/>
        <w:tabs>
          <w:tab w:leader="none" w:pos="46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As of March 31, 2015, this investment is owned by KCAP Senior Funding I, LLC and was pledged to secure KCAP Senior Funding I, LLC’s obligation.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 / Principal Business</w:t>
      </w:r>
    </w:p>
    <w:p>
      <w:pPr>
        <w:spacing w:after="0" w:line="30" w:lineRule="exact"/>
        <w:rPr>
          <w:sz w:val="20"/>
          <w:szCs w:val="20"/>
          <w:color w:val="auto"/>
        </w:rPr>
      </w:pPr>
    </w:p>
    <w:p>
      <w:pPr>
        <w:ind w:left="180" w:right="40" w:hanging="161"/>
        <w:spacing w:after="0" w:line="314" w:lineRule="auto"/>
        <w:rPr>
          <w:sz w:val="20"/>
          <w:szCs w:val="20"/>
          <w:color w:val="auto"/>
        </w:rPr>
      </w:pPr>
      <w:r>
        <w:rPr>
          <w:rFonts w:ascii="Arial" w:cs="Arial" w:eastAsia="Arial" w:hAnsi="Arial"/>
          <w:sz w:val="18"/>
          <w:szCs w:val="18"/>
          <w:color w:val="auto"/>
        </w:rPr>
        <w:t>4L Technologies Inc. (fka Clover Holdings, Inc.)</w:t>
      </w:r>
      <w:r>
        <w:rPr>
          <w:rFonts w:ascii="Arial" w:cs="Arial" w:eastAsia="Arial" w:hAnsi="Arial"/>
          <w:sz w:val="30"/>
          <w:szCs w:val="30"/>
          <w:color w:val="auto"/>
          <w:vertAlign w:val="superscript"/>
        </w:rPr>
        <w:t>9, 11</w:t>
      </w:r>
      <w:r>
        <w:rPr>
          <w:rFonts w:ascii="Arial" w:cs="Arial" w:eastAsia="Arial" w:hAnsi="Arial"/>
          <w:sz w:val="18"/>
          <w:szCs w:val="18"/>
          <w:color w:val="auto"/>
        </w:rPr>
        <w:t xml:space="preserve"> </w:t>
      </w:r>
      <w:r>
        <w:rPr>
          <w:rFonts w:ascii="Arial" w:cs="Arial" w:eastAsia="Arial" w:hAnsi="Arial"/>
          <w:sz w:val="18"/>
          <w:szCs w:val="18"/>
          <w:i w:val="1"/>
          <w:iCs w:val="1"/>
          <w:color w:val="auto"/>
        </w:rPr>
        <w:t>Consumer goods: Non-durable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Advanced Lighting Technologies, Inc.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Advantage Sales &amp; Marketing Inc.</w:t>
      </w:r>
      <w:r>
        <w:rPr>
          <w:rFonts w:ascii="Arial" w:cs="Arial" w:eastAsia="Arial" w:hAnsi="Arial"/>
          <w:sz w:val="30"/>
          <w:szCs w:val="30"/>
          <w:color w:val="auto"/>
          <w:vertAlign w:val="superscript"/>
        </w:rPr>
        <w:t>9</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Alaska Communications Systems Holdings, Inc.</w:t>
      </w:r>
      <w:r>
        <w:rPr>
          <w:rFonts w:ascii="Arial" w:cs="Arial" w:eastAsia="Arial" w:hAnsi="Arial"/>
          <w:sz w:val="26"/>
          <w:szCs w:val="26"/>
          <w:color w:val="auto"/>
          <w:vertAlign w:val="superscript"/>
        </w:rPr>
        <w:t>9, 11</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Alere Inc. (fka IM US Holdings, LLC)</w:t>
      </w:r>
      <w:r>
        <w:rPr>
          <w:rFonts w:ascii="Arial" w:cs="Arial" w:eastAsia="Arial" w:hAnsi="Arial"/>
          <w:sz w:val="30"/>
          <w:szCs w:val="30"/>
          <w:color w:val="auto"/>
          <w:vertAlign w:val="superscript"/>
        </w:rPr>
        <w:t>11</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AmSurg Corp.</w:t>
      </w:r>
      <w:r>
        <w:rPr>
          <w:rFonts w:ascii="Arial" w:cs="Arial" w:eastAsia="Arial" w:hAnsi="Arial"/>
          <w:sz w:val="30"/>
          <w:szCs w:val="30"/>
          <w:color w:val="auto"/>
          <w:vertAlign w:val="superscript"/>
        </w:rPr>
        <w:t>11</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Anaren, Inc.</w:t>
      </w:r>
      <w:r>
        <w:rPr>
          <w:rFonts w:ascii="Arial" w:cs="Arial" w:eastAsia="Arial" w:hAnsi="Arial"/>
          <w:sz w:val="30"/>
          <w:szCs w:val="30"/>
          <w:color w:val="auto"/>
          <w:vertAlign w:val="superscript"/>
        </w:rPr>
        <w:t>9, 11</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2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20"/>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5/20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2,793,000</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2,768,057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2,723,175</w:t>
            </w:r>
          </w:p>
        </w:tc>
        <w:tc>
          <w:tcPr>
            <w:tcW w:w="0" w:type="dxa"/>
            <w:vAlign w:val="bottom"/>
          </w:tcPr>
          <w:p>
            <w:pPr>
              <w:spacing w:after="0"/>
              <w:rPr>
                <w:sz w:val="1"/>
                <w:szCs w:val="1"/>
                <w:color w:val="auto"/>
              </w:rPr>
            </w:pPr>
          </w:p>
        </w:tc>
      </w:tr>
      <w:tr>
        <w:trPr>
          <w:trHeight w:val="432"/>
        </w:trPr>
        <w:tc>
          <w:tcPr>
            <w:tcW w:w="2420" w:type="dxa"/>
            <w:vAlign w:val="bottom"/>
            <w:gridSpan w:val="2"/>
          </w:tcPr>
          <w:p>
            <w:pPr>
              <w:ind w:left="120"/>
              <w:spacing w:after="0"/>
              <w:rPr>
                <w:sz w:val="20"/>
                <w:szCs w:val="20"/>
                <w:color w:val="auto"/>
              </w:rPr>
            </w:pPr>
            <w:r>
              <w:rPr>
                <w:rFonts w:ascii="Arial" w:cs="Arial" w:eastAsia="Arial" w:hAnsi="Arial"/>
                <w:sz w:val="18"/>
                <w:szCs w:val="18"/>
                <w:color w:val="auto"/>
              </w:rPr>
              <w:t>First Lien Bond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10.5% Cash, Due 6/19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2,962,507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2,580,000</w:t>
            </w:r>
          </w:p>
        </w:tc>
        <w:tc>
          <w:tcPr>
            <w:tcW w:w="0" w:type="dxa"/>
            <w:vAlign w:val="bottom"/>
          </w:tcPr>
          <w:p>
            <w:pPr>
              <w:spacing w:after="0"/>
              <w:rPr>
                <w:sz w:val="1"/>
                <w:szCs w:val="1"/>
                <w:color w:val="auto"/>
              </w:rPr>
            </w:pPr>
          </w:p>
        </w:tc>
      </w:tr>
      <w:tr>
        <w:trPr>
          <w:trHeight w:val="418"/>
        </w:trPr>
        <w:tc>
          <w:tcPr>
            <w:tcW w:w="2420" w:type="dxa"/>
            <w:vAlign w:val="bottom"/>
            <w:gridSpan w:val="2"/>
          </w:tcPr>
          <w:p>
            <w:pPr>
              <w:ind w:left="120"/>
              <w:spacing w:after="0"/>
              <w:rPr>
                <w:sz w:val="20"/>
                <w:szCs w:val="20"/>
                <w:color w:val="auto"/>
              </w:rPr>
            </w:pPr>
            <w:r>
              <w:rPr>
                <w:rFonts w:ascii="Arial" w:cs="Arial" w:eastAsia="Arial" w:hAnsi="Arial"/>
                <w:sz w:val="18"/>
                <w:szCs w:val="18"/>
                <w:color w:val="auto"/>
                <w:w w:val="96"/>
              </w:rPr>
              <w:t>Junior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7.5%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1,002,384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992,000</w:t>
            </w:r>
          </w:p>
        </w:tc>
        <w:tc>
          <w:tcPr>
            <w:tcW w:w="0" w:type="dxa"/>
            <w:vAlign w:val="bottom"/>
          </w:tcPr>
          <w:p>
            <w:pPr>
              <w:spacing w:after="0"/>
              <w:rPr>
                <w:sz w:val="1"/>
                <w:szCs w:val="1"/>
                <w:color w:val="auto"/>
              </w:rPr>
            </w:pPr>
          </w:p>
        </w:tc>
      </w:tr>
      <w:tr>
        <w:trPr>
          <w:trHeight w:val="418"/>
        </w:trPr>
        <w:tc>
          <w:tcPr>
            <w:tcW w:w="2420" w:type="dxa"/>
            <w:vAlign w:val="bottom"/>
            <w:gridSpan w:val="2"/>
          </w:tcPr>
          <w:p>
            <w:pPr>
              <w:ind w:left="120"/>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20"/>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6.3% Cash, 1.5%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10/16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5,200,227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5,193,935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5,200,227</w:t>
            </w:r>
          </w:p>
        </w:tc>
        <w:tc>
          <w:tcPr>
            <w:tcW w:w="0" w:type="dxa"/>
            <w:vAlign w:val="bottom"/>
          </w:tcPr>
          <w:p>
            <w:pPr>
              <w:spacing w:after="0"/>
              <w:rPr>
                <w:sz w:val="1"/>
                <w:szCs w:val="1"/>
                <w:color w:val="auto"/>
              </w:rPr>
            </w:pPr>
          </w:p>
        </w:tc>
      </w:tr>
      <w:tr>
        <w:trPr>
          <w:trHeight w:val="418"/>
        </w:trPr>
        <w:tc>
          <w:tcPr>
            <w:tcW w:w="2420" w:type="dxa"/>
            <w:vAlign w:val="bottom"/>
            <w:gridSpan w:val="2"/>
          </w:tcPr>
          <w:p>
            <w:pPr>
              <w:ind w:left="120"/>
              <w:spacing w:after="0"/>
              <w:rPr>
                <w:sz w:val="20"/>
                <w:szCs w:val="20"/>
                <w:color w:val="auto"/>
              </w:rPr>
            </w:pPr>
            <w:r>
              <w:rPr>
                <w:rFonts w:ascii="Arial" w:cs="Arial" w:eastAsia="Arial" w:hAnsi="Arial"/>
                <w:sz w:val="18"/>
                <w:szCs w:val="18"/>
                <w:color w:val="auto"/>
              </w:rPr>
              <w:t>Senior Secured Loan — B</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4.3%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6/17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2,992,277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2,988,629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2,972,947</w:t>
            </w:r>
          </w:p>
        </w:tc>
        <w:tc>
          <w:tcPr>
            <w:tcW w:w="0" w:type="dxa"/>
            <w:vAlign w:val="bottom"/>
          </w:tcPr>
          <w:p>
            <w:pPr>
              <w:spacing w:after="0"/>
              <w:rPr>
                <w:sz w:val="1"/>
                <w:szCs w:val="1"/>
                <w:color w:val="auto"/>
              </w:rPr>
            </w:pPr>
          </w:p>
        </w:tc>
      </w:tr>
      <w:tr>
        <w:trPr>
          <w:trHeight w:val="418"/>
        </w:trPr>
        <w:tc>
          <w:tcPr>
            <w:tcW w:w="2420" w:type="dxa"/>
            <w:vAlign w:val="bottom"/>
            <w:gridSpan w:val="2"/>
          </w:tcPr>
          <w:p>
            <w:pPr>
              <w:ind w:left="120"/>
              <w:spacing w:after="0"/>
              <w:rPr>
                <w:sz w:val="20"/>
                <w:szCs w:val="20"/>
                <w:color w:val="auto"/>
              </w:rPr>
            </w:pPr>
            <w:r>
              <w:rPr>
                <w:rFonts w:ascii="Arial" w:cs="Arial" w:eastAsia="Arial" w:hAnsi="Arial"/>
                <w:sz w:val="18"/>
                <w:szCs w:val="18"/>
                <w:color w:val="auto"/>
                <w:w w:val="95"/>
              </w:rPr>
              <w:t>Senior Secured Loan — Initial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3.8% Cash, 0.8%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2,992,481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2,992,481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2,975,020</w:t>
            </w:r>
          </w:p>
        </w:tc>
        <w:tc>
          <w:tcPr>
            <w:tcW w:w="0" w:type="dxa"/>
            <w:vAlign w:val="bottom"/>
          </w:tcPr>
          <w:p>
            <w:pPr>
              <w:spacing w:after="0"/>
              <w:rPr>
                <w:sz w:val="1"/>
                <w:szCs w:val="1"/>
                <w:color w:val="auto"/>
              </w:rPr>
            </w:pPr>
          </w:p>
        </w:tc>
      </w:tr>
      <w:tr>
        <w:trPr>
          <w:trHeight w:val="418"/>
        </w:trPr>
        <w:tc>
          <w:tcPr>
            <w:tcW w:w="2420" w:type="dxa"/>
            <w:vAlign w:val="bottom"/>
            <w:gridSpan w:val="2"/>
          </w:tcPr>
          <w:p>
            <w:pPr>
              <w:ind w:left="120"/>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2/21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1,962,587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-3729990</wp:posOffset>
            </wp:positionV>
            <wp:extent cx="7246620" cy="3003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-3292475</wp:posOffset>
            </wp:positionV>
            <wp:extent cx="7246620" cy="548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-2606675</wp:posOffset>
            </wp:positionV>
            <wp:extent cx="7246620" cy="548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-1920240</wp:posOffset>
            </wp:positionV>
            <wp:extent cx="7246620" cy="548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-1234440</wp:posOffset>
            </wp:positionV>
            <wp:extent cx="7246620" cy="548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-548005</wp:posOffset>
            </wp:positionV>
            <wp:extent cx="7246620" cy="548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-4424680</wp:posOffset>
            </wp:positionV>
            <wp:extent cx="7246620" cy="5575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3860" w:space="720"/>
            <w:col w:w="684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Asurion, LLC (fka Asurion Corporation)</w:t>
            </w:r>
            <w:r>
              <w:rPr>
                <w:rFonts w:ascii="Arial" w:cs="Arial" w:eastAsia="Arial" w:hAnsi="Arial"/>
                <w:sz w:val="30"/>
                <w:szCs w:val="30"/>
                <w:color w:val="auto"/>
                <w:vertAlign w:val="superscript"/>
              </w:rPr>
              <w:t>9, 11</w:t>
            </w: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Secured Loan —</w:t>
            </w:r>
          </w:p>
        </w:tc>
        <w:tc>
          <w:tcPr>
            <w:tcW w:w="1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Incremental Tranche B-1 Term</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Banking, Finance, Insurance &amp; Real Estate</w:t>
            </w:r>
          </w:p>
        </w:tc>
        <w:tc>
          <w:tcPr>
            <w:tcW w:w="27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5.0% Cash, 1.3% Libor Floor,</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5/19</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1,917,430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1,932,331</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1,896,549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AZ Chem US Inc.</w:t>
            </w:r>
            <w:r>
              <w:rPr>
                <w:rFonts w:ascii="Arial" w:cs="Arial" w:eastAsia="Arial" w:hAnsi="Arial"/>
                <w:sz w:val="23"/>
                <w:szCs w:val="23"/>
                <w:color w:val="auto"/>
                <w:vertAlign w:val="superscript"/>
              </w:rPr>
              <w:t>9, 11</w:t>
            </w:r>
          </w:p>
        </w:tc>
        <w:tc>
          <w:tcPr>
            <w:tcW w:w="2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Initial</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Chemicals, Plastics and Rubber</w:t>
            </w:r>
          </w:p>
        </w:tc>
        <w:tc>
          <w:tcPr>
            <w:tcW w:w="27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4.5% Cash, 1.0% Libor Floor,</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6/21</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467,123</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464,966</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457,977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Bankruptcy Management Solutions, Inc.</w:t>
            </w:r>
            <w:r>
              <w:rPr>
                <w:rFonts w:ascii="Arial" w:cs="Arial" w:eastAsia="Arial" w:hAnsi="Arial"/>
                <w:sz w:val="23"/>
                <w:szCs w:val="23"/>
                <w:color w:val="auto"/>
                <w:vertAlign w:val="superscript"/>
              </w:rPr>
              <w:t>9</w:t>
            </w:r>
          </w:p>
        </w:tc>
        <w:tc>
          <w:tcPr>
            <w:tcW w:w="2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 Loan</w:t>
            </w:r>
          </w:p>
        </w:tc>
        <w:tc>
          <w:tcPr>
            <w:tcW w:w="1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Services: Business</w:t>
            </w:r>
          </w:p>
        </w:tc>
        <w:tc>
          <w:tcPr>
            <w:tcW w:w="27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7.0% Cash, 1.0% Libor Floor,</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6/18</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700,227</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700,227</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624,463</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18</w:t>
            </w:r>
          </w:p>
        </w:tc>
        <w:tc>
          <w:tcPr>
            <w:tcW w:w="1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BarBri, Inc. (Gemini Holdings, Inc.)</w:t>
            </w:r>
            <w:r>
              <w:rPr>
                <w:rFonts w:ascii="Arial" w:cs="Arial" w:eastAsia="Arial" w:hAnsi="Arial"/>
                <w:sz w:val="22"/>
                <w:szCs w:val="22"/>
                <w:color w:val="auto"/>
                <w:vertAlign w:val="superscript"/>
              </w:rPr>
              <w:t>9, 11</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Services: Consumer</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4.5%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7/19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2,872,500</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2,861,557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2,835,158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BBB Industries US Holdings,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Automotive</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11/21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2,941,316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Bellisio Foods, Inc. </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8"/>
              </w:rPr>
              <w:t>Senior Secured Loan — U.S.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B Loans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5.3%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2,239,551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2,230,586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2,235,071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Blue Coat Systems,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7"/>
              </w:rPr>
              <w:t>Senior Secured Loan — New</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High Tech Industries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4.0%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467,636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468,971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456,530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Carolina Beverage Group LLC</w:t>
            </w:r>
            <w:r>
              <w:rPr>
                <w:rFonts w:ascii="Arial" w:cs="Arial" w:eastAsia="Arial" w:hAnsi="Arial"/>
                <w:sz w:val="29"/>
                <w:szCs w:val="29"/>
                <w:color w:val="auto"/>
                <w:vertAlign w:val="superscript"/>
              </w:rPr>
              <w:t>9</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Senior Secured Bond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10.6% Cash, Due 8/18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1,515,584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CCS Intermediate Holdings,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5.0%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2,992,500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2,978,364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Cengage Learning Acquisitions, Inc. (fka TL Acquisitions,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spacing w:after="0" w:line="271" w:lineRule="exact"/>
              <w:rPr>
                <w:sz w:val="20"/>
                <w:szCs w:val="20"/>
                <w:color w:val="auto"/>
              </w:rPr>
            </w:pPr>
            <w:r>
              <w:rPr>
                <w:rFonts w:ascii="Arial" w:cs="Arial" w:eastAsia="Arial" w:hAnsi="Arial"/>
                <w:sz w:val="18"/>
                <w:szCs w:val="18"/>
                <w:color w:val="auto"/>
              </w:rPr>
              <w:t>Inc.)</w:t>
            </w:r>
            <w:r>
              <w:rPr>
                <w:rFonts w:ascii="Arial" w:cs="Arial" w:eastAsia="Arial" w:hAnsi="Arial"/>
                <w:sz w:val="30"/>
                <w:szCs w:val="30"/>
                <w:color w:val="auto"/>
                <w:vertAlign w:val="superscript"/>
              </w:rPr>
              <w:t>9, 11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Media: Advertising, Printing &amp; Publishing</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7.0%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3/20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2,987,475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2,980,768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2,963,829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Charter Communications Operating, LLC (aka CCO Safari</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spacing w:after="0" w:line="271" w:lineRule="exact"/>
              <w:rPr>
                <w:sz w:val="20"/>
                <w:szCs w:val="20"/>
                <w:color w:val="auto"/>
              </w:rPr>
            </w:pPr>
            <w:r>
              <w:rPr>
                <w:rFonts w:ascii="Arial" w:cs="Arial" w:eastAsia="Arial" w:hAnsi="Arial"/>
                <w:sz w:val="18"/>
                <w:szCs w:val="18"/>
                <w:color w:val="auto"/>
              </w:rPr>
              <w:t>LLC)</w:t>
            </w:r>
            <w:r>
              <w:rPr>
                <w:rFonts w:ascii="Arial" w:cs="Arial" w:eastAsia="Arial" w:hAnsi="Arial"/>
                <w:sz w:val="30"/>
                <w:szCs w:val="30"/>
                <w:color w:val="auto"/>
                <w:vertAlign w:val="superscript"/>
              </w:rPr>
              <w:t>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 Loan</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Media: Broadcasting &amp; Subscription</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4.3% Cash, 0.8%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9/21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3,022,408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3,022,980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Checkout Holding Corp.</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 Loan (First Lien)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Media: Advertising, Printing &amp; Publishing</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4.5%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4/21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995,000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990,534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Consolidated Communications, Inc.</w:t>
            </w:r>
            <w:r>
              <w:rPr>
                <w:rFonts w:ascii="Arial" w:cs="Arial" w:eastAsia="Arial" w:hAnsi="Arial"/>
                <w:sz w:val="23"/>
                <w:szCs w:val="23"/>
                <w:color w:val="auto"/>
                <w:vertAlign w:val="superscript"/>
              </w:rPr>
              <w:t>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Telecommunications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4.3%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2,992,443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3,003,588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2,976,538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CRGT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High Tech Industries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7.5%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Crowley Holdings Preferred, LLC</w:t>
            </w:r>
            <w:r>
              <w:rPr>
                <w:rFonts w:ascii="Arial" w:cs="Arial" w:eastAsia="Arial" w:hAnsi="Arial"/>
                <w:sz w:val="29"/>
                <w:szCs w:val="29"/>
                <w:color w:val="auto"/>
                <w:vertAlign w:val="superscript"/>
              </w:rPr>
              <w:t>9</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Preferred Stock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Transportation: Cargo</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10.0% Cash, 2.0% PIK, Due</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12/49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10,206,016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10,206,016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10,418,302</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Crowne Group, LLC</w:t>
            </w:r>
            <w:r>
              <w:rPr>
                <w:rFonts w:ascii="Arial" w:cs="Arial" w:eastAsia="Arial" w:hAnsi="Arial"/>
                <w:sz w:val="22"/>
                <w:szCs w:val="22"/>
                <w:color w:val="auto"/>
                <w:vertAlign w:val="superscript"/>
              </w:rPr>
              <w:t>9, 11</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Automotive</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9/20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3,990,000</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3,932,506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3,838,779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CSM Bakery Solutions Limited (fka CSM Bakery Supplies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spacing w:after="0" w:line="271" w:lineRule="exact"/>
              <w:rPr>
                <w:sz w:val="20"/>
                <w:szCs w:val="20"/>
                <w:color w:val="auto"/>
              </w:rPr>
            </w:pPr>
            <w:r>
              <w:rPr>
                <w:rFonts w:ascii="Arial" w:cs="Arial" w:eastAsia="Arial" w:hAnsi="Arial"/>
                <w:sz w:val="18"/>
                <w:szCs w:val="18"/>
                <w:color w:val="auto"/>
              </w:rPr>
              <w:t>Limited)</w:t>
            </w:r>
            <w:r>
              <w:rPr>
                <w:rFonts w:ascii="Arial" w:cs="Arial" w:eastAsia="Arial" w:hAnsi="Arial"/>
                <w:sz w:val="30"/>
                <w:szCs w:val="30"/>
                <w:color w:val="auto"/>
                <w:vertAlign w:val="superscript"/>
              </w:rPr>
              <w:t>9</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8.8%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3,016,357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CSM Bakery Solutions Limited (fka CSM Bakery Supplies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spacing w:after="0" w:line="271" w:lineRule="exact"/>
              <w:rPr>
                <w:sz w:val="20"/>
                <w:szCs w:val="20"/>
                <w:color w:val="auto"/>
              </w:rPr>
            </w:pPr>
            <w:r>
              <w:rPr>
                <w:rFonts w:ascii="Arial" w:cs="Arial" w:eastAsia="Arial" w:hAnsi="Arial"/>
                <w:sz w:val="18"/>
                <w:szCs w:val="18"/>
                <w:color w:val="auto"/>
              </w:rPr>
              <w:t>Limited)</w:t>
            </w:r>
            <w:r>
              <w:rPr>
                <w:rFonts w:ascii="Arial" w:cs="Arial" w:eastAsia="Arial" w:hAnsi="Arial"/>
                <w:sz w:val="30"/>
                <w:szCs w:val="30"/>
                <w:color w:val="auto"/>
                <w:vertAlign w:val="superscript"/>
              </w:rPr>
              <w:t>9, 11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5.0%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2,623,371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2,622,454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2,570,903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CT Technologies Intermediate Holdings, Inc. (Smart Holdings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spacing w:after="0" w:line="271" w:lineRule="exact"/>
              <w:rPr>
                <w:sz w:val="20"/>
                <w:szCs w:val="20"/>
                <w:color w:val="auto"/>
              </w:rPr>
            </w:pPr>
            <w:r>
              <w:rPr>
                <w:rFonts w:ascii="Arial" w:cs="Arial" w:eastAsia="Arial" w:hAnsi="Arial"/>
                <w:sz w:val="18"/>
                <w:szCs w:val="18"/>
                <w:color w:val="auto"/>
              </w:rPr>
              <w:t>Corp.)</w:t>
            </w:r>
            <w:r>
              <w:rPr>
                <w:rFonts w:ascii="Arial" w:cs="Arial" w:eastAsia="Arial" w:hAnsi="Arial"/>
                <w:sz w:val="30"/>
                <w:szCs w:val="30"/>
                <w:color w:val="auto"/>
                <w:vertAlign w:val="superscript"/>
              </w:rPr>
              <w:t>9, 11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2,970,271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2,988,750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DBI Holding LLC</w:t>
            </w:r>
            <w:r>
              <w:rPr>
                <w:rFonts w:ascii="Arial" w:cs="Arial" w:eastAsia="Arial" w:hAnsi="Arial"/>
                <w:sz w:val="29"/>
                <w:szCs w:val="29"/>
                <w:color w:val="auto"/>
                <w:vertAlign w:val="superscript"/>
              </w:rPr>
              <w:t>9</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Senior Unsecured Bond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13.0% PIK, Due 9/19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3,457,795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3,221,771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3,386,218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DBI Holding LLC</w:t>
            </w:r>
            <w:r>
              <w:rPr>
                <w:rFonts w:ascii="Arial" w:cs="Arial" w:eastAsia="Arial" w:hAnsi="Arial"/>
                <w:sz w:val="29"/>
                <w:szCs w:val="29"/>
                <w:color w:val="auto"/>
                <w:vertAlign w:val="superscript"/>
              </w:rPr>
              <w:t>9</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Senior Subordinated Bond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Services: Business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12.0% Cash, 1.0% PIK, Due</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4,314,949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4,295,544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4,240,301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DJO Finance LLC (ReAble Therapeutics Fin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7"/>
              </w:rPr>
              <w:t>Senior Secured Loan — New</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Tranche B Term Loan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4.3%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9/17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2,063,574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2,063,574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2,022,303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Drew Marine Group Inc.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Transportation: Cargo</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8.0%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2,494,654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2,523,250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ELO Touch Solutions,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High Tech Industries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8.0% Cash, 1.5%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6/18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1,726,036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1,677,698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1,642,496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EWT Holdings III Corp. (fka WTG Holdings III Corp.)</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Environmental Industries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8.5%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3,982,390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4,033,200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Fender Musical Instruments Corporation</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Consumer goods: Durable</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5.8% Cash, 1.3%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4/19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2,002,536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2,012,321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FHC Health Systems,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5.0%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3,407,143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3,373,191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3,381,589</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3" w:name="page24"/>
    <w:bookmarkEnd w:id="23"/>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Company / Principal Business</w:t>
      </w:r>
    </w:p>
    <w:p>
      <w:pPr>
        <w:spacing w:after="0" w:line="42" w:lineRule="exact"/>
        <w:rPr>
          <w:sz w:val="20"/>
          <w:szCs w:val="20"/>
          <w:color w:val="auto"/>
        </w:rPr>
      </w:pPr>
    </w:p>
    <w:p>
      <w:pPr>
        <w:ind w:left="180" w:right="540" w:hanging="161"/>
        <w:spacing w:after="0" w:line="469" w:lineRule="auto"/>
        <w:rPr>
          <w:sz w:val="20"/>
          <w:szCs w:val="20"/>
          <w:color w:val="auto"/>
        </w:rPr>
      </w:pPr>
      <w:r>
        <w:rPr>
          <w:rFonts w:ascii="Arial" w:cs="Arial" w:eastAsia="Arial" w:hAnsi="Arial"/>
          <w:sz w:val="16"/>
          <w:szCs w:val="16"/>
          <w:color w:val="auto"/>
        </w:rPr>
        <w:t>First American Payment Systems, L.P.</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w:t>
      </w:r>
      <w:r>
        <w:rPr>
          <w:rFonts w:ascii="Arial" w:cs="Arial" w:eastAsia="Arial" w:hAnsi="Arial"/>
          <w:sz w:val="16"/>
          <w:szCs w:val="16"/>
          <w:i w:val="1"/>
          <w:iCs w:val="1"/>
          <w:color w:val="auto"/>
        </w:rPr>
        <w:t>Banking, Finance, Insurance &amp; Real Estate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First Data Corporation</w:t>
      </w:r>
      <w:r>
        <w:rPr>
          <w:rFonts w:ascii="Arial" w:cs="Arial" w:eastAsia="Arial" w:hAnsi="Arial"/>
          <w:sz w:val="30"/>
          <w:szCs w:val="30"/>
          <w:color w:val="auto"/>
          <w:vertAlign w:val="superscript"/>
        </w:rPr>
        <w:t>9, 11</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Banking, Finance, Insurance &amp; Real Estate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Getty Images, Inc.</w:t>
      </w:r>
      <w:r>
        <w:rPr>
          <w:rFonts w:ascii="Arial" w:cs="Arial" w:eastAsia="Arial" w:hAnsi="Arial"/>
          <w:sz w:val="30"/>
          <w:szCs w:val="30"/>
          <w:color w:val="auto"/>
          <w:vertAlign w:val="superscript"/>
        </w:rPr>
        <w:t>9, 11</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Global Tel*Link Corporation</w:t>
      </w:r>
      <w:r>
        <w:rPr>
          <w:rFonts w:ascii="Arial" w:cs="Arial" w:eastAsia="Arial" w:hAnsi="Arial"/>
          <w:sz w:val="30"/>
          <w:szCs w:val="30"/>
          <w:color w:val="auto"/>
          <w:vertAlign w:val="superscript"/>
        </w:rPr>
        <w:t>9</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Grande Communications Networks LLC</w:t>
      </w:r>
      <w:r>
        <w:rPr>
          <w:rFonts w:ascii="Arial" w:cs="Arial" w:eastAsia="Arial" w:hAnsi="Arial"/>
          <w:sz w:val="26"/>
          <w:szCs w:val="26"/>
          <w:color w:val="auto"/>
          <w:vertAlign w:val="superscript"/>
        </w:rPr>
        <w:t>9, 11</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Grifols Worldwide Operations Limited</w:t>
      </w:r>
      <w:r>
        <w:rPr>
          <w:rFonts w:ascii="Arial" w:cs="Arial" w:eastAsia="Arial" w:hAnsi="Arial"/>
          <w:sz w:val="30"/>
          <w:szCs w:val="30"/>
          <w:color w:val="auto"/>
          <w:vertAlign w:val="superscript"/>
        </w:rPr>
        <w:t>11</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Grupo HIMA San Pablo, Inc.</w:t>
      </w:r>
      <w:r>
        <w:rPr>
          <w:rFonts w:ascii="Arial" w:cs="Arial" w:eastAsia="Arial" w:hAnsi="Arial"/>
          <w:sz w:val="30"/>
          <w:szCs w:val="30"/>
          <w:color w:val="auto"/>
          <w:vertAlign w:val="superscript"/>
        </w:rPr>
        <w:t>9</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Grupo HIMA San Pablo, Inc.</w:t>
      </w:r>
      <w:r>
        <w:rPr>
          <w:rFonts w:ascii="Arial" w:cs="Arial" w:eastAsia="Arial" w:hAnsi="Arial"/>
          <w:sz w:val="30"/>
          <w:szCs w:val="30"/>
          <w:color w:val="auto"/>
          <w:vertAlign w:val="superscript"/>
        </w:rPr>
        <w:t>9</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Gymboree Corporation., The</w:t>
      </w:r>
      <w:r>
        <w:rPr>
          <w:rFonts w:ascii="Arial" w:cs="Arial" w:eastAsia="Arial" w:hAnsi="Arial"/>
          <w:sz w:val="30"/>
          <w:szCs w:val="30"/>
          <w:color w:val="auto"/>
          <w:vertAlign w:val="superscript"/>
        </w:rPr>
        <w:t>9, 11</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Retail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2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10.8% Cash, 1.3%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4/19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2,796,448</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2,759,556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2,782,466</w:t>
            </w:r>
          </w:p>
        </w:tc>
        <w:tc>
          <w:tcPr>
            <w:tcW w:w="0" w:type="dxa"/>
            <w:vAlign w:val="bottom"/>
          </w:tcPr>
          <w:p>
            <w:pPr>
              <w:spacing w:after="0"/>
              <w:rPr>
                <w:sz w:val="1"/>
                <w:szCs w:val="1"/>
                <w:color w:val="auto"/>
              </w:rPr>
            </w:pPr>
          </w:p>
        </w:tc>
      </w:tr>
      <w:tr>
        <w:trPr>
          <w:trHeight w:val="418"/>
        </w:trPr>
        <w:tc>
          <w:tcPr>
            <w:tcW w:w="2420" w:type="dxa"/>
            <w:vAlign w:val="bottom"/>
            <w:gridSpan w:val="2"/>
          </w:tcPr>
          <w:p>
            <w:pPr>
              <w:ind w:left="120"/>
              <w:spacing w:after="0"/>
              <w:rPr>
                <w:sz w:val="20"/>
                <w:szCs w:val="20"/>
                <w:color w:val="auto"/>
              </w:rPr>
            </w:pPr>
            <w:r>
              <w:rPr>
                <w:rFonts w:ascii="Arial" w:cs="Arial" w:eastAsia="Arial" w:hAnsi="Arial"/>
                <w:sz w:val="18"/>
                <w:szCs w:val="18"/>
                <w:color w:val="auto"/>
                <w:w w:val="96"/>
              </w:rPr>
              <w:t>Senior Secured Loan — 2018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20"/>
              <w:spacing w:after="0"/>
              <w:rPr>
                <w:sz w:val="20"/>
                <w:szCs w:val="20"/>
                <w:color w:val="auto"/>
              </w:rPr>
            </w:pPr>
            <w:r>
              <w:rPr>
                <w:rFonts w:ascii="Arial" w:cs="Arial" w:eastAsia="Arial" w:hAnsi="Arial"/>
                <w:sz w:val="18"/>
                <w:szCs w:val="18"/>
                <w:color w:val="auto"/>
              </w:rPr>
              <w:t>New Dollar Term Loan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3.7% Cash, Due 3/18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968,906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982,190</w:t>
            </w:r>
          </w:p>
        </w:tc>
        <w:tc>
          <w:tcPr>
            <w:tcW w:w="0" w:type="dxa"/>
            <w:vAlign w:val="bottom"/>
          </w:tcPr>
          <w:p>
            <w:pPr>
              <w:spacing w:after="0"/>
              <w:rPr>
                <w:sz w:val="1"/>
                <w:szCs w:val="1"/>
                <w:color w:val="auto"/>
              </w:rPr>
            </w:pPr>
          </w:p>
        </w:tc>
      </w:tr>
      <w:tr>
        <w:trPr>
          <w:trHeight w:val="418"/>
        </w:trPr>
        <w:tc>
          <w:tcPr>
            <w:tcW w:w="2420" w:type="dxa"/>
            <w:vAlign w:val="bottom"/>
            <w:gridSpan w:val="2"/>
          </w:tcPr>
          <w:p>
            <w:pPr>
              <w:ind w:left="120"/>
              <w:spacing w:after="0"/>
              <w:rPr>
                <w:sz w:val="20"/>
                <w:szCs w:val="20"/>
                <w:color w:val="auto"/>
              </w:rPr>
            </w:pPr>
            <w:r>
              <w:rPr>
                <w:rFonts w:ascii="Arial" w:cs="Arial" w:eastAsia="Arial" w:hAnsi="Arial"/>
                <w:sz w:val="18"/>
                <w:szCs w:val="18"/>
                <w:color w:val="auto"/>
                <w:w w:val="95"/>
              </w:rPr>
              <w:t>Senior Secured Loan — Initial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4.8% Cash, 1.3%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10/19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2,185,164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2,187,551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2,012,165</w:t>
            </w:r>
          </w:p>
        </w:tc>
        <w:tc>
          <w:tcPr>
            <w:tcW w:w="0" w:type="dxa"/>
            <w:vAlign w:val="bottom"/>
          </w:tcPr>
          <w:p>
            <w:pPr>
              <w:spacing w:after="0"/>
              <w:rPr>
                <w:sz w:val="1"/>
                <w:szCs w:val="1"/>
                <w:color w:val="auto"/>
              </w:rPr>
            </w:pPr>
          </w:p>
        </w:tc>
      </w:tr>
      <w:tr>
        <w:trPr>
          <w:trHeight w:val="418"/>
        </w:trPr>
        <w:tc>
          <w:tcPr>
            <w:tcW w:w="2420" w:type="dxa"/>
            <w:vAlign w:val="bottom"/>
            <w:gridSpan w:val="2"/>
          </w:tcPr>
          <w:p>
            <w:pPr>
              <w:ind w:left="120"/>
              <w:spacing w:after="0"/>
              <w:rPr>
                <w:sz w:val="20"/>
                <w:szCs w:val="20"/>
                <w:color w:val="auto"/>
              </w:rPr>
            </w:pPr>
            <w:r>
              <w:rPr>
                <w:rFonts w:ascii="Arial" w:cs="Arial" w:eastAsia="Arial" w:hAnsi="Arial"/>
                <w:sz w:val="18"/>
                <w:szCs w:val="18"/>
                <w:color w:val="auto"/>
                <w:w w:val="96"/>
              </w:rPr>
              <w:t>Junior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9.0% Cash, 1.3%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11/20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3,935,659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3,889,200</w:t>
            </w:r>
          </w:p>
        </w:tc>
        <w:tc>
          <w:tcPr>
            <w:tcW w:w="0" w:type="dxa"/>
            <w:vAlign w:val="bottom"/>
          </w:tcPr>
          <w:p>
            <w:pPr>
              <w:spacing w:after="0"/>
              <w:rPr>
                <w:sz w:val="1"/>
                <w:szCs w:val="1"/>
                <w:color w:val="auto"/>
              </w:rPr>
            </w:pPr>
          </w:p>
        </w:tc>
      </w:tr>
      <w:tr>
        <w:trPr>
          <w:trHeight w:val="418"/>
        </w:trPr>
        <w:tc>
          <w:tcPr>
            <w:tcW w:w="2420" w:type="dxa"/>
            <w:vAlign w:val="bottom"/>
            <w:gridSpan w:val="2"/>
          </w:tcPr>
          <w:p>
            <w:pPr>
              <w:ind w:left="120"/>
              <w:spacing w:after="0"/>
              <w:rPr>
                <w:sz w:val="20"/>
                <w:szCs w:val="20"/>
                <w:color w:val="auto"/>
              </w:rPr>
            </w:pPr>
            <w:r>
              <w:rPr>
                <w:rFonts w:ascii="Arial" w:cs="Arial" w:eastAsia="Arial" w:hAnsi="Arial"/>
                <w:sz w:val="18"/>
                <w:szCs w:val="18"/>
                <w:color w:val="auto"/>
                <w:w w:val="95"/>
              </w:rPr>
              <w:t>Senior Secured Loan — Initial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4.5%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3,940,040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3,944,690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3,938,464</w:t>
            </w:r>
          </w:p>
        </w:tc>
        <w:tc>
          <w:tcPr>
            <w:tcW w:w="0" w:type="dxa"/>
            <w:vAlign w:val="bottom"/>
          </w:tcPr>
          <w:p>
            <w:pPr>
              <w:spacing w:after="0"/>
              <w:rPr>
                <w:sz w:val="1"/>
                <w:szCs w:val="1"/>
                <w:color w:val="auto"/>
              </w:rPr>
            </w:pPr>
          </w:p>
        </w:tc>
      </w:tr>
      <w:tr>
        <w:trPr>
          <w:trHeight w:val="418"/>
        </w:trPr>
        <w:tc>
          <w:tcPr>
            <w:tcW w:w="2420" w:type="dxa"/>
            <w:vAlign w:val="bottom"/>
            <w:gridSpan w:val="2"/>
          </w:tcPr>
          <w:p>
            <w:pPr>
              <w:ind w:left="120"/>
              <w:spacing w:after="0"/>
              <w:rPr>
                <w:sz w:val="20"/>
                <w:szCs w:val="20"/>
                <w:color w:val="auto"/>
              </w:rPr>
            </w:pPr>
            <w:r>
              <w:rPr>
                <w:rFonts w:ascii="Arial" w:cs="Arial" w:eastAsia="Arial" w:hAnsi="Arial"/>
                <w:sz w:val="18"/>
                <w:szCs w:val="18"/>
                <w:color w:val="auto"/>
                <w:w w:val="98"/>
              </w:rPr>
              <w:t>Senior Secured Loan — U.S.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20"/>
              <w:spacing w:after="0"/>
              <w:rPr>
                <w:sz w:val="20"/>
                <w:szCs w:val="20"/>
                <w:color w:val="auto"/>
              </w:rPr>
            </w:pPr>
            <w:r>
              <w:rPr>
                <w:rFonts w:ascii="Arial" w:cs="Arial" w:eastAsia="Arial" w:hAnsi="Arial"/>
                <w:sz w:val="18"/>
                <w:szCs w:val="18"/>
                <w:color w:val="auto"/>
              </w:rPr>
              <w:t>Tranche B Term Loam</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3.2% Cash, Due 2/21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2,992,462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2,970,236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2,956,298</w:t>
            </w:r>
          </w:p>
        </w:tc>
        <w:tc>
          <w:tcPr>
            <w:tcW w:w="0" w:type="dxa"/>
            <w:vAlign w:val="bottom"/>
          </w:tcPr>
          <w:p>
            <w:pPr>
              <w:spacing w:after="0"/>
              <w:rPr>
                <w:sz w:val="1"/>
                <w:szCs w:val="1"/>
                <w:color w:val="auto"/>
              </w:rPr>
            </w:pPr>
          </w:p>
        </w:tc>
      </w:tr>
      <w:tr>
        <w:trPr>
          <w:trHeight w:val="418"/>
        </w:trPr>
        <w:tc>
          <w:tcPr>
            <w:tcW w:w="2420" w:type="dxa"/>
            <w:vAlign w:val="bottom"/>
            <w:gridSpan w:val="2"/>
          </w:tcPr>
          <w:p>
            <w:pPr>
              <w:ind w:left="120"/>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20"/>
              <w:spacing w:after="0"/>
              <w:rPr>
                <w:sz w:val="20"/>
                <w:szCs w:val="20"/>
                <w:color w:val="auto"/>
              </w:rPr>
            </w:pPr>
            <w:r>
              <w:rPr>
                <w:rFonts w:ascii="Arial" w:cs="Arial" w:eastAsia="Arial" w:hAnsi="Arial"/>
                <w:sz w:val="18"/>
                <w:szCs w:val="18"/>
                <w:color w:val="auto"/>
              </w:rPr>
              <w:t>B Loan (First Lien)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8.5% Cash, 1.5%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1/18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2,947,500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2,911,129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2,947,500</w:t>
            </w:r>
          </w:p>
        </w:tc>
        <w:tc>
          <w:tcPr>
            <w:tcW w:w="0" w:type="dxa"/>
            <w:vAlign w:val="bottom"/>
          </w:tcPr>
          <w:p>
            <w:pPr>
              <w:spacing w:after="0"/>
              <w:rPr>
                <w:sz w:val="1"/>
                <w:szCs w:val="1"/>
                <w:color w:val="auto"/>
              </w:rPr>
            </w:pPr>
          </w:p>
        </w:tc>
      </w:tr>
      <w:tr>
        <w:trPr>
          <w:trHeight w:val="418"/>
        </w:trPr>
        <w:tc>
          <w:tcPr>
            <w:tcW w:w="2420" w:type="dxa"/>
            <w:vAlign w:val="bottom"/>
            <w:gridSpan w:val="2"/>
          </w:tcPr>
          <w:p>
            <w:pPr>
              <w:ind w:left="120"/>
              <w:spacing w:after="0"/>
              <w:rPr>
                <w:sz w:val="20"/>
                <w:szCs w:val="20"/>
                <w:color w:val="auto"/>
              </w:rPr>
            </w:pPr>
            <w:r>
              <w:rPr>
                <w:rFonts w:ascii="Arial" w:cs="Arial" w:eastAsia="Arial" w:hAnsi="Arial"/>
                <w:sz w:val="18"/>
                <w:szCs w:val="18"/>
                <w:color w:val="auto"/>
                <w:w w:val="96"/>
              </w:rPr>
              <w:t>Junior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13.8% Cash, Due 7/18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6,894,754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7,105,000</w:t>
            </w:r>
          </w:p>
        </w:tc>
        <w:tc>
          <w:tcPr>
            <w:tcW w:w="0" w:type="dxa"/>
            <w:vAlign w:val="bottom"/>
          </w:tcPr>
          <w:p>
            <w:pPr>
              <w:spacing w:after="0"/>
              <w:rPr>
                <w:sz w:val="1"/>
                <w:szCs w:val="1"/>
                <w:color w:val="auto"/>
              </w:rPr>
            </w:pPr>
          </w:p>
        </w:tc>
      </w:tr>
      <w:tr>
        <w:trPr>
          <w:trHeight w:val="418"/>
        </w:trPr>
        <w:tc>
          <w:tcPr>
            <w:tcW w:w="2420" w:type="dxa"/>
            <w:vAlign w:val="bottom"/>
            <w:gridSpan w:val="2"/>
          </w:tcPr>
          <w:p>
            <w:pPr>
              <w:ind w:left="120"/>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20"/>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5.0% Cash, 1.5%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2/18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1,421,105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1,390,786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935,563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-4939030</wp:posOffset>
            </wp:positionV>
            <wp:extent cx="7246620" cy="411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-4390390</wp:posOffset>
            </wp:positionV>
            <wp:extent cx="7246620" cy="548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-3703955</wp:posOffset>
            </wp:positionV>
            <wp:extent cx="7246620" cy="548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-3018155</wp:posOffset>
            </wp:positionV>
            <wp:extent cx="7246620" cy="548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-2331720</wp:posOffset>
            </wp:positionV>
            <wp:extent cx="7246620" cy="411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-1783080</wp:posOffset>
            </wp:positionV>
            <wp:extent cx="7246620" cy="548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-1097280</wp:posOffset>
            </wp:positionV>
            <wp:extent cx="7246620" cy="411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-548005</wp:posOffset>
            </wp:positionV>
            <wp:extent cx="7246620" cy="548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-5633720</wp:posOffset>
            </wp:positionV>
            <wp:extent cx="7246620" cy="5575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720"/>
            <w:col w:w="6840"/>
          </w:cols>
          <w:pgMar w:left="240" w:top="877" w:right="23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Hargray Communications Group, Inc. (HCP Acquisition</w:t>
            </w: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Secured Loan — Initial</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spacing w:after="0" w:line="271" w:lineRule="exact"/>
              <w:rPr>
                <w:sz w:val="20"/>
                <w:szCs w:val="20"/>
                <w:color w:val="auto"/>
              </w:rPr>
            </w:pPr>
            <w:r>
              <w:rPr>
                <w:rFonts w:ascii="Arial" w:cs="Arial" w:eastAsia="Arial" w:hAnsi="Arial"/>
                <w:sz w:val="31"/>
                <w:szCs w:val="31"/>
                <w:color w:val="auto"/>
                <w:vertAlign w:val="subscript"/>
              </w:rPr>
              <w:t>LLC)</w:t>
            </w:r>
            <w:r>
              <w:rPr>
                <w:rFonts w:ascii="Arial" w:cs="Arial" w:eastAsia="Arial" w:hAnsi="Arial"/>
                <w:sz w:val="14"/>
                <w:szCs w:val="14"/>
                <w:color w:val="auto"/>
              </w:rPr>
              <w:t>9, 11</w:t>
            </w: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4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Media: Broadcasting &amp; Subscription</w:t>
            </w:r>
          </w:p>
        </w:tc>
        <w:tc>
          <w:tcPr>
            <w:tcW w:w="27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5.3% Cash, 1.0% Libor Floor,</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6/19</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2,930,662</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2,908,645</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2,928,611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Harland Clarke Holdings Corp. (fka Clarke American Corp.)</w:t>
            </w:r>
            <w:r>
              <w:rPr>
                <w:rFonts w:ascii="Arial" w:cs="Arial" w:eastAsia="Arial" w:hAnsi="Arial"/>
                <w:sz w:val="23"/>
                <w:szCs w:val="23"/>
                <w:color w:val="auto"/>
                <w:vertAlign w:val="superscript"/>
              </w:rPr>
              <w:t>9,</w:t>
            </w:r>
          </w:p>
        </w:tc>
        <w:tc>
          <w:tcPr>
            <w:tcW w:w="2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11</w:t>
            </w: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Tranche B-3 Term Loan</w:t>
            </w:r>
          </w:p>
        </w:tc>
        <w:tc>
          <w:tcPr>
            <w:tcW w:w="1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7.0% Cash, 1.5% Libor Floor,</w:t>
            </w:r>
          </w:p>
        </w:tc>
        <w:tc>
          <w:tcPr>
            <w:tcW w:w="1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5/18</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3,368,750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3,343,813</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3,385,594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Harland Clarke Holdings Corp. (fka Clarke American Corp.)</w:t>
            </w:r>
            <w:r>
              <w:rPr>
                <w:rFonts w:ascii="Arial" w:cs="Arial" w:eastAsia="Arial" w:hAnsi="Arial"/>
                <w:sz w:val="23"/>
                <w:szCs w:val="23"/>
                <w:color w:val="auto"/>
                <w:vertAlign w:val="superscript"/>
              </w:rPr>
              <w:t>9,</w:t>
            </w:r>
          </w:p>
        </w:tc>
        <w:tc>
          <w:tcPr>
            <w:tcW w:w="2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11</w:t>
            </w: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Tranche B-4 Term Loan</w:t>
            </w:r>
          </w:p>
        </w:tc>
        <w:tc>
          <w:tcPr>
            <w:tcW w:w="1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6.0% Cash, 1.0% Libor Floor,</w:t>
            </w:r>
          </w:p>
        </w:tc>
        <w:tc>
          <w:tcPr>
            <w:tcW w:w="1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8/19</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1,462,500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1,456,384</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1,458,661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21</w:t>
            </w:r>
          </w:p>
        </w:tc>
        <w:tc>
          <w:tcPr>
            <w:tcW w:w="1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type w:val="continuous"/>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Hoffmaster Group, Inc.</w:t>
            </w:r>
            <w:r>
              <w:rPr>
                <w:rFonts w:ascii="Arial" w:cs="Arial" w:eastAsia="Arial" w:hAnsi="Arial"/>
                <w:sz w:val="22"/>
                <w:szCs w:val="22"/>
                <w:color w:val="auto"/>
                <w:vertAlign w:val="superscript"/>
              </w:rPr>
              <w:t>9</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6"/>
              </w:rPr>
              <w:t>Junior Secured Loan — Initial</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(Second Lien)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Forest Products &amp; Paper</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10.0%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5/21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1,972,727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Hoffmaster Group,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Forest Products &amp; Paper</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5.3%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3,944,324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3,943,523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Hunter Defense Technologies,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Aerospace and Defense</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6.5%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2,962,500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2,934,961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2,988,866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Integra Telecom Holdings,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 Loan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Telecommunications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5.3% Cash, 1.3%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2/19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2,992,386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2,981,164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2,919,461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International Architectural Products, Inc.</w:t>
            </w:r>
            <w:r>
              <w:rPr>
                <w:rFonts w:ascii="Arial" w:cs="Arial" w:eastAsia="Arial" w:hAnsi="Arial"/>
                <w:sz w:val="23"/>
                <w:szCs w:val="23"/>
                <w:color w:val="auto"/>
                <w:vertAlign w:val="superscript"/>
              </w:rPr>
              <w:t>7, 9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Metals &amp; Mining</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247,636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Kellermeyer Bergensons Services,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Services: Business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10/21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1,980,432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Key Safety Systems,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Automotive</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4.8%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1,496,250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1,489,134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1,488,769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Kinetic Concepts,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3"/>
              </w:rPr>
              <w:t>Senior Secured Loan — Dollar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E-1 Loan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4.0%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5/18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2,992,443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2,984,962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2,956,279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Landslide Holdings, Inc. (Crimson Acquisition Corp.)</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7"/>
              </w:rPr>
              <w:t>Senior Secured Loan — New</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High Tech Industries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5.0%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2/20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3,456,381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3,464,859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3,451,197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MB Aerospace ACP Holdings III Corp.</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3"/>
              </w:rPr>
              <w:t>Senior Secured Loan — Dollar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Aerospace and Defense</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5.0%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3,910,979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3,939,212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Media General, Inc.</w:t>
            </w:r>
            <w:r>
              <w:rPr>
                <w:rFonts w:ascii="Arial" w:cs="Arial" w:eastAsia="Arial" w:hAnsi="Arial"/>
                <w:sz w:val="23"/>
                <w:szCs w:val="23"/>
                <w:color w:val="auto"/>
                <w:vertAlign w:val="superscript"/>
              </w:rPr>
              <w:t>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 Loan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Media: Broadcasting &amp; Subscription</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4.3%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3,003,750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2,972,805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Medical Specialties Distributors,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6.5%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3,927,435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3,804,372</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Millennium Health, LLC (fka Millennium Laboratories,</w:t>
            </w:r>
          </w:p>
        </w:tc>
        <w:tc>
          <w:tcPr>
            <w:tcW w:w="12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Senior Secured Loan —</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spacing w:after="0" w:line="271" w:lineRule="exact"/>
              <w:rPr>
                <w:sz w:val="20"/>
                <w:szCs w:val="20"/>
                <w:color w:val="auto"/>
              </w:rPr>
            </w:pPr>
            <w:r>
              <w:rPr>
                <w:rFonts w:ascii="Arial" w:cs="Arial" w:eastAsia="Arial" w:hAnsi="Arial"/>
                <w:sz w:val="31"/>
                <w:szCs w:val="31"/>
                <w:color w:val="auto"/>
                <w:vertAlign w:val="subscript"/>
              </w:rPr>
              <w:t>LLC)</w:t>
            </w:r>
            <w:r>
              <w:rPr>
                <w:rFonts w:ascii="Arial" w:cs="Arial" w:eastAsia="Arial" w:hAnsi="Arial"/>
                <w:sz w:val="14"/>
                <w:szCs w:val="14"/>
                <w:color w:val="auto"/>
              </w:rPr>
              <w:t>9, 11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Tranche B Term Loan</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5.3%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4/21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2,992,481</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2,992,481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Nielsen &amp; Bainbrige,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Consumer goods: Durable</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990,487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Nielsen &amp; Bainbrige,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Consumer goods: Durable</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10.3%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1,971,249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Nielsen &amp; Bainbrige,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Consumer goods: Durable</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2,971,460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Novetta,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Services: Business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10/20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2,743,125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2,716,093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2,743,125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Novitex Acquisition, LLC (fka ARSloane Acquisition,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Tranche B-2 Term Loan (First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Lien)</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Services: Business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7.5% Cash, 1.3%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990,019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980,923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950,418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Onex Carestream Finance LP</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9.5%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1,992,920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Onex Carestream Finance LP</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 2013)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5.0%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1,973,333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1,980,022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1,969,219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Orbitz Worldwide, Inc.</w:t>
            </w:r>
            <w:r>
              <w:rPr>
                <w:rFonts w:ascii="Arial" w:cs="Arial" w:eastAsia="Arial" w:hAnsi="Arial"/>
                <w:sz w:val="23"/>
                <w:szCs w:val="23"/>
                <w:color w:val="auto"/>
                <w:vertAlign w:val="superscript"/>
              </w:rPr>
              <w:t>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Tranche C Term Loan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Hotel, Gaming &amp; Leisure</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4.5%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4/21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2,992,481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2,992,481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Otter Products, LLC (OtterBox Holdings,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 Loan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Consumer goods: Durable</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5.8% Cash, 1.0%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2,992,481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2,968,458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2,966,297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Ozburn-Hessey Holding Company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Transportation: Cargo</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6.8% Cash, 1.3% Libor Floor,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3,512,426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3,503,687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3,544,389</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500" w:type="dxa"/>
            <w:vAlign w:val="bottom"/>
            <w:gridSpan w:val="4"/>
          </w:tcPr>
          <w:p>
            <w:pPr>
              <w:ind w:left="120"/>
              <w:spacing w:after="0"/>
              <w:rPr>
                <w:sz w:val="20"/>
                <w:szCs w:val="20"/>
                <w:color w:val="auto"/>
              </w:rPr>
            </w:pPr>
            <w:r>
              <w:rPr>
                <w:rFonts w:ascii="Arial" w:cs="Arial" w:eastAsia="Arial" w:hAnsi="Arial"/>
                <w:sz w:val="18"/>
                <w:szCs w:val="18"/>
                <w:b w:val="1"/>
                <w:bCs w:val="1"/>
                <w:color w:val="auto"/>
              </w:rPr>
              <w:t>Principal</w:t>
            </w:r>
          </w:p>
        </w:tc>
        <w:tc>
          <w:tcPr>
            <w:tcW w:w="1460" w:type="dxa"/>
            <w:vAlign w:val="bottom"/>
            <w:gridSpan w:val="4"/>
          </w:tcPr>
          <w:p>
            <w:pPr>
              <w:ind w:left="120"/>
              <w:spacing w:after="0"/>
              <w:rPr>
                <w:sz w:val="20"/>
                <w:szCs w:val="20"/>
                <w:color w:val="auto"/>
              </w:rPr>
            </w:pPr>
            <w:r>
              <w:rPr>
                <w:rFonts w:ascii="Arial" w:cs="Arial" w:eastAsia="Arial" w:hAnsi="Arial"/>
                <w:sz w:val="18"/>
                <w:szCs w:val="18"/>
                <w:b w:val="1"/>
                <w:bCs w:val="1"/>
                <w:color w:val="auto"/>
                <w:w w:val="99"/>
              </w:rPr>
              <w:t>Amortized Cost</w:t>
            </w:r>
          </w:p>
        </w:tc>
        <w:tc>
          <w:tcPr>
            <w:tcW w:w="146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PGX Holdings, Inc.</w:t>
            </w:r>
            <w:r>
              <w:rPr>
                <w:rFonts w:ascii="Arial" w:cs="Arial" w:eastAsia="Arial" w:hAnsi="Arial"/>
                <w:sz w:val="22"/>
                <w:szCs w:val="22"/>
                <w:color w:val="auto"/>
                <w:vertAlign w:val="superscript"/>
              </w:rPr>
              <w:t>9, 11</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Services: Consumer</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6.3% Cash, 1.0% Libor Floor,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9/20</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3,975,000</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3,936,815</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3,917,363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Post Holdings, Inc.</w:t>
            </w:r>
            <w:r>
              <w:rPr>
                <w:rFonts w:ascii="Arial" w:cs="Arial" w:eastAsia="Arial" w:hAnsi="Arial"/>
                <w:sz w:val="23"/>
                <w:szCs w:val="23"/>
                <w:color w:val="auto"/>
                <w:vertAlign w:val="superscript"/>
              </w:rPr>
              <w:t>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1"/>
              </w:rPr>
              <w:t>Senior Secured Loan — Series</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 Incremental Term Loan</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3.8% Cash, 0.8% Libor Floor,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6/21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2,992,481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2,985,129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2,983,130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PQ Corporation</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Senior Secured Loan — 2014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Chemicals, Plastics and Rubber</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4.0% Cash, 1.0% Libor Floor,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8/17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2,992,366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2,992,366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2,943,740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PSC Industrial Holdings Corp.</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Environmental Industries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7.0% Cash, 1.0% Libor Floor,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1,980,119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Puerto Rico Cable Acquisition Company Inc. (D/B/A Choice</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spacing w:after="0" w:line="271" w:lineRule="exact"/>
              <w:rPr>
                <w:sz w:val="20"/>
                <w:szCs w:val="20"/>
                <w:color w:val="auto"/>
              </w:rPr>
            </w:pPr>
            <w:r>
              <w:rPr>
                <w:rFonts w:ascii="Arial" w:cs="Arial" w:eastAsia="Arial" w:hAnsi="Arial"/>
                <w:sz w:val="18"/>
                <w:szCs w:val="18"/>
                <w:color w:val="auto"/>
              </w:rPr>
              <w:t>TV)</w:t>
            </w:r>
            <w:r>
              <w:rPr>
                <w:rFonts w:ascii="Arial" w:cs="Arial" w:eastAsia="Arial" w:hAnsi="Arial"/>
                <w:sz w:val="30"/>
                <w:szCs w:val="30"/>
                <w:color w:val="auto"/>
                <w:vertAlign w:val="superscript"/>
              </w:rPr>
              <w:t>9</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Media: Broadcasting &amp; Subscription</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7/18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909,069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910,287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909,069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Puerto Rico Cable Acquisition Company Inc. (D/B/A Choice</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spacing w:after="0" w:line="271" w:lineRule="exact"/>
              <w:rPr>
                <w:sz w:val="20"/>
                <w:szCs w:val="20"/>
                <w:color w:val="auto"/>
              </w:rPr>
            </w:pPr>
            <w:r>
              <w:rPr>
                <w:rFonts w:ascii="Arial" w:cs="Arial" w:eastAsia="Arial" w:hAnsi="Arial"/>
                <w:sz w:val="31"/>
                <w:szCs w:val="31"/>
                <w:color w:val="auto"/>
                <w:vertAlign w:val="subscript"/>
              </w:rPr>
              <w:t>TV)</w:t>
            </w:r>
            <w:r>
              <w:rPr>
                <w:rFonts w:ascii="Arial" w:cs="Arial" w:eastAsia="Arial" w:hAnsi="Arial"/>
                <w:sz w:val="14"/>
                <w:szCs w:val="14"/>
                <w:color w:val="auto"/>
              </w:rPr>
              <w:t>9, 11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Media: Broadcasting &amp; Subscription</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7/18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2,727,206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2,717,359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2,727,206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QoL Meds,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498,750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496,449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480,296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Quad-C JH Holdings Inc. (aka Joerns Healthcare)</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A</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5/20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3,953,083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3,786,174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Restorix Health, Inc.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Unsecured Loan —</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Delayed Draw</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10.0% Cash, 1.5% PIK, Due</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2,003,587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2,003,587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2,003,587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Restorix Health, Inc.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Unsecured Loan —</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Subordinated Term Loan</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10.0% Cash, 1.5% PIK, Due</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8,063,397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8,063,397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8,063,397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Reynolds Group Holdings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Incremental U.S. Term Loan</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Containers, Packaging and Glass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4.0% Cash, 1.0% Libor Floor,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12/18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2,992,443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2,992,443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2,946,734</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500" w:type="dxa"/>
            <w:vAlign w:val="bottom"/>
            <w:gridSpan w:val="4"/>
          </w:tcPr>
          <w:p>
            <w:pPr>
              <w:ind w:left="120"/>
              <w:spacing w:after="0"/>
              <w:rPr>
                <w:sz w:val="20"/>
                <w:szCs w:val="20"/>
                <w:color w:val="auto"/>
              </w:rPr>
            </w:pPr>
            <w:r>
              <w:rPr>
                <w:rFonts w:ascii="Arial" w:cs="Arial" w:eastAsia="Arial" w:hAnsi="Arial"/>
                <w:sz w:val="18"/>
                <w:szCs w:val="18"/>
                <w:b w:val="1"/>
                <w:bCs w:val="1"/>
                <w:color w:val="auto"/>
              </w:rPr>
              <w:t>Principal</w:t>
            </w:r>
          </w:p>
        </w:tc>
        <w:tc>
          <w:tcPr>
            <w:tcW w:w="1460" w:type="dxa"/>
            <w:vAlign w:val="bottom"/>
            <w:gridSpan w:val="4"/>
          </w:tcPr>
          <w:p>
            <w:pPr>
              <w:ind w:left="120"/>
              <w:spacing w:after="0"/>
              <w:rPr>
                <w:sz w:val="20"/>
                <w:szCs w:val="20"/>
                <w:color w:val="auto"/>
              </w:rPr>
            </w:pPr>
            <w:r>
              <w:rPr>
                <w:rFonts w:ascii="Arial" w:cs="Arial" w:eastAsia="Arial" w:hAnsi="Arial"/>
                <w:sz w:val="18"/>
                <w:szCs w:val="18"/>
                <w:b w:val="1"/>
                <w:bCs w:val="1"/>
                <w:color w:val="auto"/>
                <w:w w:val="99"/>
              </w:rPr>
              <w:t>Amortized Cost</w:t>
            </w:r>
          </w:p>
        </w:tc>
        <w:tc>
          <w:tcPr>
            <w:tcW w:w="146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Roscoe Medical, Inc.</w:t>
            </w:r>
            <w:r>
              <w:rPr>
                <w:rFonts w:ascii="Arial" w:cs="Arial" w:eastAsia="Arial" w:hAnsi="Arial"/>
                <w:sz w:val="22"/>
                <w:szCs w:val="22"/>
                <w:color w:val="auto"/>
                <w:vertAlign w:val="superscript"/>
              </w:rPr>
              <w:t>9</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11.3% Cash, Due 9/19</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6,700,000</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6,642,367</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Rovi Solutions Corporation / Rovi Guides, Inc.</w:t>
            </w:r>
            <w:r>
              <w:rPr>
                <w:rFonts w:ascii="Arial" w:cs="Arial" w:eastAsia="Arial" w:hAnsi="Arial"/>
                <w:sz w:val="23"/>
                <w:szCs w:val="23"/>
                <w:color w:val="auto"/>
                <w:vertAlign w:val="superscript"/>
              </w:rPr>
              <w:t>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 Loan</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High Tech Industries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3.8% Cash, 0.8% Libor Floor,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2,992,481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2,954,531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2,936,387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Safenet,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High Tech Industries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6.8% Cash, 1.0% Libor Floor,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3/20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2,977,500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2,951,435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Sandy Creek Energy Associates, L.P.</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Utilities: Electric</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5.0% Cash, 1.0% Libor Floor,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11/20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2,844,544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2,832,599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2,794,053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SGF Produce Holding Corp.(Frozsun, Inc.)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3/19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2,191,289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2,175,642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2,191,289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SGF Produce Holding Corp.(Frozsun,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3/19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3,440,528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3,429,224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3,440,528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Stafford Logistics, Inc.(dba Custom Ecology,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Environmental Industries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6.8% Cash, 1.3% Libor Floor,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6/19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2,861,935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2,840,504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2,858,501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Sun Products Corporation, The (fka Huish Detergents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Tranche B Term Loan</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Consumer goods: Non-durable</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5.5% Cash, 1.3% Libor Floor,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3/20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3,910,711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3,887,178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3,656,515</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500" w:type="dxa"/>
            <w:vAlign w:val="bottom"/>
            <w:gridSpan w:val="4"/>
          </w:tcPr>
          <w:p>
            <w:pPr>
              <w:ind w:left="120"/>
              <w:spacing w:after="0"/>
              <w:rPr>
                <w:sz w:val="20"/>
                <w:szCs w:val="20"/>
                <w:color w:val="auto"/>
              </w:rPr>
            </w:pPr>
            <w:r>
              <w:rPr>
                <w:rFonts w:ascii="Arial" w:cs="Arial" w:eastAsia="Arial" w:hAnsi="Arial"/>
                <w:sz w:val="18"/>
                <w:szCs w:val="18"/>
                <w:b w:val="1"/>
                <w:bCs w:val="1"/>
                <w:color w:val="auto"/>
              </w:rPr>
              <w:t>Principal</w:t>
            </w:r>
          </w:p>
        </w:tc>
        <w:tc>
          <w:tcPr>
            <w:tcW w:w="1460" w:type="dxa"/>
            <w:vAlign w:val="bottom"/>
            <w:gridSpan w:val="4"/>
          </w:tcPr>
          <w:p>
            <w:pPr>
              <w:ind w:left="120"/>
              <w:spacing w:after="0"/>
              <w:rPr>
                <w:sz w:val="20"/>
                <w:szCs w:val="20"/>
                <w:color w:val="auto"/>
              </w:rPr>
            </w:pPr>
            <w:r>
              <w:rPr>
                <w:rFonts w:ascii="Arial" w:cs="Arial" w:eastAsia="Arial" w:hAnsi="Arial"/>
                <w:sz w:val="18"/>
                <w:szCs w:val="18"/>
                <w:b w:val="1"/>
                <w:bCs w:val="1"/>
                <w:color w:val="auto"/>
                <w:w w:val="99"/>
              </w:rPr>
              <w:t>Amortized Cost</w:t>
            </w:r>
          </w:p>
        </w:tc>
        <w:tc>
          <w:tcPr>
            <w:tcW w:w="146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top w:val="single" w:sz="8" w:color="auto"/>
            </w:tcBorders>
            <w:shd w:val="clear" w:color="auto" w:fill="CCEEFF"/>
          </w:tcPr>
          <w:p>
            <w:pPr>
              <w:spacing w:after="0" w:line="250"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9</w:t>
            </w:r>
          </w:p>
        </w:tc>
        <w:tc>
          <w:tcPr>
            <w:tcW w:w="120" w:type="dxa"/>
            <w:vAlign w:val="bottom"/>
            <w:tcBorders>
              <w:top w:val="single" w:sz="8" w:color="CCEEFF"/>
            </w:tcBorders>
            <w:shd w:val="clear" w:color="auto" w:fill="CCEEFF"/>
          </w:tcPr>
          <w:p>
            <w:pPr>
              <w:spacing w:after="0"/>
              <w:rPr>
                <w:sz w:val="21"/>
                <w:szCs w:val="21"/>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Senior Secured Loan — Loan</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Energy: Oil &amp; Gas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9.8% Cash, 3.5% PIK, 3.0%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Libor Floor, Due 8/19</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10,385,331</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10,212,907</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9,866,065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TPF II Power, LLC (TPF II Covert Midco,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Utilities: Electric</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10/21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3,026,933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3,009,375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Trimaran Advisors, L.L.C.</w:t>
            </w:r>
            <w:r>
              <w:rPr>
                <w:rFonts w:ascii="Arial" w:cs="Arial" w:eastAsia="Arial" w:hAnsi="Arial"/>
                <w:sz w:val="23"/>
                <w:szCs w:val="23"/>
                <w:color w:val="auto"/>
                <w:vertAlign w:val="superscript"/>
              </w:rPr>
              <w:t>9, 12</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Unsecured Loan —</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Revolving Credit Facility</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Portfolio Company Loan</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9.0% Cash, Due 11/17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TRSO I, Inc.</w:t>
      </w:r>
      <w:r>
        <w:rPr>
          <w:rFonts w:ascii="Arial" w:cs="Arial" w:eastAsia="Arial" w:hAnsi="Arial"/>
          <w:sz w:val="30"/>
          <w:szCs w:val="30"/>
          <w:color w:val="auto"/>
          <w:vertAlign w:val="superscript"/>
        </w:rPr>
        <w:t>9</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Energy: Oil &amp; Gas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TWCC Holding Corp.</w:t>
      </w:r>
      <w:r>
        <w:rPr>
          <w:rFonts w:ascii="Arial" w:cs="Arial" w:eastAsia="Arial" w:hAnsi="Arial"/>
          <w:sz w:val="30"/>
          <w:szCs w:val="30"/>
          <w:color w:val="auto"/>
          <w:vertAlign w:val="superscript"/>
        </w:rPr>
        <w:t>9</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TWCC Holding Corp.</w:t>
      </w:r>
      <w:r>
        <w:rPr>
          <w:rFonts w:ascii="Arial" w:cs="Arial" w:eastAsia="Arial" w:hAnsi="Arial"/>
          <w:sz w:val="30"/>
          <w:szCs w:val="30"/>
          <w:color w:val="auto"/>
          <w:vertAlign w:val="superscript"/>
        </w:rPr>
        <w:t>9, 11</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Univar Inc.</w:t>
      </w:r>
      <w:r>
        <w:rPr>
          <w:rFonts w:ascii="Arial" w:cs="Arial" w:eastAsia="Arial" w:hAnsi="Arial"/>
          <w:sz w:val="30"/>
          <w:szCs w:val="30"/>
          <w:color w:val="auto"/>
          <w:vertAlign w:val="superscript"/>
        </w:rPr>
        <w:t>9, 11</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Chemicals, Plastics and Rubber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USJ-IMECO Holding Company, LLC</w:t>
      </w:r>
      <w:r>
        <w:rPr>
          <w:rFonts w:ascii="Arial" w:cs="Arial" w:eastAsia="Arial" w:hAnsi="Arial"/>
          <w:sz w:val="26"/>
          <w:szCs w:val="26"/>
          <w:color w:val="auto"/>
          <w:vertAlign w:val="superscript"/>
        </w:rPr>
        <w:t>9, 11</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ind w:left="120"/>
              <w:spacing w:after="0"/>
              <w:rPr>
                <w:sz w:val="20"/>
                <w:szCs w:val="20"/>
                <w:color w:val="auto"/>
              </w:rPr>
            </w:pPr>
            <w:r>
              <w:rPr>
                <w:rFonts w:ascii="Arial" w:cs="Arial" w:eastAsia="Arial" w:hAnsi="Arial"/>
                <w:sz w:val="18"/>
                <w:szCs w:val="18"/>
                <w:color w:val="auto"/>
              </w:rPr>
              <w:t>Junior Secured Loan — Term</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2740" w:type="dxa"/>
            <w:vAlign w:val="bottom"/>
          </w:tcPr>
          <w:p>
            <w:pPr>
              <w:ind w:left="120"/>
              <w:spacing w:after="0"/>
              <w:rPr>
                <w:sz w:val="20"/>
                <w:szCs w:val="20"/>
                <w:color w:val="auto"/>
              </w:rPr>
            </w:pPr>
            <w:r>
              <w:rPr>
                <w:rFonts w:ascii="Arial" w:cs="Arial" w:eastAsia="Arial" w:hAnsi="Arial"/>
                <w:sz w:val="18"/>
                <w:szCs w:val="18"/>
                <w:color w:val="auto"/>
              </w:rPr>
              <w:t>Loan (Second Lien)</w:t>
            </w: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02"/>
        </w:trPr>
        <w:tc>
          <w:tcPr>
            <w:tcW w:w="27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11.0% Cash, 1.0% Libor Floor,</w:t>
            </w:r>
          </w:p>
        </w:tc>
        <w:tc>
          <w:tcPr>
            <w:tcW w:w="1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12/17</w:t>
            </w:r>
          </w:p>
        </w:tc>
        <w:tc>
          <w:tcPr>
            <w:tcW w:w="14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1,000,000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988,097</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961,300</w:t>
            </w:r>
          </w:p>
        </w:tc>
      </w:tr>
      <w:tr>
        <w:trPr>
          <w:trHeight w:val="418"/>
        </w:trPr>
        <w:tc>
          <w:tcPr>
            <w:tcW w:w="2740" w:type="dxa"/>
            <w:vAlign w:val="bottom"/>
          </w:tcPr>
          <w:p>
            <w:pPr>
              <w:ind w:left="120"/>
              <w:spacing w:after="0"/>
              <w:rPr>
                <w:sz w:val="20"/>
                <w:szCs w:val="20"/>
                <w:color w:val="auto"/>
              </w:rPr>
            </w:pPr>
            <w:r>
              <w:rPr>
                <w:rFonts w:ascii="Arial" w:cs="Arial" w:eastAsia="Arial" w:hAnsi="Arial"/>
                <w:sz w:val="18"/>
                <w:szCs w:val="18"/>
                <w:color w:val="auto"/>
              </w:rPr>
              <w:t>Junior Secured Loan — Term</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2740" w:type="dxa"/>
            <w:vAlign w:val="bottom"/>
          </w:tcPr>
          <w:p>
            <w:pPr>
              <w:ind w:left="120"/>
              <w:spacing w:after="0"/>
              <w:rPr>
                <w:sz w:val="20"/>
                <w:szCs w:val="20"/>
                <w:color w:val="auto"/>
              </w:rPr>
            </w:pPr>
            <w:r>
              <w:rPr>
                <w:rFonts w:ascii="Arial" w:cs="Arial" w:eastAsia="Arial" w:hAnsi="Arial"/>
                <w:sz w:val="18"/>
                <w:szCs w:val="18"/>
                <w:color w:val="auto"/>
              </w:rPr>
              <w:t>Loan (Second Lien)</w:t>
            </w: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02"/>
        </w:trPr>
        <w:tc>
          <w:tcPr>
            <w:tcW w:w="27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7.0% Cash, 1.0% Libor Floor,</w:t>
            </w:r>
          </w:p>
        </w:tc>
        <w:tc>
          <w:tcPr>
            <w:tcW w:w="1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6/20</w:t>
            </w:r>
          </w:p>
        </w:tc>
        <w:tc>
          <w:tcPr>
            <w:tcW w:w="14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1,000,000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1,004,005</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961,670</w:t>
            </w:r>
          </w:p>
        </w:tc>
      </w:tr>
      <w:tr>
        <w:trPr>
          <w:trHeight w:val="418"/>
        </w:trPr>
        <w:tc>
          <w:tcPr>
            <w:tcW w:w="2740" w:type="dxa"/>
            <w:vAlign w:val="bottom"/>
          </w:tcPr>
          <w:p>
            <w:pPr>
              <w:ind w:left="120"/>
              <w:spacing w:after="0"/>
              <w:rPr>
                <w:sz w:val="20"/>
                <w:szCs w:val="20"/>
                <w:color w:val="auto"/>
              </w:rPr>
            </w:pPr>
            <w:r>
              <w:rPr>
                <w:rFonts w:ascii="Arial" w:cs="Arial" w:eastAsia="Arial" w:hAnsi="Arial"/>
                <w:sz w:val="18"/>
                <w:szCs w:val="18"/>
                <w:color w:val="auto"/>
              </w:rPr>
              <w:t>Senior Secured Loan — Term</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2740" w:type="dxa"/>
            <w:vAlign w:val="bottom"/>
          </w:tcPr>
          <w:p>
            <w:pPr>
              <w:ind w:left="120"/>
              <w:spacing w:after="0"/>
              <w:rPr>
                <w:sz w:val="20"/>
                <w:szCs w:val="20"/>
                <w:color w:val="auto"/>
              </w:rPr>
            </w:pPr>
            <w:r>
              <w:rPr>
                <w:rFonts w:ascii="Arial" w:cs="Arial" w:eastAsia="Arial" w:hAnsi="Arial"/>
                <w:sz w:val="18"/>
                <w:szCs w:val="18"/>
                <w:color w:val="auto"/>
              </w:rPr>
              <w:t>Loan</w:t>
            </w: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02"/>
        </w:trPr>
        <w:tc>
          <w:tcPr>
            <w:tcW w:w="27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3.5% Cash, 0.8% Libor Floor,</w:t>
            </w:r>
          </w:p>
        </w:tc>
        <w:tc>
          <w:tcPr>
            <w:tcW w:w="1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2/17</w:t>
            </w:r>
          </w:p>
        </w:tc>
        <w:tc>
          <w:tcPr>
            <w:tcW w:w="14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906,653</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910,624</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887,060</w:t>
            </w:r>
          </w:p>
        </w:tc>
      </w:tr>
      <w:tr>
        <w:trPr>
          <w:trHeight w:val="418"/>
        </w:trPr>
        <w:tc>
          <w:tcPr>
            <w:tcW w:w="2740" w:type="dxa"/>
            <w:vAlign w:val="bottom"/>
          </w:tcPr>
          <w:p>
            <w:pPr>
              <w:ind w:left="120"/>
              <w:spacing w:after="0"/>
              <w:rPr>
                <w:sz w:val="20"/>
                <w:szCs w:val="20"/>
                <w:color w:val="auto"/>
              </w:rPr>
            </w:pPr>
            <w:r>
              <w:rPr>
                <w:rFonts w:ascii="Arial" w:cs="Arial" w:eastAsia="Arial" w:hAnsi="Arial"/>
                <w:sz w:val="18"/>
                <w:szCs w:val="18"/>
                <w:color w:val="auto"/>
              </w:rPr>
              <w:t>Senior Secured Loan — Term</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2740" w:type="dxa"/>
            <w:vAlign w:val="bottom"/>
          </w:tcPr>
          <w:p>
            <w:pPr>
              <w:ind w:left="120"/>
              <w:spacing w:after="0"/>
              <w:rPr>
                <w:sz w:val="20"/>
                <w:szCs w:val="20"/>
                <w:color w:val="auto"/>
              </w:rPr>
            </w:pPr>
            <w:r>
              <w:rPr>
                <w:rFonts w:ascii="Arial" w:cs="Arial" w:eastAsia="Arial" w:hAnsi="Arial"/>
                <w:sz w:val="18"/>
                <w:szCs w:val="18"/>
                <w:color w:val="auto"/>
              </w:rPr>
              <w:t>B Loan</w:t>
            </w: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02"/>
        </w:trPr>
        <w:tc>
          <w:tcPr>
            <w:tcW w:w="27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5.0% Cash, 1.5% Libor Floor,</w:t>
            </w:r>
          </w:p>
        </w:tc>
        <w:tc>
          <w:tcPr>
            <w:tcW w:w="1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6/17</w:t>
            </w:r>
          </w:p>
        </w:tc>
        <w:tc>
          <w:tcPr>
            <w:tcW w:w="14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2,894,577</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2,890,893</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2,808,536</w:t>
            </w:r>
          </w:p>
        </w:tc>
      </w:tr>
      <w:tr>
        <w:trPr>
          <w:trHeight w:val="418"/>
        </w:trPr>
        <w:tc>
          <w:tcPr>
            <w:tcW w:w="2740" w:type="dxa"/>
            <w:vAlign w:val="bottom"/>
          </w:tcPr>
          <w:p>
            <w:pPr>
              <w:ind w:left="120"/>
              <w:spacing w:after="0"/>
              <w:rPr>
                <w:sz w:val="20"/>
                <w:szCs w:val="20"/>
                <w:color w:val="auto"/>
              </w:rPr>
            </w:pPr>
            <w:r>
              <w:rPr>
                <w:rFonts w:ascii="Arial" w:cs="Arial" w:eastAsia="Arial" w:hAnsi="Arial"/>
                <w:sz w:val="18"/>
                <w:szCs w:val="18"/>
                <w:color w:val="auto"/>
              </w:rPr>
              <w:t>Senior Secured Loan — Term</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2740" w:type="dxa"/>
            <w:vAlign w:val="bottom"/>
          </w:tcPr>
          <w:p>
            <w:pPr>
              <w:ind w:left="120"/>
              <w:spacing w:after="0"/>
              <w:rPr>
                <w:sz w:val="20"/>
                <w:szCs w:val="20"/>
                <w:color w:val="auto"/>
              </w:rPr>
            </w:pPr>
            <w:r>
              <w:rPr>
                <w:rFonts w:ascii="Arial" w:cs="Arial" w:eastAsia="Arial" w:hAnsi="Arial"/>
                <w:sz w:val="18"/>
                <w:szCs w:val="18"/>
                <w:color w:val="auto"/>
              </w:rPr>
              <w:t>Loan</w:t>
            </w: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02"/>
        </w:trPr>
        <w:tc>
          <w:tcPr>
            <w:tcW w:w="27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7.0% Cash, 1.0% Libor Floor,</w:t>
            </w:r>
          </w:p>
        </w:tc>
        <w:tc>
          <w:tcPr>
            <w:tcW w:w="1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4/20</w:t>
            </w:r>
          </w:p>
        </w:tc>
        <w:tc>
          <w:tcPr>
            <w:tcW w:w="14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3,970,000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3,952,343</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3,970,000</w:t>
            </w:r>
          </w:p>
        </w:tc>
      </w:tr>
      <w:tr>
        <w:trPr>
          <w:trHeight w:val="432"/>
        </w:trPr>
        <w:tc>
          <w:tcPr>
            <w:tcW w:w="2740" w:type="dxa"/>
            <w:vAlign w:val="bottom"/>
          </w:tcPr>
          <w:p>
            <w:pPr>
              <w:ind w:left="1040"/>
              <w:spacing w:after="0"/>
              <w:rPr>
                <w:sz w:val="20"/>
                <w:szCs w:val="20"/>
                <w:color w:val="auto"/>
              </w:rPr>
            </w:pPr>
            <w:r>
              <w:rPr>
                <w:rFonts w:ascii="Arial" w:cs="Arial" w:eastAsia="Arial" w:hAnsi="Arial"/>
                <w:sz w:val="18"/>
                <w:szCs w:val="18"/>
                <w:color w:val="auto"/>
              </w:rPr>
              <w:t>26</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-3566795</wp:posOffset>
            </wp:positionV>
            <wp:extent cx="7246620" cy="548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-2880995</wp:posOffset>
            </wp:positionV>
            <wp:extent cx="7246620" cy="548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-2194560</wp:posOffset>
            </wp:positionV>
            <wp:extent cx="7246620" cy="548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-1508760</wp:posOffset>
            </wp:positionV>
            <wp:extent cx="7246620" cy="548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-822325</wp:posOffset>
            </wp:positionV>
            <wp:extent cx="7246620" cy="548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860" w:space="720"/>
            <w:col w:w="6840"/>
          </w:cols>
          <w:pgMar w:left="240" w:top="877" w:right="2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500" w:type="dxa"/>
            <w:vAlign w:val="bottom"/>
            <w:gridSpan w:val="4"/>
          </w:tcPr>
          <w:p>
            <w:pPr>
              <w:ind w:left="120"/>
              <w:spacing w:after="0"/>
              <w:rPr>
                <w:sz w:val="20"/>
                <w:szCs w:val="20"/>
                <w:color w:val="auto"/>
              </w:rPr>
            </w:pPr>
            <w:r>
              <w:rPr>
                <w:rFonts w:ascii="Arial" w:cs="Arial" w:eastAsia="Arial" w:hAnsi="Arial"/>
                <w:sz w:val="18"/>
                <w:szCs w:val="18"/>
                <w:b w:val="1"/>
                <w:bCs w:val="1"/>
                <w:color w:val="auto"/>
              </w:rPr>
              <w:t>Principal</w:t>
            </w:r>
          </w:p>
        </w:tc>
        <w:tc>
          <w:tcPr>
            <w:tcW w:w="1460" w:type="dxa"/>
            <w:vAlign w:val="bottom"/>
            <w:gridSpan w:val="4"/>
          </w:tcPr>
          <w:p>
            <w:pPr>
              <w:ind w:left="120"/>
              <w:spacing w:after="0"/>
              <w:rPr>
                <w:sz w:val="20"/>
                <w:szCs w:val="20"/>
                <w:color w:val="auto"/>
              </w:rPr>
            </w:pPr>
            <w:r>
              <w:rPr>
                <w:rFonts w:ascii="Arial" w:cs="Arial" w:eastAsia="Arial" w:hAnsi="Arial"/>
                <w:sz w:val="18"/>
                <w:szCs w:val="18"/>
                <w:b w:val="1"/>
                <w:bCs w:val="1"/>
                <w:color w:val="auto"/>
                <w:w w:val="99"/>
              </w:rPr>
              <w:t>Amortized Cost</w:t>
            </w:r>
          </w:p>
        </w:tc>
        <w:tc>
          <w:tcPr>
            <w:tcW w:w="146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Vantiv, LLC (fka Fifth Third Processing Solutions, LLC)</w:t>
            </w:r>
            <w:r>
              <w:rPr>
                <w:rFonts w:ascii="Arial" w:cs="Arial" w:eastAsia="Arial" w:hAnsi="Arial"/>
                <w:sz w:val="22"/>
                <w:szCs w:val="22"/>
                <w:color w:val="auto"/>
                <w:vertAlign w:val="superscript"/>
              </w:rPr>
              <w:t>11</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 Loan</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Banking, Finance, Insurance &amp; Real Estate</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3.8% Cash, 0.8% Libor Floor,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6/21</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1,994,987</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1,999,927</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1,978,160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Verdesian Life Sciences,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Environmental Industries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975,012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961,553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938,547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Verdesian Life Sciences,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Environmental Industries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3,221,243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3,178,026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3,100,769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4"/>
              </w:rPr>
              <w:t>Vestcom International, Inc. (fka Vector Investment Holdings,</w:t>
            </w:r>
          </w:p>
        </w:tc>
        <w:tc>
          <w:tcPr>
            <w:tcW w:w="2420" w:type="dxa"/>
            <w:vAlign w:val="bottom"/>
            <w:gridSpan w:val="2"/>
            <w:shd w:val="clear" w:color="auto" w:fill="CCEEFF"/>
          </w:tcPr>
          <w:p>
            <w:pPr>
              <w:ind w:left="120"/>
              <w:spacing w:after="0" w:line="206"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560" w:type="dxa"/>
            <w:vAlign w:val="bottom"/>
            <w:shd w:val="clear" w:color="auto" w:fill="CCEEFF"/>
          </w:tcPr>
          <w:p>
            <w:pPr>
              <w:spacing w:after="0" w:line="266" w:lineRule="exact"/>
              <w:rPr>
                <w:sz w:val="20"/>
                <w:szCs w:val="20"/>
                <w:color w:val="auto"/>
              </w:rPr>
            </w:pPr>
            <w:r>
              <w:rPr>
                <w:rFonts w:ascii="Arial" w:cs="Arial" w:eastAsia="Arial" w:hAnsi="Arial"/>
                <w:sz w:val="18"/>
                <w:szCs w:val="18"/>
                <w:color w:val="auto"/>
              </w:rPr>
              <w:t>Inc.)</w:t>
            </w:r>
            <w:r>
              <w:rPr>
                <w:rFonts w:ascii="Arial" w:cs="Arial" w:eastAsia="Arial" w:hAnsi="Arial"/>
                <w:sz w:val="30"/>
                <w:szCs w:val="30"/>
                <w:color w:val="auto"/>
                <w:vertAlign w:val="superscript"/>
              </w:rPr>
              <w:t>9, 11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Retail</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5.3% Cash, 1.0% Libor Floor,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9/21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2,866,953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2,843,300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2,838,284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9, 11</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WideOpenWest Finance, LLC</w:t>
      </w:r>
      <w:r>
        <w:rPr>
          <w:rFonts w:ascii="Arial" w:cs="Arial" w:eastAsia="Arial" w:hAnsi="Arial"/>
          <w:sz w:val="30"/>
          <w:szCs w:val="30"/>
          <w:color w:val="auto"/>
          <w:vertAlign w:val="superscript"/>
        </w:rPr>
        <w:t>9</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232" w:lineRule="exact"/>
        <w:rPr>
          <w:sz w:val="20"/>
          <w:szCs w:val="20"/>
          <w:color w:val="auto"/>
        </w:rPr>
      </w:pPr>
    </w:p>
    <w:p>
      <w:pPr>
        <w:ind w:left="140" w:right="820" w:hanging="134"/>
        <w:spacing w:after="0" w:line="347" w:lineRule="auto"/>
        <w:rPr>
          <w:sz w:val="20"/>
          <w:szCs w:val="20"/>
          <w:color w:val="auto"/>
        </w:rPr>
      </w:pPr>
      <w:r>
        <w:rPr>
          <w:rFonts w:ascii="Arial" w:cs="Arial" w:eastAsia="Arial" w:hAnsi="Arial"/>
          <w:sz w:val="16"/>
          <w:szCs w:val="16"/>
          <w:b w:val="1"/>
          <w:bCs w:val="1"/>
          <w:color w:val="auto"/>
        </w:rPr>
        <w:t>Total Investment in Debt Securities (125%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80" w:type="dxa"/>
            <w:vAlign w:val="bottom"/>
            <w:gridSpan w:val="3"/>
          </w:tcPr>
          <w:p>
            <w:pPr>
              <w:ind w:left="120"/>
              <w:spacing w:after="0"/>
              <w:rPr>
                <w:sz w:val="20"/>
                <w:szCs w:val="20"/>
                <w:color w:val="auto"/>
              </w:rPr>
            </w:pPr>
            <w:r>
              <w:rPr>
                <w:rFonts w:ascii="Arial" w:cs="Arial" w:eastAsia="Arial" w:hAnsi="Arial"/>
                <w:sz w:val="18"/>
                <w:szCs w:val="18"/>
                <w:color w:val="auto"/>
              </w:rPr>
              <w:t>Senior Secured Loan — Term</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0" w:type="dxa"/>
            <w:vAlign w:val="bottom"/>
          </w:tcPr>
          <w:p>
            <w:pPr>
              <w:ind w:left="120"/>
              <w:spacing w:after="0"/>
              <w:rPr>
                <w:sz w:val="20"/>
                <w:szCs w:val="20"/>
                <w:color w:val="auto"/>
              </w:rPr>
            </w:pPr>
            <w:r>
              <w:rPr>
                <w:rFonts w:ascii="Arial" w:cs="Arial" w:eastAsia="Arial" w:hAnsi="Arial"/>
                <w:sz w:val="18"/>
                <w:szCs w:val="18"/>
                <w:color w:val="auto"/>
                <w:w w:val="94"/>
              </w:rPr>
              <w:t>Loan</w:t>
            </w: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6.3%</w:t>
            </w:r>
          </w:p>
        </w:tc>
        <w:tc>
          <w:tcPr>
            <w:tcW w:w="22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Cash, 1.0% Libor Floor,</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Due 11/18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2,972,255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2,948,574</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2,972,255</w:t>
            </w:r>
          </w:p>
        </w:tc>
        <w:tc>
          <w:tcPr>
            <w:tcW w:w="100" w:type="dxa"/>
            <w:vAlign w:val="bottom"/>
            <w:shd w:val="clear" w:color="auto" w:fill="CCEEFF"/>
          </w:tcPr>
          <w:p>
            <w:pPr>
              <w:spacing w:after="0"/>
              <w:rPr>
                <w:sz w:val="20"/>
                <w:szCs w:val="20"/>
                <w:color w:val="auto"/>
              </w:rPr>
            </w:pPr>
          </w:p>
        </w:tc>
      </w:tr>
      <w:tr>
        <w:trPr>
          <w:trHeight w:val="418"/>
        </w:trPr>
        <w:tc>
          <w:tcPr>
            <w:tcW w:w="2780" w:type="dxa"/>
            <w:vAlign w:val="bottom"/>
            <w:gridSpan w:val="3"/>
          </w:tcPr>
          <w:p>
            <w:pPr>
              <w:ind w:left="120"/>
              <w:spacing w:after="0"/>
              <w:rPr>
                <w:sz w:val="20"/>
                <w:szCs w:val="20"/>
                <w:color w:val="auto"/>
              </w:rPr>
            </w:pPr>
            <w:r>
              <w:rPr>
                <w:rFonts w:ascii="Arial" w:cs="Arial" w:eastAsia="Arial" w:hAnsi="Arial"/>
                <w:sz w:val="18"/>
                <w:szCs w:val="18"/>
                <w:color w:val="auto"/>
              </w:rPr>
              <w:t>Senior Secured Loan — Term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20" w:type="dxa"/>
            <w:vAlign w:val="bottom"/>
          </w:tcPr>
          <w:p>
            <w:pPr>
              <w:ind w:left="120"/>
              <w:spacing w:after="0"/>
              <w:rPr>
                <w:sz w:val="20"/>
                <w:szCs w:val="20"/>
                <w:color w:val="auto"/>
              </w:rPr>
            </w:pPr>
            <w:r>
              <w:rPr>
                <w:rFonts w:ascii="Arial" w:cs="Arial" w:eastAsia="Arial" w:hAnsi="Arial"/>
                <w:sz w:val="18"/>
                <w:szCs w:val="18"/>
                <w:color w:val="auto"/>
                <w:w w:val="94"/>
              </w:rPr>
              <w:t>Loan</w:t>
            </w: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6.3%</w:t>
            </w:r>
          </w:p>
        </w:tc>
        <w:tc>
          <w:tcPr>
            <w:tcW w:w="22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Cash, 1.0% Libor Floor,</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Due 11/18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3,963,007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3,932,167</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3,963,007</w:t>
            </w:r>
          </w:p>
        </w:tc>
        <w:tc>
          <w:tcPr>
            <w:tcW w:w="100" w:type="dxa"/>
            <w:vAlign w:val="bottom"/>
            <w:shd w:val="clear" w:color="auto" w:fill="CCEEFF"/>
          </w:tcPr>
          <w:p>
            <w:pPr>
              <w:spacing w:after="0"/>
              <w:rPr>
                <w:sz w:val="20"/>
                <w:szCs w:val="20"/>
                <w:color w:val="auto"/>
              </w:rPr>
            </w:pPr>
          </w:p>
        </w:tc>
      </w:tr>
      <w:tr>
        <w:trPr>
          <w:trHeight w:val="418"/>
        </w:trPr>
        <w:tc>
          <w:tcPr>
            <w:tcW w:w="2780" w:type="dxa"/>
            <w:vAlign w:val="bottom"/>
            <w:gridSpan w:val="3"/>
          </w:tcPr>
          <w:p>
            <w:pPr>
              <w:ind w:left="120"/>
              <w:spacing w:after="0"/>
              <w:rPr>
                <w:sz w:val="20"/>
                <w:szCs w:val="20"/>
                <w:color w:val="auto"/>
              </w:rPr>
            </w:pPr>
            <w:r>
              <w:rPr>
                <w:rFonts w:ascii="Arial" w:cs="Arial" w:eastAsia="Arial" w:hAnsi="Arial"/>
                <w:sz w:val="18"/>
                <w:szCs w:val="18"/>
                <w:color w:val="auto"/>
              </w:rPr>
              <w:t>Senior Secured Loan — Term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2780" w:type="dxa"/>
            <w:vAlign w:val="bottom"/>
            <w:gridSpan w:val="3"/>
          </w:tcPr>
          <w:p>
            <w:pPr>
              <w:ind w:left="120"/>
              <w:spacing w:after="0"/>
              <w:rPr>
                <w:sz w:val="20"/>
                <w:szCs w:val="20"/>
                <w:color w:val="auto"/>
              </w:rPr>
            </w:pPr>
            <w:r>
              <w:rPr>
                <w:rFonts w:ascii="Arial" w:cs="Arial" w:eastAsia="Arial" w:hAnsi="Arial"/>
                <w:sz w:val="18"/>
                <w:szCs w:val="18"/>
                <w:color w:val="auto"/>
              </w:rPr>
              <w:t>B Loan</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4.8%</w:t>
            </w:r>
          </w:p>
        </w:tc>
        <w:tc>
          <w:tcPr>
            <w:tcW w:w="22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Cash, 1.0% Libor Floor,</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Due 4/19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2,954,887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2,971,397</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2,941,974</w:t>
            </w:r>
          </w:p>
        </w:tc>
        <w:tc>
          <w:tcPr>
            <w:tcW w:w="100" w:type="dxa"/>
            <w:vAlign w:val="bottom"/>
            <w:shd w:val="clear" w:color="auto" w:fill="CCEEFF"/>
          </w:tcPr>
          <w:p>
            <w:pPr>
              <w:spacing w:after="0"/>
              <w:rPr>
                <w:sz w:val="20"/>
                <w:szCs w:val="20"/>
                <w:color w:val="auto"/>
              </w:rPr>
            </w:pPr>
          </w:p>
        </w:tc>
      </w:tr>
      <w:tr>
        <w:trPr>
          <w:trHeight w:val="473"/>
        </w:trPr>
        <w:tc>
          <w:tcPr>
            <w:tcW w:w="2780" w:type="dxa"/>
            <w:vAlign w:val="bottom"/>
            <w:gridSpan w:val="3"/>
          </w:tcPr>
          <w:p>
            <w:pPr>
              <w:ind w:left="120"/>
              <w:spacing w:after="0"/>
              <w:rPr>
                <w:sz w:val="20"/>
                <w:szCs w:val="20"/>
                <w:color w:val="auto"/>
              </w:rPr>
            </w:pPr>
            <w:r>
              <w:rPr>
                <w:rFonts w:ascii="Arial" w:cs="Arial" w:eastAsia="Arial" w:hAnsi="Arial"/>
                <w:sz w:val="18"/>
                <w:szCs w:val="18"/>
                <w:color w:val="auto"/>
              </w:rPr>
              <w:t>Senior Unsecured Bond —</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9.0%</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Due 5/17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4,991,504</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r>
      <w:tr>
        <w:trPr>
          <w:trHeight w:val="473"/>
        </w:trPr>
        <w:tc>
          <w:tcPr>
            <w:tcW w:w="2780" w:type="dxa"/>
            <w:vAlign w:val="bottom"/>
            <w:gridSpan w:val="3"/>
          </w:tcPr>
          <w:p>
            <w:pPr>
              <w:ind w:left="120"/>
              <w:spacing w:after="0"/>
              <w:rPr>
                <w:sz w:val="20"/>
                <w:szCs w:val="20"/>
                <w:color w:val="auto"/>
              </w:rPr>
            </w:pPr>
            <w:r>
              <w:rPr>
                <w:rFonts w:ascii="Arial" w:cs="Arial" w:eastAsia="Arial" w:hAnsi="Arial"/>
                <w:sz w:val="18"/>
                <w:szCs w:val="18"/>
                <w:color w:val="auto"/>
              </w:rPr>
              <w:t>Senior Unsecured Bond —</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9.0%</w:t>
            </w:r>
          </w:p>
        </w:tc>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Due 5/17</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2,994,903</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9"/>
                <w:szCs w:val="19"/>
                <w:color w:val="auto"/>
              </w:rPr>
            </w:pPr>
          </w:p>
        </w:tc>
      </w:tr>
      <w:tr>
        <w:trPr>
          <w:trHeight w:val="655"/>
        </w:trPr>
        <w:tc>
          <w:tcPr>
            <w:tcW w:w="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324,808,055</w:t>
            </w:r>
          </w:p>
        </w:tc>
        <w:tc>
          <w:tcPr>
            <w:tcW w:w="10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322,884,934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320,143,170</w:t>
            </w:r>
          </w:p>
        </w:tc>
        <w:tc>
          <w:tcPr>
            <w:tcW w:w="10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-3241040</wp:posOffset>
            </wp:positionV>
            <wp:extent cx="7246620" cy="548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-2555240</wp:posOffset>
            </wp:positionV>
            <wp:extent cx="7246620" cy="548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-1868805</wp:posOffset>
            </wp:positionV>
            <wp:extent cx="7246620" cy="548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-1183005</wp:posOffset>
            </wp:positionV>
            <wp:extent cx="7246620" cy="3003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-745490</wp:posOffset>
            </wp:positionV>
            <wp:extent cx="7246620" cy="308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-290830</wp:posOffset>
            </wp:positionV>
            <wp:extent cx="7246620" cy="2832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3860" w:space="720"/>
            <w:col w:w="6840"/>
          </w:cols>
          <w:pgMar w:left="240" w:top="877" w:right="239" w:bottom="1440" w:gutter="0" w:footer="0" w:header="0"/>
          <w:type w:val="continuous"/>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 Portfolio</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5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Interest/Shares</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top w:val="single" w:sz="8" w:color="auto"/>
            </w:tcBorders>
            <w:shd w:val="clear" w:color="auto" w:fill="CCEEFF"/>
          </w:tcPr>
          <w:p>
            <w:pPr>
              <w:spacing w:after="0" w:line="250"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5, 9</w:t>
            </w:r>
          </w:p>
        </w:tc>
        <w:tc>
          <w:tcPr>
            <w:tcW w:w="120" w:type="dxa"/>
            <w:vAlign w:val="bottom"/>
            <w:tcBorders>
              <w:top w:val="single" w:sz="8" w:color="CCEEFF"/>
            </w:tcBorders>
            <w:shd w:val="clear" w:color="auto" w:fill="CCEEFF"/>
          </w:tcPr>
          <w:p>
            <w:pPr>
              <w:spacing w:after="0"/>
              <w:rPr>
                <w:sz w:val="21"/>
                <w:szCs w:val="21"/>
                <w:color w:val="auto"/>
              </w:rPr>
            </w:pPr>
          </w:p>
        </w:tc>
        <w:tc>
          <w:tcPr>
            <w:tcW w:w="2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Aerospace and Defense</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Partnership Interests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Aerostructures Holdings L.P.</w:t>
            </w:r>
            <w:r>
              <w:rPr>
                <w:rFonts w:ascii="Arial" w:cs="Arial" w:eastAsia="Arial" w:hAnsi="Arial"/>
                <w:sz w:val="29"/>
                <w:szCs w:val="29"/>
                <w:color w:val="auto"/>
                <w:vertAlign w:val="superscript"/>
              </w:rPr>
              <w:t>5, 9</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Aerospace and Defense</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Series A Preferred Interests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648,764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Bankruptcy Management Solutions, Inc.</w:t>
            </w:r>
            <w:r>
              <w:rPr>
                <w:rFonts w:ascii="Arial" w:cs="Arial" w:eastAsia="Arial" w:hAnsi="Arial"/>
                <w:sz w:val="29"/>
                <w:szCs w:val="29"/>
                <w:color w:val="auto"/>
                <w:vertAlign w:val="superscript"/>
              </w:rPr>
              <w:t>5, 9</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Class A Warrants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Bankruptcy Management Solutions, Inc.</w:t>
            </w:r>
            <w:r>
              <w:rPr>
                <w:rFonts w:ascii="Arial" w:cs="Arial" w:eastAsia="Arial" w:hAnsi="Arial"/>
                <w:sz w:val="29"/>
                <w:szCs w:val="29"/>
                <w:color w:val="auto"/>
                <w:vertAlign w:val="superscript"/>
              </w:rPr>
              <w:t>5, 9</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Class B Warrants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Bankruptcy Management Solutions, Inc.</w:t>
            </w:r>
            <w:r>
              <w:rPr>
                <w:rFonts w:ascii="Arial" w:cs="Arial" w:eastAsia="Arial" w:hAnsi="Arial"/>
                <w:sz w:val="29"/>
                <w:szCs w:val="29"/>
                <w:color w:val="auto"/>
                <w:vertAlign w:val="superscript"/>
              </w:rPr>
              <w:t>5, 9</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Class C Warrants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Bankruptcy Management Solutions, Inc.</w:t>
            </w:r>
            <w:r>
              <w:rPr>
                <w:rFonts w:ascii="Arial" w:cs="Arial" w:eastAsia="Arial" w:hAnsi="Arial"/>
                <w:sz w:val="29"/>
                <w:szCs w:val="29"/>
                <w:color w:val="auto"/>
                <w:vertAlign w:val="superscript"/>
              </w:rPr>
              <w:t>5, 9</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Common Stock 2013</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314,325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391,932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 Investments</w:t>
            </w:r>
          </w:p>
        </w:tc>
        <w:tc>
          <w:tcPr>
            <w:tcW w:w="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560" w:type="dxa"/>
            <w:vAlign w:val="bottom"/>
            <w:shd w:val="clear" w:color="auto" w:fill="CCEEFF"/>
          </w:tcPr>
          <w:p>
            <w:pPr>
              <w:spacing w:after="0" w:line="266" w:lineRule="exact"/>
              <w:rPr>
                <w:sz w:val="20"/>
                <w:szCs w:val="20"/>
                <w:color w:val="auto"/>
              </w:rPr>
            </w:pPr>
            <w:r>
              <w:rPr>
                <w:rFonts w:ascii="Arial" w:cs="Arial" w:eastAsia="Arial" w:hAnsi="Arial"/>
                <w:sz w:val="18"/>
                <w:szCs w:val="18"/>
                <w:color w:val="auto"/>
              </w:rPr>
              <w:t>Incorporated)</w:t>
            </w:r>
            <w:r>
              <w:rPr>
                <w:rFonts w:ascii="Arial" w:cs="Arial" w:eastAsia="Arial" w:hAnsi="Arial"/>
                <w:sz w:val="30"/>
                <w:szCs w:val="30"/>
                <w:color w:val="auto"/>
                <w:vertAlign w:val="superscript"/>
              </w:rPr>
              <w:t>5, 9</w:t>
            </w:r>
          </w:p>
        </w:tc>
        <w:tc>
          <w:tcPr>
            <w:tcW w:w="12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Common</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624,304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DBI Holding LLC</w:t>
            </w:r>
            <w:r>
              <w:rPr>
                <w:rFonts w:ascii="Arial" w:cs="Arial" w:eastAsia="Arial" w:hAnsi="Arial"/>
                <w:sz w:val="29"/>
                <w:szCs w:val="29"/>
                <w:color w:val="auto"/>
                <w:vertAlign w:val="superscript"/>
              </w:rPr>
              <w:t>5, 9</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Class A Warrants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746,964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eInstruction Acquisition, LLC</w:t>
            </w:r>
            <w:r>
              <w:rPr>
                <w:rFonts w:ascii="Arial" w:cs="Arial" w:eastAsia="Arial" w:hAnsi="Arial"/>
                <w:sz w:val="29"/>
                <w:szCs w:val="29"/>
                <w:color w:val="auto"/>
                <w:vertAlign w:val="superscript"/>
              </w:rPr>
              <w:t>5, 9</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Membership Units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FP WRCA Coinvestment Fund VII, Ltd.</w:t>
            </w:r>
            <w:r>
              <w:rPr>
                <w:rFonts w:ascii="Arial" w:cs="Arial" w:eastAsia="Arial" w:hAnsi="Arial"/>
                <w:sz w:val="29"/>
                <w:szCs w:val="29"/>
                <w:color w:val="auto"/>
                <w:vertAlign w:val="superscript"/>
              </w:rPr>
              <w:t>3, 5,</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Capital Equipment</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Class A Shares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2,351,329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Perseus Holding Corp.</w:t>
            </w:r>
            <w:r>
              <w:rPr>
                <w:rFonts w:ascii="Arial" w:cs="Arial" w:eastAsia="Arial" w:hAnsi="Arial"/>
                <w:sz w:val="29"/>
                <w:szCs w:val="29"/>
                <w:color w:val="auto"/>
                <w:vertAlign w:val="superscript"/>
              </w:rPr>
              <w:t>5, 9</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Hotel, Gaming &amp; Leisure</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Common</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20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Percentage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5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Interest/Shares</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top w:val="single" w:sz="8" w:color="auto"/>
            </w:tcBorders>
            <w:shd w:val="clear" w:color="auto" w:fill="CCEEFF"/>
          </w:tcPr>
          <w:p>
            <w:pPr>
              <w:spacing w:after="0" w:line="250" w:lineRule="exact"/>
              <w:rPr>
                <w:sz w:val="20"/>
                <w:szCs w:val="20"/>
                <w:color w:val="auto"/>
              </w:rPr>
            </w:pPr>
            <w:r>
              <w:rPr>
                <w:rFonts w:ascii="Arial" w:cs="Arial" w:eastAsia="Arial" w:hAnsi="Arial"/>
                <w:sz w:val="17"/>
                <w:szCs w:val="17"/>
                <w:color w:val="auto"/>
              </w:rPr>
              <w:t>Roscoe Investors, LLC</w:t>
            </w:r>
            <w:r>
              <w:rPr>
                <w:rFonts w:ascii="Arial" w:cs="Arial" w:eastAsia="Arial" w:hAnsi="Arial"/>
                <w:sz w:val="28"/>
                <w:szCs w:val="28"/>
                <w:color w:val="auto"/>
                <w:vertAlign w:val="superscript"/>
              </w:rPr>
              <w:t>5, 9</w:t>
            </w:r>
          </w:p>
        </w:tc>
        <w:tc>
          <w:tcPr>
            <w:tcW w:w="120" w:type="dxa"/>
            <w:vAlign w:val="bottom"/>
            <w:tcBorders>
              <w:top w:val="single" w:sz="8" w:color="CCEEFF"/>
            </w:tcBorders>
            <w:shd w:val="clear" w:color="auto" w:fill="CCEEFF"/>
          </w:tcPr>
          <w:p>
            <w:pPr>
              <w:spacing w:after="0"/>
              <w:rPr>
                <w:sz w:val="21"/>
                <w:szCs w:val="21"/>
                <w:color w:val="auto"/>
              </w:rPr>
            </w:pPr>
          </w:p>
        </w:tc>
        <w:tc>
          <w:tcPr>
            <w:tcW w:w="2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CCEEFF"/>
              <w:right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Class A Units</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Tank Partners Holdings, LLC</w:t>
            </w:r>
            <w:r>
              <w:rPr>
                <w:rFonts w:ascii="Arial" w:cs="Arial" w:eastAsia="Arial" w:hAnsi="Arial"/>
                <w:sz w:val="29"/>
                <w:szCs w:val="29"/>
                <w:color w:val="auto"/>
                <w:vertAlign w:val="superscript"/>
              </w:rPr>
              <w:t>5, 9</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Unit</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Tank Partners Holdings, LLC</w:t>
            </w:r>
            <w:r>
              <w:rPr>
                <w:rFonts w:ascii="Arial" w:cs="Arial" w:eastAsia="Arial" w:hAnsi="Arial"/>
                <w:sz w:val="29"/>
                <w:szCs w:val="29"/>
                <w:color w:val="auto"/>
                <w:vertAlign w:val="superscript"/>
              </w:rPr>
              <w:t>5, 9</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Warrants</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TRSO II, Inc.</w:t>
            </w:r>
            <w:r>
              <w:rPr>
                <w:rFonts w:ascii="Arial" w:cs="Arial" w:eastAsia="Arial" w:hAnsi="Arial"/>
                <w:sz w:val="29"/>
                <w:szCs w:val="29"/>
                <w:color w:val="auto"/>
                <w:vertAlign w:val="superscript"/>
              </w:rPr>
              <w:t>5, 9</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1,788,886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Equity Securities</w:t>
            </w:r>
          </w:p>
        </w:tc>
        <w:tc>
          <w:tcPr>
            <w:tcW w:w="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(3% of net asset value at fair value)</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8,828,812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8,119,681</w:t>
            </w:r>
          </w:p>
        </w:tc>
        <w:tc>
          <w:tcPr>
            <w:tcW w:w="0" w:type="dxa"/>
            <w:vAlign w:val="bottom"/>
          </w:tcPr>
          <w:p>
            <w:pPr>
              <w:spacing w:after="0"/>
              <w:rPr>
                <w:sz w:val="1"/>
                <w:szCs w:val="1"/>
                <w:color w:val="auto"/>
              </w:rPr>
            </w:pPr>
          </w:p>
        </w:tc>
      </w:tr>
      <w:tr>
        <w:trPr>
          <w:trHeight w:val="426"/>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gridSpan w:val="5"/>
          </w:tcPr>
          <w:p>
            <w:pPr>
              <w:spacing w:after="0"/>
              <w:rPr>
                <w:sz w:val="20"/>
                <w:szCs w:val="20"/>
                <w:color w:val="auto"/>
              </w:rPr>
            </w:pPr>
            <w:r>
              <w:rPr>
                <w:rFonts w:ascii="Arial" w:cs="Arial" w:eastAsia="Arial" w:hAnsi="Arial"/>
                <w:sz w:val="18"/>
                <w:szCs w:val="18"/>
                <w:b w:val="1"/>
                <w:bCs w:val="1"/>
                <w:color w:val="auto"/>
              </w:rPr>
              <w:t>CLO Subordinated Securities, Preferred Shares and Income Notes Investments</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Percentage</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25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Interest</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Grant Grove CLO, Ltd.</w:t>
            </w:r>
            <w:r>
              <w:rPr>
                <w:rFonts w:ascii="Arial" w:cs="Arial" w:eastAsia="Arial" w:hAnsi="Arial"/>
                <w:sz w:val="28"/>
                <w:szCs w:val="28"/>
                <w:color w:val="auto"/>
                <w:vertAlign w:val="superscript"/>
              </w:rPr>
              <w:t>3</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Subordinated Securities</w:t>
            </w:r>
          </w:p>
        </w:tc>
        <w:tc>
          <w:tcPr>
            <w:tcW w:w="10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2,254,638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469,131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3, 10</w:t>
            </w: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Preferred Shares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1,015,334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VII CLO Ltd.</w:t>
            </w:r>
            <w:r>
              <w:rPr>
                <w:rFonts w:ascii="Arial" w:cs="Arial" w:eastAsia="Arial" w:hAnsi="Arial"/>
                <w:sz w:val="29"/>
                <w:szCs w:val="29"/>
                <w:color w:val="auto"/>
                <w:vertAlign w:val="superscript"/>
              </w:rPr>
              <w:t>3, 6</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Securities</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3,563,252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Pr>
          <w:p>
            <w:pPr>
              <w:spacing w:after="0" w:line="256" w:lineRule="exact"/>
              <w:rPr>
                <w:sz w:val="20"/>
                <w:szCs w:val="20"/>
                <w:color w:val="auto"/>
              </w:rPr>
            </w:pPr>
            <w:r>
              <w:rPr>
                <w:rFonts w:ascii="Arial" w:cs="Arial" w:eastAsia="Arial" w:hAnsi="Arial"/>
                <w:sz w:val="18"/>
                <w:szCs w:val="18"/>
                <w:color w:val="auto"/>
              </w:rPr>
              <w:t>Katonah VIII CLO Ltd</w:t>
            </w:r>
            <w:r>
              <w:rPr>
                <w:rFonts w:ascii="Arial" w:cs="Arial" w:eastAsia="Arial" w:hAnsi="Arial"/>
                <w:sz w:val="29"/>
                <w:szCs w:val="29"/>
                <w:color w:val="auto"/>
                <w:vertAlign w:val="superscript"/>
              </w:rPr>
              <w:t>3, 6</w:t>
            </w: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Subordinated Securities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2,755,267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IX CLO Ltd</w:t>
            </w:r>
            <w:r>
              <w:rPr>
                <w:rFonts w:ascii="Arial" w:cs="Arial" w:eastAsia="Arial" w:hAnsi="Arial"/>
                <w:sz w:val="29"/>
                <w:szCs w:val="29"/>
                <w:color w:val="auto"/>
                <w:vertAlign w:val="superscript"/>
              </w:rPr>
              <w:t>3, 6</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Preferred Shares</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1,262,496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594,989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Pr>
          <w:p>
            <w:pPr>
              <w:spacing w:after="0" w:line="256" w:lineRule="exact"/>
              <w:rPr>
                <w:sz w:val="20"/>
                <w:szCs w:val="20"/>
                <w:color w:val="auto"/>
              </w:rPr>
            </w:pPr>
            <w:r>
              <w:rPr>
                <w:rFonts w:ascii="Arial" w:cs="Arial" w:eastAsia="Arial" w:hAnsi="Arial"/>
                <w:sz w:val="18"/>
                <w:szCs w:val="18"/>
                <w:color w:val="auto"/>
              </w:rPr>
              <w:t xml:space="preserve">Katonah X CLO Ltd </w:t>
            </w:r>
            <w:r>
              <w:rPr>
                <w:rFonts w:ascii="Arial" w:cs="Arial" w:eastAsia="Arial" w:hAnsi="Arial"/>
                <w:sz w:val="29"/>
                <w:szCs w:val="29"/>
                <w:color w:val="auto"/>
                <w:vertAlign w:val="superscript"/>
              </w:rPr>
              <w:t>3, 6</w:t>
            </w: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Subordinated Securities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8,910,471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4,863,001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3, 6</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Preferred Shares</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23,471,779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25,191,782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Pr>
          <w:p>
            <w:pPr>
              <w:spacing w:after="0" w:line="256" w:lineRule="exact"/>
              <w:rPr>
                <w:sz w:val="20"/>
                <w:szCs w:val="20"/>
                <w:color w:val="auto"/>
              </w:rPr>
            </w:pPr>
            <w:r>
              <w:rPr>
                <w:rFonts w:ascii="Arial" w:cs="Arial" w:eastAsia="Arial" w:hAnsi="Arial"/>
                <w:sz w:val="18"/>
                <w:szCs w:val="18"/>
                <w:color w:val="auto"/>
              </w:rPr>
              <w:t>Trimaran CLO IV, Ltd.</w:t>
            </w:r>
            <w:r>
              <w:rPr>
                <w:rFonts w:ascii="Arial" w:cs="Arial" w:eastAsia="Arial" w:hAnsi="Arial"/>
                <w:sz w:val="29"/>
                <w:szCs w:val="29"/>
                <w:color w:val="auto"/>
                <w:vertAlign w:val="superscript"/>
              </w:rPr>
              <w:t>3, 6</w:t>
            </w: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Preferred Shares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Trimaran CLO V, Ltd.</w:t>
            </w:r>
            <w:r>
              <w:rPr>
                <w:rFonts w:ascii="Arial" w:cs="Arial" w:eastAsia="Arial" w:hAnsi="Arial"/>
                <w:sz w:val="29"/>
                <w:szCs w:val="29"/>
                <w:color w:val="auto"/>
                <w:vertAlign w:val="superscript"/>
              </w:rPr>
              <w:t>3, 6</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 Notes</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1,292,698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1,657,020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Pr>
          <w:p>
            <w:pPr>
              <w:spacing w:after="0" w:line="256" w:lineRule="exact"/>
              <w:rPr>
                <w:sz w:val="20"/>
                <w:szCs w:val="20"/>
                <w:color w:val="auto"/>
              </w:rPr>
            </w:pPr>
            <w:r>
              <w:rPr>
                <w:rFonts w:ascii="Arial" w:cs="Arial" w:eastAsia="Arial" w:hAnsi="Arial"/>
                <w:sz w:val="18"/>
                <w:szCs w:val="18"/>
                <w:color w:val="auto"/>
              </w:rPr>
              <w:t>Trimaran CLO VI, Ltd.</w:t>
            </w:r>
            <w:r>
              <w:rPr>
                <w:rFonts w:ascii="Arial" w:cs="Arial" w:eastAsia="Arial" w:hAnsi="Arial"/>
                <w:sz w:val="29"/>
                <w:szCs w:val="29"/>
                <w:color w:val="auto"/>
                <w:vertAlign w:val="superscript"/>
              </w:rPr>
              <w:t>3, 6</w:t>
            </w: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Income Notes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1,531,142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1,950,000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3, 6</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Income Notes</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1,399,074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2,084,394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Pr>
          <w:p>
            <w:pPr>
              <w:spacing w:after="0" w:line="256" w:lineRule="exact"/>
              <w:rPr>
                <w:sz w:val="20"/>
                <w:szCs w:val="20"/>
                <w:color w:val="auto"/>
              </w:rPr>
            </w:pPr>
            <w:r>
              <w:rPr>
                <w:rFonts w:ascii="Arial" w:cs="Arial" w:eastAsia="Arial" w:hAnsi="Arial"/>
                <w:sz w:val="18"/>
                <w:szCs w:val="18"/>
                <w:color w:val="auto"/>
              </w:rPr>
              <w:t>Catamaran CLO 2012-1 Ltd.</w:t>
            </w:r>
            <w:r>
              <w:rPr>
                <w:rFonts w:ascii="Arial" w:cs="Arial" w:eastAsia="Arial" w:hAnsi="Arial"/>
                <w:sz w:val="29"/>
                <w:szCs w:val="29"/>
                <w:color w:val="auto"/>
                <w:vertAlign w:val="superscript"/>
              </w:rPr>
              <w:t>3, 6</w:t>
            </w: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7,994,677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5,793,924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Catamaran CLO 2013- 1 Ltd.</w:t>
            </w:r>
            <w:r>
              <w:rPr>
                <w:rFonts w:ascii="Arial" w:cs="Arial" w:eastAsia="Arial" w:hAnsi="Arial"/>
                <w:sz w:val="29"/>
                <w:szCs w:val="29"/>
                <w:color w:val="auto"/>
                <w:vertAlign w:val="superscript"/>
              </w:rPr>
              <w:t>3, 6</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7,492,702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7,874,910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Pr>
          <w:p>
            <w:pPr>
              <w:spacing w:after="0" w:line="256" w:lineRule="exact"/>
              <w:rPr>
                <w:sz w:val="20"/>
                <w:szCs w:val="20"/>
                <w:color w:val="auto"/>
              </w:rPr>
            </w:pPr>
            <w:r>
              <w:rPr>
                <w:rFonts w:ascii="Arial" w:cs="Arial" w:eastAsia="Arial" w:hAnsi="Arial"/>
                <w:sz w:val="18"/>
                <w:szCs w:val="18"/>
                <w:color w:val="auto"/>
              </w:rPr>
              <w:t>Catamaran CLO 2014-1 Ltd.</w:t>
            </w:r>
            <w:r>
              <w:rPr>
                <w:rFonts w:ascii="Arial" w:cs="Arial" w:eastAsia="Arial" w:hAnsi="Arial"/>
                <w:sz w:val="29"/>
                <w:szCs w:val="29"/>
                <w:color w:val="auto"/>
                <w:vertAlign w:val="superscript"/>
              </w:rPr>
              <w:t>3, 6</w:t>
            </w: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10,473,628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8,867,176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Dryden 30 Senior Loan Fund</w:t>
            </w:r>
            <w:r>
              <w:rPr>
                <w:rFonts w:ascii="Arial" w:cs="Arial" w:eastAsia="Arial" w:hAnsi="Arial"/>
                <w:sz w:val="29"/>
                <w:szCs w:val="29"/>
                <w:color w:val="auto"/>
                <w:vertAlign w:val="superscript"/>
              </w:rPr>
              <w:t>3</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2,263,321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2,506,075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tcPr>
          <w:p>
            <w:pPr>
              <w:spacing w:after="0" w:line="269" w:lineRule="exact"/>
              <w:rPr>
                <w:sz w:val="20"/>
                <w:szCs w:val="20"/>
                <w:color w:val="auto"/>
              </w:rPr>
            </w:pPr>
            <w:r>
              <w:rPr>
                <w:rFonts w:ascii="Arial" w:cs="Arial" w:eastAsia="Arial" w:hAnsi="Arial"/>
                <w:sz w:val="18"/>
                <w:szCs w:val="18"/>
                <w:color w:val="auto"/>
              </w:rPr>
              <w:t>Catamaran CLO 2014-2 Ltd.</w:t>
            </w:r>
            <w:r>
              <w:rPr>
                <w:rFonts w:ascii="Arial" w:cs="Arial" w:eastAsia="Arial" w:hAnsi="Arial"/>
                <w:sz w:val="30"/>
                <w:szCs w:val="30"/>
                <w:color w:val="auto"/>
                <w:vertAlign w:val="superscript"/>
              </w:rPr>
              <w:t>3, 6</w:t>
            </w: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9,862,799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8,761,500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80" w:type="dxa"/>
            <w:vAlign w:val="bottom"/>
            <w:gridSpan w:val="4"/>
          </w:tcPr>
          <w:p>
            <w:pPr>
              <w:spacing w:after="0"/>
              <w:rPr>
                <w:sz w:val="20"/>
                <w:szCs w:val="20"/>
                <w:color w:val="auto"/>
              </w:rPr>
            </w:pPr>
            <w:r>
              <w:rPr>
                <w:rFonts w:ascii="Arial" w:cs="Arial" w:eastAsia="Arial" w:hAnsi="Arial"/>
                <w:sz w:val="18"/>
                <w:szCs w:val="18"/>
                <w:b w:val="1"/>
                <w:bCs w:val="1"/>
                <w:color w:val="auto"/>
                <w:w w:val="96"/>
              </w:rPr>
              <w:t>Total Investment in CLO Subordinated Securities, Preferred Shares and Income Notes</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85,554,372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72,014,902</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CLO Rated-Note Investments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Catamaran CLO 2012-1 Ltd.</w:t>
      </w:r>
      <w:r>
        <w:rPr>
          <w:rFonts w:ascii="Arial" w:cs="Arial" w:eastAsia="Arial" w:hAnsi="Arial"/>
          <w:sz w:val="30"/>
          <w:szCs w:val="30"/>
          <w:color w:val="auto"/>
          <w:vertAlign w:val="superscript"/>
        </w:rPr>
        <w:t>3, 6</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Catamaran CLO 2014-1 Ltd.</w:t>
      </w:r>
      <w:r>
        <w:rPr>
          <w:rFonts w:ascii="Arial" w:cs="Arial" w:eastAsia="Arial" w:hAnsi="Arial"/>
          <w:sz w:val="30"/>
          <w:szCs w:val="30"/>
          <w:color w:val="auto"/>
          <w:vertAlign w:val="superscript"/>
        </w:rPr>
        <w:t>3, 6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Investment in CLO Rated-Note</w:t>
      </w:r>
    </w:p>
    <w:p>
      <w:pPr>
        <w:spacing w:after="0" w:line="252" w:lineRule="exact"/>
        <w:rPr>
          <w:sz w:val="20"/>
          <w:szCs w:val="20"/>
          <w:color w:val="auto"/>
        </w:rPr>
      </w:pPr>
    </w:p>
    <w:p>
      <w:pPr>
        <w:ind w:left="180" w:right="800" w:hanging="161"/>
        <w:spacing w:after="0" w:line="347" w:lineRule="auto"/>
        <w:rPr>
          <w:sz w:val="20"/>
          <w:szCs w:val="20"/>
          <w:color w:val="auto"/>
        </w:rPr>
      </w:pPr>
      <w:r>
        <w:rPr>
          <w:rFonts w:ascii="Arial" w:cs="Arial" w:eastAsia="Arial" w:hAnsi="Arial"/>
          <w:sz w:val="16"/>
          <w:szCs w:val="16"/>
          <w:b w:val="1"/>
          <w:bCs w:val="1"/>
          <w:color w:val="auto"/>
        </w:rPr>
        <w:t>Total Investment in CLO Fund Securities (30% of net asset value at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20"/>
                <w:szCs w:val="20"/>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Interest</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Class F Notes</w:t>
            </w: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Par Value of $4,500,000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Due 12/23</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42.9%</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3,917,442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4,160,000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Class E Notes</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Par Value of $1,525,000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300" w:type="dxa"/>
            <w:vAlign w:val="bottom"/>
            <w:gridSpan w:val="2"/>
          </w:tcPr>
          <w:p>
            <w:pPr>
              <w:spacing w:after="0"/>
              <w:rPr>
                <w:sz w:val="20"/>
                <w:szCs w:val="20"/>
                <w:color w:val="auto"/>
              </w:rPr>
            </w:pPr>
            <w:r>
              <w:rPr>
                <w:rFonts w:ascii="Arial" w:cs="Arial" w:eastAsia="Arial" w:hAnsi="Arial"/>
                <w:sz w:val="18"/>
                <w:szCs w:val="18"/>
                <w:color w:val="auto"/>
              </w:rPr>
              <w:t>Due 4/26</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1,417,376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5,334,818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90,889,190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77,514,902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-1148715</wp:posOffset>
            </wp:positionV>
            <wp:extent cx="7246620" cy="420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-582295</wp:posOffset>
            </wp:positionV>
            <wp:extent cx="72466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-290830</wp:posOffset>
            </wp:positionV>
            <wp:extent cx="7246620" cy="2832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-1706245</wp:posOffset>
            </wp:positionV>
            <wp:extent cx="7246620" cy="420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3980" w:space="720"/>
            <w:col w:w="6720"/>
          </w:cols>
          <w:pgMar w:left="240" w:top="877" w:right="239" w:bottom="1440" w:gutter="0" w:footer="0" w:header="0"/>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Percentage</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5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Interest</w:t>
            </w:r>
          </w:p>
        </w:tc>
        <w:tc>
          <w:tcPr>
            <w:tcW w:w="20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Asset Manager Affiliates</w:t>
            </w:r>
            <w:r>
              <w:rPr>
                <w:rFonts w:ascii="Arial" w:cs="Arial" w:eastAsia="Arial" w:hAnsi="Arial"/>
                <w:sz w:val="28"/>
                <w:szCs w:val="28"/>
                <w:color w:val="auto"/>
                <w:vertAlign w:val="superscript"/>
              </w:rPr>
              <w:t>9</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6"/>
              </w:rPr>
              <w:t>Asset Management Company</w:t>
            </w:r>
          </w:p>
        </w:tc>
        <w:tc>
          <w:tcPr>
            <w:tcW w:w="10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60,292,677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72,326,000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Asset Manager Affiliates</w:t>
            </w:r>
          </w:p>
        </w:tc>
        <w:tc>
          <w:tcPr>
            <w:tcW w:w="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(28% of net asset value at fair value)</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60,292,677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72,326,000</w:t>
            </w:r>
          </w:p>
        </w:tc>
        <w:tc>
          <w:tcPr>
            <w:tcW w:w="0" w:type="dxa"/>
            <w:vAlign w:val="bottom"/>
          </w:tcPr>
          <w:p>
            <w:pPr>
              <w:spacing w:after="0"/>
              <w:rPr>
                <w:sz w:val="1"/>
                <w:szCs w:val="1"/>
                <w:color w:val="auto"/>
              </w:rPr>
            </w:pPr>
          </w:p>
        </w:tc>
      </w:tr>
      <w:tr>
        <w:trPr>
          <w:trHeight w:val="426"/>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Time Deposits and Money Market Account</w:t>
            </w: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Par / Amortized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Time Deposit and Money Market Accounts</w:t>
            </w:r>
          </w:p>
        </w:tc>
        <w:tc>
          <w:tcPr>
            <w:tcW w:w="25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Yield</w:t>
            </w:r>
          </w:p>
        </w:tc>
        <w:tc>
          <w:tcPr>
            <w:tcW w:w="20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JP Morgan Business Money Market Account</w:t>
            </w:r>
            <w:r>
              <w:rPr>
                <w:rFonts w:ascii="Arial" w:cs="Arial" w:eastAsia="Arial" w:hAnsi="Arial"/>
                <w:sz w:val="28"/>
                <w:szCs w:val="28"/>
                <w:color w:val="auto"/>
                <w:vertAlign w:val="superscript"/>
              </w:rPr>
              <w:t>8, 9</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0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249,105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520" w:type="dxa"/>
            <w:vAlign w:val="bottom"/>
            <w:gridSpan w:val="3"/>
          </w:tcPr>
          <w:p>
            <w:pPr>
              <w:spacing w:after="0"/>
              <w:rPr>
                <w:sz w:val="18"/>
                <w:szCs w:val="18"/>
                <w:color w:val="auto"/>
              </w:rPr>
            </w:pPr>
          </w:p>
        </w:tc>
        <w:tc>
          <w:tcPr>
            <w:tcW w:w="15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US Bank Money Market Account</w:t>
            </w:r>
            <w:r>
              <w:rPr>
                <w:rFonts w:ascii="Arial" w:cs="Arial" w:eastAsia="Arial" w:hAnsi="Arial"/>
                <w:sz w:val="29"/>
                <w:szCs w:val="29"/>
                <w:color w:val="auto"/>
                <w:vertAlign w:val="superscript"/>
              </w:rPr>
              <w:t>9</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Money Market Account</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1,353,636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1,353,636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gridSpan w:val="4"/>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08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Time Deposit and Money Market Accounts</w:t>
            </w:r>
          </w:p>
        </w:tc>
        <w:tc>
          <w:tcPr>
            <w:tcW w:w="12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(1% of net asset value at fair value)</w:t>
            </w:r>
          </w:p>
        </w:tc>
        <w:tc>
          <w:tcPr>
            <w:tcW w:w="12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1,602,741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1,602,741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line="239" w:lineRule="exact"/>
              <w:rPr>
                <w:sz w:val="20"/>
                <w:szCs w:val="20"/>
                <w:color w:val="auto"/>
              </w:rPr>
            </w:pPr>
            <w:r>
              <w:rPr>
                <w:rFonts w:ascii="Arial" w:cs="Arial" w:eastAsia="Arial" w:hAnsi="Arial"/>
                <w:sz w:val="17"/>
                <w:szCs w:val="17"/>
                <w:b w:val="1"/>
                <w:bCs w:val="1"/>
                <w:color w:val="auto"/>
              </w:rPr>
              <w:t>Total Investments</w:t>
            </w:r>
            <w:r>
              <w:rPr>
                <w:rFonts w:ascii="Arial" w:cs="Arial" w:eastAsia="Arial" w:hAnsi="Arial"/>
                <w:sz w:val="27"/>
                <w:szCs w:val="27"/>
                <w:b w:val="1"/>
                <w:bCs w:val="1"/>
                <w:color w:val="auto"/>
                <w:vertAlign w:val="superscript"/>
              </w:rPr>
              <w:t>4</w:t>
            </w:r>
          </w:p>
        </w:tc>
        <w:tc>
          <w:tcPr>
            <w:tcW w:w="1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(188% of net asset value at fair value)</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484,498,354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479,706,494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33" w:name="page34"/>
    <w:bookmarkEnd w:id="33"/>
    <w:p>
      <w:pPr>
        <w:ind w:left="572" w:right="100" w:hanging="572"/>
        <w:spacing w:after="0" w:line="221" w:lineRule="auto"/>
        <w:tabs>
          <w:tab w:leader="none" w:pos="572"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w:t>
      </w:r>
    </w:p>
    <w:p>
      <w:pPr>
        <w:spacing w:after="0" w:line="2" w:lineRule="exact"/>
        <w:rPr>
          <w:sz w:val="20"/>
          <w:szCs w:val="20"/>
          <w:color w:val="auto"/>
        </w:rPr>
      </w:pPr>
    </w:p>
    <w:p>
      <w:pPr>
        <w:jc w:val="both"/>
        <w:ind w:left="572"/>
        <w:spacing w:after="0" w:line="250" w:lineRule="auto"/>
        <w:rPr>
          <w:sz w:val="20"/>
          <w:szCs w:val="20"/>
          <w:color w:val="auto"/>
        </w:rPr>
      </w:pPr>
      <w:r>
        <w:rPr>
          <w:rFonts w:ascii="Arial" w:cs="Arial" w:eastAsia="Arial" w:hAnsi="Arial"/>
          <w:sz w:val="18"/>
          <w:szCs w:val="18"/>
          <w:color w:val="auto"/>
        </w:rPr>
        <w:t>monthly at the borrower’s option. The Borrower may also elect to have multiple interest reset periods for each loan. For each such loan, the Company has provided the weighted average annual stated interest rate in effect at December 31, 2014. As noted in the table above, 75% (based on par) of debt securities contain LIBOR floors which range between 0.75% and 3.00%.</w:t>
      </w:r>
    </w:p>
    <w:p>
      <w:pPr>
        <w:ind w:left="572" w:hanging="572"/>
        <w:spacing w:after="0" w:line="181" w:lineRule="auto"/>
        <w:tabs>
          <w:tab w:leader="none" w:pos="572" w:val="left"/>
        </w:tabs>
        <w:numPr>
          <w:ilvl w:val="0"/>
          <w:numId w:val="14"/>
        </w:numPr>
        <w:rPr>
          <w:rFonts w:ascii="Arial" w:cs="Arial" w:eastAsia="Arial" w:hAnsi="Arial"/>
          <w:sz w:val="25"/>
          <w:szCs w:val="25"/>
          <w:color w:val="auto"/>
          <w:vertAlign w:val="superscript"/>
        </w:rPr>
      </w:pPr>
      <w:r>
        <w:rPr>
          <w:rFonts w:ascii="Arial" w:cs="Arial" w:eastAsia="Arial" w:hAnsi="Arial"/>
          <w:sz w:val="16"/>
          <w:szCs w:val="16"/>
          <w:color w:val="auto"/>
        </w:rPr>
        <w:t>Reflects the fair market value of all investments as of December 31, 2014, as determined by the Company’s Board of Directors.</w:t>
      </w:r>
    </w:p>
    <w:p>
      <w:pPr>
        <w:ind w:left="572" w:hanging="572"/>
        <w:spacing w:after="0" w:line="180" w:lineRule="auto"/>
        <w:tabs>
          <w:tab w:leader="none" w:pos="572"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ind w:left="572" w:hanging="572"/>
        <w:spacing w:after="0" w:line="181" w:lineRule="auto"/>
        <w:tabs>
          <w:tab w:leader="none" w:pos="572" w:val="left"/>
        </w:tabs>
        <w:numPr>
          <w:ilvl w:val="0"/>
          <w:numId w:val="16"/>
        </w:numPr>
        <w:rPr>
          <w:rFonts w:ascii="Arial" w:cs="Arial" w:eastAsia="Arial" w:hAnsi="Arial"/>
          <w:sz w:val="25"/>
          <w:szCs w:val="25"/>
          <w:color w:val="auto"/>
          <w:vertAlign w:val="superscript"/>
        </w:rPr>
      </w:pPr>
      <w:r>
        <w:rPr>
          <w:rFonts w:ascii="Arial" w:cs="Arial" w:eastAsia="Arial" w:hAnsi="Arial"/>
          <w:sz w:val="16"/>
          <w:szCs w:val="16"/>
          <w:color w:val="auto"/>
        </w:rPr>
        <w:t>The aggregate cost of investments for federal income tax purposes is approximately $502 million. The aggregate gross unrealized appreciation is</w:t>
      </w:r>
    </w:p>
    <w:p>
      <w:pPr>
        <w:spacing w:after="0" w:line="2" w:lineRule="exact"/>
        <w:rPr>
          <w:sz w:val="20"/>
          <w:szCs w:val="20"/>
          <w:color w:val="auto"/>
        </w:rPr>
      </w:pPr>
    </w:p>
    <w:p>
      <w:pPr>
        <w:ind w:left="572" w:right="480"/>
        <w:spacing w:after="0" w:line="249" w:lineRule="auto"/>
        <w:rPr>
          <w:sz w:val="20"/>
          <w:szCs w:val="20"/>
          <w:color w:val="auto"/>
        </w:rPr>
      </w:pPr>
      <w:r>
        <w:rPr>
          <w:rFonts w:ascii="Arial" w:cs="Arial" w:eastAsia="Arial" w:hAnsi="Arial"/>
          <w:sz w:val="18"/>
          <w:szCs w:val="18"/>
          <w:color w:val="auto"/>
        </w:rPr>
        <w:t>approximately $15.7 million, the aggregate gross unrealized depreciation is approximately $37.7 million, and the net unrealized depreciation is approximately $22 million.</w:t>
      </w:r>
    </w:p>
    <w:p>
      <w:pPr>
        <w:ind w:left="572" w:hanging="572"/>
        <w:spacing w:after="0" w:line="181" w:lineRule="auto"/>
        <w:tabs>
          <w:tab w:leader="none" w:pos="572"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Non-income producing.</w:t>
      </w:r>
    </w:p>
    <w:p>
      <w:pPr>
        <w:ind w:left="572" w:hanging="572"/>
        <w:spacing w:after="0" w:line="180" w:lineRule="auto"/>
        <w:tabs>
          <w:tab w:leader="none" w:pos="572"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consolidated financial statements).</w:t>
      </w:r>
    </w:p>
    <w:p>
      <w:pPr>
        <w:ind w:left="572" w:hanging="572"/>
        <w:spacing w:after="0" w:line="181" w:lineRule="auto"/>
        <w:tabs>
          <w:tab w:leader="none" w:pos="572"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572" w:hanging="572"/>
        <w:spacing w:after="0" w:line="180" w:lineRule="auto"/>
        <w:tabs>
          <w:tab w:leader="none" w:pos="572"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benefit plans.</w:t>
      </w:r>
    </w:p>
    <w:p>
      <w:pPr>
        <w:ind w:left="572" w:hanging="572"/>
        <w:spacing w:after="0" w:line="180" w:lineRule="auto"/>
        <w:tabs>
          <w:tab w:leader="none" w:pos="572"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ind w:left="572" w:hanging="572"/>
        <w:spacing w:after="0" w:line="181" w:lineRule="auto"/>
        <w:tabs>
          <w:tab w:leader="none" w:pos="572" w:val="left"/>
        </w:tabs>
        <w:numPr>
          <w:ilvl w:val="0"/>
          <w:numId w:val="22"/>
        </w:numPr>
        <w:rPr>
          <w:rFonts w:ascii="Arial" w:cs="Arial" w:eastAsia="Arial" w:hAnsi="Arial"/>
          <w:sz w:val="25"/>
          <w:szCs w:val="25"/>
          <w:color w:val="auto"/>
          <w:vertAlign w:val="superscript"/>
        </w:rPr>
      </w:pPr>
      <w:r>
        <w:rPr>
          <w:rFonts w:ascii="Arial" w:cs="Arial" w:eastAsia="Arial" w:hAnsi="Arial"/>
          <w:sz w:val="16"/>
          <w:szCs w:val="16"/>
          <w:color w:val="auto"/>
        </w:rPr>
        <w:t>As of December 31, 2014, this CLO Fund Security was not providing a taxable distribution.</w:t>
      </w:r>
    </w:p>
    <w:p>
      <w:pPr>
        <w:spacing w:after="0" w:line="1" w:lineRule="exact"/>
        <w:rPr>
          <w:rFonts w:ascii="Arial" w:cs="Arial" w:eastAsia="Arial" w:hAnsi="Arial"/>
          <w:sz w:val="25"/>
          <w:szCs w:val="25"/>
          <w:color w:val="auto"/>
          <w:vertAlign w:val="superscript"/>
        </w:rPr>
      </w:pPr>
    </w:p>
    <w:p>
      <w:pPr>
        <w:ind w:left="572" w:hanging="572"/>
        <w:spacing w:after="0" w:line="187" w:lineRule="auto"/>
        <w:tabs>
          <w:tab w:leader="none" w:pos="572"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As of December 31, 2014, this investment is owned by KCAP Senior Funding I, LLC and has been pledged to secure KCAP Senior Funding I, LLC’s obligations.</w:t>
      </w:r>
    </w:p>
    <w:p>
      <w:pPr>
        <w:spacing w:after="0" w:line="200" w:lineRule="exact"/>
        <w:rPr>
          <w:sz w:val="20"/>
          <w:szCs w:val="20"/>
          <w:color w:val="auto"/>
        </w:rPr>
      </w:pPr>
    </w:p>
    <w:p>
      <w:pPr>
        <w:spacing w:after="0" w:line="2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881" w:right="27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38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Net asset value, at beginning of period</w:t>
            </w:r>
          </w:p>
        </w:tc>
        <w:tc>
          <w:tcPr>
            <w:tcW w:w="1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6.94</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38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ind w:left="160"/>
              <w:spacing w:after="0" w:line="162" w:lineRule="exact"/>
              <w:rPr>
                <w:sz w:val="20"/>
                <w:szCs w:val="20"/>
                <w:color w:val="auto"/>
              </w:rPr>
            </w:pPr>
            <w:r>
              <w:rPr>
                <w:rFonts w:ascii="Arial" w:cs="Arial" w:eastAsia="Arial" w:hAnsi="Arial"/>
                <w:sz w:val="18"/>
                <w:szCs w:val="18"/>
                <w:color w:val="auto"/>
                <w:w w:val="89"/>
              </w:rPr>
              <w:t>Net realized gains from investments</w:t>
            </w:r>
          </w:p>
        </w:tc>
        <w:tc>
          <w:tcPr>
            <w:tcW w:w="3820" w:type="dxa"/>
            <w:vAlign w:val="bottom"/>
          </w:tcPr>
          <w:p>
            <w:pPr>
              <w:jc w:val="right"/>
              <w:ind w:right="3665"/>
              <w:spacing w:after="0" w:line="162" w:lineRule="exact"/>
              <w:rPr>
                <w:sz w:val="20"/>
                <w:szCs w:val="20"/>
                <w:color w:val="auto"/>
              </w:rPr>
            </w:pPr>
            <w:r>
              <w:rPr>
                <w:rFonts w:ascii="Arial" w:cs="Arial" w:eastAsia="Arial" w:hAnsi="Arial"/>
                <w:sz w:val="15"/>
                <w:szCs w:val="15"/>
                <w:color w:val="auto"/>
                <w:w w:val="71"/>
              </w:rPr>
              <w:t>1</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right"/>
              <w:ind w:right="260"/>
              <w:spacing w:after="0" w:line="16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gridSpan w:val="2"/>
          </w:tcPr>
          <w:p>
            <w:pPr>
              <w:jc w:val="right"/>
              <w:ind w:right="180"/>
              <w:spacing w:after="0" w:line="95" w:lineRule="exact"/>
              <w:rPr>
                <w:sz w:val="20"/>
                <w:szCs w:val="20"/>
                <w:color w:val="auto"/>
              </w:rPr>
            </w:pPr>
            <w:r>
              <w:rPr>
                <w:rFonts w:ascii="Arial" w:cs="Arial" w:eastAsia="Arial" w:hAnsi="Arial"/>
                <w:sz w:val="10"/>
                <w:szCs w:val="10"/>
                <w:color w:val="auto"/>
              </w:rPr>
              <w:t>4</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60" w:type="dxa"/>
            <w:vAlign w:val="bottom"/>
            <w:gridSpan w:val="2"/>
            <w:shd w:val="clear" w:color="auto" w:fill="CCEEFF"/>
          </w:tcPr>
          <w:p>
            <w:pPr>
              <w:ind w:left="160"/>
              <w:spacing w:after="0" w:line="269" w:lineRule="exact"/>
              <w:rPr>
                <w:sz w:val="20"/>
                <w:szCs w:val="20"/>
                <w:color w:val="auto"/>
              </w:rPr>
            </w:pPr>
            <w:r>
              <w:rPr>
                <w:rFonts w:ascii="Arial" w:cs="Arial" w:eastAsia="Arial" w:hAnsi="Arial"/>
                <w:sz w:val="18"/>
                <w:szCs w:val="18"/>
                <w:color w:val="auto"/>
              </w:rPr>
              <w:t>Net change in unrealized appreciation (depreciation) on investments</w:t>
            </w:r>
            <w:r>
              <w:rPr>
                <w:rFonts w:ascii="Arial" w:cs="Arial" w:eastAsia="Arial" w:hAnsi="Arial"/>
                <w:sz w:val="30"/>
                <w:szCs w:val="30"/>
                <w:color w:val="auto"/>
                <w:vertAlign w:val="superscript"/>
              </w:rPr>
              <w:t>1</w:t>
            </w:r>
          </w:p>
        </w:tc>
        <w:tc>
          <w:tcPr>
            <w:tcW w:w="14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tcPr>
          <w:p>
            <w:pPr>
              <w:ind w:left="320"/>
              <w:spacing w:after="0"/>
              <w:rPr>
                <w:sz w:val="20"/>
                <w:szCs w:val="20"/>
                <w:color w:val="auto"/>
              </w:rPr>
            </w:pPr>
            <w:r>
              <w:rPr>
                <w:rFonts w:ascii="Arial" w:cs="Arial" w:eastAsia="Arial" w:hAnsi="Arial"/>
                <w:sz w:val="18"/>
                <w:szCs w:val="18"/>
                <w:color w:val="auto"/>
              </w:rPr>
              <w:t>Net increase in net assets resulting from operations</w:t>
            </w:r>
          </w:p>
        </w:tc>
        <w:tc>
          <w:tcPr>
            <w:tcW w:w="1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resulting from distributions:</w:t>
            </w: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Net increase in net assets relating to stock-based transactions:</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20" w:type="dxa"/>
            <w:vAlign w:val="bottom"/>
          </w:tcPr>
          <w:p>
            <w:pPr>
              <w:spacing w:after="0" w:line="20" w:lineRule="exact"/>
              <w:rPr>
                <w:sz w:val="1"/>
                <w:szCs w:val="1"/>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
                <w:szCs w:val="1"/>
                <w:color w:val="auto"/>
              </w:rPr>
              <w:t>Issuance of common stock under dividend reinvestment plan</w:t>
            </w:r>
          </w:p>
        </w:tc>
        <w:tc>
          <w:tcPr>
            <w:tcW w:w="1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
                <w:szCs w:val="1"/>
                <w:color w:val="auto"/>
              </w:rPr>
              <w:t>-</w:t>
            </w: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w:t>
            </w: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w w:val="88"/>
              </w:rPr>
              <w:t>Stock based compensation expense</w:t>
            </w:r>
          </w:p>
        </w:tc>
        <w:tc>
          <w:tcPr>
            <w:tcW w:w="38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Net increase in net assets relating to stock-based transactions</w:t>
            </w:r>
          </w:p>
        </w:tc>
        <w:tc>
          <w:tcPr>
            <w:tcW w:w="1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38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7.16</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spacing w:after="0" w:line="251" w:lineRule="exact"/>
              <w:rPr>
                <w:sz w:val="20"/>
                <w:szCs w:val="20"/>
                <w:color w:val="auto"/>
              </w:rPr>
            </w:pPr>
            <w:r>
              <w:rPr>
                <w:rFonts w:ascii="Arial" w:cs="Arial" w:eastAsia="Arial" w:hAnsi="Arial"/>
                <w:sz w:val="18"/>
                <w:szCs w:val="18"/>
                <w:color w:val="auto"/>
              </w:rPr>
              <w:t>Total net asset value return</w:t>
            </w:r>
            <w:r>
              <w:rPr>
                <w:rFonts w:ascii="Arial" w:cs="Arial" w:eastAsia="Arial" w:hAnsi="Arial"/>
                <w:sz w:val="29"/>
                <w:szCs w:val="29"/>
                <w:color w:val="auto"/>
                <w:vertAlign w:val="superscript"/>
              </w:rPr>
              <w:t>2</w:t>
            </w:r>
          </w:p>
        </w:tc>
        <w:tc>
          <w:tcPr>
            <w:tcW w:w="38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 market value at beginning of period</w:t>
            </w:r>
          </w:p>
        </w:tc>
        <w:tc>
          <w:tcPr>
            <w:tcW w:w="1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6.82</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Per share market value at end of period</w:t>
            </w:r>
          </w:p>
        </w:tc>
        <w:tc>
          <w:tcPr>
            <w:tcW w:w="1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6.73</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Total market return</w:t>
            </w:r>
            <w:r>
              <w:rPr>
                <w:rFonts w:ascii="Arial" w:cs="Arial" w:eastAsia="Arial" w:hAnsi="Arial"/>
                <w:sz w:val="29"/>
                <w:szCs w:val="29"/>
                <w:color w:val="auto"/>
                <w:vertAlign w:val="superscript"/>
              </w:rPr>
              <w:t>3</w:t>
            </w:r>
          </w:p>
        </w:tc>
        <w:tc>
          <w:tcPr>
            <w:tcW w:w="38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5"/>
              </w:rPr>
              <w:t>Shares outstanding at end of period</w:t>
            </w:r>
          </w:p>
        </w:tc>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36,859,957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33,340,607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38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263,923,435</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254,102,611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Portfolio turnover rate</w:t>
            </w:r>
          </w:p>
        </w:tc>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Average par debt outstanding</w:t>
            </w:r>
          </w:p>
        </w:tc>
        <w:tc>
          <w:tcPr>
            <w:tcW w:w="38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227,397,000</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195,658,000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Asset coverage ratio</w:t>
            </w:r>
          </w:p>
        </w:tc>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5</w:t>
            </w:r>
          </w:p>
        </w:tc>
        <w:tc>
          <w:tcPr>
            <w:tcW w:w="14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60" w:type="dxa"/>
            <w:vAlign w:val="bottom"/>
            <w:gridSpan w:val="2"/>
          </w:tcPr>
          <w:p>
            <w:pPr>
              <w:spacing w:after="0" w:line="256"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9"/>
                <w:szCs w:val="29"/>
                <w:color w:val="auto"/>
                <w:vertAlign w:val="superscript"/>
              </w:rPr>
              <w:t>5</w:t>
            </w:r>
          </w:p>
        </w:tc>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Ratio of interest expense to average net assets</w:t>
            </w:r>
            <w:r>
              <w:rPr>
                <w:rFonts w:ascii="Arial" w:cs="Arial" w:eastAsia="Arial" w:hAnsi="Arial"/>
                <w:sz w:val="29"/>
                <w:szCs w:val="29"/>
                <w:color w:val="auto"/>
                <w:vertAlign w:val="superscript"/>
              </w:rPr>
              <w:t>5</w:t>
            </w:r>
          </w:p>
        </w:tc>
        <w:tc>
          <w:tcPr>
            <w:tcW w:w="14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Ratio of non-interest expenses to average net assets</w:t>
            </w:r>
            <w:r>
              <w:rPr>
                <w:rFonts w:ascii="Arial" w:cs="Arial" w:eastAsia="Arial" w:hAnsi="Arial"/>
                <w:sz w:val="30"/>
                <w:szCs w:val="30"/>
                <w:color w:val="auto"/>
                <w:vertAlign w:val="superscript"/>
              </w:rPr>
              <w:t>5</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60" w:hanging="252"/>
        <w:spacing w:after="0" w:line="185" w:lineRule="auto"/>
        <w:tabs>
          <w:tab w:leader="none" w:pos="26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Based on weighted average number of common shares outstanding-basic for the period.</w:t>
      </w:r>
    </w:p>
    <w:p>
      <w:pPr>
        <w:spacing w:after="0" w:line="27" w:lineRule="exact"/>
        <w:rPr>
          <w:sz w:val="20"/>
          <w:szCs w:val="20"/>
          <w:color w:val="auto"/>
        </w:rPr>
      </w:pPr>
    </w:p>
    <w:p>
      <w:pPr>
        <w:ind w:right="200" w:firstLine="8"/>
        <w:spacing w:after="0" w:line="194" w:lineRule="auto"/>
        <w:tabs>
          <w:tab w:leader="none" w:pos="252"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Total net asset value return (not annualized) equals the change in the net asset value per share over the beginning of period net asset value per share plus distributions, divided by the beginning net asset value per share.</w:t>
      </w:r>
    </w:p>
    <w:p>
      <w:pPr>
        <w:spacing w:after="0" w:line="27" w:lineRule="exact"/>
        <w:rPr>
          <w:sz w:val="20"/>
          <w:szCs w:val="20"/>
          <w:color w:val="auto"/>
        </w:rPr>
      </w:pPr>
    </w:p>
    <w:p>
      <w:pPr>
        <w:ind w:right="140" w:firstLine="8"/>
        <w:spacing w:after="0" w:line="194" w:lineRule="auto"/>
        <w:tabs>
          <w:tab w:leader="none" w:pos="252"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Total market return (not annualized) equals the change in the ending market price, over the beginning of period price per share plus distributions, divided by the beginning market price.</w:t>
      </w:r>
    </w:p>
    <w:p>
      <w:pPr>
        <w:ind w:left="260" w:hanging="252"/>
        <w:spacing w:after="0" w:line="184" w:lineRule="auto"/>
        <w:tabs>
          <w:tab w:leader="none" w:pos="26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Balance rounds to less than $0.01.</w:t>
      </w:r>
    </w:p>
    <w:p>
      <w:pPr>
        <w:spacing w:after="0" w:line="43" w:lineRule="exact"/>
        <w:rPr>
          <w:rFonts w:ascii="Arial" w:cs="Arial" w:eastAsia="Arial" w:hAnsi="Arial"/>
          <w:sz w:val="29"/>
          <w:szCs w:val="29"/>
          <w:color w:val="auto"/>
          <w:vertAlign w:val="superscript"/>
        </w:rPr>
      </w:pPr>
    </w:p>
    <w:p>
      <w:pPr>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5</w:t>
      </w:r>
      <w:r>
        <w:rPr>
          <w:rFonts w:ascii="Arial" w:cs="Arial" w:eastAsia="Arial" w:hAnsi="Arial"/>
          <w:sz w:val="18"/>
          <w:szCs w:val="18"/>
          <w:color w:val="auto"/>
        </w:rPr>
        <w:t xml:space="preserve">  Annualized.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KCAP Financial, Inc. (“KCAP” or the “Company”) is an internally managed, non-diversified closed-end investment company that is regulated as a business development company (“BDC”) under the Investment Company Act of 1940 (the “1940 Act”). The Company was formed as a Delaware limited liability company on August 8, 2006 and, prior to the issuance of shares of the Company’s common stock in its initial public offering (“IPO”), converted to a corporation incorporated in Delaware on December 11, 2006. Prior to its IPO, the Company did not have material operations. The Company’s IPO of 14,462,000 shares of common stock raised net proceeds of approximately $200 million. Prior to the IPO, the Company issued 3,484,333 shares to affiliates of Kohlberg &amp; Co., L.L.C., a leading middle market private equity firm, in exchange for the contribution to the Company of their ownership interests in Katonah Debt Advisors, L.L.C., and related affiliates controlled by the Company (collectively, “Katonah Debt Advisors”) and in securities issued by collateralized loan obligation funds (“CLO Funds”) managed by Katonah Debt Advisors and two other asset managers.</w:t>
      </w:r>
    </w:p>
    <w:p>
      <w:pPr>
        <w:spacing w:after="0" w:line="17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On April 28, 2008, the Company completed a rights offering that resulted in the issuance of 3.1 million shares of our common stock, and net proceeds of $27 million.</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February 29, 2012, the Company purchased Trimaran Advisors, L.L.C. (“Trimaran Advisors”), a CLO manager similar to Katonah Debt Advisors with assets under management of approximately $1.5 billion, for total consideration of $13.0 million in cash and 3,600,000 shares of the Company’s common stock. Contemporaneously with the acquisition of Trimaran Advisors, the Company acquired from Trimaran Advisors equity interests in certain CLO Funds managed by Trimaran Advisors for an aggregate purchase price of $12.0 million in cash. As of March 31, 2015, Katonah Debt Advisors and Trimaran Advisors are wholly-owned portfolio companies (collectively, “Asset Manager Affiliates”) and have approximately $2.9 billion of par value assets under management. The Asset Manager Affiliates are registered under the Investment Advisers Act of 1940 and are managed independently from the Company by a separate portfolio management team.</w:t>
      </w:r>
    </w:p>
    <w:p>
      <w:pPr>
        <w:spacing w:after="0" w:line="18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187"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On October 6, 2014, the Company completed a follow-on public offering of 3.0 million shares of its common stock at a price of $8.02 per share. The offering raised net proceeds were approximately $23.8 million, after deducting underwriting discounts and offering expenses.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three principal areas of investment:</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Second, the Company has invested in Asset Manager Affiliates that manage collateralized loan obligation funds (“CLOs”).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Third, the Company invests in debt and subordinated securities issued by CLOs (“CLO Fund Securities”). These CLO Fund Securities are primarily managed by our Asset Manager Affiliates, but from time-to-time the Company makes investments in CLO Fund Securities managed by other asset managers. The CLOs typically invest in broadly syndicated loans, high-yield bonds and other credit instruments.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6" w:name="page37"/>
    <w:bookmarkEnd w:id="36"/>
    <w:p>
      <w:pPr>
        <w:ind w:left="340"/>
        <w:spacing w:after="0"/>
        <w:rPr>
          <w:sz w:val="20"/>
          <w:szCs w:val="20"/>
          <w:color w:val="auto"/>
        </w:rPr>
      </w:pPr>
      <w:r>
        <w:rPr>
          <w:rFonts w:ascii="Arial" w:cs="Arial" w:eastAsia="Arial" w:hAnsi="Arial"/>
          <w:sz w:val="16"/>
          <w:szCs w:val="16"/>
          <w:color w:val="auto"/>
        </w:rPr>
        <w:t>The Company may also invest in other investments such as loans to larger, publicly-traded companies, high-yield bonds and distressed debt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also receive warrants or options to purchase common stock in connection with its debt investments.</w:t>
      </w:r>
    </w:p>
    <w:p>
      <w:pPr>
        <w:spacing w:after="0" w:line="21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U.S. federal income taxes on any income that it distributes in a timely manner to its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on the accrual basis of accounting in conformity with accounting principles generally accepted in the United States of America (“GAAP”) for interim financial information. Accordingly, they do not include all of the information and footnotes required for annual consolidated financial statements. The unaudited interim consolidated financial statements and notes thereto should be read in conjunction with the financial statements and notes thereto in the Company’s Form 10-K for the year ended December 31, 2014, as filed with the U.S. Securities and Exchange Commission (the “Commission” or the “SEC”).</w:t>
      </w:r>
    </w:p>
    <w:p>
      <w:pPr>
        <w:spacing w:after="0" w:line="18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management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 presentation.</w:t>
      </w:r>
    </w:p>
    <w:p>
      <w:pPr>
        <w:spacing w:after="0" w:line="19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KCAP Funding, Kolhberg Capital Funding I LLC, KCAP Senior Funding I, LLC and KCAP Senior Funding I Holdings, LLC in its consolidated financial statements as they are operated solely for investment activities of the Company. The creditors of KCAP Senior Funding I, LLC have received security interests in the assets owned by KCAP Senior Funding I, LLC and such assets are not intended to be available to the creditors of KCAP Financial, Inc., or any other affiliate.</w:t>
      </w:r>
    </w:p>
    <w:p>
      <w:pPr>
        <w:spacing w:after="0" w:line="17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is another investment company.</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Asset Manager Affiliates are subject to Accounting Standards Codification Topic 810, “Consolidation” and although the Company cannot consolidate the financial statements of portfolio company investments, this guidance impacts the required disclosures relating to the Asset Manager Affiliates, as it requires the Asset Manager Affiliates to consolidate the financial statements of managed CLO Funds. As a result of the consolidation of the financial statements of the CLOs into the financial statements of the Asset Manager Affiliates, the Asset Manager Affiliates qualify as a “significant subsidiary” and, as a result, the Company is required to include additional financial information regarding the Asset Manager Affiliates in its filings with the United States Securities and Exchange Commission (“SEC”). This additional financial information regarding the Asset Manager Affiliates does not directly impact the financial position or results of operations of the Company.</w:t>
      </w:r>
    </w:p>
    <w:p>
      <w:pPr>
        <w:spacing w:after="0" w:line="18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addition, in accordance with Rule 3-09 of Regulation S-X promulgated by the SEC, additional financial information with respect to oneof the CLO Funds in which the Company has an investment, Katonah 2007-I CLO Ltd. (“Katonah 2007-I CLO”) is required to be included in the Company’s SEC filings. The additional financial information regarding the Asset Manager Affiliates and Katonah 2007-I CLO (pursuant to Rule 3-09) is set forth in Note 5 to these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right="100" w:firstLine="324"/>
        <w:spacing w:after="0" w:line="257" w:lineRule="auto"/>
        <w:rPr>
          <w:sz w:val="20"/>
          <w:szCs w:val="20"/>
          <w:color w:val="auto"/>
        </w:rPr>
      </w:pPr>
      <w:r>
        <w:rPr>
          <w:rFonts w:ascii="Arial" w:cs="Arial" w:eastAsia="Arial" w:hAnsi="Arial"/>
          <w:sz w:val="18"/>
          <w:szCs w:val="18"/>
          <w:color w:val="auto"/>
        </w:rPr>
        <w:t>Stockholder distributions on the Statement of Changes in Net Assets reflect the estimated allocation, between net investment income and return of capital, of distributions made during the reporting period, excluding the distribution declared in a quarter with a record date occurring after the quarter-end. The tax character of distributions is made on an annual (full calendar-year) basis. The determination of the tax attributes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8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It is the Company’s primary investment objective to generate current income and capital appreciation by lending directly to privately-held middle market companies. During the first quarter of 2015, the Company provided $27 million in portfolio companies to support their growth objectives. None of this support was contractually obligated. See also Note 8 – Commitments and Contingencies. As of March 31, 2015, the Company holds loans it has made to 86 investee companies with aggregate principal amounts of $293 million. The details of such loans have been disclosed on the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leading a syndicate of lenders to provide the investee companies with financing. During the three months month period ended March 31, 2015, the Company did not make any such introductions or lead any syndicates.</w:t>
      </w:r>
    </w:p>
    <w:p>
      <w:pPr>
        <w:spacing w:after="0" w:line="19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August 2014, the Financial Accounting Standards Board (“FASB”) issued Accounting Standards Update (“ASU”) 2014- 15, “Presentation of Financial Statements — Going Concern (Subtopic 205-40): Disclosure of Uncertainties about an Entity’s Ability to Continue as a Going Concern” (“ASU 2014-15”). The standard requires management to evaluate, at each interim and annual reporting period, whether there are conditions or events that raise substantial doubt about the entity’s ability to continue as a going concern within one year after the date the financial statements are issued, and provide related disclosures. ASU 2014- 15 is effective for annual periods ending after December 15, 2016, and for annual and interim periods thereafter, and early adoption is permitted. We do not expect to adopt ASU 2014-15 early, and we do not believe the standard will have a material impact on our financial statements.</w:t>
      </w:r>
    </w:p>
    <w:p>
      <w:pPr>
        <w:spacing w:after="0" w:line="16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February 18, 2015, the FASB issued Accounting Standards Update 2015-2, which updated consolidation standards under ASC Topic 810, “Consolidation”. Under this update, a new consolidation analysis is required for variable interest entities (“VIEs”) and will limit the circumstances in which investment managers and similar entities are required to consolidate the entities that they manage. The FASB decided to eliminate some of the criteria under which their fees are considered a variable interest and limit the circumstances in which variable interests in a VIE held by related parties of a reporting enterprise require the reporting enterprise to consolidate the VIE. The guidance is effective for public business entities for annual and interim periods in fiscal years beginning after December 15, 2015.</w:t>
      </w:r>
    </w:p>
    <w:p>
      <w:pPr>
        <w:spacing w:after="0" w:line="193" w:lineRule="exact"/>
        <w:rPr>
          <w:sz w:val="20"/>
          <w:szCs w:val="20"/>
          <w:color w:val="auto"/>
        </w:rPr>
      </w:pPr>
    </w:p>
    <w:p>
      <w:pPr>
        <w:jc w:val="both"/>
        <w:ind w:right="100" w:firstLine="324"/>
        <w:spacing w:after="0" w:line="257" w:lineRule="auto"/>
        <w:rPr>
          <w:sz w:val="20"/>
          <w:szCs w:val="20"/>
          <w:color w:val="auto"/>
        </w:rPr>
      </w:pPr>
      <w:r>
        <w:rPr>
          <w:rFonts w:ascii="Arial" w:cs="Arial" w:eastAsia="Arial" w:hAnsi="Arial"/>
          <w:sz w:val="18"/>
          <w:szCs w:val="18"/>
          <w:color w:val="auto"/>
        </w:rPr>
        <w:t xml:space="preserve">In April 2015, the FASB issued Accounting Standards Update 2015-03, </w:t>
      </w:r>
      <w:r>
        <w:rPr>
          <w:rFonts w:ascii="Arial" w:cs="Arial" w:eastAsia="Arial" w:hAnsi="Arial"/>
          <w:sz w:val="18"/>
          <w:szCs w:val="18"/>
          <w:i w:val="1"/>
          <w:iCs w:val="1"/>
          <w:color w:val="auto"/>
        </w:rPr>
        <w:t>Interest – Imputation of Interest (Subtopic 835-30): Simplifying the Presentation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Debt Issuance Costs</w:t>
      </w:r>
      <w:r>
        <w:rPr>
          <w:rFonts w:ascii="Arial" w:cs="Arial" w:eastAsia="Arial" w:hAnsi="Arial"/>
          <w:sz w:val="18"/>
          <w:szCs w:val="18"/>
          <w:color w:val="auto"/>
        </w:rPr>
        <w:t>. Under this guidance, debt issuance costs related to a recognized debt liability are to be presented as a direct deduction from the debt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rather than as an asset on the balance sheet, consistent with debt discounts. For public business entities, the final guidance will be effective for fiscal years beginning after December 15, 2015, and interim periods within those fiscal years. Early adoption is permitted. The Company intends to adopt the new guidance beginning the first quarter of 2016.</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248"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i w:val="1"/>
          <w:iCs w:val="1"/>
          <w:color w:val="auto"/>
        </w:rPr>
        <w:t>Valuation of Portfolio Investments</w:t>
      </w:r>
      <w:r>
        <w:rPr>
          <w:rFonts w:ascii="Arial" w:cs="Arial" w:eastAsia="Arial" w:hAnsi="Arial"/>
          <w:sz w:val="16"/>
          <w:szCs w:val="16"/>
          <w:color w:val="auto"/>
        </w:rPr>
        <w:t>. The Company’s Board of Directors is ultimately and solely responsible for making a good faith determination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the Valuation Committee of the Board of Directors,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Subsequent to the adoption of ASC 820: Fair Value, the FASB has issued various staff positions clarifying the initial standard as noted below.</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ind w:firstLine="324"/>
        <w:spacing w:after="0" w:line="259" w:lineRule="auto"/>
        <w:rPr>
          <w:sz w:val="20"/>
          <w:szCs w:val="20"/>
          <w:color w:val="auto"/>
        </w:rPr>
      </w:pPr>
      <w:r>
        <w:rPr>
          <w:rFonts w:ascii="Arial" w:cs="Arial" w:eastAsia="Arial" w:hAnsi="Arial"/>
          <w:sz w:val="18"/>
          <w:szCs w:val="18"/>
          <w:color w:val="auto"/>
        </w:rPr>
        <w:t>The FASB issued guidance that clarified and required disclosures about fair value measurements. These include requirements to disclose the amounts and reasons for significant transfers between Level I and Level II, as well as significant transfers in and out of Level III of the fair value hierarchy (see Note 4 – “Investments – Fair Value Measurements” for further information relating to Level I, Level II and Level III). The guidance also required that purchases, sales, issuances and settlements be presented gross in the Level III reconciliation.</w:t>
      </w:r>
    </w:p>
    <w:p>
      <w:pPr>
        <w:spacing w:after="0" w:line="187"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ASC 820: Fair Value requires the disclosure in interim and annual periods of the inputs and valuation techniques used to measure fair value and a discussion of changes in valuation techniques and related inputs, if any, during the period.</w:t>
      </w:r>
    </w:p>
    <w:p>
      <w:pPr>
        <w:spacing w:after="0" w:line="170"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The Company utilizes an independent valuation firm to provide an annual third-party review of the Company’s CLO fair value model relative to its functionality, model inputs and calculations as a reasonable method to determine CLO fair values, in the absence of Level I or Level II trading activity or observable market inputs. The independent valuation firm’s 2014 annual review concluded that the Company’s CLO model appropriately factors in all the necessary inputs required to build a CLO equity cash flow model for fair value purposes and that the inputs were being employed correctly.</w:t>
      </w:r>
    </w:p>
    <w:p>
      <w:pPr>
        <w:spacing w:after="0" w:line="154"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 month period. These third party valuation estimates are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8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Board of Directors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178"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Debt Securities</w:t>
      </w:r>
      <w:r>
        <w:rPr>
          <w:rFonts w:ascii="Arial" w:cs="Arial" w:eastAsia="Arial" w:hAnsi="Arial"/>
          <w:sz w:val="18"/>
          <w:szCs w:val="18"/>
          <w:color w:val="auto"/>
        </w:rPr>
        <w:t>. To the extent that the Company’s investments are exchange traded and are priced or have sufficient price indications from normal course</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at or around the valuation date (financial reporting date), such pricing will determine fair value.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9" w:name="page40"/>
    <w:bookmarkEnd w:id="39"/>
    <w:p>
      <w:pPr>
        <w:ind w:right="120" w:firstLine="32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Schedules of Investments.</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In cases where the Company receives warrants to purchase equity securities, a market standard Black-Scholes model is utilized.</w:t>
      </w:r>
    </w:p>
    <w:p>
      <w:pPr>
        <w:spacing w:after="0" w:line="18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Asset Manager Affiliates</w:t>
      </w:r>
      <w:r>
        <w:rPr>
          <w:rFonts w:ascii="Arial" w:cs="Arial" w:eastAsia="Arial" w:hAnsi="Arial"/>
          <w:sz w:val="18"/>
          <w:szCs w:val="18"/>
          <w:color w:val="auto"/>
        </w:rPr>
        <w:t>. The Company’s investments in its wholly-owned asset management companies, the Asset Manager Affiliates, are carried at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 is primarily determined utilizing the Discounted Cash Flow approach,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a percentage of assets under management. The Asset Manager Affiliates are classified as a Level III investment. Any change in value from period to period is recognized as net change in unrealized appreciation or depreciation.</w:t>
      </w:r>
    </w:p>
    <w:p>
      <w:pPr>
        <w:spacing w:after="0" w:line="193"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minority investment in the most junior class of securities of CLO Funds raised and managed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Manager Affiliates and may selectively invest in securities issued by funds managed by other asset management companies. The investments held by CLO Funds generally relate to non-investment grade credit instruments issued by corporations.</w:t>
      </w:r>
    </w:p>
    <w:p>
      <w:pPr>
        <w:spacing w:after="0" w:line="181"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0" w:name="page41"/>
    <w:bookmarkEnd w:id="40"/>
    <w:p>
      <w:pPr>
        <w:ind w:firstLine="32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6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 The Company defines cash as demand deposits. The Company places its cash with financial institutions and, at times, cash held in checking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may exceed the Federal Deposit Insurance Corporation insured limit.</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 Restricted cash and cash equivalents (e.g. money market funds) consists of cash held for reinvestment, quarterly interest and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(if any) to holders of notes issued by KCAP Senior Funding I, LLC.</w:t>
      </w:r>
    </w:p>
    <w:p>
      <w:pPr>
        <w:spacing w:after="0" w:line="170"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b w:val="1"/>
          <w:bCs w:val="1"/>
          <w:i w:val="1"/>
          <w:iCs w:val="1"/>
          <w:color w:val="auto"/>
        </w:rPr>
        <w:t>Time Deposits and Money Market Accounts</w:t>
      </w:r>
      <w:r>
        <w:rPr>
          <w:rFonts w:ascii="Arial" w:cs="Arial" w:eastAsia="Arial" w:hAnsi="Arial"/>
          <w:sz w:val="16"/>
          <w:szCs w:val="16"/>
          <w:color w:val="auto"/>
        </w:rPr>
        <w:t>. Time deposits primarily represent investments of cash held in demand deposit accounts. Money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accounts primarily represent short term interest-bearing deposit accounts. Also includes restricted cash held under employee benefit plans.</w:t>
      </w:r>
    </w:p>
    <w:p>
      <w:pPr>
        <w:spacing w:after="0" w:line="124"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b w:val="1"/>
          <w:bCs w:val="1"/>
          <w:i w:val="1"/>
          <w:iCs w:val="1"/>
          <w:color w:val="auto"/>
        </w:rPr>
        <w:t>Interest Income</w:t>
      </w:r>
      <w:r>
        <w:rPr>
          <w:rFonts w:ascii="Arial" w:cs="Arial" w:eastAsia="Arial" w:hAnsi="Arial"/>
          <w:sz w:val="16"/>
          <w:szCs w:val="16"/>
          <w:color w:val="auto"/>
        </w:rPr>
        <w:t>. Interest income, including the amortization of premium and accretion of discount, is recorded on the accrual basis to the extent that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are expected to be collected. The Company generally places a loan or security on non-accrual status and ceases recognizing cash interest income on such loan or security when a loan or security becomes 90 days or more past due or if the Company otherwise does not expect the debtor to be able to service its debt obligations. Non-accrual loans remain in such status until the borrower has demonstrated the ability and intent to pay contractual amounts due or such loans become current. As of March 31, 2015, 1 issuer representing less than 1% of the Company’s total investments at fair value was on a non-accrual status.</w:t>
      </w:r>
    </w:p>
    <w:p>
      <w:pPr>
        <w:spacing w:after="0" w:line="158"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b w:val="1"/>
          <w:bCs w:val="1"/>
          <w:i w:val="1"/>
          <w:iCs w:val="1"/>
          <w:color w:val="auto"/>
        </w:rPr>
        <w:t>Distributions from Asset Manager Affiliates</w:t>
      </w:r>
      <w:r>
        <w:rPr>
          <w:rFonts w:ascii="Arial" w:cs="Arial" w:eastAsia="Arial" w:hAnsi="Arial"/>
          <w:sz w:val="18"/>
          <w:szCs w:val="18"/>
          <w:color w:val="auto"/>
        </w:rPr>
        <w:t>. The Company records distributions from our Asset Manager Affiliates on the declaration date,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represents the ex-dividend date. Distributions in excess of tax-basis earnings and profits of the distributing affiliate company are recognized as tax-basis return of capital.</w:t>
      </w:r>
    </w:p>
    <w:p>
      <w:pPr>
        <w:spacing w:after="0" w:line="18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b w:val="1"/>
          <w:bCs w:val="1"/>
          <w:i w:val="1"/>
          <w:iCs w:val="1"/>
          <w:color w:val="auto"/>
        </w:rPr>
        <w:t>Investment Income on CLO Fund Securities</w:t>
      </w:r>
      <w:r>
        <w:rPr>
          <w:rFonts w:ascii="Arial" w:cs="Arial" w:eastAsia="Arial" w:hAnsi="Arial"/>
          <w:sz w:val="16"/>
          <w:szCs w:val="16"/>
          <w:color w:val="auto"/>
        </w:rPr>
        <w:t>. The Company generates investment income from its investments in the most junior class of securities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 Funds (typically preferred shares or subordinated securities) managed by the Asset Manager Affiliates and selective investments in securities issued by funds managed by other asset management companies.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16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17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For non-junior class CLO Fund securities, such as the Company’s investment in the Class F Notes of the Catamaran 2012-1 CLO and Class E Notes of the Catamaran 2014-1 CLO, interest is earned at a fixed spread relative to the LIBOR index.</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b w:val="1"/>
          <w:bCs w:val="1"/>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ind w:firstLine="324"/>
        <w:spacing w:after="0" w:line="277" w:lineRule="auto"/>
        <w:rPr>
          <w:sz w:val="20"/>
          <w:szCs w:val="20"/>
          <w:color w:val="auto"/>
        </w:rPr>
      </w:pPr>
      <w:r>
        <w:rPr>
          <w:rFonts w:ascii="Arial" w:cs="Arial" w:eastAsia="Arial" w:hAnsi="Arial"/>
          <w:sz w:val="18"/>
          <w:szCs w:val="18"/>
          <w:b w:val="1"/>
          <w:bCs w:val="1"/>
          <w:i w:val="1"/>
          <w:iCs w:val="1"/>
          <w:color w:val="auto"/>
        </w:rPr>
        <w:t>Debt Issuance Costs</w:t>
      </w:r>
      <w:r>
        <w:rPr>
          <w:rFonts w:ascii="Arial" w:cs="Arial" w:eastAsia="Arial" w:hAnsi="Arial"/>
          <w:sz w:val="18"/>
          <w:szCs w:val="18"/>
          <w:color w:val="auto"/>
        </w:rPr>
        <w:t>. Debt issuance costs represent fees and other direct costs incurred in connection with the Company’s borrowings. These amounts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capitalized and amortized using the effective interest method over the contractual term of the borrowing.</w:t>
      </w:r>
    </w:p>
    <w:p>
      <w:pPr>
        <w:spacing w:after="0" w:line="17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b w:val="1"/>
          <w:bCs w:val="1"/>
          <w:i w:val="1"/>
          <w:iCs w:val="1"/>
          <w:color w:val="auto"/>
        </w:rPr>
        <w:t>Extinguishment of debt</w:t>
      </w:r>
      <w:r>
        <w:rPr>
          <w:rFonts w:ascii="Arial" w:cs="Arial" w:eastAsia="Arial" w:hAnsi="Arial"/>
          <w:sz w:val="17"/>
          <w:szCs w:val="17"/>
          <w:color w:val="auto"/>
        </w:rPr>
        <w:t>. An issuer must derecognize a liability if and only if it has been extinguished through delivery of cash, delivery of other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delivery of goods or services, or reacquisition by the issuer of its outstanding debt securities whether the securities are cancelled or held. If the debt contains a cash conversion option, the issuer must allocate the consideration transferred and transaction costs incurred to the extinguishment of the liability component and the reacquisition of the equity component and recognize a gain or loss in the statement of operations.</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b w:val="1"/>
          <w:bCs w:val="1"/>
          <w:i w:val="1"/>
          <w:iCs w:val="1"/>
          <w:color w:val="auto"/>
        </w:rPr>
        <w:t>Expenses</w:t>
      </w:r>
      <w:r>
        <w:rPr>
          <w:rFonts w:ascii="Arial" w:cs="Arial" w:eastAsia="Arial" w:hAnsi="Arial"/>
          <w:sz w:val="18"/>
          <w:szCs w:val="18"/>
          <w:color w:val="auto"/>
        </w:rPr>
        <w:t>. The Company is internally managed and expenses costs, as incurred, with regard to the running of its operations. Primary operating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employee salaries and benefits, the costs of identifying, evaluating, negotiating, closing, monitoring and servicing the Company’s investments and related overhead charges and expenses, including rental expense, and any interest expense incurred in connection with borrowings. The Company and the Asset Manager Affiliates share office space and certain other operating expenses. The Company has entered into an Overhead Allocation Agreement with the Asset Manager Affiliates which provides for the sharing of such expenses based on an allocation of office lease costs and the ratable usage of other shared resources.</w:t>
      </w:r>
    </w:p>
    <w:p>
      <w:pPr>
        <w:spacing w:after="0" w:line="19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b w:val="1"/>
          <w:bCs w:val="1"/>
          <w:i w:val="1"/>
          <w:iCs w:val="1"/>
          <w:color w:val="auto"/>
        </w:rPr>
        <w:t>Distributions</w:t>
      </w:r>
      <w:r>
        <w:rPr>
          <w:rFonts w:ascii="Arial" w:cs="Arial" w:eastAsia="Arial" w:hAnsi="Arial"/>
          <w:sz w:val="18"/>
          <w:szCs w:val="18"/>
          <w:color w:val="auto"/>
        </w:rPr>
        <w:t>. Distributions to common stockholders are recorded on the ex-dividend date. The amount of distributions, if any, is determined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each quarter.</w:t>
      </w:r>
    </w:p>
    <w:p>
      <w:pPr>
        <w:spacing w:after="0" w:line="170"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The Company has adopted a dividend reinvestment plan that provides for reinvestment of its distributions on behalf of its stockholders, unless a stockholder “opts out” of the plan to receive cash in lieu of having their cash distributions automatically reinvested in additional shares of the Company’s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accordance with the provisions of ASC 260,“Earnings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three months ended March 31, 2015 and 2014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3"/>
              </w:rPr>
              <w:t>Three Months Ended March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7,672,290</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3,441,590</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decrease in net assets allocated to unvested share awards</w:t>
            </w:r>
          </w:p>
        </w:tc>
        <w:tc>
          <w:tcPr>
            <w:tcW w:w="1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(128,976)</w:t>
            </w:r>
          </w:p>
        </w:tc>
        <w:tc>
          <w:tcPr>
            <w:tcW w:w="4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(28,183)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available to common stockholders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7,543,314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3,413,407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outstanding for basic shares computation</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36,834,266</w:t>
            </w:r>
          </w:p>
        </w:tc>
        <w:tc>
          <w:tcPr>
            <w:tcW w:w="2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w w:val="99"/>
              </w:rPr>
              <w:t>33,337,967</w:t>
            </w:r>
          </w:p>
        </w:tc>
        <w:tc>
          <w:tcPr>
            <w:tcW w:w="10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 stock options</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9,116</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tcPr>
          <w:p>
            <w:pPr>
              <w:spacing w:after="0" w:line="182" w:lineRule="exact"/>
              <w:rPr>
                <w:sz w:val="20"/>
                <w:szCs w:val="20"/>
                <w:color w:val="auto"/>
              </w:rPr>
            </w:pPr>
            <w:r>
              <w:rPr>
                <w:rFonts w:ascii="Arial" w:cs="Arial" w:eastAsia="Arial" w:hAnsi="Arial"/>
                <w:sz w:val="18"/>
                <w:szCs w:val="18"/>
                <w:color w:val="auto"/>
                <w:w w:val="92"/>
              </w:rPr>
              <w:t>Weighted average number of common and common stock equivalent shares outstanding for diluted</w:t>
            </w: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7320" w:type="dxa"/>
            <w:vAlign w:val="bottom"/>
            <w:gridSpan w:val="2"/>
          </w:tcPr>
          <w:p>
            <w:pPr>
              <w:spacing w:after="0"/>
              <w:rPr>
                <w:sz w:val="20"/>
                <w:szCs w:val="20"/>
                <w:color w:val="auto"/>
              </w:rPr>
            </w:pPr>
            <w:r>
              <w:rPr>
                <w:rFonts w:ascii="Arial" w:cs="Arial" w:eastAsia="Arial" w:hAnsi="Arial"/>
                <w:sz w:val="18"/>
                <w:szCs w:val="18"/>
                <w:color w:val="auto"/>
              </w:rPr>
              <w:t>shares computation</w:t>
            </w:r>
          </w:p>
        </w:tc>
        <w:tc>
          <w:tcPr>
            <w:tcW w:w="14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36,843,382</w:t>
            </w:r>
          </w:p>
        </w:tc>
        <w:tc>
          <w:tcPr>
            <w:tcW w:w="4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33,349,916</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increase in net assets per basic common shares:</w:t>
            </w: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0.21</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per diluted shares: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0.20</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7300" w:type="dxa"/>
            <w:vAlign w:val="bottom"/>
            <w:tcBorders>
              <w:bottom w:val="single" w:sz="8" w:color="auto"/>
            </w:tcBorders>
          </w:tcPr>
          <w:p>
            <w:pPr>
              <w:jc w:val="right"/>
              <w:ind w:right="1430"/>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42" w:name="page43"/>
    <w:bookmarkEnd w:id="42"/>
    <w:p>
      <w:pPr>
        <w:ind w:right="120" w:firstLine="324"/>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187"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There were 50,000 options to purchase shares of common stock for the three months ended March 31, 2015. For the three months ended March 31, 2015 and 2014, options to purchase 9,116 and 11,949 shares of common stock, respectively, were included in the computation of diluted earnings per share.</w:t>
      </w:r>
    </w:p>
    <w:p>
      <w:pPr>
        <w:spacing w:after="0" w:line="12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Company’s Convertible Notes are included in the computation of the diluted net increase or decrease in net assets resulting from operations per share by application of the “if-converted method.” Under the if-converted method, interest charges applicable to the convertible notes for the period are added to reported net increase or decrease in net assets resulting from operations and the full amount of shares (pro-rata if not outstanding for the full period) that would be issued are added to weighted average basic shares. Convertible notes are considered anti-dilutive only when its interest per share upon conversion exceeds the basic net increase or decrease in net assets resulting from operations per share. For the three months ended March 31, 2015 and 2014, the effects of the convertible notes are anti-dilutive.</w:t>
      </w:r>
    </w:p>
    <w:p>
      <w:pPr>
        <w:spacing w:after="0" w:line="193" w:lineRule="exact"/>
        <w:rPr>
          <w:sz w:val="20"/>
          <w:szCs w:val="20"/>
          <w:color w:val="auto"/>
        </w:rPr>
      </w:pPr>
    </w:p>
    <w:p>
      <w:pPr>
        <w:jc w:val="both"/>
        <w:ind w:right="20" w:firstLine="324"/>
        <w:spacing w:after="0" w:line="288" w:lineRule="auto"/>
        <w:rPr>
          <w:sz w:val="20"/>
          <w:szCs w:val="20"/>
          <w:color w:val="auto"/>
        </w:rPr>
      </w:pPr>
      <w:r>
        <w:rPr>
          <w:rFonts w:ascii="Arial" w:cs="Arial" w:eastAsia="Arial" w:hAnsi="Arial"/>
          <w:sz w:val="16"/>
          <w:szCs w:val="16"/>
          <w:color w:val="auto"/>
        </w:rPr>
        <w:t>The if-converted method of computing the dilutive effects on convertible notes assumes a conversion even if the contracted conversion price exceeds the market value of the shares. As of March 31, 2015 the current conversion rate of the Convertible Notes is approximately 132.7726 shares of our common stock per $1,000 principal amount of the Convertible Notes, equivalent to a conversion price of approximately $7.53 per share of the Company’s common stock.</w:t>
      </w:r>
    </w:p>
    <w:p>
      <w:pPr>
        <w:ind w:right="760"/>
        <w:spacing w:after="0" w:line="261" w:lineRule="auto"/>
        <w:rPr>
          <w:sz w:val="20"/>
          <w:szCs w:val="20"/>
          <w:color w:val="auto"/>
        </w:rPr>
      </w:pPr>
      <w:r>
        <w:rPr>
          <w:rFonts w:ascii="Arial" w:cs="Arial" w:eastAsia="Arial" w:hAnsi="Arial"/>
          <w:sz w:val="18"/>
          <w:szCs w:val="18"/>
          <w:color w:val="auto"/>
        </w:rPr>
        <w:t>Upon conversion, the Company may issue the full amount of common stock and retire the full amount of debt outstanding or, at its option, settle the conversion in cash.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March 31, 2015 and 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1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center"/>
              <w:ind w:left="450"/>
              <w:spacing w:after="0"/>
              <w:rPr>
                <w:sz w:val="20"/>
                <w:szCs w:val="20"/>
                <w:color w:val="auto"/>
              </w:rPr>
            </w:pPr>
            <w:r>
              <w:rPr>
                <w:rFonts w:ascii="Arial" w:cs="Arial" w:eastAsia="Arial" w:hAnsi="Arial"/>
                <w:sz w:val="18"/>
                <w:szCs w:val="18"/>
                <w:b w:val="1"/>
                <w:bCs w:val="1"/>
                <w:color w:val="auto"/>
                <w:w w:val="92"/>
              </w:rPr>
              <w:t>March 31, 2015 (unaudited)</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7"/>
          </w:tcPr>
          <w:p>
            <w:pPr>
              <w:jc w:val="center"/>
              <w:ind w:left="630"/>
              <w:spacing w:after="0"/>
              <w:rPr>
                <w:sz w:val="20"/>
                <w:szCs w:val="20"/>
                <w:color w:val="auto"/>
              </w:rPr>
            </w:pPr>
            <w:r>
              <w:rPr>
                <w:rFonts w:ascii="Arial" w:cs="Arial" w:eastAsia="Arial" w:hAnsi="Arial"/>
                <w:sz w:val="18"/>
                <w:szCs w:val="18"/>
                <w:b w:val="1"/>
                <w:bCs w:val="1"/>
                <w:color w:val="auto"/>
                <w:w w:val="88"/>
              </w:rPr>
              <w:t>December 31, 2014</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6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2"/>
              </w:rPr>
              <w:t>Fair Value</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%¹</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2"/>
              </w:rPr>
              <w:t>Fair Value</w:t>
            </w: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rPr>
              <w:t>%¹</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Accounts³</w:t>
            </w:r>
          </w:p>
        </w:tc>
        <w:tc>
          <w:tcPr>
            <w:tcW w:w="1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1,729,575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1,729,575</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1,602,741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1,602,741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Senior Secured Loan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218,339,421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217,219,634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220,965,922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218,329,860</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40,085,271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39,832,410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38,664,199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38,569,006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Senior Unsecured Loan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33,104,782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33,104,782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33,066,984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33,066,984</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First Lien Bond</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2,967,369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2,580,000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2,962,507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2,580,000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Senior Subordinated Bond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4,330,633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4,295,736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4,295,544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4,240,301</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11,363,885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11,482,540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11,208,178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11,386,218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Senior Secured Bond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1,513,639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1,485,000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1,515,584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1,552,500</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99,812,887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85,853,478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90,889,190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77,514,901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Equity Securities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8,828,812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8,063,558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8,828,812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8,119,681</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Preferred</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10,257,047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10,470,393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10,206,016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10,418,302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Asset Manager Affiliates²</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59,006,651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71,524,000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60,292,677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72,326,000</w:t>
            </w: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491,339,972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487,641,106</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185%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484,498,354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479,706,494</w:t>
            </w:r>
          </w:p>
        </w:tc>
        <w:tc>
          <w:tcPr>
            <w:tcW w:w="200" w:type="dxa"/>
            <w:vAlign w:val="bottom"/>
          </w:tcPr>
          <w:p>
            <w:pPr>
              <w:spacing w:after="0"/>
              <w:rPr>
                <w:sz w:val="21"/>
                <w:szCs w:val="21"/>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1780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¹ Calculated as a percentage of Net Asset Value.</w:t>
      </w:r>
    </w:p>
    <w:p>
      <w:pPr>
        <w:spacing w:after="0" w:line="23" w:lineRule="exact"/>
        <w:rPr>
          <w:sz w:val="20"/>
          <w:szCs w:val="20"/>
          <w:color w:val="auto"/>
        </w:rPr>
      </w:pPr>
    </w:p>
    <w:p>
      <w:pPr>
        <w:ind w:right="6600" w:firstLine="8"/>
        <w:spacing w:after="0" w:line="323" w:lineRule="auto"/>
        <w:tabs>
          <w:tab w:leader="none" w:pos="99"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the equity investment in the Asset Manager Affiliates. ³ Includes restricted cash held under employee benefit plans.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ind w:right="600" w:firstLine="32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March 31, 2015 and December 31, 2014,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ind w:left="560"/>
              <w:spacing w:after="0"/>
              <w:rPr>
                <w:sz w:val="20"/>
                <w:szCs w:val="20"/>
                <w:color w:val="auto"/>
              </w:rPr>
            </w:pPr>
            <w:r>
              <w:rPr>
                <w:rFonts w:ascii="Arial" w:cs="Arial" w:eastAsia="Arial" w:hAnsi="Arial"/>
                <w:sz w:val="18"/>
                <w:szCs w:val="18"/>
                <w:b w:val="1"/>
                <w:bCs w:val="1"/>
                <w:color w:val="auto"/>
                <w:w w:val="92"/>
              </w:rPr>
              <w:t>March 31, 2015 (unaudited)</w:t>
            </w: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ind w:left="920"/>
              <w:spacing w:after="0"/>
              <w:rPr>
                <w:sz w:val="20"/>
                <w:szCs w:val="20"/>
                <w:color w:val="auto"/>
              </w:rPr>
            </w:pPr>
            <w:r>
              <w:rPr>
                <w:rFonts w:ascii="Arial" w:cs="Arial" w:eastAsia="Arial" w:hAnsi="Arial"/>
                <w:sz w:val="18"/>
                <w:szCs w:val="18"/>
                <w:b w:val="1"/>
                <w:bCs w:val="1"/>
                <w:color w:val="auto"/>
                <w:w w:val="99"/>
              </w:rPr>
              <w:t>December 31, 2014</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Industry Classification</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Fair Value</w:t>
            </w: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18"/>
                <w:szCs w:val="18"/>
                <w:b w:val="1"/>
                <w:bCs w:val="1"/>
                <w:color w:val="auto"/>
                <w:w w:val="97"/>
              </w:rPr>
              <w:t>%</w:t>
            </w:r>
            <w:r>
              <w:rPr>
                <w:rFonts w:ascii="Arial" w:cs="Arial" w:eastAsia="Arial" w:hAnsi="Arial"/>
                <w:sz w:val="29"/>
                <w:szCs w:val="29"/>
                <w:b w:val="1"/>
                <w:bCs w:val="1"/>
                <w:color w:val="auto"/>
                <w:w w:val="97"/>
                <w:vertAlign w:val="superscript"/>
              </w:rPr>
              <w:t>1</w:t>
            </w:r>
          </w:p>
        </w:tc>
        <w:tc>
          <w:tcPr>
            <w:tcW w:w="3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Fair Value</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color w:val="auto"/>
                <w:vertAlign w:val="superscript"/>
              </w:rPr>
              <w:t>1</w:t>
            </w:r>
          </w:p>
        </w:tc>
        <w:tc>
          <w:tcPr>
            <w:tcW w:w="160" w:type="dxa"/>
            <w:vAlign w:val="bottom"/>
            <w:tcBorders>
              <w:bottom w:val="single" w:sz="8" w:color="CCEEFF"/>
            </w:tcBorders>
          </w:tcPr>
          <w:p>
            <w:pPr>
              <w:spacing w:after="0"/>
              <w:rPr>
                <w:sz w:val="21"/>
                <w:szCs w:val="2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10,011,228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9,517,729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10,059,487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9,533,092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4020" w:type="dxa"/>
            <w:vAlign w:val="bottom"/>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59,006,651</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71,524,000</w:t>
            </w: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60,292,677</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72,326,000</w:t>
            </w:r>
          </w:p>
        </w:tc>
        <w:tc>
          <w:tcPr>
            <w:tcW w:w="200" w:type="dxa"/>
            <w:vAlign w:val="bottom"/>
          </w:tcPr>
          <w:p>
            <w:pPr>
              <w:spacing w:after="0"/>
              <w:rPr>
                <w:sz w:val="22"/>
                <w:szCs w:val="22"/>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Portfolio Company Loan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23,000,000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23,000,000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23,000,000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23,000,000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Automotive</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8,354,204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8,391,470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8,362,956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8,312,548</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6,884,526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6,951,589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7,660,721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7,639,366</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21,904,449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21,729,641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17,974,974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17,883,421</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7</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9,495,134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10,237,566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9,486,407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10,351,329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6,325,803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6,327,732</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6,348,226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6,210,253</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99,812,887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85,853,478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90,889,190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77,514,901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Consumer goods: Durable</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13,711,750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13,116,322</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13,876,482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13,301,207</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13,489,480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13,374,870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13,535,975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13,314,952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Containers, Packaging and Glass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2,916,649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2,933,055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2,992,443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2,946,734</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Energy: Oil &amp; Gas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13,968,476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13,043,752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13,866,208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13,289,753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Environmental Industries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12,889,751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12,835,904</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12,942,593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12,911,017</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Forest Products &amp; Paper</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5,909,837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5,982,313</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5,917,051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5,942,523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Healthcare &amp; Pharmaceuticals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65,420,489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65,452,651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66,186,412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65,720,782</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27</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11,474,486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11,548,350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14,457,495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14,419,110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Hotel, Gaming &amp; Leisure</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3,219,576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2,828,950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3,392,481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2,962,315</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Media: Advertising, Printing &amp; Publishing</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11,275,490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11,145,278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11,318,815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11,396,027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Media: Broadcasting &amp; Subscription</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14,342,363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14,244,078</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14,477,078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14,409,401</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6</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Metals &amp; Mining</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228,563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228,563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4,388,413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4,106,685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4,234,086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3,773,847</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20,655,932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20,571,564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16,550,255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16,066,421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Services: Consumer</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6,775,834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6,828,928</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6,798,372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6,752,521</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18,113,209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18,063,402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22,030,434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21,865,864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r>
      <w:tr>
        <w:trPr>
          <w:trHeight w:val="257"/>
        </w:trPr>
        <w:tc>
          <w:tcPr>
            <w:tcW w:w="4020" w:type="dxa"/>
            <w:vAlign w:val="bottom"/>
          </w:tcPr>
          <w:p>
            <w:pPr>
              <w:spacing w:after="0" w:line="256" w:lineRule="exact"/>
              <w:rPr>
                <w:sz w:val="20"/>
                <w:szCs w:val="20"/>
                <w:color w:val="auto"/>
              </w:rPr>
            </w:pPr>
            <w:r>
              <w:rPr>
                <w:rFonts w:ascii="Arial" w:cs="Arial" w:eastAsia="Arial" w:hAnsi="Arial"/>
                <w:sz w:val="18"/>
                <w:szCs w:val="18"/>
                <w:color w:val="auto"/>
              </w:rPr>
              <w:t>Time Deposit and Money Market Accounts</w:t>
            </w:r>
            <w:r>
              <w:rPr>
                <w:rFonts w:ascii="Arial" w:cs="Arial" w:eastAsia="Arial" w:hAnsi="Arial"/>
                <w:sz w:val="29"/>
                <w:szCs w:val="29"/>
                <w:color w:val="auto"/>
                <w:vertAlign w:val="superscript"/>
              </w:rPr>
              <w:t>3</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1,729,575</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1,729,575</w:t>
            </w: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1,602,741</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1,602,741</w:t>
            </w:r>
          </w:p>
        </w:tc>
        <w:tc>
          <w:tcPr>
            <w:tcW w:w="200" w:type="dxa"/>
            <w:vAlign w:val="bottom"/>
          </w:tcPr>
          <w:p>
            <w:pPr>
              <w:spacing w:after="0"/>
              <w:rPr>
                <w:sz w:val="22"/>
                <w:szCs w:val="22"/>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Cargo</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20,190,884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20,467,538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20,156,700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20,455,941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Utilities: Electric</w:t>
            </w: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5,844,333</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5,833,686</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5,859,532</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5,803,428</w:t>
            </w:r>
          </w:p>
        </w:tc>
        <w:tc>
          <w:tcPr>
            <w:tcW w:w="200" w:type="dxa"/>
            <w:vAlign w:val="bottom"/>
          </w:tcPr>
          <w:p>
            <w:pPr>
              <w:spacing w:after="0"/>
              <w:rPr>
                <w:sz w:val="19"/>
                <w:szCs w:val="19"/>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r>
      <w:tr>
        <w:trPr>
          <w:trHeight w:val="223"/>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491,339,972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487,641,106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185</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484,498,354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479,706,494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1780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35"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Net Asset Value.</w:t>
      </w:r>
    </w:p>
    <w:p>
      <w:pPr>
        <w:ind w:left="220" w:hanging="212"/>
        <w:spacing w:after="0" w:line="184" w:lineRule="auto"/>
        <w:tabs>
          <w:tab w:leader="none" w:pos="22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Represents the equity investment in the Asset Manager Affiliates.</w:t>
      </w:r>
    </w:p>
    <w:p>
      <w:pPr>
        <w:ind w:left="220" w:hanging="212"/>
        <w:spacing w:after="0" w:line="185" w:lineRule="auto"/>
        <w:tabs>
          <w:tab w:leader="none" w:pos="22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Includes restricted cash held under employee benefit plans.</w:t>
      </w:r>
    </w:p>
    <w:p>
      <w:pPr>
        <w:spacing w:after="0" w:line="202"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 debt and equity securities of CLO Funds, distressed debt or debt and equity securities of public companies. The Company expects that these public companies generally will have debt that is non-investment grade. Within this 30% of the portfolio, the Company also may invest in debt of middle market companies located outside of the United States.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ind w:right="120" w:firstLine="324"/>
        <w:spacing w:after="0" w:line="259" w:lineRule="auto"/>
        <w:rPr>
          <w:sz w:val="20"/>
          <w:szCs w:val="20"/>
          <w:color w:val="auto"/>
        </w:rPr>
      </w:pPr>
      <w:r>
        <w:rPr>
          <w:rFonts w:ascii="Arial" w:cs="Arial" w:eastAsia="Arial" w:hAnsi="Arial"/>
          <w:sz w:val="18"/>
          <w:szCs w:val="18"/>
          <w:color w:val="auto"/>
        </w:rPr>
        <w:t>At March 31, 2015 and December 31, 2014, the total amount of non-qualifying assets was approximately 23% and 21% of total assets, respectively. The majority of non-qualifying assets were foreign investments which were approximately 17% and 16% of the Company’s total assets, respectively (primarily the Company’s investments in CLO Funds, which are typically domiciled outside the U.S. and represented approximately 17% and 16% of its total assets on such dates, respectively).</w:t>
      </w:r>
    </w:p>
    <w:p>
      <w:pPr>
        <w:spacing w:after="0" w:line="18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At March 31, 2015 and December 31, 2014, the Company’s ten largest portfolio companies represented approximately 38%, for both periods, of the total fair value of its investments. The Company’s largest investment, the equity of our Asset Manager Affiliates, represented 15% of the total fair value of the Company’s investments at March 31, 2015 and December 31, 2014. This does not include a temporary loan provided by the Company to Trimaran for working capital purposes, which is callable and payable on demand. This Loan was $23 million as of March 31, 2015, and was subsequently repaid on May 5, 2015 (see Subsequent Event Footnote 12). Excluding the Asset Manager Affiliates and CLO Fund securities, the Company’s ten largest portfolio companies represented approximately 17% of the total fair value of the Company’s investments at March 31, 2015 and December 31,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CLO Fund Securities</w:t>
      </w:r>
    </w:p>
    <w:p>
      <w:pPr>
        <w:spacing w:after="0" w:line="22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Company typically makes a minority investment in the most junior class of securities (typically preferred shares or subordinated securities) of CLO Funds managed by the Asset Manager Affiliates and may selectively invest in securities issued by CLO funds managed by other asset management companies.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6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In December 2012, the Company purchased $4.5 million par value of the class F Notes and $8.9 million par value of the Subordinated Notes of Catamaran 2012-1 CLO (“Catamaran 2012-1”) managed by Trimaran Advisors.</w:t>
      </w:r>
    </w:p>
    <w:p>
      <w:pPr>
        <w:spacing w:after="0" w:line="170"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In June 2013, the Company purchased $9.0 million of the par value of the Subordinated Notes of Catamaran 2013-1 CLO (“Catamaran 2013-1”) managed by Trimaran Advisors.</w:t>
      </w:r>
    </w:p>
    <w:p>
      <w:pPr>
        <w:spacing w:after="0" w:line="170"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In May and August 2014, the Company purchased $11.1 million and $9.9 million of the par value of the Subordinated Notes of Catamaran 2014-1 CLO (“Catamaran 2014-1”) and 2014-2 CLO (“Catamaran 2014-2”), respectively. Both are managed by Trimaran Advisors.</w:t>
      </w:r>
    </w:p>
    <w:p>
      <w:pPr>
        <w:spacing w:after="0" w:line="14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March 2015, the Company purchased approximately $12 million of the par value of the Subordinated Notes of Catamaran 2015-1 CLO (“Catamaran 2015-1”) managed by Trimaran Advisors.</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All CLO Funds managed by the Asset Manager Affiliates are currently making quarterly distributions to the Company with respect to its interests in the CLO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 “Significant Accounting Policies — Investments”).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ind w:right="220" w:firstLine="32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340" w:right="300" w:firstLine="324"/>
        <w:spacing w:after="0" w:line="312" w:lineRule="auto"/>
        <w:rPr>
          <w:sz w:val="20"/>
          <w:szCs w:val="20"/>
          <w:color w:val="auto"/>
        </w:rPr>
      </w:pPr>
      <w:r>
        <w:rPr>
          <w:rFonts w:ascii="Arial" w:cs="Arial" w:eastAsia="Arial" w:hAnsi="Arial"/>
          <w:sz w:val="16"/>
          <w:szCs w:val="16"/>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7" w:lineRule="exact"/>
        <w:rPr>
          <w:sz w:val="20"/>
          <w:szCs w:val="20"/>
          <w:color w:val="auto"/>
        </w:rPr>
      </w:pPr>
    </w:p>
    <w:p>
      <w:pPr>
        <w:ind w:left="340" w:right="60" w:firstLine="324"/>
        <w:spacing w:after="0" w:line="276"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3" w:lineRule="exact"/>
        <w:rPr>
          <w:sz w:val="20"/>
          <w:szCs w:val="20"/>
          <w:color w:val="auto"/>
        </w:rPr>
      </w:pPr>
    </w:p>
    <w:p>
      <w:pPr>
        <w:ind w:left="340" w:right="40" w:firstLine="324"/>
        <w:spacing w:after="0" w:line="293"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67"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following table summarizes the fair value of investments by the above ASC 820: Fair Value fair value hierarchy levels as of March 31, 2015 (unaudited) and December 31, 2014,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00" w:type="dxa"/>
            <w:vAlign w:val="bottom"/>
            <w:gridSpan w:val="7"/>
          </w:tcPr>
          <w:p>
            <w:pPr>
              <w:jc w:val="right"/>
              <w:ind w:right="80"/>
              <w:spacing w:after="0"/>
              <w:rPr>
                <w:sz w:val="20"/>
                <w:szCs w:val="20"/>
                <w:color w:val="auto"/>
              </w:rPr>
            </w:pPr>
            <w:r>
              <w:rPr>
                <w:rFonts w:ascii="Arial" w:cs="Arial" w:eastAsia="Arial" w:hAnsi="Arial"/>
                <w:sz w:val="18"/>
                <w:szCs w:val="18"/>
                <w:b w:val="1"/>
                <w:bCs w:val="1"/>
                <w:color w:val="auto"/>
                <w:w w:val="92"/>
              </w:rPr>
              <w:t>As of March 31, 2015 (unaudited)</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4"/>
        </w:trPr>
        <w:tc>
          <w:tcPr>
            <w:tcW w:w="4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II</w:t>
            </w:r>
          </w:p>
        </w:tc>
        <w:tc>
          <w:tcPr>
            <w:tcW w:w="12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III</w:t>
            </w:r>
          </w:p>
        </w:tc>
        <w:tc>
          <w:tcPr>
            <w:tcW w:w="12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720" w:type="dxa"/>
            <w:vAlign w:val="bottom"/>
          </w:tcPr>
          <w:p>
            <w:pPr>
              <w:spacing w:after="0"/>
              <w:rPr>
                <w:sz w:val="20"/>
                <w:szCs w:val="20"/>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820" w:type="dxa"/>
            <w:vAlign w:val="bottom"/>
            <w:tcBorders>
              <w:top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1,729,575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1,729,575</w:t>
            </w:r>
          </w:p>
        </w:tc>
        <w:tc>
          <w:tcPr>
            <w:tcW w:w="80" w:type="dxa"/>
            <w:vAlign w:val="bottom"/>
            <w:tcBorders>
              <w:top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Debt securities</w:t>
            </w:r>
          </w:p>
        </w:tc>
        <w:tc>
          <w:tcPr>
            <w:tcW w:w="8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128,925,770</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191,544,725</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320,470,495</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85,853,478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85,853,478</w:t>
            </w:r>
          </w:p>
        </w:tc>
        <w:tc>
          <w:tcPr>
            <w:tcW w:w="172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Equity securities</w:t>
            </w:r>
          </w:p>
        </w:tc>
        <w:tc>
          <w:tcPr>
            <w:tcW w:w="8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8,063,558</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8,063,558</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71,524,000</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71,524,000</w:t>
            </w:r>
          </w:p>
        </w:tc>
        <w:tc>
          <w:tcPr>
            <w:tcW w:w="1720" w:type="dxa"/>
            <w:vAlign w:val="bottom"/>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130,655,345</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356,985,761</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487,641,106</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29"/>
        </w:trPr>
        <w:tc>
          <w:tcPr>
            <w:tcW w:w="47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0"/>
              </w:rPr>
              <w:t>As of December 31, 2014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7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II</w:t>
            </w:r>
          </w:p>
        </w:tc>
        <w:tc>
          <w:tcPr>
            <w:tcW w:w="12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III</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840" w:type="dxa"/>
            <w:vAlign w:val="bottom"/>
            <w:tcBorders>
              <w:top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1,602,741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1,602,741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Debt securities</w:t>
            </w:r>
          </w:p>
        </w:tc>
        <w:tc>
          <w:tcPr>
            <w:tcW w:w="84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149,124,827</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171,018,343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320,143,170</w:t>
            </w:r>
          </w:p>
        </w:tc>
        <w:tc>
          <w:tcPr>
            <w:tcW w:w="8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77,514,902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77,514,902</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Equity securities</w:t>
            </w:r>
          </w:p>
        </w:tc>
        <w:tc>
          <w:tcPr>
            <w:tcW w:w="84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8,119,681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8,119,681</w:t>
            </w: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72,326,000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72,326,000</w:t>
            </w: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ind w:right="68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150,727,568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328,978,926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479,706,494</w:t>
            </w:r>
          </w:p>
        </w:tc>
        <w:tc>
          <w:tcPr>
            <w:tcW w:w="8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w:t>
      </w:r>
    </w:p>
    <w:p>
      <w:pPr>
        <w:spacing w:after="0" w:line="147"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Investment values derived by a third party pricing service are generally deemed to be Level III values. For those that have observable trades, the Company considers them to be Level II.</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Values derived for the Asset Manager Affiliates using comparable public/private companies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178"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Investments measured at fair value for which the Company has used unobservable inputs to determine fair value are as follows: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11"/>
          </w:tcPr>
          <w:p>
            <w:pPr>
              <w:jc w:val="right"/>
              <w:ind w:right="200"/>
              <w:spacing w:after="0"/>
              <w:rPr>
                <w:sz w:val="20"/>
                <w:szCs w:val="20"/>
                <w:color w:val="auto"/>
              </w:rPr>
            </w:pPr>
            <w:r>
              <w:rPr>
                <w:rFonts w:ascii="Arial" w:cs="Arial" w:eastAsia="Arial" w:hAnsi="Arial"/>
                <w:sz w:val="18"/>
                <w:szCs w:val="18"/>
                <w:b w:val="1"/>
                <w:bCs w:val="1"/>
                <w:color w:val="auto"/>
                <w:w w:val="93"/>
              </w:rPr>
              <w:t>Three Months Ended March 31, 2015 (unaudited)</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jc w:val="right"/>
              <w:ind w:right="320"/>
              <w:spacing w:after="0" w:line="191" w:lineRule="exact"/>
              <w:rPr>
                <w:sz w:val="20"/>
                <w:szCs w:val="20"/>
                <w:color w:val="auto"/>
              </w:rPr>
            </w:pPr>
            <w:r>
              <w:rPr>
                <w:rFonts w:ascii="Arial" w:cs="Arial" w:eastAsia="Arial" w:hAnsi="Arial"/>
                <w:sz w:val="18"/>
                <w:szCs w:val="18"/>
                <w:b w:val="1"/>
                <w:bCs w:val="1"/>
                <w:color w:val="auto"/>
              </w:rPr>
              <w:t>CLO Fund</w:t>
            </w:r>
          </w:p>
        </w:tc>
        <w:tc>
          <w:tcPr>
            <w:tcW w:w="120" w:type="dxa"/>
            <w:vAlign w:val="bottom"/>
          </w:tcPr>
          <w:p>
            <w:pPr>
              <w:spacing w:after="0"/>
              <w:rPr>
                <w:sz w:val="16"/>
                <w:szCs w:val="16"/>
                <w:color w:val="auto"/>
              </w:rPr>
            </w:pPr>
          </w:p>
        </w:tc>
        <w:tc>
          <w:tcPr>
            <w:tcW w:w="104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140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Asset Manager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Debt Securities</w:t>
            </w: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Securities</w:t>
            </w: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Affiliate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171,018,343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77,514,902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8,119,681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72,326,000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328,978,926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Transfers out of Level III¹</w:t>
            </w:r>
          </w:p>
        </w:tc>
        <w:tc>
          <w:tcPr>
            <w:tcW w:w="18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(7,470,702)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(7,470,702)</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III²</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27,799,398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27,799,398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Net accretion of discount</w:t>
            </w:r>
          </w:p>
        </w:tc>
        <w:tc>
          <w:tcPr>
            <w:tcW w:w="18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62,772</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(3,028,297)</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(2,965,525)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11,952,000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16,887,000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Sales / Paydowns</w:t>
            </w:r>
          </w:p>
        </w:tc>
        <w:tc>
          <w:tcPr>
            <w:tcW w:w="18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(4,355,406)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(1,286,025)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(5,641,431)</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realized gain (loss) included in earnings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12,419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180" w:type="dxa"/>
            <w:vAlign w:val="bottom"/>
          </w:tcPr>
          <w:p>
            <w:pPr>
              <w:spacing w:after="0"/>
              <w:rPr>
                <w:sz w:val="19"/>
                <w:szCs w:val="19"/>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(457,099)</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(585,127)</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(56,123)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484,025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(614,324)</w:t>
            </w:r>
          </w:p>
        </w:tc>
        <w:tc>
          <w:tcPr>
            <w:tcW w:w="0" w:type="dxa"/>
            <w:vAlign w:val="bottom"/>
          </w:tcPr>
          <w:p>
            <w:pPr>
              <w:spacing w:after="0"/>
              <w:rPr>
                <w:sz w:val="1"/>
                <w:szCs w:val="1"/>
                <w:color w:val="auto"/>
              </w:rPr>
            </w:pPr>
          </w:p>
        </w:tc>
      </w:tr>
      <w:tr>
        <w:trPr>
          <w:trHeight w:val="223"/>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2015</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191,544,725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85,853,478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8,063,558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71,524,000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356,985,761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line="195" w:lineRule="exact"/>
              <w:rPr>
                <w:sz w:val="20"/>
                <w:szCs w:val="20"/>
                <w:color w:val="auto"/>
              </w:rPr>
            </w:pPr>
            <w:r>
              <w:rPr>
                <w:rFonts w:ascii="Arial" w:cs="Arial" w:eastAsia="Arial" w:hAnsi="Arial"/>
                <w:sz w:val="18"/>
                <w:szCs w:val="18"/>
                <w:color w:val="auto"/>
                <w:w w:val="93"/>
              </w:rPr>
              <w:t>Changes in unrealized gains (losses) included in earnings related to</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0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Arial" w:cs="Arial" w:eastAsia="Arial" w:hAnsi="Arial"/>
                <w:sz w:val="18"/>
                <w:szCs w:val="18"/>
                <w:color w:val="auto"/>
              </w:rPr>
              <w:t>investments still held at reporting date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(457,099)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(585,126)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(56,122)</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484,026</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(614,324)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¹Transfers out of Level III represent a transfer of $7,470,702 relating to debt securities for which pricing inputs, other than their quoted prices in active markets were observable as of March 31, 2015</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²Transfers into Level III represent a transfer of $27,799,398 relating to debt securities for which pricing inputs, other than their quoted prices in active markets were unobservable as of March 31,2015</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8"/>
          </w:tcPr>
          <w:p>
            <w:pPr>
              <w:jc w:val="right"/>
              <w:ind w:right="880"/>
              <w:spacing w:after="0"/>
              <w:rPr>
                <w:sz w:val="20"/>
                <w:szCs w:val="20"/>
                <w:color w:val="auto"/>
              </w:rPr>
            </w:pPr>
            <w:r>
              <w:rPr>
                <w:rFonts w:ascii="Arial" w:cs="Arial" w:eastAsia="Arial" w:hAnsi="Arial"/>
                <w:sz w:val="18"/>
                <w:szCs w:val="18"/>
                <w:b w:val="1"/>
                <w:bCs w:val="1"/>
                <w:color w:val="auto"/>
              </w:rPr>
              <w:t>Year Ended December 31, 2014</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3"/>
          </w:tcPr>
          <w:p>
            <w:pPr>
              <w:jc w:val="right"/>
              <w:ind w:right="320"/>
              <w:spacing w:after="0" w:line="191" w:lineRule="exact"/>
              <w:rPr>
                <w:sz w:val="20"/>
                <w:szCs w:val="20"/>
                <w:color w:val="auto"/>
              </w:rPr>
            </w:pPr>
            <w:r>
              <w:rPr>
                <w:rFonts w:ascii="Arial" w:cs="Arial" w:eastAsia="Arial" w:hAnsi="Arial"/>
                <w:sz w:val="18"/>
                <w:szCs w:val="18"/>
                <w:b w:val="1"/>
                <w:bCs w:val="1"/>
                <w:color w:val="auto"/>
              </w:rPr>
              <w:t>CLO Fund</w:t>
            </w:r>
          </w:p>
        </w:tc>
        <w:tc>
          <w:tcPr>
            <w:tcW w:w="100" w:type="dxa"/>
            <w:vAlign w:val="bottom"/>
          </w:tcPr>
          <w:p>
            <w:pPr>
              <w:spacing w:after="0"/>
              <w:rPr>
                <w:sz w:val="16"/>
                <w:szCs w:val="16"/>
                <w:color w:val="auto"/>
              </w:rPr>
            </w:pPr>
          </w:p>
        </w:tc>
        <w:tc>
          <w:tcPr>
            <w:tcW w:w="112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Equity</w:t>
            </w:r>
          </w:p>
        </w:tc>
        <w:tc>
          <w:tcPr>
            <w:tcW w:w="14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Asset Manager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3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3"/>
              </w:rPr>
              <w:t>Debt Securities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Securities</w:t>
            </w: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Securities</w:t>
            </w:r>
          </w:p>
        </w:tc>
        <w:tc>
          <w:tcPr>
            <w:tcW w:w="2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Affiliate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198,097,374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79,452,220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11,006,399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76,148,000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364,703,993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Transfers out of Level III¹</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(38,990,152)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(38,990,152)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III²</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1,982,110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1,982,110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Net accretion of discount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198,600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(11,102,015)</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(10,903,415)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132,079,152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22,421,847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2,216,847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545,979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157,263,825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Sales/Paydowns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(121,242,093)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(10,132,500)</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(5,007,311)</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(6,432,086)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(142,813,990)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realized gain (loss) included in earnings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(9,069,550)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5,575,498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(7,136,407)</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(10,630,459)</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7,962,902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(8,700,148)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7,040,153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2,064,107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8,367,014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171,018,343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77,514,902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8,119,681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72,326,000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328,978,926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line="195" w:lineRule="exact"/>
              <w:rPr>
                <w:sz w:val="20"/>
                <w:szCs w:val="20"/>
                <w:color w:val="auto"/>
              </w:rPr>
            </w:pPr>
            <w:r>
              <w:rPr>
                <w:rFonts w:ascii="Arial" w:cs="Arial" w:eastAsia="Arial" w:hAnsi="Arial"/>
                <w:sz w:val="18"/>
                <w:szCs w:val="18"/>
                <w:color w:val="auto"/>
                <w:w w:val="90"/>
              </w:rPr>
              <w:t>Changes in unrealized gains (losses) included in earnings related to</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0"/>
                <w:szCs w:val="20"/>
                <w:color w:val="auto"/>
              </w:rPr>
            </w:pPr>
            <w:r>
              <w:rPr>
                <w:rFonts w:ascii="Arial" w:cs="Arial" w:eastAsia="Arial" w:hAnsi="Arial"/>
                <w:sz w:val="18"/>
                <w:szCs w:val="18"/>
                <w:color w:val="auto"/>
              </w:rPr>
              <w:t>investments still held at reporting date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(1,448,794)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(4,908,278)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424,306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2,064,107</w:t>
            </w:r>
          </w:p>
        </w:tc>
        <w:tc>
          <w:tcPr>
            <w:tcW w:w="22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(3,868,659)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¹Transfers out of Level III represent a transfer of $38,990,152 relating to debt securities for which pricing inputs, other than their quoted prices in active markets were observable as of December 31, 2014.</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²Transfers into Level III represent a transfer of $1,982,110 relating to debt securities for which pricing inputs, other than their quoted prices in active markets were unobservable as of December 31, 2014.</w:t>
      </w:r>
    </w:p>
    <w:p>
      <w:pPr>
        <w:spacing w:after="0" w:line="1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As of March 31, 2015,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$130,655,345 as of March 31, 2015.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2015,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360" w:type="dxa"/>
            <w:vAlign w:val="bottom"/>
            <w:tcBorders>
              <w:top w:val="single" w:sz="8" w:color="auto"/>
              <w:left w:val="single" w:sz="8" w:color="auto"/>
              <w:right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right w:val="single" w:sz="8" w:color="auto"/>
            </w:tcBorders>
            <w:shd w:val="clear" w:color="auto" w:fill="CCEEFF"/>
          </w:tcPr>
          <w:p>
            <w:pPr>
              <w:spacing w:after="0"/>
              <w:rPr>
                <w:sz w:val="18"/>
                <w:szCs w:val="18"/>
                <w:color w:val="auto"/>
              </w:rPr>
            </w:pPr>
          </w:p>
        </w:tc>
        <w:tc>
          <w:tcPr>
            <w:tcW w:w="2100" w:type="dxa"/>
            <w:vAlign w:val="bottom"/>
            <w:tcBorders>
              <w:top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Primary Valuation</w:t>
            </w:r>
          </w:p>
        </w:tc>
        <w:tc>
          <w:tcPr>
            <w:tcW w:w="2560" w:type="dxa"/>
            <w:vAlign w:val="bottom"/>
            <w:tcBorders>
              <w:top w:val="single" w:sz="8" w:color="auto"/>
              <w:right w:val="single" w:sz="8" w:color="auto"/>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Unobservable</w:t>
            </w:r>
          </w:p>
        </w:tc>
        <w:tc>
          <w:tcPr>
            <w:tcW w:w="2800" w:type="dxa"/>
            <w:vAlign w:val="bottom"/>
            <w:tcBorders>
              <w:top w:val="single" w:sz="8" w:color="auto"/>
              <w:right w:val="single" w:sz="8" w:color="auto"/>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234"/>
        </w:trPr>
        <w:tc>
          <w:tcPr>
            <w:tcW w:w="236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Type</w:t>
            </w: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right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Fair Value</w:t>
            </w:r>
          </w:p>
        </w:tc>
        <w:tc>
          <w:tcPr>
            <w:tcW w:w="2100" w:type="dxa"/>
            <w:vAlign w:val="bottom"/>
            <w:tcBorders>
              <w:bottom w:val="single" w:sz="8" w:color="auto"/>
              <w:right w:val="single" w:sz="8" w:color="auto"/>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Methodology</w:t>
            </w:r>
          </w:p>
        </w:tc>
        <w:tc>
          <w:tcPr>
            <w:tcW w:w="2560" w:type="dxa"/>
            <w:vAlign w:val="bottom"/>
            <w:tcBorders>
              <w:bottom w:val="single" w:sz="8" w:color="auto"/>
              <w:right w:val="single" w:sz="8" w:color="auto"/>
            </w:tcBorders>
            <w:shd w:val="clear" w:color="auto" w:fill="CCEEFF"/>
          </w:tcPr>
          <w:p>
            <w:pPr>
              <w:ind w:left="1040"/>
              <w:spacing w:after="0"/>
              <w:rPr>
                <w:sz w:val="20"/>
                <w:szCs w:val="20"/>
                <w:color w:val="auto"/>
              </w:rPr>
            </w:pPr>
            <w:r>
              <w:rPr>
                <w:rFonts w:ascii="Arial" w:cs="Arial" w:eastAsia="Arial" w:hAnsi="Arial"/>
                <w:sz w:val="18"/>
                <w:szCs w:val="18"/>
                <w:b w:val="1"/>
                <w:bCs w:val="1"/>
                <w:color w:val="auto"/>
              </w:rPr>
              <w:t>Inputs</w:t>
            </w:r>
          </w:p>
        </w:tc>
        <w:tc>
          <w:tcPr>
            <w:tcW w:w="2800" w:type="dxa"/>
            <w:vAlign w:val="bottom"/>
            <w:tcBorders>
              <w:bottom w:val="single" w:sz="8" w:color="auto"/>
              <w:right w:val="single" w:sz="8" w:color="auto"/>
            </w:tcBorders>
            <w:shd w:val="clear" w:color="auto" w:fill="CCEEFF"/>
          </w:tcPr>
          <w:p>
            <w:pPr>
              <w:ind w:left="62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Debt Securities</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2,580,000</w:t>
            </w:r>
          </w:p>
        </w:tc>
        <w:tc>
          <w:tcPr>
            <w:tcW w:w="2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Enterprise Value</w:t>
            </w:r>
          </w:p>
        </w:tc>
        <w:tc>
          <w:tcPr>
            <w:tcW w:w="25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Average EBITDA Multiple</w:t>
            </w:r>
          </w:p>
        </w:tc>
        <w:tc>
          <w:tcPr>
            <w:tcW w:w="2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7.9x</w:t>
            </w: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right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188,963,725</w:t>
            </w:r>
          </w:p>
        </w:tc>
        <w:tc>
          <w:tcPr>
            <w:tcW w:w="2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Income Approach</w:t>
            </w:r>
          </w:p>
        </w:tc>
        <w:tc>
          <w:tcPr>
            <w:tcW w:w="25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Implied Discount Rate</w:t>
            </w:r>
          </w:p>
        </w:tc>
        <w:tc>
          <w:tcPr>
            <w:tcW w:w="2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 - 17.6% (8.3%)</w:t>
            </w:r>
          </w:p>
        </w:tc>
        <w:tc>
          <w:tcPr>
            <w:tcW w:w="0" w:type="dxa"/>
            <w:vAlign w:val="bottom"/>
          </w:tcPr>
          <w:p>
            <w:pPr>
              <w:spacing w:after="0"/>
              <w:rPr>
                <w:sz w:val="1"/>
                <w:szCs w:val="1"/>
                <w:color w:val="auto"/>
              </w:rPr>
            </w:pPr>
          </w:p>
        </w:tc>
      </w:tr>
      <w:tr>
        <w:trPr>
          <w:trHeight w:val="250"/>
        </w:trPr>
        <w:tc>
          <w:tcPr>
            <w:tcW w:w="2360" w:type="dxa"/>
            <w:vAlign w:val="bottom"/>
            <w:tcBorders>
              <w:left w:val="single" w:sz="8" w:color="auto"/>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Options Value</w:t>
            </w:r>
          </w:p>
        </w:tc>
        <w:tc>
          <w:tcPr>
            <w:tcW w:w="2560" w:type="dxa"/>
            <w:vAlign w:val="bottom"/>
            <w:tcBorders>
              <w:bottom w:val="single" w:sz="8" w:color="auto"/>
              <w:right w:val="single" w:sz="8" w:color="auto"/>
            </w:tcBorders>
          </w:tcPr>
          <w:p>
            <w:pPr>
              <w:ind w:left="4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2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Equity Securities</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8,060,558</w:t>
            </w:r>
          </w:p>
        </w:tc>
        <w:tc>
          <w:tcPr>
            <w:tcW w:w="21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Enterprise Value</w:t>
            </w:r>
          </w:p>
        </w:tc>
        <w:tc>
          <w:tcPr>
            <w:tcW w:w="25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Average EBITDA</w:t>
            </w:r>
          </w:p>
        </w:tc>
        <w:tc>
          <w:tcPr>
            <w:tcW w:w="28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4.4x/9.9% - 15.0x/15.3%</w:t>
            </w: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25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Multiple/WAAC</w:t>
            </w:r>
          </w:p>
        </w:tc>
        <w:tc>
          <w:tcPr>
            <w:tcW w:w="28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(8.3x/12.9%)</w:t>
            </w: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2560" w:type="dxa"/>
            <w:vAlign w:val="bottom"/>
            <w:tcBorders>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360" w:type="dxa"/>
            <w:vAlign w:val="bottom"/>
            <w:tcBorders>
              <w:left w:val="single" w:sz="8" w:color="auto"/>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Options Value</w:t>
            </w:r>
          </w:p>
        </w:tc>
        <w:tc>
          <w:tcPr>
            <w:tcW w:w="2560" w:type="dxa"/>
            <w:vAlign w:val="bottom"/>
            <w:tcBorders>
              <w:bottom w:val="single" w:sz="8" w:color="auto"/>
              <w:right w:val="single" w:sz="8" w:color="auto"/>
            </w:tcBorders>
          </w:tcPr>
          <w:p>
            <w:pPr>
              <w:ind w:left="40"/>
              <w:spacing w:after="0" w:line="251" w:lineRule="exact"/>
              <w:rPr>
                <w:sz w:val="20"/>
                <w:szCs w:val="20"/>
                <w:color w:val="auto"/>
              </w:rPr>
            </w:pPr>
            <w:r>
              <w:rPr>
                <w:rFonts w:ascii="Arial" w:cs="Arial" w:eastAsia="Arial" w:hAnsi="Arial"/>
                <w:sz w:val="18"/>
                <w:szCs w:val="18"/>
                <w:color w:val="auto"/>
              </w:rPr>
              <w:t>Qualitative Inputs</w:t>
            </w:r>
            <w:r>
              <w:rPr>
                <w:rFonts w:ascii="Arial" w:cs="Arial" w:eastAsia="Arial" w:hAnsi="Arial"/>
                <w:sz w:val="29"/>
                <w:szCs w:val="29"/>
                <w:color w:val="auto"/>
                <w:vertAlign w:val="superscript"/>
              </w:rPr>
              <w:t>1</w:t>
            </w:r>
          </w:p>
        </w:tc>
        <w:tc>
          <w:tcPr>
            <w:tcW w:w="2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5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Discount Rate</w:t>
            </w:r>
          </w:p>
        </w:tc>
        <w:tc>
          <w:tcPr>
            <w:tcW w:w="2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11% - 12% (11.5%)</w:t>
            </w: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73,901,478</w:t>
            </w:r>
          </w:p>
        </w:tc>
        <w:tc>
          <w:tcPr>
            <w:tcW w:w="21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Discounted Cash Flow</w:t>
            </w:r>
          </w:p>
        </w:tc>
        <w:tc>
          <w:tcPr>
            <w:tcW w:w="25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Probability of Default</w:t>
            </w:r>
          </w:p>
        </w:tc>
        <w:tc>
          <w:tcPr>
            <w:tcW w:w="2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 - 2.5% (2.2%)</w:t>
            </w: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right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380" w:type="dxa"/>
            <w:vAlign w:val="bottom"/>
            <w:tcBorders>
              <w:right w:val="single" w:sz="8" w:color="auto"/>
            </w:tcBorders>
            <w:vMerge w:val="continue"/>
          </w:tcPr>
          <w:p>
            <w:pPr>
              <w:spacing w:after="0"/>
              <w:rPr>
                <w:sz w:val="18"/>
                <w:szCs w:val="18"/>
                <w:color w:val="auto"/>
              </w:rPr>
            </w:pPr>
          </w:p>
        </w:tc>
        <w:tc>
          <w:tcPr>
            <w:tcW w:w="2100" w:type="dxa"/>
            <w:vAlign w:val="bottom"/>
            <w:tcBorders>
              <w:right w:val="single" w:sz="8" w:color="auto"/>
            </w:tcBorders>
            <w:vMerge w:val="continue"/>
          </w:tcPr>
          <w:p>
            <w:pPr>
              <w:spacing w:after="0"/>
              <w:rPr>
                <w:sz w:val="18"/>
                <w:szCs w:val="18"/>
                <w:color w:val="auto"/>
              </w:rPr>
            </w:pPr>
          </w:p>
        </w:tc>
        <w:tc>
          <w:tcPr>
            <w:tcW w:w="25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Loss Severity</w:t>
            </w:r>
          </w:p>
        </w:tc>
        <w:tc>
          <w:tcPr>
            <w:tcW w:w="2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25.0% - 25.9% (25.5%)</w:t>
            </w: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5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Recovery Rate</w:t>
            </w:r>
          </w:p>
        </w:tc>
        <w:tc>
          <w:tcPr>
            <w:tcW w:w="2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74.1% - 75.0% (74.5%)</w:t>
            </w: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spacing w:after="0"/>
              <w:rPr>
                <w:sz w:val="18"/>
                <w:szCs w:val="18"/>
                <w:color w:val="auto"/>
              </w:rPr>
            </w:pPr>
          </w:p>
        </w:tc>
        <w:tc>
          <w:tcPr>
            <w:tcW w:w="25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Prepayment Rate</w:t>
            </w:r>
          </w:p>
        </w:tc>
        <w:tc>
          <w:tcPr>
            <w:tcW w:w="2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 - 37.2% (25.9%)</w:t>
            </w: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11,952,000</w:t>
            </w:r>
          </w:p>
        </w:tc>
        <w:tc>
          <w:tcPr>
            <w:tcW w:w="2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Market Approach</w:t>
            </w:r>
          </w:p>
        </w:tc>
        <w:tc>
          <w:tcPr>
            <w:tcW w:w="25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Third Party Quote</w:t>
            </w:r>
          </w:p>
        </w:tc>
        <w:tc>
          <w:tcPr>
            <w:tcW w:w="2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 (100)</w:t>
            </w: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Asset Manager Affiliate</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71,524,000</w:t>
            </w:r>
          </w:p>
        </w:tc>
        <w:tc>
          <w:tcPr>
            <w:tcW w:w="2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Discounted Cash Flow</w:t>
            </w:r>
          </w:p>
        </w:tc>
        <w:tc>
          <w:tcPr>
            <w:tcW w:w="25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Discount Rate</w:t>
            </w:r>
          </w:p>
        </w:tc>
        <w:tc>
          <w:tcPr>
            <w:tcW w:w="2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1.68% - 11.00% (6.93%)</w:t>
            </w:r>
          </w:p>
        </w:tc>
        <w:tc>
          <w:tcPr>
            <w:tcW w:w="0" w:type="dxa"/>
            <w:vAlign w:val="bottom"/>
          </w:tcPr>
          <w:p>
            <w:pPr>
              <w:spacing w:after="0"/>
              <w:rPr>
                <w:sz w:val="1"/>
                <w:szCs w:val="1"/>
                <w:color w:val="auto"/>
              </w:rPr>
            </w:pPr>
          </w:p>
        </w:tc>
      </w:tr>
      <w:tr>
        <w:trPr>
          <w:trHeight w:val="237"/>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3"/>
              </w:rPr>
              <w:t>Total Level III Investments</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356,985,761</w:t>
            </w:r>
          </w:p>
        </w:tc>
        <w:tc>
          <w:tcPr>
            <w:tcW w:w="2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1780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9" w:lineRule="exact"/>
        <w:rPr>
          <w:sz w:val="20"/>
          <w:szCs w:val="20"/>
          <w:color w:val="auto"/>
        </w:rPr>
      </w:pPr>
    </w:p>
    <w:p>
      <w:pPr>
        <w:ind w:right="660" w:firstLine="8"/>
        <w:spacing w:after="0" w:line="277" w:lineRule="auto"/>
        <w:tabs>
          <w:tab w:leader="none" w:pos="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48" w:name="page49"/>
    <w:bookmarkEnd w:id="48"/>
    <w:p>
      <w:pPr>
        <w:jc w:val="both"/>
        <w:ind w:right="80" w:firstLine="324"/>
        <w:spacing w:after="0" w:line="312" w:lineRule="auto"/>
        <w:rPr>
          <w:sz w:val="20"/>
          <w:szCs w:val="20"/>
          <w:color w:val="auto"/>
        </w:rPr>
      </w:pPr>
      <w:r>
        <w:rPr>
          <w:rFonts w:ascii="Arial" w:cs="Arial" w:eastAsia="Arial" w:hAnsi="Arial"/>
          <w:sz w:val="16"/>
          <w:szCs w:val="16"/>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w:t>
      </w:r>
    </w:p>
    <w:p>
      <w:pPr>
        <w:spacing w:after="0" w:line="147"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Significant unobservable input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7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significant unobservable inputs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 MANAGER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Wholly-Owned Asset Managers</w:t>
      </w:r>
    </w:p>
    <w:p>
      <w:pPr>
        <w:spacing w:after="0" w:line="225"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The Asset Manager Affiliates are wholly-owned portfolio companies. The Asset Manager Affiliates manage CLO Funds primarily for third party investors that invest in broadly syndicated loans, high yield bonds and other credit instruments issued by corporations. At March 31, 2015 and December 31, 2014, the Asset Manager Affiliates had approximately $2.9 billion and $3.0 billion, respectively, of par value of assets under management, and the Company’s 100% equity interest in the Asset Manager Affiliates had a fair value of approximately $72 million and $72 million, respectively.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9" w:name="page50"/>
    <w:bookmarkEnd w:id="49"/>
    <w:p>
      <w:pPr>
        <w:ind w:firstLine="324"/>
        <w:spacing w:after="0" w:line="272" w:lineRule="auto"/>
        <w:rPr>
          <w:sz w:val="20"/>
          <w:szCs w:val="20"/>
          <w:color w:val="auto"/>
        </w:rPr>
      </w:pPr>
      <w:r>
        <w:rPr>
          <w:rFonts w:ascii="Arial" w:cs="Arial" w:eastAsia="Arial" w:hAnsi="Arial"/>
          <w:sz w:val="17"/>
          <w:szCs w:val="17"/>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net income equal to the amount by which their fee income exceeds their operating expenses, including compensation of their employees and income taxes. The management fees the Asset Manager Affiliates receive have three components - a senior management fee, a subordinated management fee and an incentive fee. Currently, all CLO Funds managed by the Asset Manager Affiliates are paying both their senior and subordinated management fees on a current basis. Additionally, three managed funds made incentive fee distributions during the quarter ended March 31, 2015.</w:t>
      </w:r>
    </w:p>
    <w:p>
      <w:pPr>
        <w:spacing w:after="0" w:line="17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For the three months ended March 31, 2015 and 2014, the Asset Manager Affiliates declared cash distributions of $2.7 million and $3.0 million to the Company, respectively. Any distributions from the Asset Manager Affiliates out of the tax-basis earnings and profits are recorded as “Dividends from Asset Manager Affiliates” on the Company’s statement of operations. The Company recognized $1.4 million of Dividends from Asset Manager Affiliates in the Statement of Operations in the first quarter of 2015 and 2014. The difference of $1.3 and $1.6 million, respectively, between cash distributions received and the tax-basis earnings and profits of the distributing affiliate, are recorded as an adjustment to the cost basis in the Asset Manager Affiliate (i.e. tax-basis return of capital), for the quarters ended March 31, 2015 and 2014, respectively. Distributions receivable, if any, are reflected in the Due from Affiliates account on the consolidated balance sheets.</w:t>
      </w:r>
    </w:p>
    <w:p>
      <w:pPr>
        <w:spacing w:after="0" w:line="18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166"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Asset Manager Affiliates’ fair value is determined quarterly. The valuation is primarily determined utilizing a discounted cash flow model. See Note 2 – “Significant Accounting Policies” and Note 4 – “Investments” for further information relating to the Company’s valuation methodology.</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50" w:name="page51"/>
    <w:bookmarkEnd w:id="50"/>
    <w:p>
      <w:pPr>
        <w:ind w:firstLine="324"/>
        <w:spacing w:after="0" w:line="254" w:lineRule="auto"/>
        <w:rPr>
          <w:sz w:val="20"/>
          <w:szCs w:val="20"/>
          <w:color w:val="auto"/>
        </w:rPr>
      </w:pPr>
      <w:r>
        <w:rPr>
          <w:rFonts w:ascii="Arial" w:cs="Arial" w:eastAsia="Arial" w:hAnsi="Arial"/>
          <w:sz w:val="18"/>
          <w:szCs w:val="18"/>
          <w:color w:val="auto"/>
        </w:rPr>
        <w:t>Effective January 1, 2010, the Asset Manager Affiliates adopted guidance encompassed in Accounting Standards Codification Topic 810, “Consolidation.” The adoption of this new guidance had an impact on the disclosures relating to the Asset Manager Affiliates which had previously not been required, as its provisions require the Asset Manager Affiliates to consolidate certain of their managed CLO Funds that were not previously consolidated. As a result of the consolidation of the CLO Funds into the Asset Manager Affiliates, the financial results of the Asset Manager Affiliates indicate that they qualify as a “significant subsidiary” of the Company requiring the following additional disclosures. In addition, Katonah 2007-I CLO and Katonah X CLO qualify as “significant subsidiaries” of the Company and the Company is also required to make the additional disclosures about them below. These disclosures regarding the Asset Manager Affiliates and Katonah 2007-I CLO and Katonah X CLO do not directly impact the financial position, results of operations, or cash flows of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As of</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As of</w:t>
            </w:r>
          </w:p>
        </w:tc>
        <w:tc>
          <w:tcPr>
            <w:tcW w:w="1140" w:type="dxa"/>
            <w:vAlign w:val="bottom"/>
          </w:tcPr>
          <w:p>
            <w:pPr>
              <w:spacing w:after="0"/>
              <w:rPr>
                <w:sz w:val="19"/>
                <w:szCs w:val="19"/>
                <w:color w:val="auto"/>
              </w:rPr>
            </w:pPr>
          </w:p>
        </w:tc>
      </w:tr>
      <w:tr>
        <w:trPr>
          <w:trHeight w:val="234"/>
        </w:trPr>
        <w:tc>
          <w:tcPr>
            <w:tcW w:w="7220" w:type="dxa"/>
            <w:vAlign w:val="bottom"/>
          </w:tcPr>
          <w:p>
            <w:pPr>
              <w:spacing w:after="0"/>
              <w:rPr>
                <w:sz w:val="20"/>
                <w:szCs w:val="20"/>
                <w:color w:val="auto"/>
              </w:rPr>
            </w:pPr>
          </w:p>
        </w:tc>
        <w:tc>
          <w:tcPr>
            <w:tcW w:w="15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3"/>
              </w:rPr>
              <w:t>March 31, 2015</w:t>
            </w:r>
          </w:p>
        </w:tc>
        <w:tc>
          <w:tcPr>
            <w:tcW w:w="1560" w:type="dxa"/>
            <w:vAlign w:val="bottom"/>
            <w:gridSpan w:val="5"/>
          </w:tcPr>
          <w:p>
            <w:pPr>
              <w:ind w:left="20"/>
              <w:spacing w:after="0"/>
              <w:rPr>
                <w:sz w:val="20"/>
                <w:szCs w:val="20"/>
                <w:color w:val="auto"/>
              </w:rPr>
            </w:pPr>
            <w:r>
              <w:rPr>
                <w:rFonts w:ascii="Arial" w:cs="Arial" w:eastAsia="Arial" w:hAnsi="Arial"/>
                <w:sz w:val="18"/>
                <w:szCs w:val="18"/>
                <w:b w:val="1"/>
                <w:bCs w:val="1"/>
                <w:color w:val="auto"/>
                <w:w w:val="93"/>
              </w:rPr>
              <w:t>December 31, 2014</w:t>
            </w:r>
          </w:p>
        </w:tc>
        <w:tc>
          <w:tcPr>
            <w:tcW w:w="1140" w:type="dxa"/>
            <w:vAlign w:val="bottom"/>
          </w:tcPr>
          <w:p>
            <w:pPr>
              <w:spacing w:after="0"/>
              <w:rPr>
                <w:sz w:val="20"/>
                <w:szCs w:val="20"/>
                <w:color w:val="auto"/>
              </w:rPr>
            </w:pP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of CLO Funds, at fair value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2,796,273,645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2,846,659,635</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Restricted cash of CLO Funds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102,965,441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182,224,205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2,939,800,245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3,092,592,939</w:t>
            </w:r>
          </w:p>
        </w:tc>
        <w:tc>
          <w:tcPr>
            <w:tcW w:w="1140" w:type="dxa"/>
            <w:vAlign w:val="bottom"/>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CLO Fund liabilities at fair 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2,845,411,582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2,990,211,629</w:t>
            </w:r>
          </w:p>
        </w:tc>
        <w:tc>
          <w:tcPr>
            <w:tcW w:w="114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2,912,228,647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3,060,837,388</w:t>
            </w:r>
          </w:p>
        </w:tc>
        <w:tc>
          <w:tcPr>
            <w:tcW w:w="1140" w:type="dxa"/>
            <w:vAlign w:val="bottom"/>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Total Asset Manager Affiliates equity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32,112,699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34,780,345</w:t>
            </w:r>
          </w:p>
        </w:tc>
        <w:tc>
          <w:tcPr>
            <w:tcW w:w="114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Appropriated retained earnings of consolidated VIEs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(4,541,101)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(3,024,793)</w:t>
            </w:r>
          </w:p>
        </w:tc>
        <w:tc>
          <w:tcPr>
            <w:tcW w:w="1140" w:type="dxa"/>
            <w:vAlign w:val="bottom"/>
          </w:tcPr>
          <w:p>
            <w:pPr>
              <w:spacing w:after="0"/>
              <w:rPr>
                <w:sz w:val="18"/>
                <w:szCs w:val="18"/>
                <w:color w:val="auto"/>
              </w:rPr>
            </w:pPr>
          </w:p>
        </w:tc>
      </w:tr>
      <w:tr>
        <w:trPr>
          <w:trHeight w:val="418"/>
        </w:trPr>
        <w:tc>
          <w:tcPr>
            <w:tcW w:w="7220" w:type="dxa"/>
            <w:vAlign w:val="bottom"/>
          </w:tcPr>
          <w:p>
            <w:pPr>
              <w:jc w:val="center"/>
              <w:ind w:left="4110"/>
              <w:spacing w:after="0"/>
              <w:rPr>
                <w:sz w:val="20"/>
                <w:szCs w:val="20"/>
                <w:color w:val="auto"/>
              </w:rPr>
            </w:pPr>
            <w:r>
              <w:rPr>
                <w:rFonts w:ascii="Arial" w:cs="Arial" w:eastAsia="Arial" w:hAnsi="Arial"/>
                <w:sz w:val="18"/>
                <w:szCs w:val="18"/>
                <w:b w:val="1"/>
                <w:bCs w:val="1"/>
                <w:color w:val="auto"/>
                <w:w w:val="90"/>
              </w:rPr>
              <w:t>Asset Manager Affiliates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8720" w:type="dxa"/>
            <w:vAlign w:val="bottom"/>
            <w:gridSpan w:val="6"/>
          </w:tcPr>
          <w:p>
            <w:pPr>
              <w:jc w:val="center"/>
              <w:ind w:left="2630"/>
              <w:spacing w:after="0"/>
              <w:rPr>
                <w:sz w:val="20"/>
                <w:szCs w:val="20"/>
                <w:color w:val="auto"/>
              </w:rPr>
            </w:pPr>
            <w:r>
              <w:rPr>
                <w:rFonts w:ascii="Arial" w:cs="Arial" w:eastAsia="Arial" w:hAnsi="Arial"/>
                <w:sz w:val="18"/>
                <w:szCs w:val="18"/>
                <w:color w:val="auto"/>
                <w:w w:val="90"/>
              </w:rPr>
              <w:t>Summarized Statements of Operations Information (unaudited)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7"/>
        </w:trPr>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89"/>
              </w:rPr>
              <w:t>For the three months ended</w:t>
            </w:r>
          </w:p>
        </w:tc>
        <w:tc>
          <w:tcPr>
            <w:tcW w:w="1140" w:type="dxa"/>
            <w:vAlign w:val="bottom"/>
          </w:tcPr>
          <w:p>
            <w:pPr>
              <w:spacing w:after="0"/>
              <w:rPr>
                <w:sz w:val="24"/>
                <w:szCs w:val="24"/>
                <w:color w:val="auto"/>
              </w:rPr>
            </w:pPr>
          </w:p>
        </w:tc>
      </w:tr>
      <w:tr>
        <w:trPr>
          <w:trHeight w:val="234"/>
        </w:trPr>
        <w:tc>
          <w:tcPr>
            <w:tcW w:w="7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6"/>
          </w:tcPr>
          <w:p>
            <w:pPr>
              <w:jc w:val="center"/>
              <w:ind w:left="810"/>
              <w:spacing w:after="0"/>
              <w:rPr>
                <w:sz w:val="20"/>
                <w:szCs w:val="20"/>
                <w:color w:val="auto"/>
              </w:rPr>
            </w:pPr>
            <w:r>
              <w:rPr>
                <w:rFonts w:ascii="Arial" w:cs="Arial" w:eastAsia="Arial" w:hAnsi="Arial"/>
                <w:sz w:val="18"/>
                <w:szCs w:val="18"/>
                <w:b w:val="1"/>
                <w:bCs w:val="1"/>
                <w:color w:val="auto"/>
                <w:w w:val="93"/>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7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 investments of CLO Funds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30,651,034</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27,684,485</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Total income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30,851,962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30,388,785</w:t>
            </w:r>
          </w:p>
        </w:tc>
        <w:tc>
          <w:tcPr>
            <w:tcW w:w="114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of CLO Fund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43,757,032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24,525,198</w:t>
            </w:r>
          </w:p>
        </w:tc>
        <w:tc>
          <w:tcPr>
            <w:tcW w:w="1140" w:type="dxa"/>
            <w:vAlign w:val="bottom"/>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48,088,908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30,906,163</w:t>
            </w:r>
          </w:p>
        </w:tc>
        <w:tc>
          <w:tcPr>
            <w:tcW w:w="114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 (losses)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16,319,356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(4,718,488)</w:t>
            </w:r>
          </w:p>
        </w:tc>
        <w:tc>
          <w:tcPr>
            <w:tcW w:w="1140" w:type="dxa"/>
            <w:vAlign w:val="bottom"/>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Net loss attributable to noncontrolling interests in consolidated Variable Interest Entities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(1,516,308)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(7,458,418)</w:t>
            </w:r>
          </w:p>
        </w:tc>
        <w:tc>
          <w:tcPr>
            <w:tcW w:w="114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Asset Manager Affiliates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422,420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1,346,460</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18"/>
        </w:trPr>
        <w:tc>
          <w:tcPr>
            <w:tcW w:w="7220" w:type="dxa"/>
            <w:vAlign w:val="bottom"/>
          </w:tcPr>
          <w:p>
            <w:pPr>
              <w:jc w:val="center"/>
              <w:ind w:left="4110"/>
              <w:spacing w:after="0"/>
              <w:rPr>
                <w:sz w:val="20"/>
                <w:szCs w:val="20"/>
                <w:color w:val="auto"/>
              </w:rPr>
            </w:pPr>
            <w:r>
              <w:rPr>
                <w:rFonts w:ascii="Arial" w:cs="Arial" w:eastAsia="Arial" w:hAnsi="Arial"/>
                <w:sz w:val="18"/>
                <w:szCs w:val="18"/>
                <w:b w:val="1"/>
                <w:bCs w:val="1"/>
                <w:color w:val="auto"/>
                <w:w w:val="96"/>
              </w:rPr>
              <w:t>Katonah 2007-I CLO Ltd.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8720" w:type="dxa"/>
            <w:vAlign w:val="bottom"/>
            <w:gridSpan w:val="6"/>
          </w:tcPr>
          <w:p>
            <w:pPr>
              <w:jc w:val="center"/>
              <w:ind w:left="2630"/>
              <w:spacing w:after="0"/>
              <w:rPr>
                <w:sz w:val="20"/>
                <w:szCs w:val="20"/>
                <w:color w:val="auto"/>
              </w:rPr>
            </w:pPr>
            <w:r>
              <w:rPr>
                <w:rFonts w:ascii="Arial" w:cs="Arial" w:eastAsia="Arial" w:hAnsi="Arial"/>
                <w:sz w:val="18"/>
                <w:szCs w:val="18"/>
                <w:color w:val="auto"/>
                <w:w w:val="90"/>
              </w:rPr>
              <w:t>Summarized Balance Sheet Information (unaudited)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7"/>
        </w:trPr>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As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As of</w:t>
            </w:r>
          </w:p>
        </w:tc>
        <w:tc>
          <w:tcPr>
            <w:tcW w:w="1140" w:type="dxa"/>
            <w:vAlign w:val="bottom"/>
          </w:tcPr>
          <w:p>
            <w:pPr>
              <w:spacing w:after="0"/>
              <w:rPr>
                <w:sz w:val="24"/>
                <w:szCs w:val="24"/>
                <w:color w:val="auto"/>
              </w:rPr>
            </w:pPr>
          </w:p>
        </w:tc>
      </w:tr>
      <w:tr>
        <w:trPr>
          <w:trHeight w:val="234"/>
        </w:trPr>
        <w:tc>
          <w:tcPr>
            <w:tcW w:w="7220" w:type="dxa"/>
            <w:vAlign w:val="bottom"/>
          </w:tcPr>
          <w:p>
            <w:pPr>
              <w:spacing w:after="0"/>
              <w:rPr>
                <w:sz w:val="20"/>
                <w:szCs w:val="20"/>
                <w:color w:val="auto"/>
              </w:rPr>
            </w:pPr>
          </w:p>
        </w:tc>
        <w:tc>
          <w:tcPr>
            <w:tcW w:w="15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3"/>
              </w:rPr>
              <w:t>March 31, 2015</w:t>
            </w:r>
          </w:p>
        </w:tc>
        <w:tc>
          <w:tcPr>
            <w:tcW w:w="1560" w:type="dxa"/>
            <w:vAlign w:val="bottom"/>
            <w:gridSpan w:val="5"/>
          </w:tcPr>
          <w:p>
            <w:pPr>
              <w:ind w:left="20"/>
              <w:spacing w:after="0"/>
              <w:rPr>
                <w:sz w:val="20"/>
                <w:szCs w:val="20"/>
                <w:color w:val="auto"/>
              </w:rPr>
            </w:pPr>
            <w:r>
              <w:rPr>
                <w:rFonts w:ascii="Arial" w:cs="Arial" w:eastAsia="Arial" w:hAnsi="Arial"/>
                <w:sz w:val="18"/>
                <w:szCs w:val="18"/>
                <w:b w:val="1"/>
                <w:bCs w:val="1"/>
                <w:color w:val="auto"/>
                <w:w w:val="93"/>
              </w:rPr>
              <w:t>December 31, 2014</w:t>
            </w:r>
          </w:p>
        </w:tc>
        <w:tc>
          <w:tcPr>
            <w:tcW w:w="1140" w:type="dxa"/>
            <w:vAlign w:val="bottom"/>
          </w:tcPr>
          <w:p>
            <w:pPr>
              <w:spacing w:after="0"/>
              <w:rPr>
                <w:sz w:val="20"/>
                <w:szCs w:val="20"/>
                <w:color w:val="auto"/>
              </w:rPr>
            </w:pP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255,315,453</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273,373,948</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21,296,801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14,939,994</w:t>
            </w:r>
          </w:p>
        </w:tc>
        <w:tc>
          <w:tcPr>
            <w:tcW w:w="114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277,197,785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288,945,330</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CLO Debt at fair 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276,658,081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290,699,426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283,154,883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292,730,723</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Total Net Assets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(5,957,098)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(3,785,393)</w:t>
            </w:r>
          </w:p>
        </w:tc>
        <w:tc>
          <w:tcPr>
            <w:tcW w:w="1140" w:type="dxa"/>
            <w:vAlign w:val="bottom"/>
          </w:tcPr>
          <w:p>
            <w:pPr>
              <w:spacing w:after="0"/>
              <w:rPr>
                <w:sz w:val="20"/>
                <w:szCs w:val="20"/>
                <w:color w:val="auto"/>
              </w:rPr>
            </w:pPr>
          </w:p>
        </w:tc>
      </w:tr>
      <w:tr>
        <w:trPr>
          <w:trHeight w:val="634"/>
        </w:trPr>
        <w:tc>
          <w:tcPr>
            <w:tcW w:w="7220" w:type="dxa"/>
            <w:vAlign w:val="bottom"/>
            <w:tcBorders>
              <w:bottom w:val="single" w:sz="8" w:color="auto"/>
            </w:tcBorders>
          </w:tcPr>
          <w:p>
            <w:pPr>
              <w:jc w:val="center"/>
              <w:ind w:left="4110"/>
              <w:spacing w:after="0"/>
              <w:rPr>
                <w:sz w:val="20"/>
                <w:szCs w:val="20"/>
                <w:color w:val="auto"/>
              </w:rPr>
            </w:pPr>
            <w:r>
              <w:rPr>
                <w:rFonts w:ascii="Arial" w:cs="Arial" w:eastAsia="Arial" w:hAnsi="Arial"/>
                <w:sz w:val="18"/>
                <w:szCs w:val="18"/>
                <w:color w:val="auto"/>
                <w:w w:val="89"/>
              </w:rPr>
              <w:t>48</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2"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For the three months ended</w:t>
            </w:r>
          </w:p>
        </w:tc>
      </w:tr>
      <w:tr>
        <w:trPr>
          <w:trHeight w:val="234"/>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investments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2,615,394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2,992,131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income</w:t>
            </w: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2,649,868</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3,297,648</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2,375,635</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2,793,908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expenses</w:t>
            </w: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2,699,853</w:t>
            </w:r>
          </w:p>
        </w:tc>
        <w:tc>
          <w:tcPr>
            <w:tcW w:w="3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3,116,987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losses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(2,121,720)</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(1,669,100)</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Decrease in net assets resulting from operations</w:t>
            </w:r>
          </w:p>
        </w:tc>
        <w:tc>
          <w:tcPr>
            <w:tcW w:w="2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(2,171,705)</w:t>
            </w:r>
          </w:p>
        </w:tc>
        <w:tc>
          <w:tcPr>
            <w:tcW w:w="3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(1,488,439)</w:t>
            </w:r>
          </w:p>
        </w:tc>
      </w:tr>
    </w:tbl>
    <w:p>
      <w:pPr>
        <w:spacing w:after="0" w:line="18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As separately regarded entities for tax purposes, the Asset Manager Affiliates are taxed at normal corporate rates. In order to maintain its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U.S. GAAP net income because of deferred tax temporary differences and permanent tax adjustments. Deferred tax temporary differences may include differences for the recognition and timing of amortization and depreciation, and compensation related expenses, among other things. Permanent differences may include adjustments, limitations or disallowances for meals and entertainment expenses, penalties, tax goodwill amortization and net operating loss carryforward.</w:t>
      </w:r>
    </w:p>
    <w:p>
      <w:pPr>
        <w:spacing w:after="0" w:line="17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U.S. GAAP purposes, such exchange was considered an asset purchase under Section 351(a) of the Code. At the time of the transfer, Katonah Debt Advisors had equity of approximately $1 million resulting in tax goodwill of approximately $32 million which is being amortized for tax purposes on a straight-line basis over 15 years, which accounts for an annual difference between U.S. GAAP income and taxable income by approximately $2.1 million per year over such period.</w:t>
      </w:r>
    </w:p>
    <w:p>
      <w:pPr>
        <w:spacing w:after="0" w:line="19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one of KCAP’s affiliates, in exchange for shares of the Company’s stock valued at $25.5 million and cash of $13.0 million. The transaction was considered an asset purchase under Section 351(a) of the code and resulted in tax goodwill of approximately $22.8 million which is being amortized for tax purposes on a straight-line basis over 15 years, which accounts for an annual difference between GAAP income and taxable income by approximately $1.5 million per year over such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On February 26, 2013, the Company entered into a senior credit agreement (the “Trimaran Credit Facility”) with Trimaran Advisors, pursuant to which Trimaran Advisors may borrow from time to time up to $20 million from the Company for general corporate purposes and/or in order to provide capital necessary to support one or more of Trimaran Advisors’ warehouse lines of credit and/or working capital in connection with Trimaran Advisors’ warehouse activities. The Trimaran Credit Facility expires on November 20, 2017 and bears interest at an annual rate of 9.0%. Outstanding borrowings on the Trimaran Credit Facility are callable by the Company at any time. On April 15, 2013, the Trimaran Credit Facility was amended and upsized from $20 million to $23 million. At March 31, 2015, there was $23 million outstanding under the Trimaran Credit Facility, which is included in the Company’s Schedule of Investments. For the three months ended March 31, 2015, the Company recognized interest income of $517,500 related to the Trimaran Credit Facility. As of March 31, 2015, Trimaran had a $22 million investment in a CLO warehouse facility.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r>
              <w:rPr>
                <w:rFonts w:ascii="Arial" w:cs="Arial" w:eastAsia="Arial" w:hAnsi="Arial"/>
                <w:sz w:val="18"/>
                <w:szCs w:val="18"/>
                <w:b w:val="1"/>
                <w:bCs w:val="1"/>
                <w:color w:val="auto"/>
              </w:rPr>
              <w:t>6. BORROWINGS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80" w:type="dxa"/>
            <w:vAlign w:val="bottom"/>
          </w:tcPr>
          <w:p>
            <w:pPr>
              <w:ind w:left="340"/>
              <w:spacing w:after="0"/>
              <w:rPr>
                <w:sz w:val="20"/>
                <w:szCs w:val="20"/>
                <w:color w:val="auto"/>
              </w:rPr>
            </w:pPr>
            <w:r>
              <w:rPr>
                <w:rFonts w:ascii="Arial" w:cs="Arial" w:eastAsia="Arial" w:hAnsi="Arial"/>
                <w:sz w:val="18"/>
                <w:szCs w:val="18"/>
                <w:color w:val="auto"/>
              </w:rPr>
              <w:t>The Company’s debt obligations consist of the following:</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March 31, 2015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As of</w:t>
            </w:r>
          </w:p>
        </w:tc>
      </w:tr>
      <w:tr>
        <w:trPr>
          <w:trHeight w:val="234"/>
        </w:trPr>
        <w:tc>
          <w:tcPr>
            <w:tcW w:w="6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(unaudited)</w:t>
            </w:r>
          </w:p>
        </w:tc>
        <w:tc>
          <w:tcPr>
            <w:tcW w:w="1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 2014</w:t>
            </w: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 due March 15, 2016</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38,647,000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7.375% Notes Due 2019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41,400,000</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41,400,000</w:t>
            </w: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Notes Issued by KCAP Senior Funding I, LLC (net of discount: 2015 - $3,362,714; 2014 -</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$3,512,407)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143,987,286</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143,837,593</w:t>
            </w:r>
          </w:p>
        </w:tc>
        <w:tc>
          <w:tcPr>
            <w:tcW w:w="10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March 31, 2015 were 4.43% and 6.99 years, respectively, and as of December 31, 2014 were 4.43% and 7.23 years,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following underwriting expenses, were approximately $57.7 million. Interest on the Convertible Notes is paid semi-annually in arrears on March 15 and September 15, at a rate of 8.75%, commencing September 15, 2011. The Convertible Notes mature on March 15, 2016 unless converted earlier. The Convertible Notes are senior unsecured obligations of the Company.</w:t>
      </w:r>
    </w:p>
    <w:p>
      <w:pPr>
        <w:spacing w:after="0" w:line="15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Convertible Notes are convertible into shares of Company’s common stock. As of March 31, 2015 the conversion rate was 132.7726 shares of common stock per $1,000 principal amount of Convertible Notes, which is equivalent to a conversion price of approximately $7.53 per share of common stock. Upon conversion, the Company would issue the full amount of common stock or settle the conversion in cash, at its option, and retire the full amount of debt outstanding.</w:t>
      </w:r>
    </w:p>
    <w:p>
      <w:pPr>
        <w:spacing w:after="0" w:line="187"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Upon conversion, unless a holder converts after a record date for an interest payment but prior to the corresponding interest payment date, the holder will receive a separate cash payment with respect to the Convertible Notes surrendered for conversion representing accrued and unpaid interest to, but not including the conversion date. Any such payment will be made on the settlement date applicable to the relevant conversion on the Convertible Notes.</w:t>
      </w:r>
    </w:p>
    <w:p>
      <w:pPr>
        <w:spacing w:after="0" w:line="147"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No holder of Convertible Notes will be entitled to receive shares of the Company’s common stock upon conversion to the extent (but only to the extent) that such receipt would cause such converting holder to become, directly or indirectly, a beneficial owner (within the meaning of Section 13(d) of the Securities Exchange Act of 1934 and the rules and regulations promulgated thereunder) of more than 5.0% of the shares of the Company’s common stock outstanding at such time. The 5.0% limitation shall no longer apply following the effective date of any fundamental change.</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Subject to certain exceptions, holders may require us to repurchase, for cash, all or part of their Convertible Notes upon a fundamental change at a price equal to 100% of the principal amount of the Convertible Notes being repurchased plus any accrued and unpaid interest up to, but excluding, the fundamental change repurchase date. In addition, in the case of certain fundamental changes and without duplication of the foregoing amount, the Company will also pay holders an amount in cash (or, in certain circumstances, shares of the Company’s common stock) equal to the present value of the remaining interest payments on such notes through, and including, the maturity date.</w:t>
      </w:r>
    </w:p>
    <w:p>
      <w:pPr>
        <w:spacing w:after="0" w:line="188"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 xml:space="preserve">In connection with the issuance of the Convertible Notes, the Company incurred approximately $2.4 million of debt offering costs, which are being amortized over the term of the facility on an effective yield method, of which approximately $332,000 remains to be amortized. On April 4, 2013, approximately $9 million of the Company’s 8.75% Convertible Notes were converted at a price basis per share of $8.159 into 1,102,093 shares of KCAP common stock. On September 4, 2013, the Company purchased $2.0 million face value of its own Convertible Notes at $114.50 plus accrued interest. KCAP subsequently surrendered these notes to the Trustee for cancellation effective September 13, 2013. On October 9, 2014, the Company purchased approximately $10.4 million face value of its own Convertible Notes at $114.875 plus accrued interest. KCAP subsequently surrendered these notes to the Trustee for cancellation. Due to the cash conversion option embedded in the Convertible Notes, the Company applied the guidance in ASC 470-40-20, </w:t>
      </w:r>
      <w:r>
        <w:rPr>
          <w:rFonts w:ascii="Arial" w:cs="Arial" w:eastAsia="Arial" w:hAnsi="Arial"/>
          <w:sz w:val="17"/>
          <w:szCs w:val="17"/>
          <w:i w:val="1"/>
          <w:iCs w:val="1"/>
          <w:color w:val="auto"/>
        </w:rPr>
        <w:t>Debt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Conversion and Other Options </w:t>
      </w:r>
      <w:r>
        <w:rPr>
          <w:rFonts w:ascii="Arial" w:cs="Arial" w:eastAsia="Arial" w:hAnsi="Arial"/>
          <w:sz w:val="17"/>
          <w:szCs w:val="17"/>
          <w:color w:val="auto"/>
        </w:rPr>
        <w:t>and realized a loss on the extinguishment of this debt. For the three months ended March 31, 2015 there were no realized</w:t>
      </w:r>
      <w:r>
        <w:rPr>
          <w:rFonts w:ascii="Arial" w:cs="Arial" w:eastAsia="Arial" w:hAnsi="Arial"/>
          <w:sz w:val="17"/>
          <w:szCs w:val="17"/>
          <w:i w:val="1"/>
          <w:iCs w:val="1"/>
          <w:color w:val="auto"/>
        </w:rPr>
        <w:t xml:space="preserve"> </w:t>
      </w:r>
      <w:r>
        <w:rPr>
          <w:rFonts w:ascii="Arial" w:cs="Arial" w:eastAsia="Arial" w:hAnsi="Arial"/>
          <w:sz w:val="17"/>
          <w:szCs w:val="17"/>
          <w:color w:val="auto"/>
        </w:rPr>
        <w:t>losses on extinguishment of debt. The indenture governing the Convertible Notes contains certain restrictive covenants, including compliance with certain provisions of the 1940 Act and conditions governing the undertaking of new debt.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ind w:right="220" w:firstLine="324"/>
        <w:spacing w:after="0" w:line="277" w:lineRule="auto"/>
        <w:rPr>
          <w:sz w:val="20"/>
          <w:szCs w:val="20"/>
          <w:color w:val="auto"/>
        </w:rPr>
      </w:pPr>
      <w:r>
        <w:rPr>
          <w:rFonts w:ascii="Arial" w:cs="Arial" w:eastAsia="Arial" w:hAnsi="Arial"/>
          <w:sz w:val="18"/>
          <w:szCs w:val="18"/>
          <w:color w:val="auto"/>
        </w:rPr>
        <w:t>For the three months ended March 31, 2015 and 2014, interest expense related to the Convertible Notes was approximately $845,000 and $1.1 million, respectively.</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Convertible Notes have been analyzed for any features that would require its accounting to be bifurcated. There are no features that require accounting to be bifurcated, and as a result, they are recorded as a liability at their contractual amounts. At March 31, 2015, the Company was in compliance with all of its debt covenants.</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Fair Value of Convertible Notes. </w:t>
      </w:r>
      <w:r>
        <w:rPr>
          <w:rFonts w:ascii="Arial" w:cs="Arial" w:eastAsia="Arial" w:hAnsi="Arial"/>
          <w:sz w:val="18"/>
          <w:szCs w:val="18"/>
          <w:color w:val="auto"/>
        </w:rPr>
        <w:t>The Company carries the Convertible Notes at cost. The Convertible Notes were issued in a private placement and there</w:t>
      </w:r>
      <w:r>
        <w:rPr>
          <w:rFonts w:ascii="Arial" w:cs="Arial" w:eastAsia="Arial" w:hAnsi="Arial"/>
          <w:sz w:val="18"/>
          <w:szCs w:val="18"/>
          <w:i w:val="1"/>
          <w:iCs w:val="1"/>
          <w:color w:val="auto"/>
        </w:rPr>
        <w:t xml:space="preserve"> </w:t>
      </w:r>
      <w:r>
        <w:rPr>
          <w:rFonts w:ascii="Arial" w:cs="Arial" w:eastAsia="Arial" w:hAnsi="Arial"/>
          <w:sz w:val="18"/>
          <w:szCs w:val="18"/>
          <w:color w:val="auto"/>
        </w:rPr>
        <w:t>is no active trading of these notes. The estimated fair value of the Company’s outstanding Convertible Notes was approximately $40.4 million at March 31, 2015. The fair value was determined based on an indicative closing price as of March 31, 2015. The Convertible Notes are categorized as Level III following ASC 820: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7.375% Notes Due 2019</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October 10, 2012, the Company issued $41.4 million in aggregate principal amount of unsecured 7.375% Notes due 2019. The net proceeds for these Notes,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The 7.375% Notes Due 2019 are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7.375% Notes Due 2019, the Company is limited in its ability to make distributions in certain circumstances. The indenture governing the 7.375% Notes Due 2019 contains certain restrictive covenants, including compliance with certain provisions of the 1940 Act relating to borrowing and dividends. At March 31, 2015, the Company was in compliance with all of its debt covenants.</w:t>
      </w:r>
    </w:p>
    <w:p>
      <w:pPr>
        <w:spacing w:after="0" w:line="178"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For both of the three month periods ended March 31, 2015 and 2014, interest expense related to the 7.375% Notes Due 2019 was approximately $763,000.</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connection with the issuance of the 7.375% Notes Due 2019, the Company incurred approximately $1.5 million of debt offering costs which are being amortized over the term of the facility on an effective yield method, of which approximately $1.0 million remains to be amortized, as recorded on the consolidated balance sheets in other assets.</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color w:val="auto"/>
        </w:rPr>
        <w:t>Fair Value of 7.375% Notes Due 2019</w:t>
      </w:r>
      <w:r>
        <w:rPr>
          <w:rFonts w:ascii="Arial" w:cs="Arial" w:eastAsia="Arial" w:hAnsi="Arial"/>
          <w:sz w:val="16"/>
          <w:szCs w:val="16"/>
          <w:color w:val="auto"/>
        </w:rPr>
        <w:t>. The 7.375% Notes Due 2019 were issued in a public offering on October 10, 2012 and are carried at cost.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Company’s outstanding 7.375% Notes Due 2019 was approximately $42.5 million at March 31, 2015. The fair value was determined based on the closing price on March 31, 2015 for the 7.375% Notes Due 2019. The 7.375% Notes Due 2019 are categorized as Level I under the ASC 820: Fair Value.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KCAP Senior Funding I, LLC (Debt Securitization)</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On June 18, 2013, the Company completed the sale of notes in a $140,000,000 debt securitization financing transaction. The notes offered in this transaction (the “KCAP Senior Funding I Notes”) were issued by KCAP Senior Funding I, LLC, a newly formed special purpose vehicle (the “Issuer”), in which KCAP Senior Funding I Holdings, LLC, a wholly-owned subsidiary of the Company (the “Depositor”), owns all of the KCAP Senior Funding I Subordinated Notes (as defined below), and are backed by a diversified portfolio of bank loans. The indenture governing the KCAP Senior Funding I Notes contains an event of default that is triggered in the event that certain coverage tests are not met.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4" w:name="page55"/>
    <w:bookmarkEnd w:id="54"/>
    <w:p>
      <w:pPr>
        <w:ind w:right="360" w:firstLine="324"/>
        <w:spacing w:after="0" w:line="286" w:lineRule="auto"/>
        <w:rPr>
          <w:sz w:val="20"/>
          <w:szCs w:val="20"/>
          <w:color w:val="auto"/>
        </w:rPr>
      </w:pPr>
      <w:r>
        <w:rPr>
          <w:rFonts w:ascii="Arial" w:cs="Arial" w:eastAsia="Arial" w:hAnsi="Arial"/>
          <w:sz w:val="16"/>
          <w:szCs w:val="16"/>
          <w:color w:val="auto"/>
        </w:rPr>
        <w:t>The secured notes (the “KCAP Senior Funding I Secured Notes”) were issued as Class A senior secured floating rate notes which have an initial face amount of $77,250,000, are rated AAA (sf)/Aaa (sf) by Standard &amp; Poor’s Ratings Services and Moody’s Investors Service, Inc., respectively, and bear interest at the three-month LIBOR plus 1.50%, Class B senior secured floating rate notes which have an initial face amount of $9,000,000, are rated AA (sf)/Aa2 (sf) by Standard &amp; Poor’s Ratings Services and Moody’s Investors Service, Inc., respectively, and bear interest at three-month LIBOR plus the</w:t>
      </w:r>
    </w:p>
    <w:p>
      <w:pPr>
        <w:spacing w:after="0" w:line="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3.25%, Class C secured deferrable floating rate notes which have an initial face amount of $10,000,000, are rated A (sf)/A2 (sf) by Standard &amp; Poor’s Ratings Services and Moody’s Investors Service, Inc., respectively, and bear interest at three-month LIBOR plus 4.25%, and Class D secured deferrable floating rate notes which have an initial face amount of $9,000,000, are rated BBB (sf)/Baa2 (sf) by Standard &amp; Poor’s Ratings Services and Moody’s Investors Service, Inc., respectively, and bear interest at three-month LIBOR plus 5.25%. The Depositor retained all of the subordinated notes of the Issuer (the “KCAP Senior Funding I Subordinated Notes”), which have an initial face amount of $34,750,000. The KCAP Senior Funding I Subordinated Notes do not bear interest and are not rated. Both the KCAP Senior Funding I Secured Notes and the KCAP Senior Funding I Subordinated Notes have a stated maturity on the payment date occurring in July, 2024, and are subject to a two year non-call period. The Issuer has a four year reinvestment period. The stated interest rate re-sets on a quarterly basis based upon the then-current level of the benchmark three-month LIBOR.</w:t>
      </w:r>
    </w:p>
    <w:p>
      <w:pPr>
        <w:spacing w:after="0" w:line="170"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On December 8, 2014, the Company completed the sale of additional notes in a $56,000,000 increase to the collateralized loan obligation transaction that originally closed on June 18, 2013 (the “Original Closing Date”). The issuance of additional notes was proportional across all existing classes of notes issued on the Original Closing Date.</w:t>
      </w:r>
    </w:p>
    <w:p>
      <w:pPr>
        <w:spacing w:after="0" w:line="181"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Each class of secured Additional Issuance Securities (all such classes, collectively, the “Additional Issuance Offered Securities”) was issued as a pari passu sub-class of an existing class of notes issued on the Original Closing Date. Accordingly, the ratings given by Standard &amp; Poor’s Ratings Services and Moody’s Investors Service, Inc. to each existing class of notes issued on the Original Closing Date will apply to each class of Additional Issuance Offered Securities that constitutes a related pari passu sub-class of such existing class of notes issued on the Original Closing Date.</w:t>
      </w:r>
    </w:p>
    <w:p>
      <w:pPr>
        <w:spacing w:after="0" w:line="17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Additional Issuance Offered Securities were issued as Class A-2 senior secured floating rate notes which have an initial face amount of $30,900,000, have a rating of AAA (sf)/Aaa (sf) by Standard &amp; Poor’s Ratings Services and Moody’s Investors Service, Inc., respectively, and bear interest at the three-month LIBOR plus 1.50%, Class B-2 senior secured floating rate notes which have an initial face amount of $3,600,000, a rating of AA (sf)/Aa2 (sf) by Standard &amp; Poor’s Ratings Services and Moody’s Investors Service, Inc., respectively, and bear interest at three-month LIBOR plus 3.25%, Class C-2 secured deferrable floating rate notes which have an initial face amount of $4,000,000, a rating of A (sf)/A2 (sf) by Standard &amp; Poor’s Ratings Services and Moody’s Investors Service, Inc., respectively, and bear interest at three-month LIBOR plus 4.25%, and Class D-2 secured deferrable floating rate notes which have an initial face amount of $3,600,000, a rating of BBB (sf)/Baa2 (sf) by Standard &amp; Poor’s Ratings Services and Moody’s Investors Service, Inc., respectively, and bear interest at three-month LIBOR plus 5.25%. The Depositor retained all of the subordinated Additional Issuance Securities of the Issuer (the “Additional Issuance Subordinated Notes”), which have an initial face amount of $13,900,000. The Additional Issuance Subordinated Notes do not bear interest and are not rated. The Additional Issuance Securities have a stated maturity date of July 20, 2024 and are subject to a non-call period until the payment date on the Additional Issuance Securities occurring in July 2015. The Issuer has a reinvestment period to and including the payment date on the Additional Issuance Securities occurring in July 2017, or such earlier date as is provided in the indenture relating to the Additional Issuance Securities. In connection with the Additional Issuance Offered Securities, the Company incurred issuance costs and OID costs of approximately $584,000 and $896,000, respectively, which is included in other assets on the accompanying balance sheet.</w:t>
      </w:r>
    </w:p>
    <w:p>
      <w:pPr>
        <w:spacing w:after="0" w:line="17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part of this transaction, the Company entered into a master loan sale agreement with the Depositor and the Issuer under which the Company sold or contributed certain bank loans to the Depositor, and the Depositor sold such loans to the Issuer in exchange for a combination of cash and the issuance of the KCAP Senior Funding I Subordinated Notes to the Depositor.</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connection with the issuance and sale of the KCAP Senior Funding I Notes, the Company has made customary representations, warranties and covenants in the purchase agreement by and between the Company, the Depositor, the Issuer and Guggenheim Securities, LLC, which served as the initial purchaser of the KCAP Senior Funding I Secured Notes. The KCAP Senior Funding I Secured Notes are the secured obligations of the Issuer, and an indenture governing the KCAP Senior Funding I Notes includes customary covenants and events of default. The KCAP Senior Funding I Notes were sold in a private placement transaction and have not been, and will not be, registered under the Securities Act of 1933, as amended, or any state “blue sky” laws and may not be offered or sold in the United States absent registration with the Securities and Exchange Commission or an applicable exemption from registration.</w:t>
      </w:r>
    </w:p>
    <w:p>
      <w:pPr>
        <w:spacing w:after="0" w:line="189"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The Company serves as collateral manager to the Issuer under a collateral management agreement, which contains customary representations, warranties and covenants. Under the collateral management agreement, the Company will perform certain investment management functions, including supervising and directing the investment and reinvestment of the Issuer’s assets, as well as perform certain administrative and advisory functions.</w:t>
      </w:r>
    </w:p>
    <w:p>
      <w:pPr>
        <w:spacing w:after="0" w:line="147"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In addition, because each of the Issuer and the Depositor are consolidated subsidiaries, the Company did not recognize any gain or loss on the transfer of any of our portfolio assets to such vehicles in connection with the issuance and sale of the KCAP Senior Funding I Notes.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5" w:name="page56"/>
    <w:bookmarkEnd w:id="55"/>
    <w:p>
      <w:pPr>
        <w:ind w:right="40" w:firstLine="324"/>
        <w:spacing w:after="0" w:line="276" w:lineRule="auto"/>
        <w:rPr>
          <w:sz w:val="20"/>
          <w:szCs w:val="20"/>
          <w:color w:val="auto"/>
        </w:rPr>
      </w:pPr>
      <w:r>
        <w:rPr>
          <w:rFonts w:ascii="Arial" w:cs="Arial" w:eastAsia="Arial" w:hAnsi="Arial"/>
          <w:sz w:val="17"/>
          <w:szCs w:val="17"/>
          <w:color w:val="auto"/>
        </w:rPr>
        <w:t>As of March 31, 2015, there were 74 investments in portfolio companies with a total fair value of approximately $194 million, collateralizing the secured notes of the Issuer. At March 31, 2015, there were unamortized issuance costs of approximately $3.6 million included in other assets, and unamortized original issue discount, (“OID”) costs of approximately $3.4 million included in Notes issued by KCAP Senior Funding I, LLC liabilities in the accompanying consolidated balance sheet. The pool of loans in the securitization must meet certain requirements, including asset mix and concentration, collateral coverage, term, agency rating, minimum coupon, minimum spread and sector diversity requirements.</w:t>
      </w:r>
    </w:p>
    <w:p>
      <w:pPr>
        <w:spacing w:after="0" w:line="173" w:lineRule="exact"/>
        <w:rPr>
          <w:sz w:val="20"/>
          <w:szCs w:val="20"/>
          <w:color w:val="auto"/>
        </w:rPr>
      </w:pPr>
    </w:p>
    <w:p>
      <w:pPr>
        <w:jc w:val="both"/>
        <w:ind w:right="80" w:firstLine="324"/>
        <w:spacing w:after="0" w:line="302" w:lineRule="auto"/>
        <w:rPr>
          <w:sz w:val="20"/>
          <w:szCs w:val="20"/>
          <w:color w:val="auto"/>
        </w:rPr>
      </w:pPr>
      <w:r>
        <w:rPr>
          <w:rFonts w:ascii="Arial" w:cs="Arial" w:eastAsia="Arial" w:hAnsi="Arial"/>
          <w:sz w:val="16"/>
          <w:szCs w:val="16"/>
          <w:color w:val="auto"/>
        </w:rPr>
        <w:t>For the period ended March 31, 2015, interest expense, including the amortization of deferred debt issuance costs and the discount on the face amount of the notes was approximately $1.2 million consisting of stated interest expense of approximately $913,000, accreted discount of approximately $150,000, and deferred debt issuance costs of approximately $160,000. As of March 31, 2015 the stated interest charged under the securitization was based on current three month LIBOR, which was 0.25%. The classes, stated interest rates, spread over LIBOR, and stated interest expense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Stated Interest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LIBOR Spread</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Rate (1)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(basis points)</w:t>
            </w:r>
          </w:p>
        </w:tc>
        <w:tc>
          <w:tcPr>
            <w:tcW w:w="1440" w:type="dxa"/>
            <w:vAlign w:val="bottom"/>
            <w:gridSpan w:val="4"/>
          </w:tcPr>
          <w:p>
            <w:pPr>
              <w:ind w:left="80"/>
              <w:spacing w:after="0"/>
              <w:rPr>
                <w:sz w:val="20"/>
                <w:szCs w:val="20"/>
                <w:color w:val="auto"/>
              </w:rPr>
            </w:pPr>
            <w:r>
              <w:rPr>
                <w:rFonts w:ascii="Arial" w:cs="Arial" w:eastAsia="Arial" w:hAnsi="Arial"/>
                <w:sz w:val="18"/>
                <w:szCs w:val="18"/>
                <w:b w:val="1"/>
                <w:bCs w:val="1"/>
                <w:color w:val="auto"/>
                <w:w w:val="92"/>
              </w:rPr>
              <w:t>Interest Expense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A Notes</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KCAP Senior Funding LLC Class B Notes</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110,161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C Notes</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157,401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KCAP Senior Funding LLC Class D Notes</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173,161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913,116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860" w:hanging="332"/>
        <w:spacing w:after="0" w:line="569" w:lineRule="auto"/>
        <w:tabs>
          <w:tab w:leader="none" w:pos="271" w:val="left"/>
        </w:tabs>
        <w:numPr>
          <w:ilvl w:val="0"/>
          <w:numId w:val="32"/>
        </w:numPr>
        <w:rPr>
          <w:rFonts w:ascii="Arial" w:cs="Arial" w:eastAsia="Arial" w:hAnsi="Arial"/>
          <w:sz w:val="16"/>
          <w:szCs w:val="16"/>
          <w:color w:val="auto"/>
        </w:rPr>
      </w:pPr>
      <w:r>
        <w:rPr>
          <w:rFonts w:ascii="Arial" w:cs="Arial" w:eastAsia="Arial" w:hAnsi="Arial"/>
          <w:sz w:val="16"/>
          <w:szCs w:val="16"/>
          <w:color w:val="auto"/>
        </w:rPr>
        <w:t>Stated Interest Rate (and thus the periodic interest expense), will vary based upon prevailing 3 month LIBOR as of the reset date. The amounts, ratings and interest rates (expressed as a spread to LIBOR) of the Class A, B, C, and D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 A Notes</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 B Notes</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 C Notes</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7"/>
              </w:rPr>
              <w:t>Class D Notes</w:t>
            </w:r>
          </w:p>
        </w:tc>
      </w:tr>
      <w:tr>
        <w:trPr>
          <w:trHeight w:val="195"/>
        </w:trPr>
        <w:tc>
          <w:tcPr>
            <w:tcW w:w="2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Senior Secured Floating</w:t>
            </w:r>
          </w:p>
        </w:tc>
        <w:tc>
          <w:tcPr>
            <w:tcW w:w="10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Senior Secured Floating</w:t>
            </w:r>
          </w:p>
        </w:tc>
        <w:tc>
          <w:tcPr>
            <w:tcW w:w="10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Secured Deferrable Floating</w:t>
            </w:r>
          </w:p>
        </w:tc>
        <w:tc>
          <w:tcPr>
            <w:tcW w:w="10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Secured Deferrable Floating</w:t>
            </w:r>
          </w:p>
        </w:tc>
      </w:tr>
      <w:tr>
        <w:trPr>
          <w:trHeight w:val="230"/>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Type</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Rate</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Rate</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Rate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Rate</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Amount Outstanding</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$ 108,150,000</w:t>
            </w:r>
          </w:p>
        </w:tc>
        <w:tc>
          <w:tcPr>
            <w:tcW w:w="100" w:type="dxa"/>
            <w:vAlign w:val="bottom"/>
          </w:tcPr>
          <w:p>
            <w:pPr>
              <w:spacing w:after="0"/>
              <w:rPr>
                <w:sz w:val="18"/>
                <w:szCs w:val="18"/>
                <w:color w:val="auto"/>
              </w:rPr>
            </w:pPr>
          </w:p>
        </w:tc>
        <w:tc>
          <w:tcPr>
            <w:tcW w:w="2060" w:type="dxa"/>
            <w:vAlign w:val="bottom"/>
          </w:tcPr>
          <w:p>
            <w:pPr>
              <w:jc w:val="right"/>
              <w:ind w:right="490"/>
              <w:spacing w:after="0"/>
              <w:rPr>
                <w:sz w:val="20"/>
                <w:szCs w:val="20"/>
                <w:color w:val="auto"/>
              </w:rPr>
            </w:pPr>
            <w:r>
              <w:rPr>
                <w:rFonts w:ascii="Arial" w:cs="Arial" w:eastAsia="Arial" w:hAnsi="Arial"/>
                <w:sz w:val="18"/>
                <w:szCs w:val="18"/>
                <w:color w:val="auto"/>
              </w:rPr>
              <w:t>$12,600,000</w:t>
            </w:r>
          </w:p>
        </w:tc>
        <w:tc>
          <w:tcPr>
            <w:tcW w:w="100" w:type="dxa"/>
            <w:vAlign w:val="bottom"/>
          </w:tcPr>
          <w:p>
            <w:pPr>
              <w:spacing w:after="0"/>
              <w:rPr>
                <w:sz w:val="18"/>
                <w:szCs w:val="18"/>
                <w:color w:val="auto"/>
              </w:rPr>
            </w:pPr>
          </w:p>
        </w:tc>
        <w:tc>
          <w:tcPr>
            <w:tcW w:w="2060" w:type="dxa"/>
            <w:vAlign w:val="bottom"/>
          </w:tcPr>
          <w:p>
            <w:pPr>
              <w:jc w:val="right"/>
              <w:ind w:right="490"/>
              <w:spacing w:after="0"/>
              <w:rPr>
                <w:sz w:val="20"/>
                <w:szCs w:val="20"/>
                <w:color w:val="auto"/>
              </w:rPr>
            </w:pPr>
            <w:r>
              <w:rPr>
                <w:rFonts w:ascii="Arial" w:cs="Arial" w:eastAsia="Arial" w:hAnsi="Arial"/>
                <w:sz w:val="18"/>
                <w:szCs w:val="18"/>
                <w:color w:val="auto"/>
              </w:rPr>
              <w:t>$14,000,000</w:t>
            </w:r>
          </w:p>
        </w:tc>
        <w:tc>
          <w:tcPr>
            <w:tcW w:w="100" w:type="dxa"/>
            <w:vAlign w:val="bottom"/>
          </w:tcPr>
          <w:p>
            <w:pPr>
              <w:spacing w:after="0"/>
              <w:rPr>
                <w:sz w:val="18"/>
                <w:szCs w:val="18"/>
                <w:color w:val="auto"/>
              </w:rPr>
            </w:pPr>
          </w:p>
        </w:tc>
        <w:tc>
          <w:tcPr>
            <w:tcW w:w="2060" w:type="dxa"/>
            <w:vAlign w:val="bottom"/>
          </w:tcPr>
          <w:p>
            <w:pPr>
              <w:jc w:val="right"/>
              <w:ind w:right="490"/>
              <w:spacing w:after="0"/>
              <w:rPr>
                <w:sz w:val="20"/>
                <w:szCs w:val="20"/>
                <w:color w:val="auto"/>
              </w:rPr>
            </w:pPr>
            <w:r>
              <w:rPr>
                <w:rFonts w:ascii="Arial" w:cs="Arial" w:eastAsia="Arial" w:hAnsi="Arial"/>
                <w:sz w:val="18"/>
                <w:szCs w:val="18"/>
                <w:color w:val="auto"/>
              </w:rPr>
              <w:t>$12,600,000</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Moody's Rating (</w:t>
            </w:r>
            <w:r>
              <w:rPr>
                <w:rFonts w:ascii="Arial" w:cs="Arial" w:eastAsia="Arial" w:hAnsi="Arial"/>
                <w:sz w:val="18"/>
                <w:szCs w:val="18"/>
                <w:i w:val="1"/>
                <w:iCs w:val="1"/>
                <w:color w:val="auto"/>
              </w:rPr>
              <w:t>sf</w:t>
            </w:r>
            <w:r>
              <w:rPr>
                <w:rFonts w:ascii="Arial" w:cs="Arial" w:eastAsia="Arial" w:hAnsi="Arial"/>
                <w:sz w:val="18"/>
                <w:szCs w:val="18"/>
                <w:color w:val="auto"/>
              </w:rPr>
              <w:t>)</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"Aaa"</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"Aa2"</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"A2"</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"Baa2"</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Standard &amp;amp; Poor's Rating (</w:t>
            </w:r>
            <w:r>
              <w:rPr>
                <w:rFonts w:ascii="Arial" w:cs="Arial" w:eastAsia="Arial" w:hAnsi="Arial"/>
                <w:sz w:val="18"/>
                <w:szCs w:val="18"/>
                <w:i w:val="1"/>
                <w:iCs w:val="1"/>
                <w:color w:val="auto"/>
              </w:rPr>
              <w:t>sf</w:t>
            </w:r>
            <w:r>
              <w:rPr>
                <w:rFonts w:ascii="Arial" w:cs="Arial" w:eastAsia="Arial" w:hAnsi="Arial"/>
                <w:sz w:val="18"/>
                <w:szCs w:val="18"/>
                <w:color w:val="auto"/>
              </w:rPr>
              <w:t>)</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rPr>
              <w:t>"AAA"</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rPr>
              <w:t>"AA"</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rPr>
              <w:t>"A"</w:t>
            </w:r>
          </w:p>
        </w:tc>
        <w:tc>
          <w:tcPr>
            <w:tcW w:w="2060" w:type="dxa"/>
            <w:vAlign w:val="bottom"/>
          </w:tcPr>
          <w:p>
            <w:pPr>
              <w:jc w:val="center"/>
              <w:spacing w:after="0"/>
              <w:rPr>
                <w:sz w:val="20"/>
                <w:szCs w:val="20"/>
                <w:color w:val="auto"/>
              </w:rPr>
            </w:pPr>
            <w:r>
              <w:rPr>
                <w:rFonts w:ascii="Arial" w:cs="Arial" w:eastAsia="Arial" w:hAnsi="Arial"/>
                <w:sz w:val="18"/>
                <w:szCs w:val="18"/>
                <w:color w:val="auto"/>
              </w:rPr>
              <w:t>"BBB"</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LIBOR + 1.50 %</w:t>
            </w: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LIBOR + 3.25 %</w:t>
            </w: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LIBOR + 4.25 %</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+ 5.25 %</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Stated Maturity</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2024</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2024</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2024</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July, 2024</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Classes</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B, C, D and Subordinated</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 D and Subordinated</w:t>
            </w: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D and Subordinated</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Subordinated</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outstanding principal amounts, carrying values and fair values of the Class A, B, C and D Notes are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7"/>
              </w:rPr>
              <w:t>As of</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2"/>
              </w:rPr>
              <w:t>March 31, 2015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(unaudited)</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w w:val="91"/>
              </w:rPr>
              <w:t>Principal Amount</w:t>
            </w:r>
          </w:p>
        </w:tc>
        <w:tc>
          <w:tcPr>
            <w:tcW w:w="18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w w:val="99"/>
              </w:rPr>
              <w:t>Carrying Value</w:t>
            </w:r>
          </w:p>
        </w:tc>
        <w:tc>
          <w:tcPr>
            <w:tcW w:w="1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KCAP Senior Funding LLC Class A Notes</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108,150,000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105,681,880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$ 105,482,129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KCAP Senior Funding LLC Class B Notes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12,600,000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12,312,452</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12,463,288</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C Notes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13,680,502</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13,966,960</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KCAP Senior Funding LLC Class D Notes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12,600,000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12,312,452</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12,285,000</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147,350,000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143,987,286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$ 144,197,377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i w:val="1"/>
          <w:iCs w:val="1"/>
          <w:color w:val="auto"/>
        </w:rPr>
        <w:t xml:space="preserve">Fair Value of KCAP Senior Funding I. </w:t>
      </w:r>
      <w:r>
        <w:rPr>
          <w:rFonts w:ascii="Arial" w:cs="Arial" w:eastAsia="Arial" w:hAnsi="Arial"/>
          <w:sz w:val="17"/>
          <w:szCs w:val="17"/>
          <w:color w:val="auto"/>
        </w:rPr>
        <w:t>The Company carries the KCAP Senior Funding I Notes at cost, net of unamortized discount of $3,362,714.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KCAP Senior Funding I Notes was approximately $144 million at March 31, 2015. The fair values were determined based on third party indicative values. The KCAP Senior Funding I L.L.C. Notes are categorized as Level III under ASC 820: Fair Value.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DISTRIBUTABLE TAXABLE INCOME</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of Directors. The Company anticipates distributing at least 90%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2015). Depending on the level of taxable income earned in a tax year, the Company may choose to carry forward taxable income in excess of current year distributions into the next tax year and pay a 4% excise tax on such income, to the extent required. The Company anticipates timely distribution of its taxable income within the tax rules, and the Company anticipates that it will not incur a US federal excise tax for the calendar year 2015.</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 for the three months ended March 31,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240" w:type="dxa"/>
            <w:vAlign w:val="bottom"/>
            <w:gridSpan w:val="4"/>
          </w:tcPr>
          <w:p>
            <w:pPr>
              <w:ind w:left="500"/>
              <w:spacing w:after="0"/>
              <w:rPr>
                <w:sz w:val="20"/>
                <w:szCs w:val="20"/>
                <w:color w:val="auto"/>
              </w:rPr>
            </w:pPr>
            <w:r>
              <w:rPr>
                <w:rFonts w:ascii="Arial" w:cs="Arial" w:eastAsia="Arial" w:hAnsi="Arial"/>
                <w:sz w:val="18"/>
                <w:szCs w:val="18"/>
                <w:b w:val="1"/>
                <w:bCs w:val="1"/>
                <w:color w:val="auto"/>
                <w:w w:val="96"/>
              </w:rPr>
              <w:t>Three Months Ended</w:t>
            </w:r>
          </w:p>
        </w:tc>
        <w:tc>
          <w:tcPr>
            <w:tcW w:w="72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March 31, 2015</w:t>
            </w:r>
          </w:p>
        </w:tc>
        <w:tc>
          <w:tcPr>
            <w:tcW w:w="720" w:type="dxa"/>
            <w:vAlign w:val="bottom"/>
          </w:tcPr>
          <w:p>
            <w:pPr>
              <w:spacing w:after="0"/>
              <w:rPr>
                <w:sz w:val="19"/>
                <w:szCs w:val="19"/>
                <w:color w:val="auto"/>
              </w:rPr>
            </w:pPr>
          </w:p>
        </w:tc>
      </w:tr>
      <w:tr>
        <w:trPr>
          <w:trHeight w:val="234"/>
        </w:trPr>
        <w:tc>
          <w:tcPr>
            <w:tcW w:w="66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(unaudited)</w:t>
            </w:r>
          </w:p>
        </w:tc>
        <w:tc>
          <w:tcPr>
            <w:tcW w:w="72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7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7,672,290</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change in unrealized depreciation from investments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(1,092,986)</w:t>
            </w:r>
          </w:p>
        </w:tc>
        <w:tc>
          <w:tcPr>
            <w:tcW w:w="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Excess capital gains over capital losses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(72,356)</w:t>
            </w:r>
          </w:p>
        </w:tc>
        <w:tc>
          <w:tcPr>
            <w:tcW w:w="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Book/tax differences on CLO equity investments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377,933</w:t>
            </w:r>
          </w:p>
        </w:tc>
        <w:tc>
          <w:tcPr>
            <w:tcW w:w="72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book/tax differences</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159,504</w:t>
            </w:r>
          </w:p>
        </w:tc>
        <w:tc>
          <w:tcPr>
            <w:tcW w:w="720" w:type="dxa"/>
            <w:vAlign w:val="bottom"/>
          </w:tcPr>
          <w:p>
            <w:pPr>
              <w:spacing w:after="0"/>
              <w:rPr>
                <w:sz w:val="19"/>
                <w:szCs w:val="19"/>
                <w:color w:val="auto"/>
              </w:rPr>
            </w:pPr>
          </w:p>
        </w:tc>
      </w:tr>
      <w:tr>
        <w:trPr>
          <w:trHeight w:val="263"/>
        </w:trPr>
        <w:tc>
          <w:tcPr>
            <w:tcW w:w="660" w:type="dxa"/>
            <w:vAlign w:val="bottom"/>
          </w:tcPr>
          <w:p>
            <w:pPr>
              <w:spacing w:after="0"/>
              <w:rPr>
                <w:sz w:val="22"/>
                <w:szCs w:val="22"/>
                <w:color w:val="auto"/>
              </w:rPr>
            </w:pPr>
          </w:p>
        </w:tc>
        <w:tc>
          <w:tcPr>
            <w:tcW w:w="7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Taxable income before deductions for distributions</w:t>
            </w:r>
          </w:p>
        </w:tc>
        <w:tc>
          <w:tcPr>
            <w:tcW w:w="5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7,044,385</w:t>
            </w:r>
          </w:p>
        </w:tc>
        <w:tc>
          <w:tcPr>
            <w:tcW w:w="100" w:type="dxa"/>
            <w:vAlign w:val="bottom"/>
            <w:tcBorders>
              <w:bottom w:val="single" w:sz="8" w:color="CCEEFF"/>
            </w:tcBorders>
          </w:tcPr>
          <w:p>
            <w:pPr>
              <w:spacing w:after="0"/>
              <w:rPr>
                <w:sz w:val="22"/>
                <w:szCs w:val="22"/>
                <w:color w:val="auto"/>
              </w:rPr>
            </w:pPr>
          </w:p>
        </w:tc>
        <w:tc>
          <w:tcPr>
            <w:tcW w:w="720" w:type="dxa"/>
            <w:vAlign w:val="bottom"/>
          </w:tcPr>
          <w:p>
            <w:pPr>
              <w:spacing w:after="0"/>
              <w:rPr>
                <w:sz w:val="22"/>
                <w:szCs w:val="22"/>
                <w:color w:val="auto"/>
              </w:rPr>
            </w:pPr>
          </w:p>
        </w:tc>
      </w:tr>
      <w:tr>
        <w:trPr>
          <w:trHeight w:val="197"/>
        </w:trPr>
        <w:tc>
          <w:tcPr>
            <w:tcW w:w="660" w:type="dxa"/>
            <w:vAlign w:val="bottom"/>
          </w:tcPr>
          <w:p>
            <w:pPr>
              <w:spacing w:after="0"/>
              <w:rPr>
                <w:sz w:val="17"/>
                <w:szCs w:val="17"/>
                <w:color w:val="auto"/>
              </w:rPr>
            </w:pPr>
          </w:p>
        </w:tc>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7"/>
              </w:rPr>
              <w:t>Taxable income before deductions for distributions per weighted average basic shares for the period</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66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6"/>
              </w:rPr>
              <w:t>Taxable income before deductions for distributions per weighted average diluted shares for the period</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720" w:type="dxa"/>
            <w:vAlign w:val="bottom"/>
          </w:tcPr>
          <w:p>
            <w:pPr>
              <w:spacing w:after="0"/>
              <w:rPr>
                <w:sz w:val="20"/>
                <w:szCs w:val="20"/>
                <w:color w:val="auto"/>
              </w:rPr>
            </w:pPr>
          </w:p>
        </w:tc>
      </w:tr>
      <w:tr>
        <w:trPr>
          <w:trHeight w:val="634"/>
        </w:trPr>
        <w:tc>
          <w:tcPr>
            <w:tcW w:w="8460" w:type="dxa"/>
            <w:vAlign w:val="bottom"/>
            <w:tcBorders>
              <w:bottom w:val="single" w:sz="8" w:color="auto"/>
            </w:tcBorders>
            <w:gridSpan w:val="2"/>
          </w:tcPr>
          <w:p>
            <w:pPr>
              <w:jc w:val="right"/>
              <w:ind w:right="2570"/>
              <w:spacing w:after="0"/>
              <w:rPr>
                <w:sz w:val="20"/>
                <w:szCs w:val="20"/>
                <w:color w:val="auto"/>
              </w:rPr>
            </w:pPr>
            <w:r>
              <w:rPr>
                <w:rFonts w:ascii="Arial" w:cs="Arial" w:eastAsia="Arial" w:hAnsi="Arial"/>
                <w:sz w:val="18"/>
                <w:szCs w:val="18"/>
                <w:color w:val="auto"/>
              </w:rPr>
              <w:t>54</w:t>
            </w: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57" w:name="page58"/>
    <w:bookmarkEnd w:id="57"/>
    <w:p>
      <w:pPr>
        <w:ind w:right="60" w:firstLine="324"/>
        <w:spacing w:after="0" w:line="259" w:lineRule="auto"/>
        <w:rPr>
          <w:sz w:val="20"/>
          <w:szCs w:val="20"/>
          <w:color w:val="auto"/>
        </w:rPr>
      </w:pPr>
      <w:r>
        <w:rPr>
          <w:rFonts w:ascii="Arial" w:cs="Arial" w:eastAsia="Arial" w:hAnsi="Arial"/>
          <w:sz w:val="18"/>
          <w:szCs w:val="18"/>
          <w:color w:val="auto"/>
        </w:rPr>
        <w:t>Tax-basis taxable income differs from net increase (decrease) in net assets resulting from operations primarily due to: (1) unrealized appreciation (depreciation) on investments, as investment gains and losses are not included in tax-basis taxable income until they are realized; (2) excess of capital losses over capital gains; (3) Book-to-tax differences on CLO equity investments; and (4) other non-deductible expenses including stock compensation expense that is not currently deductible for tax purposes.</w:t>
      </w:r>
    </w:p>
    <w:p>
      <w:pPr>
        <w:spacing w:after="0" w:line="18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three months ended March 31, 2015 and 2014, the Asset Manager Affiliates declared cash distributions of $2.7 million and $3.0 million to the Company, respectively. The Company recognized $1.4 million of Dividends from Asset Manager Affiliates in the Statement of Operations in the first quarter of 2015 and 2014. The difference of $1.3 and $1.6 million, respectively, between cash distributions received and the tax-basis earnings and profits of the distributing affiliate, are recorded as an adjustment to the cost basis in the Asset Manager Affiliate (i.e. tax-basis return of capital), for the quarters ended March 31, 2015 and 2014, respectively.</w:t>
      </w:r>
    </w:p>
    <w:p>
      <w:pPr>
        <w:spacing w:after="0" w:line="17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Distributions to shareholders that exceed tax distributable income (tax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5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At March 31, 2015, the Company had a net capital loss carryforward of $76.5 million to offset net capital gains, to the extent provided by federal tax law. Of the net capital loss carryforward, $32.0 million will begin to expire in the tax year ending December 31, 2015. Of the net capital loss carryforward, $44.5 million is not subject to expiration under the RIC Modernization Act of 2010.</w:t>
      </w:r>
    </w:p>
    <w:p>
      <w:pPr>
        <w:spacing w:after="0" w:line="18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On March 24, 2015 the Company’s Board of Directors declared a distribution to shareholders of $0.21 per share for a total of $7.7 million. The record date was April 6, 2015 and the distribution was paid on April 27, 2015.</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March 31, 2014, the Company had a net capital loss carryforward of $66 million to offset net capital gains, to the extent provided by federal tax law.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capital loss carryforward will begin to expire in the tax year ending December 31, 2015.</w:t>
      </w:r>
    </w:p>
    <w:p>
      <w:pPr>
        <w:spacing w:after="0" w:line="21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Company adopted Financial Accounting Standards Board ASC Topic 740 Accounting for Uncertainty in Income Taxes (“ASC 740”) as of January 1, 2007.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March 31, 2015 and 2014, the Company had no commitments. As of March 31, 2015 and 2014, the company had no outstanding commitments to make investments in delayed draw senior secured loans.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During the three months ended March 31, 2015 and 2014, the Company issued 86,684 and 8,484 shares, respectively, of common stock under its dividend reinvestment plan. As of March 31, 2015 and December 31, 2014, there were 617,931 and 619,785 shares of unvested restricted shares, respectively. There were no grants, 1,854 forfeitures, and no vesting activity during the first quarter of 2015. On February 14, 2013, the Company completed a public offering of 5,232,500 shares of common stock, which included the underwriters’ full exercise of their option to purchase up to 682,500 shares of common stock, at a price of $9.75 per share. In conjunction with this offering, the Company also sold 200,000 shares of common stock to a member of its Board of Directors, at a price of $9.31125 per share, raising approximately $1.9 million in gross proceeds. On April 4, 2013, approximately $9 million of the Company’s 8.75% Convertible Notes were converted at a price basis per share of $8.159 into 1,102,093 shares of KCAP common stock. On October 6, 2014, the Company priced a follow-on public offering of 3.0 million shares of its common stock at a price of $8.02 per share. The offering raised net proceeds were approximately $23.8 million, after deducting underwriting discounts and offering expenses. The total number of shares of the Company’s common stock issued and outstanding as of March 31, 2015 and December 31, 2014 was 36,859,957 and 36,775,127,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w:t>
      </w:r>
    </w:p>
    <w:p>
      <w:pPr>
        <w:spacing w:after="0" w:line="229"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The Company has an equity incentive plan, established in 2006 and as amended in 2008 and most recently in June 2014 (the “Equity Incentive Plan”). The Company reserved 2,000,000 shares of common stock for issuance under the Equity Incentive Plan. The purpose of the Equity Incentive Plan is to provide officers and prospective employees of the Company with additional incentives and align the interests of its employees with those of its shareholders. Options granted under the Equity Incentive Plan are exercisable at a price equal to the fair market value (market closing price) of the shares on the day the option is granted. Restricted stock granted under the Equity Incentive Plan is granted at a price equal to the fair market value (market closing price) of the shares on the day such restricted stock is granted. Vesting of restricted stock awarded under the 2008 amendment of the Equity Incentive Plan will occur in two equal installments of 50%, on each of the third and fourth anniversaries of the grant date; vesting of restricted stock under the 2014 amended Equity Incentive Plan will vest in four equal installments of 25%, on each of the first four anniversaries of the grant date.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320" w:firstLine="324"/>
        <w:spacing w:after="0" w:line="312" w:lineRule="auto"/>
        <w:rPr>
          <w:sz w:val="20"/>
          <w:szCs w:val="20"/>
          <w:color w:val="auto"/>
        </w:rPr>
      </w:pPr>
      <w:r>
        <w:rPr>
          <w:rFonts w:ascii="Arial" w:cs="Arial" w:eastAsia="Arial" w:hAnsi="Arial"/>
          <w:sz w:val="16"/>
          <w:szCs w:val="16"/>
          <w:color w:val="auto"/>
        </w:rPr>
        <w:t>On June 20, 2014, the Company’s Board of Directors approved the Amended and Restated the Non-Employee Director Plan (the “Non-Employee Director Plan”), which was approved by shareholders on June 10, 2011. Accordingly, the annual grant of options to non-employee directors has been discontinued and replaced with an annual grant of shares of restricted stock as partial annual compensation for the services of the non-employee directors.</w:t>
      </w:r>
    </w:p>
    <w:p>
      <w:pPr>
        <w:spacing w:after="0" w:line="14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2014 through March 31, 2015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Weighted 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Weighted Average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3"/>
          </w:tcPr>
          <w:p>
            <w:pPr>
              <w:jc w:val="center"/>
              <w:ind w:right="220"/>
              <w:spacing w:after="0" w:line="183" w:lineRule="exact"/>
              <w:rPr>
                <w:sz w:val="20"/>
                <w:szCs w:val="20"/>
                <w:color w:val="auto"/>
              </w:rPr>
            </w:pPr>
            <w:r>
              <w:rPr>
                <w:rFonts w:ascii="Arial" w:cs="Arial" w:eastAsia="Arial" w:hAnsi="Arial"/>
                <w:sz w:val="18"/>
                <w:szCs w:val="18"/>
                <w:b w:val="1"/>
                <w:bCs w:val="1"/>
                <w:color w:val="auto"/>
                <w:w w:val="89"/>
              </w:rPr>
              <w:t>Exercise Price per</w:t>
            </w:r>
          </w:p>
        </w:tc>
        <w:tc>
          <w:tcPr>
            <w:tcW w:w="1580" w:type="dxa"/>
            <w:vAlign w:val="bottom"/>
            <w:gridSpan w:val="2"/>
          </w:tcPr>
          <w:p>
            <w:pPr>
              <w:jc w:val="center"/>
              <w:ind w:right="120"/>
              <w:spacing w:after="0" w:line="183" w:lineRule="exact"/>
              <w:rPr>
                <w:sz w:val="20"/>
                <w:szCs w:val="20"/>
                <w:color w:val="auto"/>
              </w:rPr>
            </w:pPr>
            <w:r>
              <w:rPr>
                <w:rFonts w:ascii="Arial" w:cs="Arial" w:eastAsia="Arial" w:hAnsi="Arial"/>
                <w:sz w:val="18"/>
                <w:szCs w:val="18"/>
                <w:b w:val="1"/>
                <w:bCs w:val="1"/>
                <w:color w:val="auto"/>
                <w:w w:val="92"/>
              </w:rPr>
              <w:t>Remaining Term</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Share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2"/>
          </w:tcPr>
          <w:p>
            <w:pPr>
              <w:jc w:val="center"/>
              <w:ind w:right="220"/>
              <w:spacing w:after="0" w:line="266" w:lineRule="exact"/>
              <w:rPr>
                <w:sz w:val="20"/>
                <w:szCs w:val="20"/>
                <w:color w:val="auto"/>
              </w:rPr>
            </w:pPr>
            <w:r>
              <w:rPr>
                <w:rFonts w:ascii="Arial" w:cs="Arial" w:eastAsia="Arial" w:hAnsi="Arial"/>
                <w:sz w:val="18"/>
                <w:szCs w:val="18"/>
                <w:b w:val="1"/>
                <w:bCs w:val="1"/>
                <w:color w:val="auto"/>
                <w:w w:val="89"/>
              </w:rPr>
              <w:t>Intrinsic Value</w:t>
            </w:r>
            <w:r>
              <w:rPr>
                <w:rFonts w:ascii="Arial" w:cs="Arial" w:eastAsia="Arial" w:hAnsi="Arial"/>
                <w:sz w:val="30"/>
                <w:szCs w:val="30"/>
                <w:color w:val="auto"/>
                <w:w w:val="89"/>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2014</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2014</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58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Outstanding at March 31, 2015</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44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7.72</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74,000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vested at March 31, 2015</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44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7.72</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620" w:right="1580" w:hanging="5612"/>
        <w:spacing w:after="0" w:line="618" w:lineRule="auto"/>
        <w:tabs>
          <w:tab w:leader="none" w:pos="124"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Represents the difference between the market value of shares of the Company on March 31, 2015 and the exercise price of the options.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046" w:gutter="0" w:footer="0" w:header="0"/>
        </w:sectPr>
      </w:pPr>
    </w:p>
    <w:bookmarkStart w:id="59" w:name="page60"/>
    <w:bookmarkEnd w:id="59"/>
    <w:p>
      <w:pPr>
        <w:ind w:right="40" w:firstLine="324"/>
        <w:spacing w:after="0" w:line="264"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three months ended March 31, 2015 and 2014, the Company did not recognize any non-cash compensation expense related to stock options. At March 31, 2015, the Company had no remaining compensation costs related to unvested stock based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On June 10, 2011, pursuant to the Non-Employee Director Plan, the Board of Directors approved the grant of 4,000 shares of restricted stock to the non-employee directors of the Company as partial annual compensation for their services as director. Awards of restricted stock granted under the Non-Employee Director Plan vest as follows: 50% of the shares vest on the grant date and the remaining 50% of the shares vest on the earlier of:</w:t>
      </w:r>
    </w:p>
    <w:p>
      <w:pPr>
        <w:spacing w:after="0" w:line="166" w:lineRule="exact"/>
        <w:rPr>
          <w:sz w:val="20"/>
          <w:szCs w:val="20"/>
          <w:color w:val="auto"/>
        </w:rPr>
      </w:pPr>
    </w:p>
    <w:p>
      <w:pPr>
        <w:ind w:left="540" w:hanging="208"/>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15, 2012, 5,000 shares of restricted stock were awarded to the Company’s Board of Directors.</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During 2012, the Company’s Board of Directors approved grants of 29,757 shares of restricted stock to employees of the Company as partial compensation for their services. 50% of such shares will vest on the third anniversary of the grant date and the remainder will vest on the fourth anniversary of the grant date.</w:t>
      </w:r>
    </w:p>
    <w:p>
      <w:pPr>
        <w:spacing w:after="0" w:line="18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On May 5, 2013, the Company’s Board of Directors approved the grant of 240,741 shares of restricted stock to the employees of the Company as partial compensation for their services. 50% of such awards will vest on the third anniversary of the grant date and the remaining 50% of the shares will vest on the fourth anniversary of the grant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14, 2013, 5,000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5, 2014, 5,000 shares of restricted stock were awarded to the Company’s Board of Directors.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June 20, 2014, the Company’s Board of Directors approved the grant of 355,289 shares of restricted stock to the employees of the Company as partial compensation for their services. 25% of such awards will vest on each of the first four anniversaries of the grant date.</w:t>
      </w:r>
    </w:p>
    <w:p>
      <w:pPr>
        <w:spacing w:after="0" w:line="170"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During the three months ended March 31, 2015, no shares of restricted stock vested and 1,854 shares of restricted stock were forfeited. As of March 31, 2015, after giving effect to these restricted stock awards, there were 617,931 shares of restricted stock outstanding. Information with respect to restricted stock granted, exercised and forfeited under the Plan for the period period January 1, 2014 through March 31, 2015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Non-vested</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Restricted</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3"/>
              </w:rPr>
              <w:t>Shares</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January 1, 2014</w:t>
            </w:r>
          </w:p>
        </w:tc>
        <w:tc>
          <w:tcPr>
            <w:tcW w:w="26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272,998</w:t>
            </w:r>
          </w:p>
        </w:tc>
        <w:tc>
          <w:tcPr>
            <w:tcW w:w="80" w:type="dxa"/>
            <w:vAlign w:val="bottom"/>
            <w:tcBorders>
              <w:top w:val="single" w:sz="8" w:color="CCEEFF"/>
            </w:tcBorders>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360,289</w:t>
            </w:r>
          </w:p>
        </w:tc>
        <w:tc>
          <w:tcPr>
            <w:tcW w:w="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Forfeited</w:t>
            </w:r>
          </w:p>
        </w:tc>
        <w:tc>
          <w:tcPr>
            <w:tcW w:w="3820" w:type="dxa"/>
            <w:vAlign w:val="bottom"/>
            <w:gridSpan w:val="3"/>
          </w:tcPr>
          <w:p>
            <w:pPr>
              <w:jc w:val="right"/>
              <w:ind w:right="20"/>
              <w:spacing w:after="0"/>
              <w:rPr>
                <w:sz w:val="20"/>
                <w:szCs w:val="20"/>
                <w:color w:val="auto"/>
              </w:rPr>
            </w:pPr>
            <w:r>
              <w:rPr>
                <w:rFonts w:ascii="Arial" w:cs="Arial" w:eastAsia="Arial" w:hAnsi="Arial"/>
                <w:sz w:val="18"/>
                <w:szCs w:val="18"/>
                <w:color w:val="auto"/>
              </w:rPr>
              <w:t>(8,502)</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December 31, 2014</w:t>
            </w:r>
          </w:p>
        </w:tc>
        <w:tc>
          <w:tcPr>
            <w:tcW w:w="26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619,785</w:t>
            </w:r>
          </w:p>
        </w:tc>
        <w:tc>
          <w:tcPr>
            <w:tcW w:w="80" w:type="dxa"/>
            <w:vAlign w:val="bottom"/>
            <w:tcBorders>
              <w:top w:val="single" w:sz="8" w:color="CCEEFF"/>
            </w:tcBorders>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26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Forfeited</w:t>
            </w:r>
          </w:p>
        </w:tc>
        <w:tc>
          <w:tcPr>
            <w:tcW w:w="3820" w:type="dxa"/>
            <w:vAlign w:val="bottom"/>
            <w:gridSpan w:val="3"/>
          </w:tcPr>
          <w:p>
            <w:pPr>
              <w:jc w:val="right"/>
              <w:ind w:right="20"/>
              <w:spacing w:after="0"/>
              <w:rPr>
                <w:sz w:val="20"/>
                <w:szCs w:val="20"/>
                <w:color w:val="auto"/>
              </w:rPr>
            </w:pPr>
            <w:r>
              <w:rPr>
                <w:rFonts w:ascii="Arial" w:cs="Arial" w:eastAsia="Arial" w:hAnsi="Arial"/>
                <w:sz w:val="18"/>
                <w:szCs w:val="18"/>
                <w:color w:val="auto"/>
              </w:rPr>
              <w:t>(1,854)</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Outstanding at March 31, 2015</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40" w:type="dxa"/>
            <w:vAlign w:val="bottom"/>
            <w:vMerge w:val="restart"/>
          </w:tcPr>
          <w:p>
            <w:pPr>
              <w:jc w:val="right"/>
              <w:ind w:right="1490"/>
              <w:spacing w:after="0"/>
              <w:rPr>
                <w:sz w:val="20"/>
                <w:szCs w:val="20"/>
                <w:color w:val="auto"/>
              </w:rPr>
            </w:pPr>
            <w:r>
              <w:rPr>
                <w:rFonts w:ascii="Arial" w:cs="Arial" w:eastAsia="Arial" w:hAnsi="Arial"/>
                <w:sz w:val="18"/>
                <w:szCs w:val="18"/>
                <w:color w:val="auto"/>
              </w:rPr>
              <w:t>57</w:t>
            </w: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60" w:name="page61"/>
    <w:bookmarkEnd w:id="60"/>
    <w:p>
      <w:pPr>
        <w:ind w:right="180" w:firstLine="324"/>
        <w:spacing w:after="0" w:line="302" w:lineRule="auto"/>
        <w:rPr>
          <w:sz w:val="20"/>
          <w:szCs w:val="20"/>
          <w:color w:val="auto"/>
        </w:rPr>
      </w:pPr>
      <w:r>
        <w:rPr>
          <w:rFonts w:ascii="Arial" w:cs="Arial" w:eastAsia="Arial" w:hAnsi="Arial"/>
          <w:sz w:val="16"/>
          <w:szCs w:val="16"/>
          <w:color w:val="auto"/>
        </w:rPr>
        <w:t>For the three months ended March 31, 2015, non-cash compensation expense related to restricted stock was approximately $355,000; of this amount approximately $158,000 was expensed at the Company, and approximately $197,000 was a reimbursable expense allocated to the Asset Manager Affiliates. For the three months ended March 31, 2014, non-cash compensation expense related to restricted stock was approximately $188,000; of this amount approximately $96,000 was expensed at the Company and approximately $92,000 was a reimbursable expense allocated to the Asset Manager Affiliates.</w:t>
      </w:r>
    </w:p>
    <w:p>
      <w:pPr>
        <w:spacing w:after="0" w:line="154"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Dividends are paid on all outstanding shares of restricted stock, whether or not vested. In general, shares of unvested restricted stock are forfeited upon the recipient’s termination of employment. As of March 31, 2015, the company had approximately $3.7 million of total unrecognized compensation cost related to non-vested share-based awards. That cost is expected to be recognized over a weighted average period of 2.7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adopted a 401(k) plan (“401K Plan”) effective January 1, 2007. The 401K Plan is open to all full time employees. The 401K Plan permits an employee to defer a portion of their total annual compensation up to the Internal Revenue Service annual maximum based on age and eligibility. The Company makes contributions to the 401K Plan of up to 2% of the Internal Revenue Service’s annual maximum eligible compensation, which fully vests at the time of contribution. Approximately $11,000 and $20,000 was expensed during the three months ended March 31, 2015 and 2014, respectively, related to the 401K Plan.</w:t>
      </w:r>
    </w:p>
    <w:p>
      <w:pPr>
        <w:spacing w:after="0" w:line="188"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$53,000 and $64,000 was expensed during the three months ended March 31, 2015 and 2014, respectively, related to the Profit-Sharing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On April 27, 2015 the Company made a distribution of $0.21 per share of common stock to its shareholders. This distribution was declared on March 24, 2015 with a record date of April 6, 2015.</w:t>
      </w:r>
    </w:p>
    <w:p>
      <w:pPr>
        <w:spacing w:after="0" w:line="170"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On May 5th, 2015, Catamaran CLO 2015-1 Ltd. (“Catamaran 2015-1”), a $464 million CLO managed by the Asset Manager Affiliates, closed. Upon closing, Trimaran repaid all of its outstanding obligations under the Trimaran Credit Facility to the Company, and the Company funded its investment of approximately $12 million in the subordinated notes issued by Catamaran 2015-1.</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Company has evaluated events and transactions occurring subsequent to the balance sheet date of March 31, 2015 for items that should potentially be recognized or disclosed in these financial statements. Other than described above, management has determined that there are no material subsequent events that would require adjustment to, or disclosure in, these consolidated financial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1" w:name="page62"/>
    <w:bookmarkEnd w:id="61"/>
    <w:p>
      <w:pPr>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In this Quarterly Report on Form 10-Q, “KCAP Financial,” “Company,” “we,” “us,” and “our” refer to KCAP Financial, Inc., and its wholly-owned subsidiaries.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information contained in this section should be read in conjunction with our consolidated financial statements and notes thereto appearing elsewhere in this Quarterly Report and in conjunction with the financial statements and notes thereto in the Company’s Form 10-K for the year ended December 31, 2014,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KCAP Financial,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“believes,” “estimates,” “predicts,” “potential” or “continue” or the negative of these terms or other similar words. Important assumptions include our ability to originate new investments, achieve certain margins and levels of profitability, the availability of funds under our credit facility,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 forward-looking statements contained in this Quarterly Report include statements as to:</w:t>
      </w:r>
    </w:p>
    <w:p>
      <w:pPr>
        <w:spacing w:after="0" w:line="169" w:lineRule="exact"/>
        <w:rPr>
          <w:sz w:val="20"/>
          <w:szCs w:val="20"/>
          <w:color w:val="auto"/>
        </w:rPr>
      </w:pPr>
    </w:p>
    <w:p>
      <w:pPr>
        <w:ind w:left="920" w:hanging="331"/>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225" w:lineRule="exact"/>
        <w:rPr>
          <w:rFonts w:ascii="Arial" w:cs="Arial" w:eastAsia="Arial" w:hAnsi="Arial"/>
          <w:sz w:val="18"/>
          <w:szCs w:val="18"/>
          <w:color w:val="auto"/>
        </w:rPr>
      </w:pPr>
    </w:p>
    <w:p>
      <w:pPr>
        <w:ind w:left="920" w:right="440" w:hanging="331"/>
        <w:spacing w:after="0" w:line="277" w:lineRule="auto"/>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and a registered investment company, including the impact of changes in laws or regulations governing our operations, or the operations of our portfolio companies;</w:t>
      </w:r>
    </w:p>
    <w:p>
      <w:pPr>
        <w:spacing w:after="0" w:line="170" w:lineRule="exact"/>
        <w:rPr>
          <w:rFonts w:ascii="Arial" w:cs="Arial" w:eastAsia="Arial" w:hAnsi="Arial"/>
          <w:sz w:val="18"/>
          <w:szCs w:val="18"/>
          <w:color w:val="auto"/>
        </w:rPr>
      </w:pPr>
    </w:p>
    <w:p>
      <w:pPr>
        <w:ind w:left="920" w:hanging="331"/>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For a discussion of factors that could cause our actual results to differ from forward-looking statements contained in this Quarterly Report, please see the discussion in Part II, “Item 1A. Risk Factors”, and in Part I, “Item 1A. Risk Factors” in our Annual Report on Form 10-K for the fiscal year ended December 31, 2014.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121" w:right="2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an internally managed, non-diversified closed-end investment company that is regulated as a Business Development Company, or BDC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 (the “1940 Act”). We have three principal areas of investments:</w:t>
      </w:r>
    </w:p>
    <w:p>
      <w:pPr>
        <w:spacing w:after="0" w:line="21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18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Second, the Company has invested in asset management companies (Katonah Debt Advisors and Trimaran Advisors, collectively the “Asset Manager Affiliates”) that manage collateralized loan obligation funds (“CLOs”).</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Third, the Company invests in debt and subordinated securities issued by CLOs (“CLO Fund Securities”). These CLO Fund Securities are primarily managed by our Asset Manager Affiliates, but from time-to-time the Company makes investments in CLO Fund Securities managed by other asset managers. The CLOs typically invest in broadly syndicated loans, high-yield bonds and other credit instruments.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may also invest in other investments such as loans to larger, publicly-traded companies, high-yield bonds and distressed debt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also receive warrants or options to purchase common stock in connection with its debt investments.</w:t>
      </w:r>
    </w:p>
    <w:p>
      <w:pPr>
        <w:spacing w:after="0" w:line="21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made by our middle market business in senior secured term loans, mezzanine debt and selected equity investments in privately-held middle market companies. We define the middle market as comprising of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 While our primary investment focus is on making loans to, and selected equity investments in, privately-held middle market companies, we may also invest in other investments such as loans to smaller companies or larger, publicly-traded companies, high-yield bonds and distressed debt securities. We may also receive warrants or options to purchase common stock in connection with our debt investments.</w:t>
      </w:r>
    </w:p>
    <w:p>
      <w:pPr>
        <w:spacing w:after="0" w:line="17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From our Asset Manager Affiliates investment, we expect to receive recurring cash distributions and to generate capital appreciation through the addition of new CLO Funds managed by our Asset Manager Affiliates. The Asset Manager Affiliates manage CLO Funds that invest in broadly syndicated loans, high-yield bonds and other credit instruments. Collectively, the Asset Manager Affiliates have approximately $2.9 billion of par value assets under management as of March 31, 2015. The Asset Manager Affiliates are registered under the Investment Advisers Act of 1940, and are managed independently from the Company by a separate portfolio management team.</w:t>
      </w:r>
    </w:p>
    <w:p>
      <w:pPr>
        <w:spacing w:after="0" w:line="188"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In addition, our investments in CLO Fund Securities, which are primarily made up of a minority investment in the subordinated securities or preferred stock of CLO Funds raised and managed by our Asset Manager Affiliates, are anticipated to provide the Company with recurring cash distributions and complement the growth of our Asset Manager Affiliates.</w:t>
      </w:r>
    </w:p>
    <w:p>
      <w:pPr>
        <w:spacing w:after="0" w:line="181"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We intend to grow our entire portfolio of investments by raising additional capital, including through the prudent use of leverage available to us. As a BDC, we are limited in the amount of leverage we can incur under the 1940 Act. We are only allowed to borrow amounts such that our asset coverage, as defined in the 1940 Act, equals at least 200% after such borrowing.</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elected to be treated for U.S. federal income tax purposes as a RIC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primary investments are: (1) lending to and investing in middle-market businesses through investments in senior secured loans, junior secured loans, subordinated/mezzanine debt investments, and other equity investments, which may include warrants, (2) our investments in our Asset Manager Affiliates, which manage portfolios of broadly syndicated loans, high-yield bonds and other credit instruments, and (3) CLO Fund Securities.</w:t>
      </w:r>
    </w:p>
    <w:p>
      <w:pPr>
        <w:spacing w:after="0" w:line="166"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Total portfolio investment activity (excluding activity in time deposit and money market investments) for the three months ended March 31, 2015 (unaudited) and for the year ended December 31, 2014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CLO Fund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Asset Manager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Debt Securities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Securities</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8"/>
              </w:rPr>
              <w:t>Equity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Affiliates</w:t>
            </w:r>
          </w:p>
        </w:tc>
        <w:tc>
          <w:tcPr>
            <w:tcW w:w="60" w:type="dxa"/>
            <w:vAlign w:val="bottom"/>
          </w:tcPr>
          <w:p>
            <w:pPr>
              <w:spacing w:after="0"/>
              <w:rPr>
                <w:sz w:val="20"/>
                <w:szCs w:val="20"/>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Total Portfolio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 at December 31, 2013</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266,830,427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79,452,220</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11,006,398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76,148,000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433,437,045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2014 Activity:</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originations /draws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224,513,503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22,421,847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2,216,847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545,979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249,698,176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Pay-downs / pay-offs / sales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(168,429,374)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(10,132,500)</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(5,007,311)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(6,432,086)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(190,001,271)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accretion of interest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(11,102,015)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(10,691,297)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Net realized losses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(8,823,507)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5,575,498</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(7,136,408)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(10,384,417)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fair value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5,641,403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(8,700,148)</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7,040,155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2,064,107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6,045,517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at December 31, 2014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320,143,170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77,514,902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8,119,681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72,326,000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478,103,753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to Date 2015 Activity:</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originations /draws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8,443,967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11,952,000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20,395,967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Pay-downs / pay-offs / sales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(9,536,819)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(1,286,025)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(10,822,844)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accretion of interest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97,609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(3,028,297)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(2,930,688)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Net realized gains (losses)</w:t>
            </w: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72,357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72,357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fair value</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1,250,211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(585,127)</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484,025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1,092,986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March 31, 2015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320,470,495</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85,853,478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8,063,558</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71,524,000</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485,911,531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March 31, 2015 and 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2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92"/>
              </w:rPr>
              <w:t>March 31, 2015 (unaudited)</w:t>
            </w:r>
          </w:p>
        </w:tc>
        <w:tc>
          <w:tcPr>
            <w:tcW w:w="5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88"/>
              </w:rPr>
              <w:t>December 31, 2014</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9"/>
                <w:szCs w:val="19"/>
                <w:color w:val="auto"/>
              </w:rPr>
            </w:pPr>
          </w:p>
        </w:tc>
        <w:tc>
          <w:tcPr>
            <w:tcW w:w="166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5"/>
              </w:rPr>
              <w:t>Fair Value</w:t>
            </w: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%¹</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%¹</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Accounts³</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1,729,575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1,729,575</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1,602,741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1,602,741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Secured Loan</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218,339,421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217,219,634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220,965,922</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218,329,860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40,085,271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39,832,410</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38,664,199</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38,569,006</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Unsecured Loan</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33,104,782</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33,104,782</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33,066,984</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33,066,984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First Lien Bond</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2,967,369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2,580,000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2,962,507</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2,580,000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Subordinated Bond</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4,330,633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4,295,736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4,295,544</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4,240,301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11,363,885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11,482,540</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11,208,178</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11,386,218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Secured Bond</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1,513,639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1,485,000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1,515,584</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1,552,500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99,812,887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85,853,478</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90,889,190</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77,514,901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8,828,812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8,063,558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8,828,812</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8,119,681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Preferred</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10,257,047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10,470,393</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10,206,016</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10,418,302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Asset Manager Affiliates²</w:t>
            </w: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59,006,651</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71,524,000</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60,292,677</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72,326,000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491,339,972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487,641,106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484,498,354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479,706,494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36277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1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percentage of Net Asset Value.</w:t>
      </w:r>
    </w:p>
    <w:p>
      <w:pPr>
        <w:spacing w:after="0" w:line="23" w:lineRule="exact"/>
        <w:rPr>
          <w:sz w:val="20"/>
          <w:szCs w:val="20"/>
          <w:color w:val="auto"/>
        </w:rPr>
      </w:pPr>
    </w:p>
    <w:p>
      <w:pPr>
        <w:ind w:right="6360" w:firstLine="8"/>
        <w:spacing w:after="0" w:line="323" w:lineRule="auto"/>
        <w:tabs>
          <w:tab w:leader="none" w:pos="324"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the equity investment in the Asset Manager Affiliates. ³ Includes restricted cash held under employee benefit plans.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4" w:name="page65"/>
    <w:bookmarkEnd w:id="64"/>
    <w:p>
      <w:pPr>
        <w:ind w:right="560" w:firstLine="324"/>
        <w:spacing w:after="0" w:line="277" w:lineRule="auto"/>
        <w:rPr>
          <w:sz w:val="20"/>
          <w:szCs w:val="20"/>
          <w:color w:val="auto"/>
        </w:rPr>
      </w:pPr>
      <w:r>
        <w:rPr>
          <w:rFonts w:ascii="Arial" w:cs="Arial" w:eastAsia="Arial" w:hAnsi="Arial"/>
          <w:sz w:val="18"/>
          <w:szCs w:val="18"/>
          <w:color w:val="auto"/>
        </w:rPr>
        <w:t>At March 31, 2015 and December 31, 2014, our investments in income producing loans and debt securities, excluding CLO Fund securities, had a weighted average interest rate of approximately 7.3%, for both periods.</w:t>
      </w:r>
    </w:p>
    <w:p>
      <w:pPr>
        <w:spacing w:after="0" w:line="170"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investment portfolio (excluding the Company’s investment in Asset Manager Affiliates and CLO Funds) at March 31, 2015 was spread across 25 different industries and 105 different entities with an average balance per entity of approximately $3.1 million. As of March 31, 2015, all but one of our portfolio companies were current on their debt service obligations.</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may invest up to 30% of our investment portfolio in “Non-qualifying” opportunistic investments such as high-yield bonds, debt and equity securities of CLO Funds, foreign investments, and distressed debt or equity securities of public companies. At March 31, 2015 and December 31, 2014, the total amount of non-qualifying assets was approximately 23% and 21% of total assets, respectively. The majority of non-qualifying assets were foreign investments which were approximately 17% and 16% of the Company’s total assets, respectively (primarily the Company’s investments in CLO Funds, which are typically domiciled outside the U.S. and represented approximately 17% and 16% of its total assets on such dates), respectively. The investments in our Debt Securities Portfolio are all or predominantly below investment grade, and therefore have speculative characteristics with respect to the issuer’s capacity to pay interest and repay principal.</w:t>
      </w:r>
    </w:p>
    <w:p>
      <w:pPr>
        <w:spacing w:after="0" w:line="18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At March 31, 2015 and December 31, 2014, the Company’s ten largest portfolio companies represented approximately 38%, for both periods, of the total fair value of its investments. The Company’s largest investment, the equity of our Asset Manager Affiliates, represented 15% of the total fair value of the Company’s investments at March 31, 2015 and December 31, 2014. This does not include a temporary loan provided by the Company to Trimaran for working capital purposes, which is callable and payable on demand. This Loan was $23 million as of March 31, 2015, and was subsequently repaid on May 5, 2015 (see Subsequent Event Footnote 12). Excluding the Asset Manager Affiliates and CLO Fund securities, the Company’s ten largest portfolio companies represented approximately 17% of the total fair value of the Company’s investments at March 31, 2015 and December 31, 2014.</w:t>
      </w:r>
    </w:p>
    <w:p>
      <w:pPr>
        <w:spacing w:after="0" w:line="16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March 31, 2015 and December 31, 2014,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ind w:left="680"/>
              <w:spacing w:after="0"/>
              <w:rPr>
                <w:sz w:val="20"/>
                <w:szCs w:val="20"/>
                <w:color w:val="auto"/>
              </w:rPr>
            </w:pPr>
            <w:r>
              <w:rPr>
                <w:rFonts w:ascii="Arial" w:cs="Arial" w:eastAsia="Arial" w:hAnsi="Arial"/>
                <w:sz w:val="18"/>
                <w:szCs w:val="18"/>
                <w:b w:val="1"/>
                <w:bCs w:val="1"/>
                <w:color w:val="auto"/>
                <w:w w:val="96"/>
              </w:rPr>
              <w:t>March 31, 2015 (unaudited)</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8"/>
                <w:szCs w:val="18"/>
                <w:b w:val="1"/>
                <w:bCs w:val="1"/>
                <w:color w:val="auto"/>
              </w:rPr>
              <w:t>December 31, 2014</w:t>
            </w: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Industry Classification</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1"/>
              <w:spacing w:after="0" w:line="251"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3"/>
                <w:szCs w:val="13"/>
                <w:b w:val="1"/>
                <w:bCs w:val="1"/>
                <w:color w:val="auto"/>
              </w:rPr>
              <w:t>1</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291"/>
              <w:spacing w:after="0" w:line="251"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3"/>
                <w:szCs w:val="13"/>
                <w:color w:val="auto"/>
              </w:rPr>
              <w:t>1</w:t>
            </w:r>
          </w:p>
        </w:tc>
        <w:tc>
          <w:tcPr>
            <w:tcW w:w="160" w:type="dxa"/>
            <w:vAlign w:val="bottom"/>
            <w:tcBorders>
              <w:bottom w:val="single" w:sz="8" w:color="CCEEFF"/>
            </w:tcBorders>
          </w:tcPr>
          <w:p>
            <w:pPr>
              <w:spacing w:after="0"/>
              <w:rPr>
                <w:sz w:val="21"/>
                <w:szCs w:val="2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10,011,228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9,517,729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10,059,487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9,533,092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2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59,006,651</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71,524,000</w:t>
            </w:r>
          </w:p>
        </w:tc>
        <w:tc>
          <w:tcPr>
            <w:tcW w:w="240" w:type="dxa"/>
            <w:vAlign w:val="bottom"/>
          </w:tcPr>
          <w:p>
            <w:pPr>
              <w:spacing w:after="0"/>
              <w:rPr>
                <w:sz w:val="22"/>
                <w:szCs w:val="22"/>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60,292,677</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72,326,000</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Portfolio Company Loan</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23,000,000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23,000,000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23,000,000</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8,354,204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8,391,470</w:t>
            </w:r>
          </w:p>
        </w:tc>
        <w:tc>
          <w:tcPr>
            <w:tcW w:w="24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8,362,956</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8,312,548</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Banking, Finance, Insurance &amp; Real</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Estate</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6,884,526</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6,951,589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7,660,721</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7,639,366</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21,904,449</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21,729,641</w:t>
            </w:r>
          </w:p>
        </w:tc>
        <w:tc>
          <w:tcPr>
            <w:tcW w:w="24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17,974,974</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17,883,421</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7</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9,495,134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10,237,566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9,486,407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10,351,329</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6,325,803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6,327,732</w:t>
            </w:r>
          </w:p>
        </w:tc>
        <w:tc>
          <w:tcPr>
            <w:tcW w:w="24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6,348,226</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6,210,253</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99,812,887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85,853,478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90,889,190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77,514,901</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Consumer goods: Durable</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13,711,750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13,116,322</w:t>
            </w:r>
          </w:p>
        </w:tc>
        <w:tc>
          <w:tcPr>
            <w:tcW w:w="24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13,876,482</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13,301,207</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13,489,480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13,374,870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13,535,975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13,314,952</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Containers, Packaging and Glass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2,916,649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2,933,055</w:t>
            </w:r>
          </w:p>
        </w:tc>
        <w:tc>
          <w:tcPr>
            <w:tcW w:w="24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2,992,443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2,946,734</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Energy: Oil &amp; Gas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13,968,476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13,043,752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13,866,208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13,289,753</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Environmental Industries</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12,889,751</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12,835,904</w:t>
            </w:r>
          </w:p>
        </w:tc>
        <w:tc>
          <w:tcPr>
            <w:tcW w:w="24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12,942,593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12,911,017</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Forest Products &amp; Paper</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5,909,837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5,982,313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5,917,051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5,942,523</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Healthcare &amp; Pharmaceuticals</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65,420,489</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65,452,651</w:t>
            </w:r>
          </w:p>
        </w:tc>
        <w:tc>
          <w:tcPr>
            <w:tcW w:w="24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66,186,412</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65,720,782</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27</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11,474,486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11,548,350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14,457,495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14,419,110</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Hotel, Gaming &amp; Leisure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3,219,576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2,828,950</w:t>
            </w:r>
          </w:p>
        </w:tc>
        <w:tc>
          <w:tcPr>
            <w:tcW w:w="24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3,392,481</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2,962,315</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Media: Advertising, Printing &amp;</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11,275,490</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11,145,278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11,318,815</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11,396,027</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Media: Broadcasting &amp; Subscription</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14,342,363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14,244,078</w:t>
            </w:r>
          </w:p>
        </w:tc>
        <w:tc>
          <w:tcPr>
            <w:tcW w:w="24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14,477,078</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14,409,401</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6</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Metals &amp; Mining</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228,563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Retail</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4,388,413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4,106,685</w:t>
            </w:r>
          </w:p>
        </w:tc>
        <w:tc>
          <w:tcPr>
            <w:tcW w:w="24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4,234,086</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3,773,847</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20,655,932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20,571,564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16,550,255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16,066,421</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Services: Consumer</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6,775,834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6,828,928</w:t>
            </w:r>
          </w:p>
        </w:tc>
        <w:tc>
          <w:tcPr>
            <w:tcW w:w="24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6,798,372</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6,752,521</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18,113,209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18,063,402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22,030,434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21,865,864</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r>
      <w:tr>
        <w:trPr>
          <w:trHeight w:val="205"/>
        </w:trPr>
        <w:tc>
          <w:tcPr>
            <w:tcW w:w="3100" w:type="dxa"/>
            <w:vAlign w:val="bottom"/>
          </w:tcPr>
          <w:p>
            <w:pPr>
              <w:spacing w:after="0" w:line="206" w:lineRule="exact"/>
              <w:rPr>
                <w:sz w:val="20"/>
                <w:szCs w:val="20"/>
                <w:color w:val="auto"/>
              </w:rPr>
            </w:pPr>
            <w:r>
              <w:rPr>
                <w:rFonts w:ascii="Arial" w:cs="Arial" w:eastAsia="Arial" w:hAnsi="Arial"/>
                <w:sz w:val="18"/>
                <w:szCs w:val="18"/>
                <w:color w:val="auto"/>
              </w:rPr>
              <w:t>Time Deposit and Money Market</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67"/>
        </w:trPr>
        <w:tc>
          <w:tcPr>
            <w:tcW w:w="3100" w:type="dxa"/>
            <w:vAlign w:val="bottom"/>
          </w:tcPr>
          <w:p>
            <w:pPr>
              <w:spacing w:after="0" w:line="266" w:lineRule="exact"/>
              <w:rPr>
                <w:sz w:val="20"/>
                <w:szCs w:val="20"/>
                <w:color w:val="auto"/>
              </w:rPr>
            </w:pPr>
            <w:r>
              <w:rPr>
                <w:rFonts w:ascii="Arial" w:cs="Arial" w:eastAsia="Arial" w:hAnsi="Arial"/>
                <w:sz w:val="18"/>
                <w:szCs w:val="18"/>
                <w:color w:val="auto"/>
              </w:rPr>
              <w:t>Accounts</w:t>
            </w:r>
            <w:r>
              <w:rPr>
                <w:rFonts w:ascii="Arial" w:cs="Arial" w:eastAsia="Arial" w:hAnsi="Arial"/>
                <w:sz w:val="30"/>
                <w:szCs w:val="30"/>
                <w:color w:val="auto"/>
                <w:vertAlign w:val="superscript"/>
              </w:rPr>
              <w:t>3</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1,729,575</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1,729,575</w:t>
            </w:r>
          </w:p>
        </w:tc>
        <w:tc>
          <w:tcPr>
            <w:tcW w:w="240" w:type="dxa"/>
            <w:vAlign w:val="bottom"/>
          </w:tcPr>
          <w:p>
            <w:pPr>
              <w:spacing w:after="0"/>
              <w:rPr>
                <w:sz w:val="23"/>
                <w:szCs w:val="23"/>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1,602,741</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1,602,741</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Cargo</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20,190,884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20,467,538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20,156,700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20,455,941</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Utilities: Electric</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5,844,333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5,833,686</w:t>
            </w:r>
          </w:p>
        </w:tc>
        <w:tc>
          <w:tcPr>
            <w:tcW w:w="240" w:type="dxa"/>
            <w:vAlign w:val="bottom"/>
          </w:tcPr>
          <w:p>
            <w:pPr>
              <w:spacing w:after="0"/>
              <w:rPr>
                <w:sz w:val="19"/>
                <w:szCs w:val="19"/>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5,859,532</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5,803,428</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r>
      <w:tr>
        <w:trPr>
          <w:trHeight w:val="223"/>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491,339,972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487,641,106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484,498,354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479,706,494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40" w:hanging="232"/>
        <w:spacing w:after="0"/>
        <w:tabs>
          <w:tab w:leader="none" w:pos="240" w:val="left"/>
        </w:tabs>
        <w:numPr>
          <w:ilvl w:val="0"/>
          <w:numId w:val="38"/>
        </w:numPr>
        <w:rPr>
          <w:rFonts w:ascii="Arial" w:cs="Arial" w:eastAsia="Arial" w:hAnsi="Arial"/>
          <w:sz w:val="15"/>
          <w:szCs w:val="15"/>
          <w:color w:val="auto"/>
        </w:rPr>
      </w:pPr>
      <w:r>
        <w:rPr>
          <w:rFonts w:ascii="Arial" w:cs="Arial" w:eastAsia="Arial" w:hAnsi="Arial"/>
          <w:sz w:val="18"/>
          <w:szCs w:val="18"/>
          <w:color w:val="auto"/>
        </w:rPr>
        <w:t>Calculated as a percentage of Net Asset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240" w:hanging="232"/>
        <w:spacing w:after="0"/>
        <w:tabs>
          <w:tab w:leader="none" w:pos="240" w:val="left"/>
        </w:tabs>
        <w:numPr>
          <w:ilvl w:val="0"/>
          <w:numId w:val="39"/>
        </w:numPr>
        <w:rPr>
          <w:rFonts w:ascii="Arial" w:cs="Arial" w:eastAsia="Arial" w:hAnsi="Arial"/>
          <w:sz w:val="15"/>
          <w:szCs w:val="15"/>
          <w:color w:val="auto"/>
        </w:rPr>
      </w:pPr>
      <w:r>
        <w:rPr>
          <w:rFonts w:ascii="Arial" w:cs="Arial" w:eastAsia="Arial" w:hAnsi="Arial"/>
          <w:sz w:val="18"/>
          <w:szCs w:val="18"/>
          <w:color w:val="auto"/>
        </w:rPr>
        <w:t>Represents the equity investment in the Asset Manager Affiliates.</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3  </w:t>
      </w:r>
      <w:r>
        <w:rPr>
          <w:rFonts w:ascii="Arial" w:cs="Arial" w:eastAsia="Arial" w:hAnsi="Arial"/>
          <w:sz w:val="18"/>
          <w:szCs w:val="18"/>
          <w:color w:val="auto"/>
        </w:rPr>
        <w:t>Includes restricted cash held under employee benefit plans.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883" w:gutter="0" w:footer="0" w:header="0"/>
        </w:sectPr>
      </w:pPr>
    </w:p>
    <w:bookmarkStart w:id="65" w:name="page66"/>
    <w:bookmarkEnd w:id="65"/>
    <w:p>
      <w:pPr>
        <w:ind w:left="220"/>
        <w:spacing w:after="0"/>
        <w:rPr>
          <w:sz w:val="20"/>
          <w:szCs w:val="20"/>
          <w:color w:val="auto"/>
        </w:rPr>
      </w:pPr>
      <w:r>
        <w:rPr>
          <w:rFonts w:ascii="Arial" w:cs="Arial" w:eastAsia="Arial" w:hAnsi="Arial"/>
          <w:sz w:val="18"/>
          <w:szCs w:val="18"/>
          <w:b w:val="1"/>
          <w:bCs w:val="1"/>
          <w:i w:val="1"/>
          <w:iCs w:val="1"/>
          <w:color w:val="auto"/>
        </w:rPr>
        <w:t>CLO Fund Securities</w:t>
      </w:r>
    </w:p>
    <w:p>
      <w:pPr>
        <w:spacing w:after="0" w:line="225"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7"/>
          <w:szCs w:val="17"/>
          <w:color w:val="auto"/>
        </w:rPr>
        <w:t>We typically make a minority investment in the subordinated securities or preferred stock of CLO Funds raised and managed by our Asset Manager Affiliates and may selectively invest in securities issued by CLO Funds managed by other asset management companies. As of March 31, 2015, we had approximately $86 million invested in CLO Fund Securities, issued primarily by funds managed by our Asset Manager Affiliates.</w:t>
      </w:r>
    </w:p>
    <w:p>
      <w:pPr>
        <w:spacing w:after="0" w:line="166"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CLO Funds managed by our Asset Manager Affiliates invest primarily in broadly syndicated non-investment grade loans, high-yield bonds and other credit instruments of corporate issuers. The underlying assets in each of the CLO Fund Securities in which we have an investment are generally diversified secured or unsecured corporate debt.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CLO Fund Securities as of March 31, 2015 and December 31, 2014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March 31, 2015</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468"/>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CLO Fund Securities</w:t>
            </w:r>
          </w:p>
        </w:tc>
        <w:tc>
          <w:tcPr>
            <w:tcW w:w="120" w:type="dxa"/>
            <w:vAlign w:val="bottom"/>
            <w:tcBorders>
              <w:bottom w:val="single" w:sz="8" w:color="CCEEFF"/>
            </w:tcBorders>
          </w:tcPr>
          <w:p>
            <w:pPr>
              <w:spacing w:after="0"/>
              <w:rPr>
                <w:sz w:val="14"/>
                <w:szCs w:val="14"/>
                <w:color w:val="auto"/>
              </w:rPr>
            </w:pPr>
          </w:p>
        </w:tc>
        <w:tc>
          <w:tcPr>
            <w:tcW w:w="27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Amortized Cost</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Fair Value</w:t>
            </w: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Amortized Cost</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Grant Grove CLO, Ltd.</w:t>
            </w:r>
          </w:p>
        </w:tc>
        <w:tc>
          <w:tcPr>
            <w:tcW w:w="12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Subordinated Securities</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22.2%</w:t>
            </w:r>
          </w:p>
        </w:tc>
        <w:tc>
          <w:tcPr>
            <w:tcW w:w="220" w:type="dxa"/>
            <w:vAlign w:val="bottom"/>
            <w:shd w:val="clear" w:color="auto" w:fill="CCEEFF"/>
          </w:tcPr>
          <w:p>
            <w:pPr>
              <w:jc w:val="right"/>
              <w:ind w:right="10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2,534,223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515,049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2,254,638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469,132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Katonah III, Ltd.</w:t>
            </w: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Preferred Shares</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23.1</w:t>
            </w:r>
          </w:p>
        </w:tc>
        <w:tc>
          <w:tcPr>
            <w:tcW w:w="22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1,160,437</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350,000</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1,015,334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Katonah VII CLO Ltd.</w:t>
            </w:r>
            <w:r>
              <w:rPr>
                <w:rFonts w:ascii="Arial" w:cs="Arial" w:eastAsia="Arial" w:hAnsi="Arial"/>
                <w:sz w:val="21"/>
                <w:szCs w:val="21"/>
                <w:color w:val="auto"/>
                <w:vertAlign w:val="superscript"/>
              </w:rPr>
              <w:t>2</w:t>
            </w: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Subordinated Securities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16.4</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3,613,232</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3,563,252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line="189" w:lineRule="exact"/>
              <w:rPr>
                <w:sz w:val="20"/>
                <w:szCs w:val="20"/>
                <w:color w:val="auto"/>
              </w:rPr>
            </w:pPr>
            <w:r>
              <w:rPr>
                <w:rFonts w:ascii="Arial" w:cs="Arial" w:eastAsia="Arial" w:hAnsi="Arial"/>
                <w:sz w:val="13"/>
                <w:szCs w:val="13"/>
                <w:color w:val="auto"/>
              </w:rPr>
              <w:t>Katonah VIII CLO Ltd</w:t>
            </w:r>
            <w:r>
              <w:rPr>
                <w:rFonts w:ascii="Arial" w:cs="Arial" w:eastAsia="Arial" w:hAnsi="Arial"/>
                <w:sz w:val="21"/>
                <w:szCs w:val="21"/>
                <w:color w:val="auto"/>
                <w:vertAlign w:val="superscript"/>
              </w:rPr>
              <w:t>2</w:t>
            </w:r>
          </w:p>
        </w:tc>
        <w:tc>
          <w:tcPr>
            <w:tcW w:w="2860" w:type="dxa"/>
            <w:vAlign w:val="bottom"/>
            <w:gridSpan w:val="2"/>
          </w:tcPr>
          <w:p>
            <w:pPr>
              <w:spacing w:after="0"/>
              <w:rPr>
                <w:sz w:val="20"/>
                <w:szCs w:val="20"/>
                <w:color w:val="auto"/>
              </w:rPr>
            </w:pPr>
            <w:r>
              <w:rPr>
                <w:rFonts w:ascii="Arial" w:cs="Arial" w:eastAsia="Arial" w:hAnsi="Arial"/>
                <w:sz w:val="14"/>
                <w:szCs w:val="14"/>
                <w:color w:val="auto"/>
              </w:rPr>
              <w:t>Subordinated Securities</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10.3</w:t>
            </w: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2,689,907</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20,000</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2,755,267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Katonah IX CLO Ltd</w:t>
            </w:r>
            <w:r>
              <w:rPr>
                <w:rFonts w:ascii="Arial" w:cs="Arial" w:eastAsia="Arial" w:hAnsi="Arial"/>
                <w:sz w:val="21"/>
                <w:szCs w:val="21"/>
                <w:color w:val="auto"/>
                <w:vertAlign w:val="superscript"/>
              </w:rPr>
              <w:t>2</w:t>
            </w: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Preferred Shares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6.9</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1,244,315</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525,102</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1,262,496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594,988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Katonah X CLO Ltd </w:t>
            </w:r>
            <w:r>
              <w:rPr>
                <w:rFonts w:ascii="Arial" w:cs="Arial" w:eastAsia="Arial" w:hAnsi="Arial"/>
                <w:sz w:val="21"/>
                <w:szCs w:val="21"/>
                <w:color w:val="auto"/>
                <w:vertAlign w:val="superscript"/>
              </w:rPr>
              <w:t>2</w:t>
            </w:r>
          </w:p>
        </w:tc>
        <w:tc>
          <w:tcPr>
            <w:tcW w:w="2860" w:type="dxa"/>
            <w:vAlign w:val="bottom"/>
            <w:gridSpan w:val="2"/>
          </w:tcPr>
          <w:p>
            <w:pPr>
              <w:spacing w:after="0"/>
              <w:rPr>
                <w:sz w:val="20"/>
                <w:szCs w:val="20"/>
                <w:color w:val="auto"/>
              </w:rPr>
            </w:pPr>
            <w:r>
              <w:rPr>
                <w:rFonts w:ascii="Arial" w:cs="Arial" w:eastAsia="Arial" w:hAnsi="Arial"/>
                <w:sz w:val="14"/>
                <w:szCs w:val="14"/>
                <w:color w:val="auto"/>
              </w:rPr>
              <w:t>Subordinated Securities</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33.3</w:t>
            </w: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8,887,506</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4,739,933</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8,910,471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4,863,001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Katonah 2007-I CLO Ltd.</w:t>
            </w:r>
            <w:r>
              <w:rPr>
                <w:rFonts w:ascii="Arial" w:cs="Arial" w:eastAsia="Arial" w:hAnsi="Arial"/>
                <w:sz w:val="21"/>
                <w:szCs w:val="21"/>
                <w:color w:val="auto"/>
                <w:vertAlign w:val="superscript"/>
              </w:rPr>
              <w:t>2</w:t>
            </w: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Preferred Shares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23,553,162</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25,101,770</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23,471,779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25,191,782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line="189" w:lineRule="exact"/>
              <w:rPr>
                <w:sz w:val="20"/>
                <w:szCs w:val="20"/>
                <w:color w:val="auto"/>
              </w:rPr>
            </w:pPr>
            <w:r>
              <w:rPr>
                <w:rFonts w:ascii="Arial" w:cs="Arial" w:eastAsia="Arial" w:hAnsi="Arial"/>
                <w:sz w:val="13"/>
                <w:szCs w:val="13"/>
                <w:color w:val="auto"/>
              </w:rPr>
              <w:t>Trimaran CLO IV, Ltd.</w:t>
            </w:r>
            <w:r>
              <w:rPr>
                <w:rFonts w:ascii="Arial" w:cs="Arial" w:eastAsia="Arial" w:hAnsi="Arial"/>
                <w:sz w:val="21"/>
                <w:szCs w:val="21"/>
                <w:color w:val="auto"/>
                <w:vertAlign w:val="superscript"/>
              </w:rPr>
              <w:t>2</w:t>
            </w:r>
          </w:p>
        </w:tc>
        <w:tc>
          <w:tcPr>
            <w:tcW w:w="286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19.0</w:t>
            </w: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4,276</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250,000</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11,094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900,000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Trimaran CLO V, Ltd.</w:t>
            </w:r>
            <w:r>
              <w:rPr>
                <w:rFonts w:ascii="Arial" w:cs="Arial" w:eastAsia="Arial" w:hAnsi="Arial"/>
                <w:sz w:val="21"/>
                <w:szCs w:val="21"/>
                <w:color w:val="auto"/>
                <w:vertAlign w:val="superscript"/>
              </w:rPr>
              <w:t>2</w:t>
            </w: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Subordinate Notes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20.8</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1,345,117</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1,802,607</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1,292,698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1,657,020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line="189" w:lineRule="exact"/>
              <w:rPr>
                <w:sz w:val="20"/>
                <w:szCs w:val="20"/>
                <w:color w:val="auto"/>
              </w:rPr>
            </w:pPr>
            <w:r>
              <w:rPr>
                <w:rFonts w:ascii="Arial" w:cs="Arial" w:eastAsia="Arial" w:hAnsi="Arial"/>
                <w:sz w:val="13"/>
                <w:szCs w:val="13"/>
                <w:color w:val="auto"/>
              </w:rPr>
              <w:t>Trimaran CLO VI, Ltd.</w:t>
            </w:r>
            <w:r>
              <w:rPr>
                <w:rFonts w:ascii="Arial" w:cs="Arial" w:eastAsia="Arial" w:hAnsi="Arial"/>
                <w:sz w:val="21"/>
                <w:szCs w:val="21"/>
                <w:color w:val="auto"/>
                <w:vertAlign w:val="superscript"/>
              </w:rPr>
              <w:t>2</w:t>
            </w:r>
          </w:p>
        </w:tc>
        <w:tc>
          <w:tcPr>
            <w:tcW w:w="2860" w:type="dxa"/>
            <w:vAlign w:val="bottom"/>
            <w:gridSpan w:val="2"/>
          </w:tcPr>
          <w:p>
            <w:pPr>
              <w:spacing w:after="0"/>
              <w:rPr>
                <w:sz w:val="20"/>
                <w:szCs w:val="20"/>
                <w:color w:val="auto"/>
              </w:rPr>
            </w:pPr>
            <w:r>
              <w:rPr>
                <w:rFonts w:ascii="Arial" w:cs="Arial" w:eastAsia="Arial" w:hAnsi="Arial"/>
                <w:sz w:val="14"/>
                <w:szCs w:val="14"/>
                <w:color w:val="auto"/>
              </w:rPr>
              <w:t>Income Notes</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16.2</w:t>
            </w: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39,078</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50,000</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1,531,142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1,950,000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Trimaran CLO VII, Ltd.</w:t>
            </w:r>
            <w:r>
              <w:rPr>
                <w:rFonts w:ascii="Arial" w:cs="Arial" w:eastAsia="Arial" w:hAnsi="Arial"/>
                <w:sz w:val="21"/>
                <w:szCs w:val="21"/>
                <w:color w:val="auto"/>
                <w:vertAlign w:val="superscript"/>
              </w:rPr>
              <w:t>2</w:t>
            </w: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Notes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10.5</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1,353,943</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2,088,764</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1,399,074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2,084,394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line="189" w:lineRule="exact"/>
              <w:rPr>
                <w:sz w:val="20"/>
                <w:szCs w:val="20"/>
                <w:color w:val="auto"/>
              </w:rPr>
            </w:pPr>
            <w:r>
              <w:rPr>
                <w:rFonts w:ascii="Arial" w:cs="Arial" w:eastAsia="Arial" w:hAnsi="Arial"/>
                <w:sz w:val="13"/>
                <w:szCs w:val="13"/>
                <w:color w:val="auto"/>
              </w:rPr>
              <w:t>Catamaran CLO 2012-1 Ltd.</w:t>
            </w:r>
            <w:r>
              <w:rPr>
                <w:rFonts w:ascii="Arial" w:cs="Arial" w:eastAsia="Arial" w:hAnsi="Arial"/>
                <w:sz w:val="21"/>
                <w:szCs w:val="21"/>
                <w:color w:val="auto"/>
                <w:vertAlign w:val="superscript"/>
              </w:rPr>
              <w:t>2</w:t>
            </w:r>
          </w:p>
        </w:tc>
        <w:tc>
          <w:tcPr>
            <w:tcW w:w="2860" w:type="dxa"/>
            <w:vAlign w:val="bottom"/>
            <w:gridSpan w:val="2"/>
          </w:tcPr>
          <w:p>
            <w:pPr>
              <w:spacing w:after="0"/>
              <w:rPr>
                <w:sz w:val="20"/>
                <w:szCs w:val="20"/>
                <w:color w:val="auto"/>
              </w:rPr>
            </w:pPr>
            <w:r>
              <w:rPr>
                <w:rFonts w:ascii="Arial" w:cs="Arial" w:eastAsia="Arial" w:hAnsi="Arial"/>
                <w:sz w:val="14"/>
                <w:szCs w:val="14"/>
                <w:color w:val="auto"/>
              </w:rPr>
              <w:t>Subordinated Notes</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24.9</w:t>
            </w: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7,717,181</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5,753,784</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7,994,677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5,793,924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Catamaran CLO 2012-1 Ltd.</w:t>
            </w:r>
            <w:r>
              <w:rPr>
                <w:rFonts w:ascii="Arial" w:cs="Arial" w:eastAsia="Arial" w:hAnsi="Arial"/>
                <w:sz w:val="21"/>
                <w:szCs w:val="21"/>
                <w:color w:val="auto"/>
                <w:vertAlign w:val="superscript"/>
              </w:rPr>
              <w:t>2</w:t>
            </w: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Class F Notes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42.9</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3,935,339</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4,180,000</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3,917,442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4,160,000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line="189" w:lineRule="exact"/>
              <w:rPr>
                <w:sz w:val="20"/>
                <w:szCs w:val="20"/>
                <w:color w:val="auto"/>
              </w:rPr>
            </w:pPr>
            <w:r>
              <w:rPr>
                <w:rFonts w:ascii="Arial" w:cs="Arial" w:eastAsia="Arial" w:hAnsi="Arial"/>
                <w:sz w:val="13"/>
                <w:szCs w:val="13"/>
                <w:color w:val="auto"/>
              </w:rPr>
              <w:t>Catamaran CLO 2013- 1 Ltd.</w:t>
            </w:r>
            <w:r>
              <w:rPr>
                <w:rFonts w:ascii="Arial" w:cs="Arial" w:eastAsia="Arial" w:hAnsi="Arial"/>
                <w:sz w:val="21"/>
                <w:szCs w:val="21"/>
                <w:color w:val="auto"/>
                <w:vertAlign w:val="superscript"/>
              </w:rPr>
              <w:t>2</w:t>
            </w:r>
          </w:p>
        </w:tc>
        <w:tc>
          <w:tcPr>
            <w:tcW w:w="2860" w:type="dxa"/>
            <w:vAlign w:val="bottom"/>
            <w:gridSpan w:val="2"/>
          </w:tcPr>
          <w:p>
            <w:pPr>
              <w:spacing w:after="0"/>
              <w:rPr>
                <w:sz w:val="20"/>
                <w:szCs w:val="20"/>
                <w:color w:val="auto"/>
              </w:rPr>
            </w:pPr>
            <w:r>
              <w:rPr>
                <w:rFonts w:ascii="Arial" w:cs="Arial" w:eastAsia="Arial" w:hAnsi="Arial"/>
                <w:sz w:val="14"/>
                <w:szCs w:val="14"/>
                <w:color w:val="auto"/>
              </w:rPr>
              <w:t>Subordinated Notes</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23.5</w:t>
            </w: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7,200,636</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7,531,200</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7,492,702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7,874,910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Catamaran CLO 2014-1 Ltd.</w:t>
            </w:r>
            <w:r>
              <w:rPr>
                <w:rFonts w:ascii="Arial" w:cs="Arial" w:eastAsia="Arial" w:hAnsi="Arial"/>
                <w:sz w:val="21"/>
                <w:szCs w:val="21"/>
                <w:color w:val="auto"/>
                <w:vertAlign w:val="superscript"/>
              </w:rPr>
              <w:t>2</w:t>
            </w: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Subordinated Notes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24.9</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10,075,468</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8,545,844</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10,473,628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8,867,176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line="189" w:lineRule="exact"/>
              <w:rPr>
                <w:sz w:val="20"/>
                <w:szCs w:val="20"/>
                <w:color w:val="auto"/>
              </w:rPr>
            </w:pPr>
            <w:r>
              <w:rPr>
                <w:rFonts w:ascii="Arial" w:cs="Arial" w:eastAsia="Arial" w:hAnsi="Arial"/>
                <w:sz w:val="13"/>
                <w:szCs w:val="13"/>
                <w:color w:val="auto"/>
              </w:rPr>
              <w:t>Catamaran CLO 2014-1 Ltd.</w:t>
            </w:r>
            <w:r>
              <w:rPr>
                <w:rFonts w:ascii="Arial" w:cs="Arial" w:eastAsia="Arial" w:hAnsi="Arial"/>
                <w:sz w:val="21"/>
                <w:szCs w:val="21"/>
                <w:color w:val="auto"/>
                <w:vertAlign w:val="superscript"/>
              </w:rPr>
              <w:t>2</w:t>
            </w:r>
          </w:p>
        </w:tc>
        <w:tc>
          <w:tcPr>
            <w:tcW w:w="2860" w:type="dxa"/>
            <w:vAlign w:val="bottom"/>
            <w:gridSpan w:val="2"/>
          </w:tcPr>
          <w:p>
            <w:pPr>
              <w:spacing w:after="0"/>
              <w:rPr>
                <w:sz w:val="20"/>
                <w:szCs w:val="20"/>
                <w:color w:val="auto"/>
              </w:rPr>
            </w:pPr>
            <w:r>
              <w:rPr>
                <w:rFonts w:ascii="Arial" w:cs="Arial" w:eastAsia="Arial" w:hAnsi="Arial"/>
                <w:sz w:val="14"/>
                <w:szCs w:val="14"/>
                <w:color w:val="auto"/>
              </w:rPr>
              <w:t>Class E Notes</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15.1</w:t>
            </w: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1,419,685</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1,370,000</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1,417,376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1,340,000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Dryden 30 Senior Loan Fund</w:t>
            </w: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Notes</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1,787,454</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2,532,725</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2,263,321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2,506,075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line="189" w:lineRule="exact"/>
              <w:rPr>
                <w:sz w:val="20"/>
                <w:szCs w:val="20"/>
                <w:color w:val="auto"/>
              </w:rPr>
            </w:pPr>
            <w:r>
              <w:rPr>
                <w:rFonts w:ascii="Arial" w:cs="Arial" w:eastAsia="Arial" w:hAnsi="Arial"/>
                <w:sz w:val="13"/>
                <w:szCs w:val="13"/>
                <w:color w:val="auto"/>
              </w:rPr>
              <w:t>Catamaran CLO 2014-2 Ltd.</w:t>
            </w:r>
            <w:r>
              <w:rPr>
                <w:rFonts w:ascii="Arial" w:cs="Arial" w:eastAsia="Arial" w:hAnsi="Arial"/>
                <w:sz w:val="21"/>
                <w:szCs w:val="21"/>
                <w:color w:val="auto"/>
                <w:vertAlign w:val="superscript"/>
              </w:rPr>
              <w:t>2</w:t>
            </w:r>
          </w:p>
        </w:tc>
        <w:tc>
          <w:tcPr>
            <w:tcW w:w="2860" w:type="dxa"/>
            <w:vAlign w:val="bottom"/>
            <w:gridSpan w:val="2"/>
          </w:tcPr>
          <w:p>
            <w:pPr>
              <w:spacing w:after="0"/>
              <w:rPr>
                <w:sz w:val="20"/>
                <w:szCs w:val="20"/>
                <w:color w:val="auto"/>
              </w:rPr>
            </w:pPr>
            <w:r>
              <w:rPr>
                <w:rFonts w:ascii="Arial" w:cs="Arial" w:eastAsia="Arial" w:hAnsi="Arial"/>
                <w:sz w:val="14"/>
                <w:szCs w:val="14"/>
                <w:color w:val="auto"/>
              </w:rPr>
              <w:t>Subordinated Notes</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24.9</w:t>
            </w: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9,299,928</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8,543,700</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9,862,799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8,761,500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Catamaran CLO 2015-1 Ltd.</w:t>
            </w:r>
            <w:r>
              <w:rPr>
                <w:rFonts w:ascii="Arial" w:cs="Arial" w:eastAsia="Arial" w:hAnsi="Arial"/>
                <w:sz w:val="23"/>
                <w:szCs w:val="23"/>
                <w:color w:val="auto"/>
                <w:vertAlign w:val="superscript"/>
              </w:rPr>
              <w:t>2</w:t>
            </w: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Subordinated Notes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24.0</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11,952,000</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11,952,000</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64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99,812,887</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85,853,478</w:t>
            </w: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90,889,190</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77,514,902</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percentage of class held.</w:t>
      </w:r>
    </w:p>
    <w:p>
      <w:pPr>
        <w:spacing w:after="0" w:line="23"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CLO Fund managed by an Asset Manager Affiliate.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Asset Manager Affiliates are our wholly-owned asset management companies that manage CLO Funds that invest in broadly syndicated loans, high yield bonds and other credit instruments. The CLO Funds managed by our Asset Manager Affiliates consist primarily of credit instruments issued by corporations. As of March 31, 2015, our Asset Manager Affiliates had approximately $2.9 billion of par value of assets under management on which they earn management fees, and were valued at approximately $72 million.</w:t>
      </w:r>
    </w:p>
    <w:p>
      <w:pPr>
        <w:spacing w:after="0" w:line="187"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All CLO Funds managed by the Asset Manager Affiliates are currently paying all senior and subordinate management fees. In addition, in the first quarter of 2015 our Asset Manager Affiliates received incentive fees from three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discussion of our results of operations for the three months ended March 31,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67" w:name="page68"/>
    <w:bookmarkEnd w:id="67"/>
    <w:p>
      <w:pPr>
        <w:ind w:firstLine="324"/>
        <w:spacing w:after="0" w:line="286"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 securities (typically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subordinated securities) of CLO Funds managed by our Asset Manager Affiliates and selective investments in securities issued by CLO Funds managed by other asset management companies. CLO Funds managed by our Asset Manager Affiliates and those managed by non-affiliates invest primarily in broadly syndicated non-investment grade loans, high-yield bonds and other credit instruments of corporate issuers. The Company distinguishes CLO Funds managed by its Asset Manager Affiliates as “CLO Fund Securities Managed by Affiliates”, in its financial consolidated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17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 As a RIC, the Company anticipates a timely distribution of its tax-basis taxable income.</w:t>
      </w:r>
    </w:p>
    <w:p>
      <w:pPr>
        <w:spacing w:after="0" w:line="178"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F notes of the Catamaran 2012-1 and the Class E notes of Catamaran 2014-1, interest is earned at a fixed spread relative to the LIBOR index.</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 xml:space="preserve">Distributions from Asset Manager Affiliates. </w:t>
      </w:r>
      <w:r>
        <w:rPr>
          <w:rFonts w:ascii="Arial" w:cs="Arial" w:eastAsia="Arial" w:hAnsi="Arial"/>
          <w:sz w:val="16"/>
          <w:szCs w:val="16"/>
          <w:color w:val="auto"/>
        </w:rPr>
        <w:t>We receive cash distributions from our investment in our Asset Manager Affiliates, which are wholly-owned</w:t>
      </w:r>
      <w:r>
        <w:rPr>
          <w:rFonts w:ascii="Arial" w:cs="Arial" w:eastAsia="Arial" w:hAnsi="Arial"/>
          <w:sz w:val="16"/>
          <w:szCs w:val="16"/>
          <w:i w:val="1"/>
          <w:iCs w:val="1"/>
          <w:color w:val="auto"/>
        </w:rPr>
        <w:t xml:space="preserve"> </w:t>
      </w:r>
      <w:r>
        <w:rPr>
          <w:rFonts w:ascii="Arial" w:cs="Arial" w:eastAsia="Arial" w:hAnsi="Arial"/>
          <w:sz w:val="16"/>
          <w:szCs w:val="16"/>
          <w:color w:val="auto"/>
        </w:rPr>
        <w:t>and manage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taken a first loss position in connection with loan warehouse arrangements for their CLO Funds. The annual management fees that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receive incentive fees provided such CLO Funds have achieved a minimum investment return to holders of their subordinated securities or preferred shares as per the terms of each CLO Fund management agreement. During the three months ended March 31, 2015, the Asset Manager Affiliates received incentive fees from three funds.</w:t>
      </w:r>
    </w:p>
    <w:p>
      <w:pPr>
        <w:spacing w:after="0" w:line="16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Asset Manager Affiliates are expected to pay future distributions to the Company based upon their after-tax free cash flow, which generally will be dependent upon the maintenance and growth in their assets under management and incentive fees. As a result of tax-basis goodwill amortization and certain other tax-related adjustments, portions of distributions received may be deemed return of capital. As amortizing funds which are paying incentive fees are redeemed, we expect incentive fees available for distribution to diminish. During the three months ended March 31, 2015, three CLO Funds have achieved the minimum investment return threshold and are paying the Asset Manager Affiliates incentive fees. The fair value of our investment in our Asset Manager Affiliates was approximately $72 million at March 31, 2015, down by approximately $802,000 from December 31, 2014. For the three months ended March 31, 2015 and 2014, we recognized dividend income of $1.4 million from the Asset Manager Affiliates, for both periods, while cash distributions received were $2.7 million and $3.0 million for those periods, respectively. The difference between cash distributions received and the tax-basis earnings and profits is recorded as an adjustment to the cost basis of the Asset Manager Affiliates investments. CLO Funds typically have automatic orderly wind-down features following an initial period of reinvestment. Thus, with all else being equal, as managed CLO Fund portfolios age, projected future assets under management (and associated management fees) will naturally decline, resulting in a reduction in fair value of our Asset Manager Affiliates. On the other hand, mandates to manage new CLO Fund portfolios will generally result in an increase in the fair value of our investment in our Asset Manager Affiliates. The aggregate of par value of assets under management by our Asset Manager Affiliates was $2.9 billion and $3.0 billion as of March 31, 2015 and December 31, 2014, respectively.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68" w:name="page69"/>
    <w:bookmarkEnd w:id="68"/>
    <w:p>
      <w:pPr>
        <w:ind w:right="320" w:firstLine="32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Investment income for the three months ended March 31, 2015 and 2014 was approximately $12 million and $10 million, respectively. Of these amounts, approximately $6.2 million and $5.2 million was attributable to interest income on our debt securities portfolio. Increases in interest income from 2014 to 2015 were due to higher average invested assets stemming primarily from capital raising activities.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yield on debt securities portfolio was 7.3%, as of March 31, 2015 and December 31, 2014.</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8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For the three months ended March 31, 2015 and 2014, approximately $4.6 million and $3.1 million, respectively, of investment income was attributable to investments in CLO Fund securities. On a tax-basis, the Company recognized $4.8 million of taxable cash distributions during the three months ended March 31, 2015.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Because we are internally managed, we directly incur the cost of management and operations. As a result, we pay no investment management fees or other fees to an external advisor. Our expenses consist primarily of interest expense on outstanding borrowings, compensation expense and general and administrative expenses, including professional fees. Interest and compensation expense are typically our largest expenses each period.</w:t>
      </w:r>
    </w:p>
    <w:p>
      <w:pPr>
        <w:spacing w:after="0" w:line="14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the Company’s borrowings. These amounts are capitalized and amortized ratably over the contractual term of the borrowing.</w:t>
      </w:r>
    </w:p>
    <w:p>
      <w:pPr>
        <w:spacing w:after="0" w:line="181"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i w:val="1"/>
          <w:iCs w:val="1"/>
          <w:color w:val="auto"/>
        </w:rPr>
        <w:t>Compensation Expense</w:t>
      </w:r>
      <w:r>
        <w:rPr>
          <w:rFonts w:ascii="Arial" w:cs="Arial" w:eastAsia="Arial" w:hAnsi="Arial"/>
          <w:sz w:val="17"/>
          <w:szCs w:val="17"/>
          <w:color w:val="auto"/>
        </w:rPr>
        <w:t>. Compensation expense includes base salaries, bonuses, stock compensation, employee benefits and employer-related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The largest components of total compensation costs are base salaries and bonuses; generally, base salaries are expensed as incurred and annual bonus expenses are estimated and accrued. Our compensation arrangements with our employees contain a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173"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i w:val="1"/>
          <w:iCs w:val="1"/>
          <w:color w:val="auto"/>
        </w:rPr>
        <w:t>Professional Fees and General and Administrative Expenses</w:t>
      </w:r>
      <w:r>
        <w:rPr>
          <w:rFonts w:ascii="Arial" w:cs="Arial" w:eastAsia="Arial" w:hAnsi="Arial"/>
          <w:sz w:val="18"/>
          <w:szCs w:val="18"/>
          <w:color w:val="auto"/>
        </w:rPr>
        <w:t>. The balance of our expenses includes professional fees (primarily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and other professional services), occupancy costs and general administrative and other costs.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69" w:name="page70"/>
    <w:bookmarkEnd w:id="69"/>
    <w:p>
      <w:pPr>
        <w:jc w:val="both"/>
        <w:ind w:right="20" w:firstLine="324"/>
        <w:spacing w:after="0" w:line="264" w:lineRule="auto"/>
        <w:rPr>
          <w:sz w:val="20"/>
          <w:szCs w:val="20"/>
          <w:color w:val="auto"/>
        </w:rPr>
      </w:pPr>
      <w:r>
        <w:rPr>
          <w:rFonts w:ascii="Arial" w:cs="Arial" w:eastAsia="Arial" w:hAnsi="Arial"/>
          <w:sz w:val="18"/>
          <w:szCs w:val="18"/>
          <w:color w:val="auto"/>
        </w:rPr>
        <w:t>Total expenses for the three months ended March 31, 2015 and 2014 were approximately $5.8 million and $5.5 million, respectively. Interest expense and amortization on debt issuance costs for the periods, were approximately $3.0 million, for both periods, on average debt outstanding of $227 million and $196 million, respectively.</w:t>
      </w:r>
    </w:p>
    <w:p>
      <w:pPr>
        <w:spacing w:after="0" w:line="181"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For the three months ended March 31, 2015 and 2014, approximately $1.1 million and $1.3 million, respectively, of expenses were attributable to employee compensation, including salaries, bonuses, employee benefits, payroll taxes and stock-based compensation expense. For the three months ended March 31, 2015 and 2014, respectively, professional fees and insurance expenses totaled approximately $1.3 million and $807,000. The increase in professional fees is primarily due to costs incurred in connection with the restatement. Administrative costs, which include occupancy expense, technology and other office expenses, totaled approximately $511,000 and $468,000 for the three months ended March 31, 2015 and 2014,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 and Net Realized Gains (Losses)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Net investment income and net realized gains (losses) represents the stockholder’s equity before net unrealized appreciation or depreciation on investments. For the three months ended March 31, 2015, net investment income and net realized gains were approximately $6.6 million, or $0.18 per share. Net investment income represents the income earned on our investments less operating and interest expense before net realized gains or losses and unrealized appreciation or depreciation on investments. For the three months ended March 31, 2014, GAAP-basis net investment income and net realized gains were approximately $4.8 million or $0.14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29" w:lineRule="exact"/>
        <w:rPr>
          <w:sz w:val="20"/>
          <w:szCs w:val="20"/>
          <w:color w:val="auto"/>
        </w:rPr>
      </w:pPr>
    </w:p>
    <w:p>
      <w:pPr>
        <w:ind w:right="220" w:firstLine="324"/>
        <w:spacing w:after="0" w:line="272" w:lineRule="auto"/>
        <w:rPr>
          <w:sz w:val="20"/>
          <w:szCs w:val="20"/>
          <w:color w:val="auto"/>
        </w:rPr>
      </w:pPr>
      <w:r>
        <w:rPr>
          <w:rFonts w:ascii="Arial" w:cs="Arial" w:eastAsia="Arial" w:hAnsi="Arial"/>
          <w:sz w:val="17"/>
          <w:szCs w:val="17"/>
          <w:color w:val="auto"/>
        </w:rPr>
        <w:t>During the three months ended March 31, 2015, our total investments had net unrealized appreciation of approximately $1.1 million. During the three months ended March 31, 2014, our total investments had net unrealized depreciation of approximately $1.3 million. For the three months ended March 31, 2015, our Asset Manager Affiliates had net unrealized appreciation of approximately $484,000. For the three months ended March 31, 2014, our Asset Manager Affiliates had net unrealized depreciation of approximately $997,000. For the three months ended March 31, 2015, our middle market portfolio of debt securities and equity securities had net unrealized appreciation of approximately $1.2 million, compared with net unrealized depreciation of $931,000 during the first quarter of 2014. For the three months ended March 31, 2015, our CLO Fund securities had net unrealized depreciation of approximately $585,000 compared with net unrealized appreciation of $593,000 during the first quarter of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229"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The net increase in stockholders’ equity resulting from operations for the three months ended March 31, 2015 was $7.7 million, or $0.21 per share. Net increase in stockholders’ equity resulting from operations for the three months ended March 31, 2014 was $3.4 million, or $0.10 per share.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2015 and December 31, 2014 the fair value of investments and cash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6"/>
          </w:tcPr>
          <w:p>
            <w:pPr>
              <w:ind w:left="220"/>
              <w:spacing w:after="0"/>
              <w:rPr>
                <w:sz w:val="20"/>
                <w:szCs w:val="20"/>
                <w:color w:val="auto"/>
              </w:rPr>
            </w:pPr>
            <w:r>
              <w:rPr>
                <w:rFonts w:ascii="Arial" w:cs="Arial" w:eastAsia="Arial" w:hAnsi="Arial"/>
                <w:sz w:val="18"/>
                <w:szCs w:val="18"/>
                <w:b w:val="1"/>
                <w:bCs w:val="1"/>
                <w:color w:val="auto"/>
              </w:rPr>
              <w:t>Investments at Fair Value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20" w:type="dxa"/>
            <w:vAlign w:val="bottom"/>
            <w:tcBorders>
              <w:top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2"/>
              </w:rPr>
              <w:t>March 31, 2015  December 31, 2014</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660" w:type="dxa"/>
            <w:vAlign w:val="bottom"/>
            <w:gridSpan w:val="3"/>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1,521,555</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1,220,798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Money Market Accounts</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1,729,575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1,602,741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Loan</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217,219,634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218,329,860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Junior Secured Loan</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39,832,410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38,569,006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Loan</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33,104,782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33,066,984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First Lien Bond</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2,580,000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Senior Subordinated Bond</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4,295,736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4,240,301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Senior Secured Bond</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1,485,000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1,552,500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11,482,540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11,386,218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CLO Fund Securities</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85,853,478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77,514,902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8,063,558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8,119,681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Preferred</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10,470,393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10,418,302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2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71,524,000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72,326,000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Total</w:t>
            </w: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489,162,661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480,927,293</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380" w:type="dxa"/>
            <w:vAlign w:val="bottom"/>
            <w:vMerge w:val="restart"/>
          </w:tcPr>
          <w:p>
            <w:pPr>
              <w:jc w:val="right"/>
              <w:ind w:right="27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70" w:name="page71"/>
    <w:bookmarkEnd w:id="70"/>
    <w:p>
      <w:pPr>
        <w:ind w:right="80" w:firstLine="324"/>
        <w:spacing w:after="0" w:line="297" w:lineRule="auto"/>
        <w:rPr>
          <w:sz w:val="20"/>
          <w:szCs w:val="20"/>
          <w:color w:val="auto"/>
        </w:rPr>
      </w:pPr>
      <w:r>
        <w:rPr>
          <w:rFonts w:ascii="Arial" w:cs="Arial" w:eastAsia="Arial" w:hAnsi="Arial"/>
          <w:sz w:val="16"/>
          <w:szCs w:val="16"/>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after such borrowing. As of March 31, 2015, we had approximately $224 million of outstanding borrowings and our asset coverage ratio of total assets to total borrowings was 215%, compliant with the minimum asset coverage level of 200% generally required for a BDC by the 1940 Act. We may also borrow amounts of up to 5% of the value of our total assets for temporary purposes.</w:t>
      </w:r>
    </w:p>
    <w:p>
      <w:pPr>
        <w:spacing w:after="0" w:line="158"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following underwriting expenses, were approximately $57.7 million. Interest on the Convertible Notes is paid semi-annually in arrears on March 15 and September 15, at a rate of 8.75%, commencing September 15, 2011. The Convertible Notes mature on March 15, 2016 unless converted earlier. The Convertible Notes are senior unsecured obligations of the Company.</w:t>
      </w:r>
    </w:p>
    <w:p>
      <w:pPr>
        <w:spacing w:after="0" w:line="158"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The Convertible Notes are convertible into shares of the Company’s common stock. As of March 31, 2015, the conversion rate was 132.7726 shares of common stock per $1,000 principal amount of Convertible Notes, which is equivalent to a conversion price of approximately $7.53 per share of common stock. The conversion rate is subject to adjustment upon certain events. Upon conversion, the Company would issue the full amount of common stock or settle the conversion in cash, at its option, and retire the full amount of debt outstanding.</w:t>
      </w:r>
    </w:p>
    <w:p>
      <w:pPr>
        <w:spacing w:after="0" w:line="17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On April 4, 2013, approximately $9 million of the Company’s 8.75% Convertible Notes were converted at a price per share of $8.159 into 1,102,093 shares of KCAP common stock. On September 4, 2013, the Company purchased $2 million face value of its own Convertible Notes at a price of $114.50, plus accrued interest. KCAP subsequently surrendered these notes to the note trustee for cancellation effective September 13, 2013. On October 9, 2014, the Company purchased approximately $10.4 million face value of its own Convertible Notes at $114.875 plus accrued interest. KCAP subsequently surrendered these notes to the trustee for cancellation. Due to the cash conversion option embedded in the Convertible Notes, the Company applied the guidance in ASC 470-40-20, Debt with Conversion and Other Options, and realized a loss on the extinguishment of this debt. For the three months ended March 31, 2015 and 2014, there were no realized losses on extinguishment of debt. The indenture governing the Convertible Notes contains certain restrictive covenants, including compliance with certain provisions of the 1940 Act and conditions governing the undertaking of new debt.</w:t>
      </w:r>
    </w:p>
    <w:p>
      <w:pPr>
        <w:spacing w:after="0" w:line="166"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February 2012, the Company entered into a Note Purchase Agreement, under which it was able to obtain up to $30 million in financing (the “Facility”). The Facility was terminated on November 4, 2013 and remaining unamortized capitalized costs of approximately $203,000 related to the Facility were written-off and are included in Realized Losses on Extinguishments of Debt.</w:t>
      </w:r>
    </w:p>
    <w:p>
      <w:pPr>
        <w:spacing w:after="0" w:line="181"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net proceeds for the 7.375% Notes Due 2019,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In addition, due to the coverage test applicable to the Company as a BDC and a covenant that the Company agreed to in connection with the issuance of the 7.375% Notes Due 2019, the Company is limited in its ability to make distributions in certain circumstances. At March 31, 2015, the Company was in compliance with all of its debt covenants. The indenture governing the</w:t>
      </w:r>
    </w:p>
    <w:p>
      <w:pPr>
        <w:spacing w:after="0" w:line="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7.375% Notes Due 2019 contains certain restrictive covenants, including compliance with certain provisions of the 1940 Act relating to borrowing and dividends.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1" w:name="page72"/>
    <w:bookmarkEnd w:id="71"/>
    <w:p>
      <w:pPr>
        <w:ind w:right="20" w:firstLine="324"/>
        <w:spacing w:after="0" w:line="259" w:lineRule="auto"/>
        <w:rPr>
          <w:sz w:val="20"/>
          <w:szCs w:val="20"/>
          <w:color w:val="auto"/>
        </w:rPr>
      </w:pPr>
      <w:r>
        <w:rPr>
          <w:rFonts w:ascii="Arial" w:cs="Arial" w:eastAsia="Arial" w:hAnsi="Arial"/>
          <w:sz w:val="18"/>
          <w:szCs w:val="18"/>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18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On June 18, 2013, KCAP Senior Funding I, LLC, a specialty finance subsidiary of the Company, was capitalized through the issuance of $140 million of notes (the “KCAP Senior Funding I Notes”). The KCAP Senior Funding I Notes are backed by a diversified portfolio of bank loans. The Company invested in the most junior class of the notes, issued in the approximate amount of $35 million, representing the Company’s primary exposure to the performance of the assets acquired from the proceeds of the issuance of the KCAP Senior Funding I Notes. On December 8, 2014, the Company completed the sale of additional KCAP Senior Funding I Notes for $56 million. The issuance of additional notes was pro-rata across all existing classes of notes originally issued. KCAP purchased an additional $13.9 million in the most junior class of notes. These junior notes eliminate in consolidation and the remaining notes with a par value of $105 million, net of $3.4 million of unamortized discount, are reflected on our consolidated balance sheet. The indenture governing the KCAP Senior Funding I Notes contains an event of default that is triggered in the event that certain coverage tests are not met.</w:t>
      </w:r>
    </w:p>
    <w:p>
      <w:pPr>
        <w:spacing w:after="0" w:line="1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October 6, 2014, the Company priced a follow-on public offering of 3.0 million shares of its common stock at a price of $8.02 per share. The offering raised net proceeds were approximately $23.8 million, after deducting underwriting discounts and offering expenses.</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Subject to prevailing market conditions, we intend to grow our portfolio of assets by raising additional capital, including through the prudent use of leverage available to us. As a result, we may seek to enter into new agreements with other lenders or into other financing arrangements as market conditions permit. From time to time, we may seek to retire, repurchase, or exchange debt securities in open market purchases or by other means dependent on market conditions, liquidity, contractual obligations, and other matters.</w:t>
      </w:r>
    </w:p>
    <w:p>
      <w:pPr>
        <w:spacing w:after="0" w:line="18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If our common stock trades below our net asset value per share, we will generally not be able to issue additional common stock at the market price unless our shareholders approve such a sale and our Board of Directors makes certain determinations. A proposal, approved by our stockholders (at a special stockholder meeting held on June 19, 2014 and continued on July 8, 2014) authorizes us to sell shares of our common stock below the then current net asset value per share of our common stock in one or more offerings for the period ending on the earlier of (i) July 8, 2015, or (ii) the date of our 2015 annual meeting of shareholders. For the same period, the Company adopted a policy that it will not seek approval from our Board of Directors to sell or otherwise issue more than 15% of the Company’s then outstanding shares of common stock at a price below its then current net asset value. We would need similar future approval from our shareholders to issue shares below the then current net asset value per share any time after the expiration of the current approval.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currently intend to distribute during each calendar year an amount at least equal to the sum of:</w:t>
      </w:r>
    </w:p>
    <w:p>
      <w:pPr>
        <w:spacing w:after="0" w:line="170" w:lineRule="exact"/>
        <w:rPr>
          <w:sz w:val="20"/>
          <w:szCs w:val="20"/>
          <w:color w:val="auto"/>
        </w:rPr>
      </w:pPr>
    </w:p>
    <w:p>
      <w:pPr>
        <w:ind w:left="920" w:hanging="331"/>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98.2% of our capital gains, if any, in excess of capital losses for the one-year period ending on October 31 of the calendar year; and</w:t>
      </w:r>
    </w:p>
    <w:p>
      <w:pPr>
        <w:spacing w:after="0" w:line="236" w:lineRule="exact"/>
        <w:rPr>
          <w:rFonts w:ascii="Arial" w:cs="Arial" w:eastAsia="Arial" w:hAnsi="Arial"/>
          <w:sz w:val="17"/>
          <w:szCs w:val="17"/>
          <w:color w:val="auto"/>
        </w:rPr>
      </w:pPr>
    </w:p>
    <w:p>
      <w:pPr>
        <w:ind w:left="920" w:hanging="331"/>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distributable taxable income and after-tax free cash flow from our Asset Manager Affiliates.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2" w:right="279" w:bottom="1440" w:gutter="0" w:footer="0" w:header="0"/>
        </w:sectPr>
      </w:pPr>
    </w:p>
    <w:bookmarkStart w:id="72" w:name="page73"/>
    <w:bookmarkEnd w:id="72"/>
    <w:p>
      <w:pPr>
        <w:ind w:left="340"/>
        <w:spacing w:after="0"/>
        <w:rPr>
          <w:sz w:val="20"/>
          <w:szCs w:val="20"/>
          <w:color w:val="auto"/>
        </w:rPr>
      </w:pPr>
      <w:r>
        <w:rPr>
          <w:rFonts w:ascii="Arial" w:cs="Arial" w:eastAsia="Arial" w:hAnsi="Arial"/>
          <w:sz w:val="18"/>
          <w:szCs w:val="18"/>
          <w:color w:val="auto"/>
        </w:rPr>
        <w:t>The following table sets forth the quarterly distributions declared by us since the most recent completed calendar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Declaration</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Record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Distribution</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Date</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Date</w:t>
            </w: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0.21</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3/24/2015</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4/6/2015</w:t>
            </w:r>
          </w:p>
        </w:tc>
        <w:tc>
          <w:tcPr>
            <w:tcW w:w="1280" w:type="dxa"/>
            <w:vAlign w:val="bottom"/>
          </w:tcPr>
          <w:p>
            <w:pPr>
              <w:jc w:val="right"/>
              <w:spacing w:after="0"/>
              <w:rPr>
                <w:sz w:val="20"/>
                <w:szCs w:val="20"/>
                <w:color w:val="auto"/>
              </w:rPr>
            </w:pPr>
            <w:r>
              <w:rPr>
                <w:rFonts w:ascii="Arial" w:cs="Arial" w:eastAsia="Arial" w:hAnsi="Arial"/>
                <w:sz w:val="18"/>
                <w:szCs w:val="18"/>
                <w:color w:val="auto"/>
              </w:rPr>
              <w:t>4/27/2015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declared in 2015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0.21</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12/17/2014</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12/29/2014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9/19/2014</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10/14/2014</w:t>
            </w:r>
          </w:p>
        </w:tc>
        <w:tc>
          <w:tcPr>
            <w:tcW w:w="1280" w:type="dxa"/>
            <w:vAlign w:val="bottom"/>
          </w:tcPr>
          <w:p>
            <w:pPr>
              <w:jc w:val="right"/>
              <w:spacing w:after="0"/>
              <w:rPr>
                <w:sz w:val="20"/>
                <w:szCs w:val="20"/>
                <w:color w:val="auto"/>
              </w:rPr>
            </w:pPr>
            <w:r>
              <w:rPr>
                <w:rFonts w:ascii="Arial" w:cs="Arial" w:eastAsia="Arial" w:hAnsi="Arial"/>
                <w:sz w:val="18"/>
                <w:szCs w:val="18"/>
                <w:color w:val="auto"/>
              </w:rPr>
              <w:t>10/29/2014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6/20/2014</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7/3/2014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3/21/2014</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4/4/2014</w:t>
            </w:r>
          </w:p>
        </w:tc>
        <w:tc>
          <w:tcPr>
            <w:tcW w:w="1280" w:type="dxa"/>
            <w:vAlign w:val="bottom"/>
          </w:tcPr>
          <w:p>
            <w:pPr>
              <w:jc w:val="right"/>
              <w:spacing w:after="0"/>
              <w:rPr>
                <w:sz w:val="20"/>
                <w:szCs w:val="20"/>
                <w:color w:val="auto"/>
              </w:rPr>
            </w:pPr>
            <w:r>
              <w:rPr>
                <w:rFonts w:ascii="Arial" w:cs="Arial" w:eastAsia="Arial" w:hAnsi="Arial"/>
                <w:sz w:val="18"/>
                <w:szCs w:val="18"/>
                <w:color w:val="auto"/>
              </w:rPr>
              <w:t>4/25/2014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declared in 2014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12/13/2013</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12/27/2013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9/13/2013</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10/8/2013</w:t>
            </w:r>
          </w:p>
        </w:tc>
        <w:tc>
          <w:tcPr>
            <w:tcW w:w="1280" w:type="dxa"/>
            <w:vAlign w:val="bottom"/>
          </w:tcPr>
          <w:p>
            <w:pPr>
              <w:jc w:val="right"/>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0.28</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6/17/2013</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7/5/2013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0.28</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3/15/2013</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4/5/2013</w:t>
            </w:r>
          </w:p>
        </w:tc>
        <w:tc>
          <w:tcPr>
            <w:tcW w:w="1280" w:type="dxa"/>
            <w:vAlign w:val="bottom"/>
          </w:tcPr>
          <w:p>
            <w:pPr>
              <w:jc w:val="right"/>
              <w:spacing w:after="0"/>
              <w:rPr>
                <w:sz w:val="20"/>
                <w:szCs w:val="20"/>
                <w:color w:val="auto"/>
              </w:rPr>
            </w:pPr>
            <w:r>
              <w:rPr>
                <w:rFonts w:ascii="Arial" w:cs="Arial" w:eastAsia="Arial" w:hAnsi="Arial"/>
                <w:sz w:val="18"/>
                <w:szCs w:val="18"/>
                <w:color w:val="auto"/>
              </w:rPr>
              <w:t>4/26/2013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declared in 2013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1.06</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OFF-BALANCE SHEET ARRANGEMENTS</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in order to meet the needs of the Company’s investment objectives.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March 31, 2015 and December 31, 2014, we did not have any such outstanding commitments.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March 31,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rPr>
              <w:t>Contractual</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ind w:left="1060"/>
              <w:spacing w:after="0"/>
              <w:rPr>
                <w:sz w:val="20"/>
                <w:szCs w:val="20"/>
                <w:color w:val="auto"/>
              </w:rPr>
            </w:pPr>
            <w:r>
              <w:rPr>
                <w:rFonts w:ascii="Arial" w:cs="Arial" w:eastAsia="Arial" w:hAnsi="Arial"/>
                <w:sz w:val="18"/>
                <w:szCs w:val="18"/>
                <w:b w:val="1"/>
                <w:bCs w:val="1"/>
                <w:color w:val="auto"/>
                <w:w w:val="93"/>
              </w:rPr>
              <w:t>Payments Due by Period</w:t>
            </w: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Less than one</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4"/>
              </w:rPr>
              <w:t>More than 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rPr>
              <w:t>Obligations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b w:val="1"/>
                <w:bCs w:val="1"/>
                <w:color w:val="auto"/>
              </w:rPr>
              <w:t>year</w:t>
            </w:r>
          </w:p>
        </w:tc>
        <w:tc>
          <w:tcPr>
            <w:tcW w:w="180" w:type="dxa"/>
            <w:vAlign w:val="bottom"/>
          </w:tcPr>
          <w:p>
            <w:pPr>
              <w:spacing w:after="0"/>
              <w:rPr>
                <w:sz w:val="20"/>
                <w:szCs w:val="20"/>
                <w:color w:val="auto"/>
              </w:rPr>
            </w:pPr>
          </w:p>
        </w:tc>
        <w:tc>
          <w:tcPr>
            <w:tcW w:w="14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95"/>
              </w:rPr>
              <w:t>1 - 3 years</w:t>
            </w: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3 - 5 years</w:t>
            </w: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years</w:t>
            </w:r>
          </w:p>
        </w:tc>
        <w:tc>
          <w:tcPr>
            <w:tcW w:w="0" w:type="dxa"/>
            <w:vAlign w:val="bottom"/>
          </w:tcPr>
          <w:p>
            <w:pPr>
              <w:spacing w:after="0"/>
              <w:rPr>
                <w:sz w:val="1"/>
                <w:szCs w:val="1"/>
                <w:color w:val="auto"/>
              </w:rPr>
            </w:pPr>
          </w:p>
        </w:tc>
      </w:tr>
      <w:tr>
        <w:trPr>
          <w:trHeight w:val="223"/>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227,397,000</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8"/>
              </w:rPr>
              <w:t>38,647,000</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41,400,000</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147,350,000</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contained elsewhere herein: Significant Accounting Policies — Investments.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1" w:right="339" w:bottom="1440" w:gutter="0" w:footer="0" w:header="0"/>
        </w:sectPr>
      </w:pPr>
    </w:p>
    <w:bookmarkStart w:id="73" w:name="page74"/>
    <w:bookmarkEnd w:id="73"/>
    <w:p>
      <w:pPr>
        <w:ind w:right="40" w:firstLine="324"/>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193" w:lineRule="exact"/>
        <w:rPr>
          <w:sz w:val="20"/>
          <w:szCs w:val="20"/>
          <w:color w:val="auto"/>
        </w:rPr>
      </w:pPr>
    </w:p>
    <w:p>
      <w:pPr>
        <w:jc w:val="both"/>
        <w:ind w:right="360" w:firstLine="324"/>
        <w:spacing w:after="0" w:line="312" w:lineRule="auto"/>
        <w:rPr>
          <w:sz w:val="20"/>
          <w:szCs w:val="20"/>
          <w:color w:val="auto"/>
        </w:rPr>
      </w:pPr>
      <w:r>
        <w:rPr>
          <w:rFonts w:ascii="Arial" w:cs="Arial" w:eastAsia="Arial" w:hAnsi="Arial"/>
          <w:sz w:val="16"/>
          <w:szCs w:val="16"/>
          <w:color w:val="auto"/>
        </w:rPr>
        <w:t>Pursuant to the AICPA Guide, we reflect our investments on our balance sheet at their estimated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4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18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900" w:right="360" w:hanging="325"/>
        <w:spacing w:after="0" w:line="31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Level I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6" w:lineRule="exact"/>
        <w:rPr>
          <w:rFonts w:ascii="Arial" w:cs="Arial" w:eastAsia="Arial" w:hAnsi="Arial"/>
          <w:sz w:val="16"/>
          <w:szCs w:val="16"/>
          <w:color w:val="auto"/>
        </w:rPr>
      </w:pPr>
    </w:p>
    <w:p>
      <w:pPr>
        <w:ind w:left="900" w:right="60" w:hanging="325"/>
        <w:spacing w:after="0" w:line="297"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58" w:lineRule="exact"/>
        <w:rPr>
          <w:rFonts w:ascii="Arial" w:cs="Arial" w:eastAsia="Arial" w:hAnsi="Arial"/>
          <w:sz w:val="16"/>
          <w:szCs w:val="16"/>
          <w:color w:val="auto"/>
        </w:rPr>
      </w:pPr>
    </w:p>
    <w:p>
      <w:pPr>
        <w:ind w:left="900" w:right="40" w:hanging="325"/>
        <w:spacing w:after="0" w:line="255"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8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all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4" w:name="page75"/>
    <w:bookmarkEnd w:id="74"/>
    <w:p>
      <w:pPr>
        <w:jc w:val="both"/>
        <w:ind w:right="140" w:firstLine="324"/>
        <w:spacing w:after="0" w:line="286" w:lineRule="auto"/>
        <w:rPr>
          <w:sz w:val="20"/>
          <w:szCs w:val="20"/>
          <w:color w:val="auto"/>
        </w:rPr>
      </w:pPr>
      <w:r>
        <w:rPr>
          <w:rFonts w:ascii="Arial" w:cs="Arial" w:eastAsia="Arial" w:hAnsi="Arial"/>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66"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we securities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173"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The Company’s investments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15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82"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5" w:name="page76"/>
    <w:bookmarkEnd w:id="75"/>
    <w:p>
      <w:pPr>
        <w:ind w:firstLine="32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Board of Directors may consider other methods of valuation to determine the fair value of investments as appropriate in conformity with GAAP.</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Interest income, including amortization of premium and accretion of discount,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Non-accrual loans remain in such status until the borrower has demonstrated the ability and intent to pay contractual amounts due or such loans become current. As of March 31, 2015, one issuer representing less than 1% of our total investments at fair value was on non-accrual status. As of December 31, 2014, one issuers representing less than 1% of our total investments at fair value was on non-accrual status.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Income on CLO Fund Securities</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managed by the Asset Manager Affiliates and selective investments in securities issued by funds managed by other asset management companies.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17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17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F notes of Catamaran 2012-1 and the class E notes of Catamaran 2014-1, interest is earned at a fixed spread relative to the LIBOR index.</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from Asset Manager Affiliates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record distributions from our Asset Manager Affiliates on the declaration date, which represents the ex-dividend date. Distributions in excess of tax-basis earnings and profits are recorded as tax-basis return of capital.</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225" w:lineRule="exact"/>
        <w:rPr>
          <w:sz w:val="20"/>
          <w:szCs w:val="20"/>
          <w:color w:val="auto"/>
        </w:rPr>
      </w:pPr>
    </w:p>
    <w:p>
      <w:pPr>
        <w:jc w:val="both"/>
        <w:ind w:right="340" w:firstLine="324"/>
        <w:spacing w:after="0" w:line="286" w:lineRule="auto"/>
        <w:rPr>
          <w:sz w:val="20"/>
          <w:szCs w:val="20"/>
          <w:color w:val="auto"/>
        </w:rPr>
      </w:pPr>
      <w:r>
        <w:rPr>
          <w:rFonts w:ascii="Arial" w:cs="Arial" w:eastAsia="Arial" w:hAnsi="Arial"/>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6" w:name="page77"/>
    <w:bookmarkEnd w:id="76"/>
    <w:p>
      <w:pPr>
        <w:ind w:left="200"/>
        <w:spacing w:after="0"/>
        <w:rPr>
          <w:sz w:val="20"/>
          <w:szCs w:val="20"/>
          <w:color w:val="auto"/>
        </w:rPr>
      </w:pPr>
      <w:r>
        <w:rPr>
          <w:rFonts w:ascii="Arial" w:cs="Arial" w:eastAsia="Arial" w:hAnsi="Arial"/>
          <w:sz w:val="18"/>
          <w:szCs w:val="18"/>
          <w:b w:val="1"/>
          <w:bCs w:val="1"/>
          <w:i w:val="1"/>
          <w:iCs w:val="1"/>
          <w:color w:val="auto"/>
        </w:rPr>
        <w:t>Fee Income</w:t>
      </w:r>
    </w:p>
    <w:p>
      <w:pPr>
        <w:spacing w:after="0" w:line="225"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25"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We may, from time to time, issue stock options or restricted stock, under the Equity Incentive Plan, to officers and employees for services rendered to us. We follow Accounting Standards Codification 718, Compensation — Stock Compensation, a method by which the fair value of options or restricted stock is determined and expensed.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to Shareholders</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distributable taxable income and after-tax free cash flow from our Asset Manager Affiliates.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quarterly distributions declared by us since the most recent completed calendar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Declaration</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Record</w:t>
            </w:r>
          </w:p>
        </w:tc>
        <w:tc>
          <w:tcPr>
            <w:tcW w:w="1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Distribution</w:t>
            </w:r>
          </w:p>
        </w:tc>
        <w:tc>
          <w:tcPr>
            <w:tcW w:w="1360" w:type="dxa"/>
            <w:vAlign w:val="bottom"/>
            <w:gridSpan w:val="2"/>
          </w:tcPr>
          <w:p>
            <w:pPr>
              <w:ind w:left="460"/>
              <w:spacing w:after="0"/>
              <w:rPr>
                <w:sz w:val="20"/>
                <w:szCs w:val="20"/>
                <w:color w:val="auto"/>
              </w:rPr>
            </w:pPr>
            <w:r>
              <w:rPr>
                <w:rFonts w:ascii="Arial" w:cs="Arial" w:eastAsia="Arial" w:hAnsi="Arial"/>
                <w:sz w:val="18"/>
                <w:szCs w:val="18"/>
                <w:b w:val="1"/>
                <w:bCs w:val="1"/>
                <w:color w:val="auto"/>
              </w:rPr>
              <w:t>Date</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Date</w:t>
            </w:r>
          </w:p>
        </w:tc>
        <w:tc>
          <w:tcPr>
            <w:tcW w:w="3560" w:type="dxa"/>
            <w:vAlign w:val="bottom"/>
            <w:gridSpan w:val="2"/>
          </w:tcPr>
          <w:p>
            <w:pPr>
              <w:ind w:left="30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1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0.21</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3/24/2015</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4/6/2015</w:t>
            </w:r>
          </w:p>
        </w:tc>
        <w:tc>
          <w:tcPr>
            <w:tcW w:w="1280" w:type="dxa"/>
            <w:vAlign w:val="bottom"/>
          </w:tcPr>
          <w:p>
            <w:pPr>
              <w:jc w:val="right"/>
              <w:spacing w:after="0"/>
              <w:rPr>
                <w:sz w:val="20"/>
                <w:szCs w:val="20"/>
                <w:color w:val="auto"/>
              </w:rPr>
            </w:pPr>
            <w:r>
              <w:rPr>
                <w:rFonts w:ascii="Arial" w:cs="Arial" w:eastAsia="Arial" w:hAnsi="Arial"/>
                <w:sz w:val="18"/>
                <w:szCs w:val="18"/>
                <w:color w:val="auto"/>
              </w:rPr>
              <w:t>4/27/2015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declared in 2015</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12/17/2014</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12/29/2014</w:t>
            </w:r>
          </w:p>
        </w:tc>
        <w:tc>
          <w:tcPr>
            <w:tcW w:w="1280" w:type="dxa"/>
            <w:vAlign w:val="bottom"/>
          </w:tcPr>
          <w:p>
            <w:pPr>
              <w:jc w:val="right"/>
              <w:spacing w:after="0"/>
              <w:rPr>
                <w:sz w:val="20"/>
                <w:szCs w:val="20"/>
                <w:color w:val="auto"/>
              </w:rPr>
            </w:pPr>
            <w:r>
              <w:rPr>
                <w:rFonts w:ascii="Arial" w:cs="Arial" w:eastAsia="Arial" w:hAnsi="Arial"/>
                <w:sz w:val="18"/>
                <w:szCs w:val="18"/>
                <w:color w:val="auto"/>
              </w:rPr>
              <w:t>1/29/2015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9/19/2014</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10/14/2014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10/29/2014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6/20/2014</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7/3/2014</w:t>
            </w:r>
          </w:p>
        </w:tc>
        <w:tc>
          <w:tcPr>
            <w:tcW w:w="1280" w:type="dxa"/>
            <w:vAlign w:val="bottom"/>
          </w:tcPr>
          <w:p>
            <w:pPr>
              <w:jc w:val="right"/>
              <w:spacing w:after="0"/>
              <w:rPr>
                <w:sz w:val="20"/>
                <w:szCs w:val="20"/>
                <w:color w:val="auto"/>
              </w:rPr>
            </w:pPr>
            <w:r>
              <w:rPr>
                <w:rFonts w:ascii="Arial" w:cs="Arial" w:eastAsia="Arial" w:hAnsi="Arial"/>
                <w:sz w:val="18"/>
                <w:szCs w:val="18"/>
                <w:color w:val="auto"/>
              </w:rPr>
              <w:t>7/25/2014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3/21/2014</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4/4/2014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4/25/2014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2014</w:t>
            </w:r>
          </w:p>
        </w:tc>
        <w:tc>
          <w:tcPr>
            <w:tcW w:w="10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2013:</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12/13/2013</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12/27/2013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1/27/2014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9/13/2013</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10/8/2013</w:t>
            </w:r>
          </w:p>
        </w:tc>
        <w:tc>
          <w:tcPr>
            <w:tcW w:w="1280" w:type="dxa"/>
            <w:vAlign w:val="bottom"/>
          </w:tcPr>
          <w:p>
            <w:pPr>
              <w:jc w:val="right"/>
              <w:spacing w:after="0"/>
              <w:rPr>
                <w:sz w:val="20"/>
                <w:szCs w:val="20"/>
                <w:color w:val="auto"/>
              </w:rPr>
            </w:pPr>
            <w:r>
              <w:rPr>
                <w:rFonts w:ascii="Arial" w:cs="Arial" w:eastAsia="Arial" w:hAnsi="Arial"/>
                <w:sz w:val="18"/>
                <w:szCs w:val="18"/>
                <w:color w:val="auto"/>
              </w:rPr>
              <w:t>10/29/2013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0.28</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6/17/2013</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7/5/2013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7/26/2013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0.28</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3/15/2013</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4/5/2013</w:t>
            </w:r>
          </w:p>
        </w:tc>
        <w:tc>
          <w:tcPr>
            <w:tcW w:w="1280" w:type="dxa"/>
            <w:vAlign w:val="bottom"/>
          </w:tcPr>
          <w:p>
            <w:pPr>
              <w:jc w:val="right"/>
              <w:spacing w:after="0"/>
              <w:rPr>
                <w:sz w:val="20"/>
                <w:szCs w:val="20"/>
                <w:color w:val="auto"/>
              </w:rPr>
            </w:pPr>
            <w:r>
              <w:rPr>
                <w:rFonts w:ascii="Arial" w:cs="Arial" w:eastAsia="Arial" w:hAnsi="Arial"/>
                <w:sz w:val="18"/>
                <w:szCs w:val="18"/>
                <w:color w:val="auto"/>
              </w:rPr>
              <w:t>4/26/2013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declared in 2013</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vMerge w:val="restart"/>
          </w:tcPr>
          <w:p>
            <w:pPr>
              <w:ind w:left="46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w w:val="98"/>
              </w:rPr>
              <w:t>The following table depicts the composition of shareholder distributions on a per share basis:</w:t>
            </w: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320" w:type="dxa"/>
            <w:vAlign w:val="bottom"/>
          </w:tcPr>
          <w:p>
            <w:pPr>
              <w:spacing w:after="0"/>
              <w:rPr>
                <w:sz w:val="24"/>
                <w:szCs w:val="24"/>
                <w:color w:val="auto"/>
              </w:rPr>
            </w:pPr>
          </w:p>
        </w:tc>
        <w:tc>
          <w:tcPr>
            <w:tcW w:w="2440" w:type="dxa"/>
            <w:vAlign w:val="bottom"/>
            <w:tcBorders>
              <w:bottom w:val="single" w:sz="8" w:color="auto"/>
            </w:tcBorders>
            <w:gridSpan w:val="4"/>
          </w:tcPr>
          <w:p>
            <w:pPr>
              <w:ind w:left="440"/>
              <w:spacing w:after="0"/>
              <w:rPr>
                <w:sz w:val="20"/>
                <w:szCs w:val="20"/>
                <w:color w:val="auto"/>
              </w:rPr>
            </w:pPr>
            <w:r>
              <w:rPr>
                <w:rFonts w:ascii="Arial" w:cs="Arial" w:eastAsia="Arial" w:hAnsi="Arial"/>
                <w:sz w:val="18"/>
                <w:szCs w:val="18"/>
                <w:b w:val="1"/>
                <w:bCs w:val="1"/>
                <w:color w:val="auto"/>
                <w:w w:val="93"/>
              </w:rPr>
              <w:t>Quarter-ended March 31,</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7"/>
              </w:rPr>
              <w:t>2015 ¹</w:t>
            </w: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2014¹</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960" w:type="dxa"/>
            <w:vAlign w:val="bottom"/>
            <w:shd w:val="clear" w:color="auto" w:fill="CCEEFF"/>
          </w:tcPr>
          <w:p>
            <w:pPr>
              <w:jc w:val="right"/>
              <w:ind w:right="799"/>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Tax Accounting Difference on CLO Equity Investments</w:t>
            </w:r>
          </w:p>
        </w:tc>
        <w:tc>
          <w:tcPr>
            <w:tcW w:w="96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9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Taxable distributable income</w:t>
            </w: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w w:val="95"/>
              </w:rPr>
              <w:t>Cash distributed to the Company by Asset Manager Affiliates in excess of their taxable earnings</w:t>
            </w:r>
          </w:p>
        </w:tc>
        <w:tc>
          <w:tcPr>
            <w:tcW w:w="96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0.03</w:t>
            </w:r>
          </w:p>
        </w:tc>
        <w:tc>
          <w:tcPr>
            <w:tcW w:w="9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distribution²</w:t>
            </w: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Distributed</w:t>
            </w:r>
          </w:p>
        </w:tc>
        <w:tc>
          <w:tcPr>
            <w:tcW w:w="960" w:type="dxa"/>
            <w:vAlign w:val="bottom"/>
          </w:tcPr>
          <w:p>
            <w:pPr>
              <w:jc w:val="right"/>
              <w:ind w:right="799"/>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0.21</w:t>
            </w:r>
          </w:p>
        </w:tc>
        <w:tc>
          <w:tcPr>
            <w:tcW w:w="900" w:type="dxa"/>
            <w:vAlign w:val="bottom"/>
          </w:tcPr>
          <w:p>
            <w:pPr>
              <w:jc w:val="right"/>
              <w:ind w:right="741"/>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Difference</w:t>
            </w:r>
          </w:p>
        </w:tc>
        <w:tc>
          <w:tcPr>
            <w:tcW w:w="96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(0.02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Table may not foot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500" w:hanging="492"/>
        <w:spacing w:after="0" w:line="252"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"Available for distribution" financial measure is a non-GAAP financial measure that is calculated by including the cash distributed to the Company by the Asset Manager Affiliates in excess of their taxable earnings to the Company's taxable distributable income, which is the most directly comparable GAAP financial measure. In order to reconcile the "Available for distribution financial measure to taxable distributable income per share in accordance with GAAP, the $0.03 per share of cash distributed to the Company by the Asset Manager Affiliates in excess of their taxable earnings is subtracted from the "Available for distribution" financial measure. The Company's management believes that the presentation of the non-GAAP "Available for distribution" financial measure provides useful information to investors because it shows the components of the Company’s resources available for distribution.</w:t>
      </w:r>
    </w:p>
    <w:p>
      <w:pPr>
        <w:spacing w:after="0" w:line="18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188"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Our investment income is affected by fluctuations in various interest rates, including LIBOR and prime rates. As of March 31, 2015, approximately 97.5% of our Debt Securities Portfolio were either fixed rate or floating rate with a spread to an interest rate index such as LIBOR or the prime rate. Most of these floating rate loans contain LIBOR floors ranging between .75% and 3.0%. We generally expect that future portfolio investments will predominately be floating rate investments. As of March 31, 2015, we had $227.4 million of borrowings outstanding at a weighted average rate of 4.43%.</w:t>
      </w:r>
    </w:p>
    <w:p>
      <w:pPr>
        <w:spacing w:after="0" w:line="15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Convertible Notes or 7.375% Notes Due 2019 would remain the same at 8.75% and 7.375%, respectively, given that this debt is at a fixed rate. The Notes issued by KCAP Senior Funding are floating rate based upon a LIBOR index plus a spread, which serves as a floor should LIBOR decrease to zero. Accordingly, our interest costs associated with this debt will would fluctuate with changes in LIBOR.</w:t>
      </w:r>
    </w:p>
    <w:p>
      <w:pPr>
        <w:spacing w:after="0" w:line="18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8" w:name="page79"/>
    <w:bookmarkEnd w:id="78"/>
    <w:p>
      <w:pPr>
        <w:ind w:firstLine="324"/>
        <w:spacing w:after="0" w:line="264"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March 31, 2015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20" w:type="dxa"/>
            <w:vAlign w:val="bottom"/>
            <w:gridSpan w:val="12"/>
          </w:tcPr>
          <w:p>
            <w:pPr>
              <w:ind w:left="700"/>
              <w:spacing w:after="0"/>
              <w:rPr>
                <w:sz w:val="20"/>
                <w:szCs w:val="20"/>
                <w:color w:val="auto"/>
              </w:rPr>
            </w:pPr>
            <w:r>
              <w:rPr>
                <w:rFonts w:ascii="Arial" w:cs="Arial" w:eastAsia="Arial" w:hAnsi="Arial"/>
                <w:sz w:val="18"/>
                <w:szCs w:val="18"/>
                <w:color w:val="auto"/>
                <w:w w:val="91"/>
              </w:rPr>
              <w:t>Impact on net investment income from a change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91"/>
              </w:rPr>
              <w:t>interest rates at:</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Increase in interest rate</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(830,689)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1,061,355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Decrease in interest rate</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318,427</w:t>
            </w:r>
          </w:p>
        </w:tc>
        <w:tc>
          <w:tcPr>
            <w:tcW w:w="3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318,427</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318,427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As shown above, net investment income assuming a 1% increase in interest rates would decrease by approximately $831,000 on an annualized basis, reflecting the impact to investments in our portfolio that are either fixed rate or which have embedded floors that would be unaffected by a 1% change in the underlying interest rate while our interest expense would be increasing. However, if the increase in rates was more significant, such as 2% or 3%, the net effect on net investment income would be an increase of approximately $99,000 and $1.1 million, respectively. Since LIBOR underlying certain investments, as well as certain of our borrowings, is currently very low, it is unlikely that the underlying rate will decrease by 1% or 2% or even 3%. If the underlying rate decreased to 0%, it would result in approximately a $318,000 increase in net investment income.</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hold any derivative financial instruments for hedging purposes as of March 31, 2015.</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78"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Company’s Board of Directors. Each quarter, the independent valuation firm will perform third party valuations on the Company’s material investments in illiquid securities such that they are reviewed at least once during a trailing 12 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9" w:name="page80"/>
    <w:bookmarkEnd w:id="79"/>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as of the end of the period covered by this report.</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As of the filing of this Quarterly Report on Form 10-Q, our management has completed the implementation of our remediation efforts related to the material weaknesses in the Internal Control over financial reporting as reported in our Form 10-K for the period ended December 31, 2014, which included the following:</w:t>
      </w:r>
    </w:p>
    <w:p>
      <w:pPr>
        <w:spacing w:after="0" w:line="18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Engaged an internationally recognized accounting and tax consulting firm to assist and advise management on tax matters;</w:t>
      </w:r>
    </w:p>
    <w:p>
      <w:pPr>
        <w:spacing w:after="0" w:line="22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Implemented new policies and procedures to highlight the identification, resolution and proper disposition of relevant tax issues that may arise in the context of the Company’s business;</w:t>
      </w:r>
    </w:p>
    <w:p>
      <w:pPr>
        <w:spacing w:after="0" w:line="17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Management has completed its remediation efforts as of the date of this filing for these material weaknesses. Accordingly, management deems these material weaknesses remediated as of the date of the filing of this Quarterly Report on Form 10-Q.</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not currently a party to any material legal proceedings.</w:t>
      </w:r>
    </w:p>
    <w:p>
      <w:pPr>
        <w:spacing w:after="0" w:line="22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Part I, “Item 1A. Risk Factors” in our Annual Report on Form 10-K for the year ended December 31, 2014.</w:t>
      </w:r>
    </w:p>
    <w:p>
      <w:pPr>
        <w:spacing w:after="0" w:line="166"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While we did not engage in any sales of unregistered securities during the three months ended March 31, 2015, we issued a total of 86,684 shares of common stock under our dividend reinvestment plan (“DRIP”). This issuance was not subject to the registration requirements of the Securities Act of 1933. For the three months ended March 31, 2015, the aggregate value of the shares of our common stock issued under our DRIP was approximately $579,912.</w:t>
      </w:r>
    </w:p>
    <w:p>
      <w:pPr>
        <w:spacing w:after="0" w:line="143"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entered into revised employment agreements with:</w:t>
      </w:r>
    </w:p>
    <w:p>
      <w:pPr>
        <w:spacing w:after="0" w:line="22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Dayl W. Pearson, President and Chief Executive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Edward U. Gilpin, Chief Financial Officer, Treasurer and Secretary;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 Jon Corless, Chief Investment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Jill Simeone, General Counsel and Chief Compliance Officer;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Daniel P. Gilligan, Vice President, Director of Portfolio Administration.</w:t>
      </w:r>
    </w:p>
    <w:p>
      <w:pPr>
        <w:spacing w:after="0" w:line="225"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The employment agreements are effective as of May 5, 2015 and supersede and replace each executive’s previous employment agreement. The employment agreements do not change the existing annual base salaries or target bonus opportunities of the executives disclosed in our definitive proxy statement on Schedule 14A dated April 7, 2015.</w:t>
      </w:r>
    </w:p>
    <w:p>
      <w:pPr>
        <w:spacing w:after="0" w:line="18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Under the terms of each employment agreement, in the event of an executive’s termination of employment by the Company without cause (as defined in the employment agreement), by the executive for good reason (as defined in the employment agreement) (a “for cause” or “good reason” termination is referred to herein as a “covered termination”), or due to the executive’s death or disability, the executive will, for 12 months following termination (the “severance period”), (i) continue to be paid his or her annual base salary, and (ii) receive a monthly payment equal to the after-tax amount of executive’s monthly premium for COBRA continuation coverage under the Company’s health benefit plan. In addition, the executive will receive a one-time payment equal to the prorated amount of executive’s average annual bonus for the three calendar years preceding termination.</w:t>
      </w:r>
    </w:p>
    <w:p>
      <w:pPr>
        <w:spacing w:after="0" w:line="17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If the executive incurs a covered termination within 24 months following a change in control of the Company (as defined in the employment agreement), the executive will receive the above-described severance payments, except that the “severance period” will be 24 months instead of 12 months, and the executive will be fully vested in all outstanding equity and equity-based awards.</w:t>
      </w:r>
    </w:p>
    <w:p>
      <w:pPr>
        <w:spacing w:after="0" w:line="18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employment agreements contain a provision for the protection of the Company’s confidential information, and provide for a one-year non-compete period and a two-year non-solicit period following the executive’s termination of employment for any reason. In the event of a covered termination, the executive may request that his or her one-year non-compete period be shortened, and if the Company grants such request, the Company will have no further obligation to make the salary continuation and COBRA premium severance payments.</w:t>
      </w:r>
    </w:p>
    <w:p>
      <w:pPr>
        <w:spacing w:after="0" w:line="18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foregoing summary of the employment agreements is qualified in its entirety by reference to the form of executive employment agreement which is attached as Exhibit 10.1 to this Quarterly Report on Form 10-Q and is incorporated herein by reference.</w:t>
      </w:r>
    </w:p>
    <w:p>
      <w:pPr>
        <w:spacing w:after="0" w:line="166"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Reference is made to the Exhibit List filed as a part of this report beginning on page E-1. Each of such exhibits is incorporated by reference herein.</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707"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7540" w:type="dxa"/>
            <w:vAlign w:val="bottom"/>
            <w:gridSpan w:val="2"/>
          </w:tcPr>
          <w:p>
            <w:pPr>
              <w:ind w:left="2520"/>
              <w:spacing w:after="0"/>
              <w:rPr>
                <w:sz w:val="20"/>
                <w:szCs w:val="20"/>
                <w:color w:val="auto"/>
              </w:rPr>
            </w:pPr>
            <w:r>
              <w:rPr>
                <w:rFonts w:ascii="Arial" w:cs="Arial" w:eastAsia="Arial" w:hAnsi="Arial"/>
                <w:sz w:val="18"/>
                <w:szCs w:val="18"/>
                <w:color w:val="auto"/>
              </w:rPr>
              <w:t>KCAP F</w:t>
            </w:r>
            <w:r>
              <w:rPr>
                <w:rFonts w:ascii="Arial" w:cs="Arial" w:eastAsia="Arial" w:hAnsi="Arial"/>
                <w:sz w:val="12"/>
                <w:szCs w:val="12"/>
                <w:color w:val="auto"/>
              </w:rPr>
              <w:t>INANCIAL</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tc>
      </w:tr>
      <w:tr>
        <w:trPr>
          <w:trHeight w:val="432"/>
        </w:trPr>
        <w:tc>
          <w:tcPr>
            <w:tcW w:w="3880" w:type="dxa"/>
            <w:vAlign w:val="bottom"/>
          </w:tcPr>
          <w:p>
            <w:pPr>
              <w:spacing w:after="0"/>
              <w:rPr>
                <w:sz w:val="20"/>
                <w:szCs w:val="20"/>
                <w:color w:val="auto"/>
              </w:rPr>
            </w:pPr>
            <w:r>
              <w:rPr>
                <w:rFonts w:ascii="Arial" w:cs="Arial" w:eastAsia="Arial" w:hAnsi="Arial"/>
                <w:sz w:val="18"/>
                <w:szCs w:val="18"/>
                <w:color w:val="auto"/>
              </w:rPr>
              <w:t>Date: May 6, 2015</w:t>
            </w:r>
          </w:p>
        </w:tc>
        <w:tc>
          <w:tcPr>
            <w:tcW w:w="2980" w:type="dxa"/>
            <w:vAlign w:val="bottom"/>
          </w:tcPr>
          <w:p>
            <w:pPr>
              <w:ind w:left="252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Dayl W. Pearson</w:t>
            </w:r>
          </w:p>
        </w:tc>
      </w:tr>
      <w:tr>
        <w:trPr>
          <w:trHeight w:val="195"/>
        </w:trPr>
        <w:tc>
          <w:tcPr>
            <w:tcW w:w="38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88"/>
              </w:rPr>
              <w:t>Dayl W. Pearson</w:t>
            </w:r>
          </w:p>
        </w:tc>
      </w:tr>
      <w:tr>
        <w:trPr>
          <w:trHeight w:val="216"/>
        </w:trPr>
        <w:tc>
          <w:tcPr>
            <w:tcW w:w="3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38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3880" w:type="dxa"/>
            <w:vAlign w:val="bottom"/>
          </w:tcPr>
          <w:p>
            <w:pPr>
              <w:spacing w:after="0"/>
              <w:rPr>
                <w:sz w:val="20"/>
                <w:szCs w:val="20"/>
                <w:color w:val="auto"/>
              </w:rPr>
            </w:pPr>
            <w:r>
              <w:rPr>
                <w:rFonts w:ascii="Arial" w:cs="Arial" w:eastAsia="Arial" w:hAnsi="Arial"/>
                <w:sz w:val="18"/>
                <w:szCs w:val="18"/>
                <w:color w:val="auto"/>
              </w:rPr>
              <w:t>Date: May 6, 2015</w:t>
            </w:r>
          </w:p>
        </w:tc>
        <w:tc>
          <w:tcPr>
            <w:tcW w:w="2980" w:type="dxa"/>
            <w:vAlign w:val="bottom"/>
          </w:tcPr>
          <w:p>
            <w:pPr>
              <w:ind w:left="2520"/>
              <w:spacing w:after="0"/>
              <w:rPr>
                <w:sz w:val="20"/>
                <w:szCs w:val="20"/>
                <w:color w:val="auto"/>
              </w:rPr>
            </w:pPr>
            <w:r>
              <w:rPr>
                <w:rFonts w:ascii="Arial" w:cs="Arial" w:eastAsia="Arial" w:hAnsi="Arial"/>
                <w:sz w:val="18"/>
                <w:szCs w:val="18"/>
                <w:color w:val="auto"/>
              </w:rPr>
              <w:t>By</w:t>
            </w: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/s/ Edward U. Gilpin</w:t>
            </w:r>
          </w:p>
        </w:tc>
      </w:tr>
    </w:tbl>
    <w:p>
      <w:pPr>
        <w:jc w:val="center"/>
        <w:ind w:left="6860"/>
        <w:spacing w:after="0"/>
        <w:rPr>
          <w:sz w:val="20"/>
          <w:szCs w:val="20"/>
          <w:color w:val="auto"/>
        </w:rPr>
      </w:pPr>
      <w:r>
        <w:rPr>
          <w:rFonts w:ascii="Arial" w:cs="Arial" w:eastAsia="Arial" w:hAnsi="Arial"/>
          <w:sz w:val="18"/>
          <w:szCs w:val="18"/>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60" w:type="dxa"/>
            <w:vAlign w:val="bottom"/>
          </w:tcPr>
          <w:p>
            <w:pPr>
              <w:spacing w:after="0"/>
              <w:rPr>
                <w:sz w:val="24"/>
                <w:szCs w:val="24"/>
                <w:color w:val="auto"/>
              </w:rPr>
            </w:pPr>
          </w:p>
        </w:tc>
      </w:tr>
      <w:tr>
        <w:trPr>
          <w:trHeight w:val="234"/>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60" w:type="dxa"/>
            <w:vAlign w:val="bottom"/>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426"/>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Executive Employment Agreement.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5"/>
              </w:rPr>
              <w:t>Certification of Chief Executive Officer Pursuant to Rule 13a-14(a) under the Securities Exchange Act of 1934, as adopted pursuant to</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5"/>
              </w:rPr>
              <w:t>Certification of Chief Financial Officer Pursuant to Rule 13a-14(a) under the Securities Exchange Act of 1934, as adopted pursuant to</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Certification of Chief Executive Officer Pursuant to 18 U. S. C. 1350, as adopted pursuant to Section 906 of the Sarbanes-Oxley Act of</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2002.</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Certification of Chief Financial Officer Pursuant to 18 U. S. C.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137160</wp:posOffset>
            </wp:positionV>
            <wp:extent cx="18097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Submitted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EXECUTIVE EMPLOYMENT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5,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letter will confirm the terms of your employment with KCAP Financial, Inc. (the “Company”) under the terms and conditions that follow. This letter shall be effective as of May 5, 2015 (the “Effective Date”), and supersedes in its entirety any prior verbal or written agreement between you and the Company.</w:t>
      </w:r>
    </w:p>
    <w:p>
      <w:pPr>
        <w:spacing w:after="0" w:line="181" w:lineRule="exact"/>
        <w:rPr>
          <w:sz w:val="20"/>
          <w:szCs w:val="20"/>
          <w:color w:val="auto"/>
        </w:rPr>
      </w:pPr>
    </w:p>
    <w:p>
      <w:pPr>
        <w:ind w:left="1340" w:hanging="684"/>
        <w:spacing w:after="0"/>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Term, Position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76" w:lineRule="auto"/>
        <w:tabs>
          <w:tab w:leader="none" w:pos="2171" w:val="left"/>
        </w:tabs>
        <w:numPr>
          <w:ilvl w:val="1"/>
          <w:numId w:val="49"/>
        </w:numPr>
        <w:rPr>
          <w:rFonts w:ascii="Arial" w:cs="Arial" w:eastAsia="Arial" w:hAnsi="Arial"/>
          <w:sz w:val="17"/>
          <w:szCs w:val="17"/>
          <w:color w:val="auto"/>
        </w:rPr>
      </w:pPr>
      <w:r>
        <w:rPr>
          <w:rFonts w:ascii="Arial" w:cs="Arial" w:eastAsia="Arial" w:hAnsi="Arial"/>
          <w:sz w:val="17"/>
          <w:szCs w:val="17"/>
          <w:color w:val="auto"/>
        </w:rPr>
        <w:t>Subject to earlier termination as hereafter provided, your employment shall continue through December 31, 2015, and will be automatically extended for one year on January 1, 2016, and on each succeeding January 1 unless previously terminated by nonrenewal in writing by you or an expressly authorized representative of the Company, in either case, upon not less than thirty (30) days’ written notice prior to the end of the then current year. The term of this agreement, as from time to time extended, is hereafter referred to as “the term of this agreement” or “the term hereof”. You will be employed by the Company as its [________________]. You will report to the [__________] of the Company.</w:t>
      </w:r>
    </w:p>
    <w:p>
      <w:pPr>
        <w:spacing w:after="0" w:line="172" w:lineRule="exact"/>
        <w:rPr>
          <w:rFonts w:ascii="Arial" w:cs="Arial" w:eastAsia="Arial" w:hAnsi="Arial"/>
          <w:sz w:val="17"/>
          <w:szCs w:val="17"/>
          <w:color w:val="auto"/>
        </w:rPr>
      </w:pPr>
    </w:p>
    <w:p>
      <w:pPr>
        <w:jc w:val="both"/>
        <w:ind w:firstLine="1305"/>
        <w:spacing w:after="0" w:line="259" w:lineRule="auto"/>
        <w:tabs>
          <w:tab w:leader="none" w:pos="2073" w:val="left"/>
        </w:tabs>
        <w:numPr>
          <w:ilvl w:val="1"/>
          <w:numId w:val="49"/>
        </w:numPr>
        <w:rPr>
          <w:rFonts w:ascii="Arial" w:cs="Arial" w:eastAsia="Arial" w:hAnsi="Arial"/>
          <w:sz w:val="18"/>
          <w:szCs w:val="18"/>
          <w:color w:val="auto"/>
        </w:rPr>
      </w:pPr>
      <w:r>
        <w:rPr>
          <w:rFonts w:ascii="Arial" w:cs="Arial" w:eastAsia="Arial" w:hAnsi="Arial"/>
          <w:sz w:val="18"/>
          <w:szCs w:val="18"/>
          <w:color w:val="auto"/>
        </w:rPr>
        <w:t>You agree to perform the duties of your position as [________________] and such other duties as may reasonably be assigned to you from time to time. You also agree that you will (i) devote your business time, best efforts, business judgment, skill and knowledge to the advancement of the business and interests of the Company and its Affiliates, and (ii) comply with all Company Codes of Ethics, policies, procedures and handbooks, including without limitation any policies or procedures relating to securities laws compliance.</w:t>
      </w:r>
    </w:p>
    <w:p>
      <w:pPr>
        <w:spacing w:after="0" w:line="186" w:lineRule="exact"/>
        <w:rPr>
          <w:rFonts w:ascii="Arial" w:cs="Arial" w:eastAsia="Arial" w:hAnsi="Arial"/>
          <w:sz w:val="18"/>
          <w:szCs w:val="18"/>
          <w:color w:val="auto"/>
        </w:rPr>
      </w:pPr>
    </w:p>
    <w:p>
      <w:pPr>
        <w:jc w:val="both"/>
        <w:ind w:firstLine="1305"/>
        <w:spacing w:after="0" w:line="270" w:lineRule="auto"/>
        <w:tabs>
          <w:tab w:leader="none" w:pos="2144" w:val="left"/>
        </w:tabs>
        <w:numPr>
          <w:ilvl w:val="1"/>
          <w:numId w:val="49"/>
        </w:numPr>
        <w:rPr>
          <w:rFonts w:ascii="Arial" w:cs="Arial" w:eastAsia="Arial" w:hAnsi="Arial"/>
          <w:sz w:val="17"/>
          <w:szCs w:val="17"/>
          <w:color w:val="auto"/>
        </w:rPr>
      </w:pPr>
      <w:r>
        <w:rPr>
          <w:rFonts w:ascii="Arial" w:cs="Arial" w:eastAsia="Arial" w:hAnsi="Arial"/>
          <w:sz w:val="17"/>
          <w:szCs w:val="17"/>
          <w:color w:val="auto"/>
        </w:rPr>
        <w:t>From time to time, you may be employed by one or more Affiliates of the Company in a similar capacity to your employment with the Company. The terms and conditions of your employment by such Affiliates will be the same as the terms and conditions of your employment with the Company, as set forth herein (ie, not additional). In that regard, that portion of the compensation and benefits that are allocable to your services to an Affiliate shall be the responsibility of the Affiliate, though we note the Company intends to provide benefits provided to employees generally on a centralized basis among its Affiliates. To the extent that you are employed by an Affiliate, references in this agreement to the Company shall mean the Affiliate, where appropriate. To effectuate such employment with any Affiliate, the Affiliate will provide to you a letter confirming your employment status. The allocation of your working time between duties for the Company and any of the Affiliates may be adjusted from time to time by the Company as it determines appropriate. As a condition to your employment with the Company and the Affiliates, it is required that you keep complete and accurate records of the time you spend performing your duties under this agreement and the nature thereof.</w:t>
      </w:r>
    </w:p>
    <w:p>
      <w:pPr>
        <w:spacing w:after="0" w:line="181" w:lineRule="exact"/>
        <w:rPr>
          <w:rFonts w:ascii="Arial" w:cs="Arial" w:eastAsia="Arial" w:hAnsi="Arial"/>
          <w:sz w:val="17"/>
          <w:szCs w:val="17"/>
          <w:color w:val="auto"/>
        </w:rPr>
      </w:pPr>
    </w:p>
    <w:p>
      <w:pPr>
        <w:ind w:firstLine="656"/>
        <w:spacing w:after="0" w:line="277" w:lineRule="auto"/>
        <w:tabs>
          <w:tab w:leader="none" w:pos="15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During your employment, as compensation for all services performed by you for the Company and its Affiliates, the Company will provide you the following pay and benefits: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59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Annual Base Salary</w:t>
      </w:r>
      <w:r>
        <w:rPr>
          <w:rFonts w:ascii="Arial" w:cs="Arial" w:eastAsia="Arial" w:hAnsi="Arial"/>
          <w:sz w:val="18"/>
          <w:szCs w:val="18"/>
          <w:color w:val="auto"/>
        </w:rPr>
        <w:t>. The Company will pay you an annual base salary at the rate of [______________] Dollars ($[___________]) per year, payable in accordance with the regular payroll practices of the Company and subject to increase from time to time by the Board of Directors of the Company (the “Board”) in its sole discretion.</w:t>
      </w:r>
    </w:p>
    <w:p>
      <w:pPr>
        <w:spacing w:after="0" w:line="181" w:lineRule="exact"/>
        <w:rPr>
          <w:rFonts w:ascii="Arial" w:cs="Arial" w:eastAsia="Arial" w:hAnsi="Arial"/>
          <w:sz w:val="18"/>
          <w:szCs w:val="18"/>
          <w:color w:val="auto"/>
        </w:rPr>
      </w:pPr>
    </w:p>
    <w:p>
      <w:pPr>
        <w:jc w:val="both"/>
        <w:ind w:firstLine="1305"/>
        <w:spacing w:after="0" w:line="289" w:lineRule="auto"/>
        <w:tabs>
          <w:tab w:leader="none" w:pos="2100"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Annual Bonus Compensation</w:t>
      </w:r>
      <w:r>
        <w:rPr>
          <w:rFonts w:ascii="Arial" w:cs="Arial" w:eastAsia="Arial" w:hAnsi="Arial"/>
          <w:sz w:val="16"/>
          <w:szCs w:val="16"/>
          <w:color w:val="auto"/>
        </w:rPr>
        <w:t>. During each calendar year during the term of this Agreement, you will be eligible to receive such annual bonus as may be determined in the discretion of the Board; provided, however, it is contemplated that the target amount for each such annual discretionary bonus (assuming that all performance targets have been satisfied) will be [________________] Dollars ($[_______]). Annual discretionary bonus awards will be determined by the Board in its sole discretion, based on your performance and that of the Company against goals established annually by the Board (and consistent with those set forth in the Company’s annual budget and/or strategic plan) and will be paid in the succeeding calendar year on or before January 31; provided, however, that if such annual bonus is intended to constitute performance-based compensation within the meaning of, and for purposes of, Section 162(m) of the Code, then such annual bonus will be payable only to the extent the applicable performance criteria have been satisfied as certified by a committee of the Board as required under Section 162(m) of the Code. The Board reserves the right in its sole discretion to reduce or eliminate such bonus based on the financial circumstances of the Company in addition to your performance against these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4" w:name="page85"/>
    <w:bookmarkEnd w:id="84"/>
    <w:p>
      <w:pPr>
        <w:jc w:val="both"/>
        <w:ind w:left="-656" w:firstLine="1305"/>
        <w:spacing w:after="0" w:line="259" w:lineRule="auto"/>
        <w:tabs>
          <w:tab w:leader="none" w:pos="1407"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 You shall be eligible for annual discretionary grants of restricted stock of the Company (or similar equity-based compensation). The amount of such grants, if any, shall be subject to the sole discretion of the Board. Such grants shall be subject to the applicable award agreement terms, equity plan terms, and any applicable shareholder agreements and other restrictions and limitations generally applicable to common stock of the Company or equity awards held by Company executives or otherwise imposed by law.</w:t>
      </w:r>
    </w:p>
    <w:p>
      <w:pPr>
        <w:spacing w:after="0" w:line="186" w:lineRule="exact"/>
        <w:rPr>
          <w:rFonts w:ascii="Arial" w:cs="Arial" w:eastAsia="Arial" w:hAnsi="Arial"/>
          <w:sz w:val="18"/>
          <w:szCs w:val="18"/>
          <w:color w:val="auto"/>
        </w:rPr>
      </w:pPr>
    </w:p>
    <w:p>
      <w:pPr>
        <w:jc w:val="both"/>
        <w:ind w:left="-656" w:firstLine="1305"/>
        <w:spacing w:after="0" w:line="259" w:lineRule="auto"/>
        <w:tabs>
          <w:tab w:leader="none" w:pos="1606"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Purchased Equity</w:t>
      </w:r>
      <w:r>
        <w:rPr>
          <w:rFonts w:ascii="Arial" w:cs="Arial" w:eastAsia="Arial" w:hAnsi="Arial"/>
          <w:sz w:val="18"/>
          <w:szCs w:val="18"/>
          <w:color w:val="auto"/>
        </w:rPr>
        <w:t>. Subject to all policies (including any policies implemented by the Company which restrict the ability of officers, directors and other Affiliates to invest in the Company-advised funds), agreements, plans and conditions that are generally applicable to such investments, as determined by the Company, you will have the right, but not the obligation, to purchase equity of Company-advised funds on terms equivalent to those received by other investors.</w:t>
      </w:r>
    </w:p>
    <w:p>
      <w:pPr>
        <w:spacing w:after="0" w:line="186" w:lineRule="exact"/>
        <w:rPr>
          <w:rFonts w:ascii="Arial" w:cs="Arial" w:eastAsia="Arial" w:hAnsi="Arial"/>
          <w:sz w:val="18"/>
          <w:szCs w:val="18"/>
          <w:color w:val="auto"/>
        </w:rPr>
      </w:pPr>
    </w:p>
    <w:p>
      <w:pPr>
        <w:jc w:val="both"/>
        <w:ind w:left="-656" w:firstLine="1305"/>
        <w:spacing w:after="0" w:line="259" w:lineRule="auto"/>
        <w:tabs>
          <w:tab w:leader="none" w:pos="1515"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Participation in Employee Benefit Plans</w:t>
      </w:r>
      <w:r>
        <w:rPr>
          <w:rFonts w:ascii="Arial" w:cs="Arial" w:eastAsia="Arial" w:hAnsi="Arial"/>
          <w:sz w:val="18"/>
          <w:szCs w:val="18"/>
          <w:color w:val="auto"/>
        </w:rPr>
        <w:t>. You will be entitled to participate in all employee benefit plans from time to time in effect for employees of the Company generally (including paid time off and vacation benefits), except to the extent such plans are duplicative of benefits otherwise provided you under this agreement. Your participation will be subject to the terms of the applicable plan documents and generally applicable Company policies.</w:t>
      </w:r>
    </w:p>
    <w:p>
      <w:pPr>
        <w:spacing w:after="0" w:line="186" w:lineRule="exact"/>
        <w:rPr>
          <w:rFonts w:ascii="Arial" w:cs="Arial" w:eastAsia="Arial" w:hAnsi="Arial"/>
          <w:sz w:val="18"/>
          <w:szCs w:val="18"/>
          <w:color w:val="auto"/>
        </w:rPr>
      </w:pPr>
    </w:p>
    <w:p>
      <w:pPr>
        <w:jc w:val="both"/>
        <w:ind w:left="-656" w:firstLine="1305"/>
        <w:spacing w:after="0" w:line="264" w:lineRule="auto"/>
        <w:tabs>
          <w:tab w:leader="none" w:pos="1374"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Reimbursement of Business Expenses</w:t>
      </w:r>
      <w:r>
        <w:rPr>
          <w:rFonts w:ascii="Arial" w:cs="Arial" w:eastAsia="Arial" w:hAnsi="Arial"/>
          <w:sz w:val="18"/>
          <w:szCs w:val="18"/>
          <w:color w:val="auto"/>
        </w:rPr>
        <w:t>. You will be entitled to reimbursement for reasonable business expenses incurred by you in accordance with the Company’s policies. Any such reimbursement of expenses shall be made by the Company upon or as soon as practicable following receipt of supporting documentation reasonably satisfactory to the Company.</w:t>
      </w:r>
    </w:p>
    <w:p>
      <w:pPr>
        <w:spacing w:after="0" w:line="181" w:lineRule="exact"/>
        <w:rPr>
          <w:rFonts w:ascii="Arial" w:cs="Arial" w:eastAsia="Arial" w:hAnsi="Arial"/>
          <w:sz w:val="18"/>
          <w:szCs w:val="18"/>
          <w:color w:val="auto"/>
        </w:rPr>
      </w:pPr>
    </w:p>
    <w:p>
      <w:pPr>
        <w:ind w:left="-656" w:firstLine="1305"/>
        <w:spacing w:after="0" w:line="308" w:lineRule="auto"/>
        <w:tabs>
          <w:tab w:leader="none" w:pos="1782"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In a form to be determined by the Board in its sole discretion, the Company shall provide you with indemnification in your capacity as an officer and/or member of the Board as provided in a separate agreement between you and the Company.</w:t>
      </w:r>
    </w:p>
    <w:p>
      <w:pPr>
        <w:spacing w:after="0" w:line="146" w:lineRule="exact"/>
        <w:rPr>
          <w:rFonts w:ascii="Arial" w:cs="Arial" w:eastAsia="Arial" w:hAnsi="Arial"/>
          <w:sz w:val="17"/>
          <w:szCs w:val="17"/>
          <w:color w:val="auto"/>
        </w:rPr>
      </w:pPr>
    </w:p>
    <w:p>
      <w:pPr>
        <w:ind w:left="684" w:hanging="684"/>
        <w:spacing w:after="0"/>
        <w:tabs>
          <w:tab w:leader="none" w:pos="68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and Restricted Activities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5"/>
        <w:spacing w:after="0" w:line="255" w:lineRule="auto"/>
        <w:tabs>
          <w:tab w:leader="none" w:pos="1447"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During the course of your employment with the Company or its Affiliates, you will learn of and have access to Confidential Information, and you may develop Confidential Information on behalf of the Company or its Affiliates. You agree that you will not use or disclose to any Person (except as required by applicable law or for the proper performance of your regular duties and responsibilities for the Company) any Confidential Information obtained by you incident to your employment or any other association with the Company or any of its Affiliates, whether prior or subsequent to the Effective Date. You understand that this restriction shall continue to apply after your employment terminates, regardless of the reason for such termination.</w:t>
      </w:r>
    </w:p>
    <w:p>
      <w:pPr>
        <w:spacing w:after="0" w:line="193" w:lineRule="exact"/>
        <w:rPr>
          <w:rFonts w:ascii="Arial" w:cs="Arial" w:eastAsia="Arial" w:hAnsi="Arial"/>
          <w:sz w:val="18"/>
          <w:szCs w:val="18"/>
          <w:color w:val="auto"/>
        </w:rPr>
      </w:pPr>
    </w:p>
    <w:p>
      <w:pPr>
        <w:jc w:val="both"/>
        <w:ind w:left="-656" w:firstLine="1305"/>
        <w:spacing w:after="0" w:line="273" w:lineRule="auto"/>
        <w:tabs>
          <w:tab w:leader="none" w:pos="1633"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Protection of Documents</w:t>
      </w:r>
      <w:r>
        <w:rPr>
          <w:rFonts w:ascii="Arial" w:cs="Arial" w:eastAsia="Arial" w:hAnsi="Arial"/>
          <w:sz w:val="17"/>
          <w:szCs w:val="17"/>
          <w:color w:val="auto"/>
        </w:rPr>
        <w:t>. All documents, records and files, in any media of whatever kind and description, relating to the business, present or otherwise, of the Company or any of its Affiliates, and any copies, in whole or in part, thereof (the “Documents”), whether or not prepared by you shall be the sole and exclusive property of the Company, provided that, for the avoidance of doubt, any of your personal contacts (whether hard copy or electronic) and any personal files do not constitute “Documents” for purposes of this Section 3(b) and may be retained by you following your termination of employment. You agree to safeguard all Documents and to surrender to the Company, at the time your employment terminates or at such earlier time or times as the Board or its designee may specify, all Documents then in your possession or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396875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85" w:name="page86"/>
    <w:bookmarkEnd w:id="85"/>
    <w:p>
      <w:pPr>
        <w:jc w:val="both"/>
        <w:ind w:left="-1200" w:firstLine="1305"/>
        <w:spacing w:after="0" w:line="279" w:lineRule="auto"/>
        <w:tabs>
          <w:tab w:leader="none" w:pos="1228"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You acknowledge that in your employment with the Company you will have access to Confidential Information which, if disclosed, would assist in competition against the Company and its Affiliates and that you also will generate goodwill for the Company and its Affiliates in the course of your employment. Therefore, you agree that the following restrictions on your activities during and after your employment are necessary to protect the goodwill, Confidential Information and other legitimate interests of the Company and its Affiliates:</w:t>
      </w:r>
    </w:p>
    <w:p>
      <w:pPr>
        <w:spacing w:after="0" w:line="171" w:lineRule="exact"/>
        <w:rPr>
          <w:rFonts w:ascii="Arial" w:cs="Arial" w:eastAsia="Arial" w:hAnsi="Arial"/>
          <w:sz w:val="17"/>
          <w:szCs w:val="17"/>
          <w:color w:val="auto"/>
        </w:rPr>
      </w:pPr>
    </w:p>
    <w:p>
      <w:pPr>
        <w:jc w:val="both"/>
        <w:ind w:left="-860" w:firstLine="1532"/>
        <w:spacing w:after="0" w:line="286" w:lineRule="auto"/>
        <w:tabs>
          <w:tab w:leader="none" w:pos="1457" w:val="left"/>
        </w:tabs>
        <w:numPr>
          <w:ilvl w:val="1"/>
          <w:numId w:val="52"/>
        </w:numPr>
        <w:rPr>
          <w:rFonts w:ascii="Arial" w:cs="Arial" w:eastAsia="Arial" w:hAnsi="Arial"/>
          <w:sz w:val="16"/>
          <w:szCs w:val="16"/>
          <w:color w:val="auto"/>
        </w:rPr>
      </w:pPr>
      <w:r>
        <w:rPr>
          <w:rFonts w:ascii="Arial" w:cs="Arial" w:eastAsia="Arial" w:hAnsi="Arial"/>
          <w:sz w:val="16"/>
          <w:szCs w:val="16"/>
          <w:color w:val="auto"/>
        </w:rPr>
        <w:t>Except as otherwise provided in paragraph (iii), below, while you are employed by the Company or its Affiliates and for the twelve (12) months after your employment (or service with an Affiliate, if later) terminates (in the aggregate, the “Non-Competition Period”), except as otherwise specifically provided in the last sentence of this Section 3(c)(i), you agree that you will not, without the prior written consent of the Company, directly or indirectly, own, manage, operate, join, control, finance, or participate in the ownership, marketing, management, operation, control, fundraising or financing of, or be connected as an officer, director, employee, partner, principal, agent, representative, consultant, or otherwise use or permit your name to be used in connection with any business or enterprise engaged in the United States in the business of structuring middle market lending vehicles, analyzing and acquiring loans and other assets to be held by such vehicles, arranging for the issuance of debt and preferred securities of such vehicles, act as collateral manager for such securitizations, structuring CDO or CLO securitization vehicles or funds that invest in corporate debt instruments. Notwithstanding the foregoing, nothing in this Section 3(c)(i) shall prevent you from working (whether as an employee or an independent contractor) for any business or enterprise that includes multiple lines of business, including lines of business that are described in this Section 3(c)(i), so long as the line of business for which you are working does not, directly or indirectly, include or otherwise conduct any of the activities described in this Section 3(c)(i). Further notwithstanding the foregoing, if you serve as legal counsel for the Company, this Section 3(c)(i) shall not prohibit you from working for any other company in the capacity as legal counsel for such company.</w:t>
      </w:r>
    </w:p>
    <w:p>
      <w:pPr>
        <w:spacing w:after="0" w:line="174" w:lineRule="exact"/>
        <w:rPr>
          <w:rFonts w:ascii="Arial" w:cs="Arial" w:eastAsia="Arial" w:hAnsi="Arial"/>
          <w:sz w:val="16"/>
          <w:szCs w:val="16"/>
          <w:color w:val="auto"/>
        </w:rPr>
      </w:pPr>
    </w:p>
    <w:p>
      <w:pPr>
        <w:jc w:val="both"/>
        <w:ind w:left="-860" w:firstLine="1532"/>
        <w:spacing w:after="0" w:line="255" w:lineRule="auto"/>
        <w:tabs>
          <w:tab w:leader="none" w:pos="1439" w:val="left"/>
        </w:tabs>
        <w:numPr>
          <w:ilvl w:val="1"/>
          <w:numId w:val="52"/>
        </w:numPr>
        <w:rPr>
          <w:rFonts w:ascii="Arial" w:cs="Arial" w:eastAsia="Arial" w:hAnsi="Arial"/>
          <w:sz w:val="18"/>
          <w:szCs w:val="18"/>
          <w:color w:val="auto"/>
        </w:rPr>
      </w:pPr>
      <w:r>
        <w:rPr>
          <w:rFonts w:ascii="Arial" w:cs="Arial" w:eastAsia="Arial" w:hAnsi="Arial"/>
          <w:sz w:val="18"/>
          <w:szCs w:val="18"/>
          <w:color w:val="auto"/>
        </w:rPr>
        <w:t>You agree that during your employment with the Company and its Affiliates and during the twenty-four (24) months after your termination of employment with the Company or its Affiliates, you will not, directly or through any other Person, (A) hire any employee of the Company or any of its Affiliates or seek to persuade any employee of the Company or any of its Affiliates to discontinue employment, other than as a result of a general advertisement or solicitation not targeted at any particular individual, or (B) solicit or encourage any customer or investor of the Company or any of its Affiliates or independent contractor providing services to the Company or any of its Affiliates to terminate or diminish its relationship with them.</w:t>
      </w:r>
    </w:p>
    <w:p>
      <w:pPr>
        <w:spacing w:after="0" w:line="193" w:lineRule="exact"/>
        <w:rPr>
          <w:rFonts w:ascii="Arial" w:cs="Arial" w:eastAsia="Arial" w:hAnsi="Arial"/>
          <w:sz w:val="18"/>
          <w:szCs w:val="18"/>
          <w:color w:val="auto"/>
        </w:rPr>
      </w:pPr>
    </w:p>
    <w:p>
      <w:pPr>
        <w:jc w:val="both"/>
        <w:ind w:left="-860" w:firstLine="1532"/>
        <w:spacing w:after="0" w:line="259" w:lineRule="auto"/>
        <w:tabs>
          <w:tab w:leader="none" w:pos="157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you are terminated by the Company without Cause, or you terminate your employment with the Company for Good Reason, you may request at any time that the Company shorten the duration of your post-termination Non-Competition Period to less than twelve (12) months; provided, that, if the Company grants your request, your Severance Period (as defined in Section 5(b)) shall be begin on your date of termination and end on the last day of your shortened post-termination Non-Competition Period.</w:t>
      </w:r>
    </w:p>
    <w:p>
      <w:pPr>
        <w:spacing w:after="0" w:line="186" w:lineRule="exact"/>
        <w:rPr>
          <w:rFonts w:ascii="Arial" w:cs="Arial" w:eastAsia="Arial" w:hAnsi="Arial"/>
          <w:sz w:val="18"/>
          <w:szCs w:val="18"/>
          <w:color w:val="auto"/>
        </w:rPr>
      </w:pPr>
    </w:p>
    <w:p>
      <w:pPr>
        <w:jc w:val="both"/>
        <w:ind w:left="-1200" w:firstLine="1305"/>
        <w:spacing w:after="0" w:line="264" w:lineRule="auto"/>
        <w:tabs>
          <w:tab w:leader="none" w:pos="95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xml:space="preserve"> You and the Company each agree that during your employment with the Company and thereafter, neither party will disparage the other, including any products, services or practices, any affiliates, directors, officers, agents, representatives, stockholders or affiliates of the Company, either orally or in writing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398780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86" w:name="page87"/>
    <w:bookmarkEnd w:id="86"/>
    <w:p>
      <w:pPr>
        <w:jc w:val="both"/>
        <w:ind w:firstLine="1305"/>
        <w:spacing w:after="0" w:line="268" w:lineRule="auto"/>
        <w:tabs>
          <w:tab w:leader="none" w:pos="2225"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Reasonableness; Enforcement</w:t>
      </w:r>
      <w:r>
        <w:rPr>
          <w:rFonts w:ascii="Arial" w:cs="Arial" w:eastAsia="Arial" w:hAnsi="Arial"/>
          <w:sz w:val="17"/>
          <w:szCs w:val="17"/>
          <w:color w:val="auto"/>
        </w:rPr>
        <w:t>. In signing this agreement, you give the Company assurance that you have carefully read and considered all the terms and conditions of this agreement, including the restraints imposed on you under this Section 3. You agree without reservation that these restraints are necessary for the reasonable and proper protection of the Company and its Affiliates and that each and every one of the restraints is reasonable in respect to subject matter, length of time and geographic area. You further agree that, were you to breach any of the covenants contained in this Section 3, the damage to the Company and its Affiliates would be irreparable. You therefore agree that the Company, in addition to any other remedies available to it, shall be entitled to preliminary and permanent injunctive relief against any breach or threatened breach by you of any of those covenants, without having to post bond, and will additionally be entitled to an award of attorney’s fees incurred in connection with securing any relief hereunder. You and the Company further agree that, in the event that any provision of this Section 3 is determined by any court of competent jurisdiction to be unenforceable by reason of its being extended over too great a time, too large a geographic area or too great a range of activities, that provision shall be deemed to be modified to permit its enforcement to the maximum extent permitted by law. You further agree that the Non-Competition Period shall be tolled, and shall not run, during any period of time in which you are in violation of the terms thereof, in order that the Company and its Affiliates shall have all of the agreed-upon temporal protection recited herein. No breach of any provision of this agreement by the Company, or any other claimed breach of contract or violation of law, or change in the nature or scope of your employment relationship with the Company, shall operate to extinguish your obligation to comply with Section 3 hereof. It is also agreed that each of the Company’s Affiliates shall have the right to enforce all of your obligations to that Affiliate under this agreement, including without limitation pursuant to this Section 3.</w:t>
      </w:r>
    </w:p>
    <w:p>
      <w:pPr>
        <w:spacing w:after="0" w:line="183" w:lineRule="exact"/>
        <w:rPr>
          <w:rFonts w:ascii="Arial" w:cs="Arial" w:eastAsia="Arial" w:hAnsi="Arial"/>
          <w:sz w:val="17"/>
          <w:szCs w:val="17"/>
          <w:color w:val="auto"/>
        </w:rPr>
      </w:pPr>
    </w:p>
    <w:p>
      <w:pPr>
        <w:ind w:left="1360" w:hanging="704"/>
        <w:spacing w:after="0"/>
        <w:tabs>
          <w:tab w:leader="none" w:pos="136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Your employment under this agreement may be terminated prior to the expiration of the term hereof pursuant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this Section 4:</w:t>
      </w:r>
    </w:p>
    <w:p>
      <w:pPr>
        <w:spacing w:after="0" w:line="210" w:lineRule="exact"/>
        <w:rPr>
          <w:rFonts w:ascii="Arial" w:cs="Arial" w:eastAsia="Arial" w:hAnsi="Arial"/>
          <w:sz w:val="16"/>
          <w:szCs w:val="16"/>
          <w:color w:val="auto"/>
        </w:rPr>
      </w:pPr>
    </w:p>
    <w:p>
      <w:pPr>
        <w:jc w:val="both"/>
        <w:ind w:firstLine="1305"/>
        <w:spacing w:after="0" w:line="264" w:lineRule="auto"/>
        <w:tabs>
          <w:tab w:leader="none" w:pos="2185"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Resignation without Good Reason.</w:t>
      </w:r>
      <w:r>
        <w:rPr>
          <w:rFonts w:ascii="Arial" w:cs="Arial" w:eastAsia="Arial" w:hAnsi="Arial"/>
          <w:sz w:val="18"/>
          <w:szCs w:val="18"/>
          <w:color w:val="auto"/>
        </w:rPr>
        <w:t xml:space="preserve"> You may resign your employment hereunder without Good Reason upon thirty (30) days’ written notice to the Company. The Board may elect to waive such notice period or any portion thereof; but in that event, the Company shall pay you your base salary for that portion of the notice period so waived.</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289"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Resignation for Good Reason</w:t>
      </w:r>
      <w:r>
        <w:rPr>
          <w:rFonts w:ascii="Arial" w:cs="Arial" w:eastAsia="Arial" w:hAnsi="Arial"/>
          <w:sz w:val="18"/>
          <w:szCs w:val="18"/>
          <w:color w:val="auto"/>
        </w:rPr>
        <w:t>. You may resign your employment hereunder for Good Reason (as defined below) if all the following conditions are satisfied: (i) you provide prompt written notice to the Company of the condition giving rise to the Good Reason; (ii) the condition specified in the notice must remain uncorrected for thirty (30) days after the Company’s receipt of such notice; and (iii) you terminate your employment within ten (10) days following the expiration of such thirty (30) day cure period.</w:t>
      </w:r>
    </w:p>
    <w:p>
      <w:pPr>
        <w:spacing w:after="0" w:line="186" w:lineRule="exact"/>
        <w:rPr>
          <w:rFonts w:ascii="Arial" w:cs="Arial" w:eastAsia="Arial" w:hAnsi="Arial"/>
          <w:sz w:val="18"/>
          <w:szCs w:val="18"/>
          <w:color w:val="auto"/>
        </w:rPr>
      </w:pPr>
    </w:p>
    <w:p>
      <w:pPr>
        <w:ind w:left="2180" w:hanging="875"/>
        <w:spacing w:after="0"/>
        <w:tabs>
          <w:tab w:leader="none" w:pos="2180"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w:t>
      </w:r>
      <w:r>
        <w:rPr>
          <w:rFonts w:ascii="Arial" w:cs="Arial" w:eastAsia="Arial" w:hAnsi="Arial"/>
          <w:sz w:val="16"/>
          <w:szCs w:val="16"/>
          <w:color w:val="auto"/>
        </w:rPr>
        <w:t xml:space="preserve"> The Company may terminate your employment at any time without Cause upon written notice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you.</w:t>
      </w:r>
    </w:p>
    <w:p>
      <w:pPr>
        <w:spacing w:after="0" w:line="210" w:lineRule="exact"/>
        <w:rPr>
          <w:rFonts w:ascii="Arial" w:cs="Arial" w:eastAsia="Arial" w:hAnsi="Arial"/>
          <w:sz w:val="16"/>
          <w:szCs w:val="16"/>
          <w:color w:val="auto"/>
        </w:rPr>
      </w:pPr>
    </w:p>
    <w:p>
      <w:pPr>
        <w:jc w:val="both"/>
        <w:ind w:firstLine="1305"/>
        <w:spacing w:after="0" w:line="269" w:lineRule="auto"/>
        <w:tabs>
          <w:tab w:leader="none" w:pos="2222"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xml:space="preserve"> The Company may terminate your employment for Cause upon written notice to you setting forth in reasonable detail the nature of the cause in accordance with this Section 4(d). The following shall constitute “Cause” for termination: (i) your repeated material failure to perform (other than by reason of Disability), or gross negligence in the performance of, your duties and responsibilities to the Company or any of its Affiliates which failure is not cured within thirty (30) days after written notice of such failure or negligence is delivered to you; (ii) your material breach of this agreement or any other agreement between you and the Company or any of its Affiliates which breach is not cured within thirty (30) days after written notice of such breach is delivered to you; (iii) commission by you of a felony involving moral turpitude or fraud with respect to the Company or any of its Affiliates; (iv) your being sanctioned by a federal or state government or agency with violations of federal or state securities laws in any judicial or administrative process or proceeding, or having been found by any court to have committed any such violation; or (v) your failure to comply with (A) any material Company policy, including without limitation, the Code of Ethics of the Company or any of its Affiliates to which you are bound, or (B) any legal or regulatory obligations or requirements, including, without limitation, failure to provide any certifications as may be required by law which is not cured within thirty (30) days after written notice of such violation is delivered to you.</w:t>
      </w:r>
    </w:p>
    <w:p>
      <w:pPr>
        <w:spacing w:after="0" w:line="182" w:lineRule="exact"/>
        <w:rPr>
          <w:rFonts w:ascii="Arial" w:cs="Arial" w:eastAsia="Arial" w:hAnsi="Arial"/>
          <w:sz w:val="17"/>
          <w:szCs w:val="17"/>
          <w:color w:val="auto"/>
        </w:rPr>
      </w:pPr>
    </w:p>
    <w:p>
      <w:pPr>
        <w:ind w:left="2040" w:hanging="735"/>
        <w:spacing w:after="0"/>
        <w:tabs>
          <w:tab w:leader="none" w:pos="204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Your employment shall terminate upon your death.</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Your employment shall terminate upon your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ind w:left="1332" w:hanging="684"/>
        <w:spacing w:after="0"/>
        <w:tabs>
          <w:tab w:leader="none" w:pos="1332"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Company Obligations upon Termination of Employment.</w:t>
      </w:r>
    </w:p>
    <w:p>
      <w:pPr>
        <w:spacing w:after="0" w:line="225" w:lineRule="exact"/>
        <w:rPr>
          <w:rFonts w:ascii="Arial" w:cs="Arial" w:eastAsia="Arial" w:hAnsi="Arial"/>
          <w:sz w:val="18"/>
          <w:szCs w:val="18"/>
          <w:color w:val="auto"/>
        </w:rPr>
      </w:pPr>
    </w:p>
    <w:p>
      <w:pPr>
        <w:jc w:val="both"/>
        <w:ind w:left="-8" w:firstLine="1305"/>
        <w:spacing w:after="0" w:line="291" w:lineRule="auto"/>
        <w:tabs>
          <w:tab w:leader="none" w:pos="2028" w:val="left"/>
        </w:tabs>
        <w:numPr>
          <w:ilvl w:val="2"/>
          <w:numId w:val="55"/>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xml:space="preserve"> Upon your termination of employment for any reason, you (or your estate, if applicable) shall be entitled to receive (i) any base salary earned but not paid through your date of termination, (ii) any accrued but unused vacation pay calculated through your date of termination,</w:t>
      </w:r>
    </w:p>
    <w:p>
      <w:pPr>
        <w:jc w:val="both"/>
        <w:ind w:left="-8" w:firstLine="8"/>
        <w:spacing w:after="0" w:line="254" w:lineRule="auto"/>
        <w:tabs>
          <w:tab w:leader="none" w:pos="30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accrued but unpaid expense reimbursements calculated through your date of termination, and (iv) any benefits as may be provided under the terms of any Company employee benefit plan or program. Except as otherwise provided in this Section 5, all of your rights to salary, bonus, fringe benefits and other compensation hereunder which accrue or become payable after the date of your termination of employment shall cease upon the date of such termination, other than those expressly required under applicable law (such as COBRA).</w:t>
      </w:r>
    </w:p>
    <w:p>
      <w:pPr>
        <w:spacing w:after="0" w:line="189" w:lineRule="exact"/>
        <w:rPr>
          <w:rFonts w:ascii="Arial" w:cs="Arial" w:eastAsia="Arial" w:hAnsi="Arial"/>
          <w:sz w:val="18"/>
          <w:szCs w:val="18"/>
          <w:color w:val="auto"/>
        </w:rPr>
      </w:pPr>
    </w:p>
    <w:p>
      <w:pPr>
        <w:jc w:val="both"/>
        <w:ind w:left="-8" w:firstLine="1305"/>
        <w:spacing w:after="0" w:line="253" w:lineRule="auto"/>
        <w:tabs>
          <w:tab w:leader="none" w:pos="2308" w:val="left"/>
        </w:tabs>
        <w:numPr>
          <w:ilvl w:val="2"/>
          <w:numId w:val="56"/>
        </w:numPr>
        <w:rPr>
          <w:rFonts w:ascii="Arial" w:cs="Arial" w:eastAsia="Arial" w:hAnsi="Arial"/>
          <w:sz w:val="18"/>
          <w:szCs w:val="18"/>
          <w:color w:val="auto"/>
        </w:rPr>
      </w:pPr>
      <w:r>
        <w:rPr>
          <w:rFonts w:ascii="Arial" w:cs="Arial" w:eastAsia="Arial" w:hAnsi="Arial"/>
          <w:sz w:val="18"/>
          <w:szCs w:val="18"/>
          <w:u w:val="single" w:color="auto"/>
          <w:color w:val="auto"/>
        </w:rPr>
        <w:t>Termination as a Result of Death, Disability, By Company without Cause, or By You with Good Reason.</w:t>
      </w:r>
      <w:r>
        <w:rPr>
          <w:rFonts w:ascii="Arial" w:cs="Arial" w:eastAsia="Arial" w:hAnsi="Arial"/>
          <w:sz w:val="18"/>
          <w:szCs w:val="18"/>
          <w:color w:val="auto"/>
        </w:rPr>
        <w:t xml:space="preserve"> In the event of termination of your employment by the Company without Cause, due to death or Disability, or a resignation of your employment by you for Good Reason, for a period of 12 months after your termination of employment (or such shorter period as provided pursuant to Section 3(c)(iii)), during such period (the “Severance Period”), the Company will continue to pay you your base salary (the “Severance Payments”) and pay you an amount equal, on an after-tax basis, to the premium cost of your health insurance on the same terms and conditions as it contributes for active employees provided that you (or your beneficiaries) make a timely election under the federal law known as “COBRA” and provided further that you are entitled to continue participation in the Company’s group health plan under applicable law and plan terms (the “Health Care Payments”). In addition, within sixty (60) days of your termination the Company will pay you a lump sum cash amount (the “Bonus Payment”) equal to the product of (i) your average annual bonus for the prior three (3) calendar years, and (ii) the ratio of (A) the number of days you were employed by the Company during the calendar year in which occurs your termination, to (B) the number of days in such year.</w:t>
      </w:r>
    </w:p>
    <w:p>
      <w:pPr>
        <w:spacing w:after="0" w:line="194" w:lineRule="exact"/>
        <w:rPr>
          <w:rFonts w:ascii="Arial" w:cs="Arial" w:eastAsia="Arial" w:hAnsi="Arial"/>
          <w:sz w:val="18"/>
          <w:szCs w:val="18"/>
          <w:color w:val="auto"/>
        </w:rPr>
      </w:pPr>
    </w:p>
    <w:p>
      <w:pPr>
        <w:jc w:val="both"/>
        <w:ind w:left="-8" w:firstLine="1305"/>
        <w:spacing w:after="0" w:line="257" w:lineRule="auto"/>
        <w:tabs>
          <w:tab w:leader="none" w:pos="2082" w:val="left"/>
        </w:tabs>
        <w:numPr>
          <w:ilvl w:val="2"/>
          <w:numId w:val="56"/>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or for Good Reason in Connection with a Change in Control.</w:t>
      </w:r>
      <w:r>
        <w:rPr>
          <w:rFonts w:ascii="Arial" w:cs="Arial" w:eastAsia="Arial" w:hAnsi="Arial"/>
          <w:sz w:val="18"/>
          <w:szCs w:val="18"/>
          <w:color w:val="auto"/>
        </w:rPr>
        <w:t xml:space="preserve"> Notwithstanding the foregoing, if your employment is terminated by the Company without Cause or by you for Good Reason within twenty four (24) months following a Change in Control you shall (i) receive the Severance Payments, Health Care Payments and Bonus Payment provided in Section 5(b) hereof, provided that your Severance Period under such circumstances shall be twenty-four (24) months; and (ii) become fully vested in all equity and equity-based awards granted to you by the Company.</w:t>
      </w:r>
    </w:p>
    <w:p>
      <w:pPr>
        <w:spacing w:after="0" w:line="188" w:lineRule="exact"/>
        <w:rPr>
          <w:rFonts w:ascii="Arial" w:cs="Arial" w:eastAsia="Arial" w:hAnsi="Arial"/>
          <w:sz w:val="18"/>
          <w:szCs w:val="18"/>
          <w:color w:val="auto"/>
        </w:rPr>
      </w:pPr>
    </w:p>
    <w:p>
      <w:pPr>
        <w:jc w:val="both"/>
        <w:ind w:left="-8" w:firstLine="1953"/>
        <w:spacing w:after="0" w:line="286" w:lineRule="auto"/>
        <w:tabs>
          <w:tab w:leader="none" w:pos="2714" w:val="left"/>
        </w:tabs>
        <w:numPr>
          <w:ilvl w:val="3"/>
          <w:numId w:val="5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to the extent that any amount, or benefits paid or distributed to you pursuant to this agreement or any other agreement or arrangement between the Company and you (collectively, the "280G Payments") (A) constitute a "parachute payment" within the meaning of Section 280G of the Code and (B) but for this Section 5(c), would be subject to the excise tax imposed by Section 4999 of the Code, then the 280G Payments shall be payable either (i) in full or (ii) in such lesser amount which would result in no portion of such 280G Payments being subject to excise tax under Section 4999 of the Code; whichever of the foregoing amounts, taking into account the applicable federal, state and local income or excise taxes (including the excise tax imposed by Section 4999) results in your receipt on an after-tax basis, of the greatest amount of benefits under this agreement, notwithstanding that all or some portion of such benefits may be taxable under Section 4999 of the Code. Unless you and the Company otherwise agree in writing, any determination required under this Section 5(c) shall be made in writing by an independent public accountant selected by the Company (the "Accountants"), whose determination shall be conclusive and binding upon you and the Company for all purposes. For purposes of making the calculations required by this Section 5(c), the Accountants may make reasonable assumptions and approximations concerning applicable taxes and may rely on reasonable, good faith interpretations concerning the application of Sections 280G and 4999 of the Code. The Company and you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 as well as any reasonable legal or accountant expenses, or any additional taxes, that you may incur as a result of any calculation errors made by the Accountant and/or the Company in connection with the Code Section 4999 excise tax analysis contemplated by this Section 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390525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88" w:name="page89"/>
    <w:bookmarkEnd w:id="88"/>
    <w:p>
      <w:pPr>
        <w:jc w:val="both"/>
        <w:ind w:left="-656" w:firstLine="1953"/>
        <w:spacing w:after="0" w:line="259" w:lineRule="auto"/>
        <w:tabs>
          <w:tab w:leader="none" w:pos="2400" w:val="left"/>
        </w:tabs>
        <w:numPr>
          <w:ilvl w:val="2"/>
          <w:numId w:val="57"/>
        </w:numPr>
        <w:rPr>
          <w:rFonts w:ascii="Arial" w:cs="Arial" w:eastAsia="Arial" w:hAnsi="Arial"/>
          <w:sz w:val="18"/>
          <w:szCs w:val="18"/>
          <w:color w:val="auto"/>
        </w:rPr>
      </w:pPr>
      <w:r>
        <w:rPr>
          <w:rFonts w:ascii="Arial" w:cs="Arial" w:eastAsia="Arial" w:hAnsi="Arial"/>
          <w:sz w:val="18"/>
          <w:szCs w:val="18"/>
          <w:color w:val="auto"/>
        </w:rPr>
        <w:t>If you receive reduced 280G Payments by reason of this Section 5(c) and it is established pursuant to a final determination of the court or an Internal Revenue Service proceeding that you could have received a greater amount without resulting in an excise tax, then the Company shall promptly thereafter pay you the aggregate additional amount which could have been paid without resulting in an excise tax as soon as practicable.</w:t>
      </w:r>
    </w:p>
    <w:p>
      <w:pPr>
        <w:spacing w:after="0" w:line="186" w:lineRule="exact"/>
        <w:rPr>
          <w:rFonts w:ascii="Arial" w:cs="Arial" w:eastAsia="Arial" w:hAnsi="Arial"/>
          <w:sz w:val="18"/>
          <w:szCs w:val="18"/>
          <w:color w:val="auto"/>
        </w:rPr>
      </w:pPr>
    </w:p>
    <w:p>
      <w:pPr>
        <w:jc w:val="both"/>
        <w:ind w:left="-656" w:firstLine="1953"/>
        <w:spacing w:after="0" w:line="276" w:lineRule="auto"/>
        <w:tabs>
          <w:tab w:leader="none" w:pos="2274" w:val="left"/>
        </w:tabs>
        <w:numPr>
          <w:ilvl w:val="2"/>
          <w:numId w:val="57"/>
        </w:numPr>
        <w:rPr>
          <w:rFonts w:ascii="Arial" w:cs="Arial" w:eastAsia="Arial" w:hAnsi="Arial"/>
          <w:sz w:val="17"/>
          <w:szCs w:val="17"/>
          <w:color w:val="auto"/>
        </w:rPr>
      </w:pPr>
      <w:r>
        <w:rPr>
          <w:rFonts w:ascii="Arial" w:cs="Arial" w:eastAsia="Arial" w:hAnsi="Arial"/>
          <w:sz w:val="17"/>
          <w:szCs w:val="17"/>
          <w:color w:val="auto"/>
        </w:rPr>
        <w:t>The parties agree to cooperate generally and in good faith with respect to (A) the review and determinations to be undertaken by the Accountants as set forth in this Section 5(c) and (B) any audit, claim or other proceeding brought by the Internal Revenue Service or similar state authority to review or contest or otherwise related to the determinations of the Accountants as provided for in this Section 5(c), including any claim or position taken by the Internal Revenue Service that, if successful, would require the payment by you of any additional excise tax, over and above the amounts of excise tax established under the procedure set forth in this Section 5(c).</w:t>
      </w:r>
    </w:p>
    <w:p>
      <w:pPr>
        <w:spacing w:after="0" w:line="172" w:lineRule="exact"/>
        <w:rPr>
          <w:rFonts w:ascii="Arial" w:cs="Arial" w:eastAsia="Arial" w:hAnsi="Arial"/>
          <w:sz w:val="17"/>
          <w:szCs w:val="17"/>
          <w:color w:val="auto"/>
        </w:rPr>
      </w:pPr>
    </w:p>
    <w:p>
      <w:pPr>
        <w:jc w:val="both"/>
        <w:ind w:left="-656" w:firstLine="1953"/>
        <w:spacing w:after="0" w:line="271" w:lineRule="auto"/>
        <w:tabs>
          <w:tab w:leader="none" w:pos="2304" w:val="left"/>
        </w:tabs>
        <w:numPr>
          <w:ilvl w:val="2"/>
          <w:numId w:val="57"/>
        </w:numPr>
        <w:rPr>
          <w:rFonts w:ascii="Arial" w:cs="Arial" w:eastAsia="Arial" w:hAnsi="Arial"/>
          <w:sz w:val="17"/>
          <w:szCs w:val="17"/>
          <w:color w:val="auto"/>
        </w:rPr>
      </w:pPr>
      <w:r>
        <w:rPr>
          <w:rFonts w:ascii="Arial" w:cs="Arial" w:eastAsia="Arial" w:hAnsi="Arial"/>
          <w:sz w:val="17"/>
          <w:szCs w:val="17"/>
          <w:color w:val="auto"/>
        </w:rPr>
        <w:t>The reduction of 280G Payments, if applicable, shall be effected in the following order (unless you, to the extent permitted by Section 409A of the Code, elect another method of reduction by written notice to the Company prior to the Section 280G event): (A) any cash severance payments, (B) any other cash amounts payable to you, (C) any health and welfare or similar benefits valued as parachute payments, (D) acceleration of vesting of any stock options for which the exercise price exceeds the then fair market value of the underlying stock, in order of the option tranches with the largest Section 280G parachute value, (E) acceleration of vesting of any equity award that is not a stock option, (F) acceleration of vesting of any stock options for which the exercise price is less than the fair market value of the underlying stock in such manner as would net you the largest remaining spread value if the options were all exercised as of the Section 280G event, and (G) acceleration of vesting of any restricted stock or other non-option equity-based compensation in the order of the equity awards with the largest Section 280G parachute value.</w:t>
      </w:r>
    </w:p>
    <w:p>
      <w:pPr>
        <w:spacing w:after="0" w:line="178" w:lineRule="exact"/>
        <w:rPr>
          <w:rFonts w:ascii="Arial" w:cs="Arial" w:eastAsia="Arial" w:hAnsi="Arial"/>
          <w:sz w:val="17"/>
          <w:szCs w:val="17"/>
          <w:color w:val="auto"/>
        </w:rPr>
      </w:pPr>
    </w:p>
    <w:p>
      <w:pPr>
        <w:jc w:val="both"/>
        <w:ind w:left="-656" w:firstLine="1305"/>
        <w:spacing w:after="0" w:line="290" w:lineRule="auto"/>
        <w:tabs>
          <w:tab w:leader="none" w:pos="1539"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Release and Cooperation.</w:t>
      </w:r>
      <w:r>
        <w:rPr>
          <w:rFonts w:ascii="Arial" w:cs="Arial" w:eastAsia="Arial" w:hAnsi="Arial"/>
          <w:sz w:val="16"/>
          <w:szCs w:val="16"/>
          <w:color w:val="auto"/>
        </w:rPr>
        <w:t xml:space="preserve"> Any obligation of the Company to provide you Severance Payments, Health Care Payments and/or Bonus Payment under Section 5(b), (c) or (d) hereof is conditioned upon your signing and not revoking (and the expiration of any period of revocation associated therewith) a release of claims in the form provided by the Company (the “Employee Release”) by the deadline specified by the Company (which shall be no later than sixty (60) days following your termination of employment). Any and all Severance Payments will be in the form of salary continuation, and the Severance Payments and Health Care Payments will be payable in accordance with the normal payroll practices of the Company, and will begin on the first payroll date following the sixtieth (60th) day following your termination of employment. The first of any such payments will include all Severance Payments and Health Care Payments that otherwise would have been due prior to such first payment date had such payments commenced immediately upon your termination of employment; any payments made thereafter will continue as otherwise provided herein.</w:t>
      </w:r>
    </w:p>
    <w:p>
      <w:pPr>
        <w:spacing w:after="0" w:line="166" w:lineRule="exact"/>
        <w:rPr>
          <w:rFonts w:ascii="Arial" w:cs="Arial" w:eastAsia="Arial" w:hAnsi="Arial"/>
          <w:sz w:val="16"/>
          <w:szCs w:val="16"/>
          <w:color w:val="auto"/>
        </w:rPr>
      </w:pPr>
    </w:p>
    <w:p>
      <w:pPr>
        <w:jc w:val="both"/>
        <w:ind w:left="-656" w:firstLine="1305"/>
        <w:spacing w:after="0" w:line="257" w:lineRule="auto"/>
        <w:tabs>
          <w:tab w:leader="none" w:pos="1434"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Provisions of this agreement shall survive any termination if so provided in this agreement or if necessary or desirable to accomplish the purposes of other surviving provisions, including without limitation your obligations under Section 3 of this agreement. The obligation of the Company (if any) to make payments to you under Sections 5(b) or (c) is expressly conditioned upon your continued full performance of obligations under Section 3 hereof. Upon termination by either you or the Company, all rights, duties and obligations of you and the Company to each other shall cease, except as otherwise expressly provided in this agreement.</w:t>
      </w:r>
    </w:p>
    <w:p>
      <w:pPr>
        <w:spacing w:after="0" w:line="188" w:lineRule="exact"/>
        <w:rPr>
          <w:rFonts w:ascii="Arial" w:cs="Arial" w:eastAsia="Arial" w:hAnsi="Arial"/>
          <w:sz w:val="18"/>
          <w:szCs w:val="18"/>
          <w:color w:val="auto"/>
        </w:rPr>
      </w:pPr>
    </w:p>
    <w:p>
      <w:pPr>
        <w:ind w:left="684" w:hanging="684"/>
        <w:spacing w:after="0"/>
        <w:tabs>
          <w:tab w:leader="none" w:pos="68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definitions apply:</w:t>
      </w:r>
    </w:p>
    <w:p>
      <w:pPr>
        <w:spacing w:after="0" w:line="225" w:lineRule="exact"/>
        <w:rPr>
          <w:rFonts w:ascii="Arial" w:cs="Arial" w:eastAsia="Arial" w:hAnsi="Arial"/>
          <w:sz w:val="18"/>
          <w:szCs w:val="18"/>
          <w:color w:val="auto"/>
        </w:rPr>
      </w:pPr>
    </w:p>
    <w:p>
      <w:pPr>
        <w:ind w:left="-656" w:right="20" w:firstLine="1305"/>
        <w:spacing w:after="0" w:line="277" w:lineRule="auto"/>
        <w:tabs>
          <w:tab w:leader="none" w:pos="1556" w:val="left"/>
        </w:tabs>
        <w:numPr>
          <w:ilvl w:val="1"/>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Affiliates</w:t>
      </w:r>
      <w:r>
        <w:rPr>
          <w:rFonts w:ascii="Arial" w:cs="Arial" w:eastAsia="Arial" w:hAnsi="Arial"/>
          <w:sz w:val="18"/>
          <w:szCs w:val="18"/>
          <w:color w:val="auto"/>
        </w:rPr>
        <w:t>” means all persons and entities directly or indirectly controlling, controlled by or under common control with the Company, where control may be by management authority, equity interest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391795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89" w:name="page90"/>
    <w:bookmarkEnd w:id="89"/>
    <w:p>
      <w:pPr>
        <w:ind w:left="860" w:hanging="755"/>
        <w:spacing w:after="0"/>
        <w:tabs>
          <w:tab w:leader="none" w:pos="8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jc w:val="both"/>
        <w:ind w:left="-1200" w:firstLine="1953"/>
        <w:spacing w:after="0" w:line="312" w:lineRule="auto"/>
        <w:tabs>
          <w:tab w:leader="none" w:pos="1455"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acquisition by any person, entity or “group”, within the meaning of Section 13(d)(3) or 14(d)(2) of the Exchange Act (excluding, for this purpose, the Company or its Affiliates) of beneficial ownership of 33% or more of either the then outstanding shares of the Company’s common stock or the combined voting power of the Company’s then outstanding voting securities entitled to vote generally in the election of directors.</w:t>
      </w:r>
    </w:p>
    <w:p>
      <w:pPr>
        <w:spacing w:after="0" w:line="146" w:lineRule="exact"/>
        <w:rPr>
          <w:rFonts w:ascii="Arial" w:cs="Arial" w:eastAsia="Arial" w:hAnsi="Arial"/>
          <w:sz w:val="16"/>
          <w:szCs w:val="16"/>
          <w:color w:val="auto"/>
        </w:rPr>
      </w:pPr>
    </w:p>
    <w:p>
      <w:pPr>
        <w:jc w:val="both"/>
        <w:ind w:left="-1200" w:firstLine="1953"/>
        <w:spacing w:after="0" w:line="273" w:lineRule="auto"/>
        <w:tabs>
          <w:tab w:leader="none" w:pos="1572" w:val="left"/>
        </w:tabs>
        <w:numPr>
          <w:ilvl w:val="1"/>
          <w:numId w:val="60"/>
        </w:numPr>
        <w:rPr>
          <w:rFonts w:ascii="Arial" w:cs="Arial" w:eastAsia="Arial" w:hAnsi="Arial"/>
          <w:sz w:val="17"/>
          <w:szCs w:val="17"/>
          <w:color w:val="auto"/>
        </w:rPr>
      </w:pPr>
      <w:r>
        <w:rPr>
          <w:rFonts w:ascii="Arial" w:cs="Arial" w:eastAsia="Arial" w:hAnsi="Arial"/>
          <w:sz w:val="17"/>
          <w:szCs w:val="17"/>
          <w:color w:val="auto"/>
        </w:rPr>
        <w:t>Individuals who, as of the date hereof, constitute the Board (the “Incumbent Board”) cease for any reason to constitute at least a majority of the Board, provided that any person who first becomes a director subsequent to the date hereof whose recommendation, election or nomination for election by the Company’s stockholders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described in Rule 14a-11 of Regulation 14A promulgated under the Exchange Act) shall be, for the purposes of this agreement, considered as though such person were a member of the Incumbent Board; or</w:t>
      </w:r>
    </w:p>
    <w:p>
      <w:pPr>
        <w:spacing w:after="0" w:line="178" w:lineRule="exact"/>
        <w:rPr>
          <w:rFonts w:ascii="Arial" w:cs="Arial" w:eastAsia="Arial" w:hAnsi="Arial"/>
          <w:sz w:val="17"/>
          <w:szCs w:val="17"/>
          <w:color w:val="auto"/>
        </w:rPr>
      </w:pPr>
    </w:p>
    <w:p>
      <w:pPr>
        <w:jc w:val="both"/>
        <w:ind w:left="-1200" w:firstLine="1953"/>
        <w:spacing w:after="0" w:line="259" w:lineRule="auto"/>
        <w:tabs>
          <w:tab w:leader="none" w:pos="155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Approval by the stockholders of the Company of a reorganization, share exchange, merger or consolidation with respect to which, in any such case, the persons who were the stockholders of the Company immediately prior to such reorganization, share exchange, merger or consolidation do not, immediately thereafter, own more than 50% of the combined voting power entitled to vote in the election of directors of the reorganized, merged or consolidated company;</w:t>
      </w:r>
    </w:p>
    <w:p>
      <w:pPr>
        <w:spacing w:after="0" w:line="186" w:lineRule="exact"/>
        <w:rPr>
          <w:rFonts w:ascii="Arial" w:cs="Arial" w:eastAsia="Arial" w:hAnsi="Arial"/>
          <w:sz w:val="18"/>
          <w:szCs w:val="18"/>
          <w:color w:val="auto"/>
        </w:rPr>
      </w:pPr>
    </w:p>
    <w:p>
      <w:pPr>
        <w:ind w:left="1560" w:hanging="807"/>
        <w:spacing w:after="0"/>
        <w:tabs>
          <w:tab w:leader="none" w:pos="15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Approval by the stockholders of a plan of complete liquidation or dissolution of the Company; or</w:t>
      </w:r>
    </w:p>
    <w:p>
      <w:pPr>
        <w:spacing w:after="0" w:line="225" w:lineRule="exact"/>
        <w:rPr>
          <w:rFonts w:ascii="Arial" w:cs="Arial" w:eastAsia="Arial" w:hAnsi="Arial"/>
          <w:sz w:val="18"/>
          <w:szCs w:val="18"/>
          <w:color w:val="auto"/>
        </w:rPr>
      </w:pPr>
    </w:p>
    <w:p>
      <w:pPr>
        <w:ind w:left="1500" w:hanging="747"/>
        <w:spacing w:after="0"/>
        <w:tabs>
          <w:tab w:leader="none" w:pos="1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sale of all or substantially all of the assets of the Company.</w:t>
      </w:r>
    </w:p>
    <w:p>
      <w:pPr>
        <w:spacing w:after="0" w:line="225" w:lineRule="exact"/>
        <w:rPr>
          <w:rFonts w:ascii="Arial" w:cs="Arial" w:eastAsia="Arial" w:hAnsi="Arial"/>
          <w:sz w:val="18"/>
          <w:szCs w:val="18"/>
          <w:color w:val="auto"/>
        </w:rPr>
      </w:pPr>
    </w:p>
    <w:p>
      <w:pPr>
        <w:ind w:left="840" w:hanging="735"/>
        <w:spacing w:after="0"/>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225" w:lineRule="exact"/>
        <w:rPr>
          <w:rFonts w:ascii="Arial" w:cs="Arial" w:eastAsia="Arial" w:hAnsi="Arial"/>
          <w:sz w:val="18"/>
          <w:szCs w:val="18"/>
          <w:color w:val="auto"/>
        </w:rPr>
      </w:pPr>
    </w:p>
    <w:p>
      <w:pPr>
        <w:jc w:val="both"/>
        <w:ind w:left="-1200" w:firstLine="1305"/>
        <w:spacing w:after="0" w:line="257" w:lineRule="auto"/>
        <w:tabs>
          <w:tab w:leader="none" w:pos="887"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“Confidential Information” means any and all information of the Company and its Affiliates that is not generally available to the public and any and all material information not generally available to the public gained incident to your employment or any other association with the Company or any of its Affiliates. Confidential Information also includes any information received by the Company or any of its Affiliates from any Person with any understanding, express or implied, that it will not be disclosed. Confidential Information does not include information that enters the public domain, other than through your breach of your obligations under this agreement.</w:t>
      </w:r>
    </w:p>
    <w:p>
      <w:pPr>
        <w:spacing w:after="0" w:line="188" w:lineRule="exact"/>
        <w:rPr>
          <w:rFonts w:ascii="Arial" w:cs="Arial" w:eastAsia="Arial" w:hAnsi="Arial"/>
          <w:sz w:val="18"/>
          <w:szCs w:val="18"/>
          <w:color w:val="auto"/>
        </w:rPr>
      </w:pPr>
    </w:p>
    <w:p>
      <w:pPr>
        <w:jc w:val="both"/>
        <w:ind w:left="-1200" w:firstLine="1305"/>
        <w:spacing w:after="0" w:line="259" w:lineRule="auto"/>
        <w:tabs>
          <w:tab w:leader="none" w:pos="11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“Disability” means your inability to perform the essential duties, responsibilities and functions of your position with the Company (as determined by the Board in its good faith judgment, consistent with its policies and past practice) as a result of any mental or physical disability or incapacity even with reasonable accommodations of such disability or incapacity provided by the Company or if providing such accommodations would be unreasonable.</w:t>
      </w:r>
    </w:p>
    <w:p>
      <w:pPr>
        <w:spacing w:after="0" w:line="186" w:lineRule="exact"/>
        <w:rPr>
          <w:rFonts w:ascii="Arial" w:cs="Arial" w:eastAsia="Arial" w:hAnsi="Arial"/>
          <w:sz w:val="18"/>
          <w:szCs w:val="18"/>
          <w:color w:val="auto"/>
        </w:rPr>
      </w:pPr>
    </w:p>
    <w:p>
      <w:pPr>
        <w:jc w:val="both"/>
        <w:ind w:left="-1200" w:firstLine="1305"/>
        <w:spacing w:after="0" w:line="255" w:lineRule="auto"/>
        <w:tabs>
          <w:tab w:leader="none" w:pos="911" w:val="left"/>
        </w:tabs>
        <w:numPr>
          <w:ilvl w:val="0"/>
          <w:numId w:val="60"/>
        </w:numPr>
        <w:rPr>
          <w:rFonts w:ascii="Arial" w:cs="Arial" w:eastAsia="Arial" w:hAnsi="Arial"/>
          <w:sz w:val="18"/>
          <w:szCs w:val="18"/>
          <w:color w:val="auto"/>
        </w:rPr>
      </w:pPr>
      <w:r>
        <w:rPr>
          <w:rFonts w:ascii="Arial" w:cs="Arial" w:eastAsia="Arial" w:hAnsi="Arial"/>
          <w:sz w:val="18"/>
          <w:szCs w:val="18"/>
          <w:color w:val="auto"/>
        </w:rPr>
        <w:t>“Good Reason” means, without your consent, the occurrence of one or more of the following events: (i) material diminution in the nature or scope of your responsibilities, duties or authority relating to the Company as contemplated by this agreement; (ii) material reduction in annual base salary; (iii) failure by the Company to provide a target bonus opportunity equal to the amount set out in Section 2(b) above; (iv) your being required to relocate to a principal place of employment outside of New York, New York; (v) the Company’s failure to renew this agreement in accordance with Section 1(a); or (vi) a change in reporting relationships resulting from a Change in Control that occurs in anticipation of or within twenty four (24) months after a Change in Control.</w:t>
      </w:r>
    </w:p>
    <w:p>
      <w:pPr>
        <w:spacing w:after="0" w:line="193" w:lineRule="exact"/>
        <w:rPr>
          <w:rFonts w:ascii="Arial" w:cs="Arial" w:eastAsia="Arial" w:hAnsi="Arial"/>
          <w:sz w:val="18"/>
          <w:szCs w:val="18"/>
          <w:color w:val="auto"/>
        </w:rPr>
      </w:pPr>
    </w:p>
    <w:p>
      <w:pPr>
        <w:ind w:left="-1200" w:firstLine="1305"/>
        <w:spacing w:after="0" w:line="277" w:lineRule="auto"/>
        <w:tabs>
          <w:tab w:leader="none" w:pos="941"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“Person” means an individual, a corporation, a limited liability company, an association, a partnership, an estate, a trust or any other entity or organization, other than the Company or any of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391795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90" w:name="page91"/>
    <w:bookmarkEnd w:id="90"/>
    <w:p>
      <w:pPr>
        <w:jc w:val="both"/>
        <w:ind w:left="-656" w:firstLine="656"/>
        <w:spacing w:after="0" w:line="279" w:lineRule="auto"/>
        <w:tabs>
          <w:tab w:leader="none" w:pos="802"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Conflicting Agreements</w:t>
      </w:r>
      <w:r>
        <w:rPr>
          <w:rFonts w:ascii="Arial" w:cs="Arial" w:eastAsia="Arial" w:hAnsi="Arial"/>
          <w:sz w:val="17"/>
          <w:szCs w:val="17"/>
          <w:color w:val="auto"/>
        </w:rPr>
        <w:t>. You hereby represent and warrant that your signing of this agreement and the performance of your obligations under it will not breach or be in conflict with any other agreement to which you are a party or are bound and that you are not now subject to any covenants against competition or similar covenants or any court order that could affect the performance of your obligations under this agreement. You agree that you will not disclose to or use on behalf of the Company any proprietary information of a third party without that party’s consent.</w:t>
      </w:r>
    </w:p>
    <w:p>
      <w:pPr>
        <w:spacing w:after="0" w:line="171" w:lineRule="exact"/>
        <w:rPr>
          <w:rFonts w:ascii="Arial" w:cs="Arial" w:eastAsia="Arial" w:hAnsi="Arial"/>
          <w:sz w:val="17"/>
          <w:szCs w:val="17"/>
          <w:color w:val="auto"/>
        </w:rPr>
      </w:pPr>
    </w:p>
    <w:p>
      <w:pPr>
        <w:jc w:val="both"/>
        <w:ind w:left="-656" w:firstLine="656"/>
        <w:spacing w:after="0" w:line="264" w:lineRule="auto"/>
        <w:tabs>
          <w:tab w:leader="none" w:pos="72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Forfeiture and/or Repayment of Compensation</w:t>
      </w:r>
      <w:r>
        <w:rPr>
          <w:rFonts w:ascii="Arial" w:cs="Arial" w:eastAsia="Arial" w:hAnsi="Arial"/>
          <w:sz w:val="18"/>
          <w:szCs w:val="18"/>
          <w:color w:val="auto"/>
        </w:rPr>
        <w:t>. You hereby acknowledge and agree that you are subject to any compensation forfeiture or repayment obligations that may apply pursuant to the Sarbanes-Oxley Act of 2002, the Dodd-Frank Wall Street Reform and Consumer Protection Act of 2010, and any applicable Company policy.</w:t>
      </w:r>
    </w:p>
    <w:p>
      <w:pPr>
        <w:spacing w:after="0" w:line="181" w:lineRule="exact"/>
        <w:rPr>
          <w:rFonts w:ascii="Arial" w:cs="Arial" w:eastAsia="Arial" w:hAnsi="Arial"/>
          <w:sz w:val="18"/>
          <w:szCs w:val="18"/>
          <w:color w:val="auto"/>
        </w:rPr>
      </w:pPr>
    </w:p>
    <w:p>
      <w:pPr>
        <w:ind w:left="-656" w:firstLine="656"/>
        <w:spacing w:after="0" w:line="277" w:lineRule="auto"/>
        <w:tabs>
          <w:tab w:leader="none" w:pos="883"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made by the Company under this agreement shall be reduced by any tax or other amounts required to be withheld by the Company under applicable law.</w:t>
      </w:r>
    </w:p>
    <w:p>
      <w:pPr>
        <w:spacing w:after="0" w:line="170" w:lineRule="exact"/>
        <w:rPr>
          <w:rFonts w:ascii="Arial" w:cs="Arial" w:eastAsia="Arial" w:hAnsi="Arial"/>
          <w:sz w:val="18"/>
          <w:szCs w:val="18"/>
          <w:color w:val="auto"/>
        </w:rPr>
      </w:pPr>
    </w:p>
    <w:p>
      <w:pPr>
        <w:jc w:val="both"/>
        <w:ind w:left="-656" w:firstLine="656"/>
        <w:spacing w:after="0" w:line="276" w:lineRule="auto"/>
        <w:tabs>
          <w:tab w:leader="none" w:pos="946"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Neither you nor the Company may make any assignment of this agreement or any interest in it, by operation of law or otherwise, without the prior written consent of the other; provided, however, that the Company may assign its rights and obligations under this agreement without your consent to one of its Affiliates or to any Person with whom the Company shall hereafter affect a reorganization, consolidate with, or merge into or to whom it transfers all or substantially all of its properties or assets. This agreement shall inure to the benefit of and be binding upon you and the Company, and each of your and its respective successors, executors, administrators, heirs and permitted assigns.</w:t>
      </w:r>
    </w:p>
    <w:p>
      <w:pPr>
        <w:spacing w:after="0" w:line="172" w:lineRule="exact"/>
        <w:rPr>
          <w:rFonts w:ascii="Arial" w:cs="Arial" w:eastAsia="Arial" w:hAnsi="Arial"/>
          <w:sz w:val="17"/>
          <w:szCs w:val="17"/>
          <w:color w:val="auto"/>
        </w:rPr>
      </w:pPr>
    </w:p>
    <w:p>
      <w:pPr>
        <w:jc w:val="both"/>
        <w:ind w:left="-656" w:firstLine="656"/>
        <w:spacing w:after="0" w:line="259" w:lineRule="auto"/>
        <w:tabs>
          <w:tab w:leader="none" w:pos="777"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86" w:lineRule="exact"/>
        <w:rPr>
          <w:rFonts w:ascii="Arial" w:cs="Arial" w:eastAsia="Arial" w:hAnsi="Arial"/>
          <w:sz w:val="18"/>
          <w:szCs w:val="18"/>
          <w:color w:val="auto"/>
        </w:rPr>
      </w:pPr>
    </w:p>
    <w:p>
      <w:pPr>
        <w:jc w:val="both"/>
        <w:ind w:left="-656" w:firstLine="656"/>
        <w:spacing w:after="0" w:line="286" w:lineRule="auto"/>
        <w:tabs>
          <w:tab w:leader="none" w:pos="865"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Except as provided in Section 3(e), any dispute or controversy arising with respect to this Agreement and your employment hereunder (whether based on contract or tort or upon any federal, state or local statute, including but not limited to claims asserted under the Age Discrimination in Employment Act, Title VII of the Civil Rights Act of 1964, as amended, any state Fair Employment Practices Act and/or the Americans with Disability Act) shall, at the election of either you or the Company, be submitted to JAMS for resolution in arbitration in accordance with the rules and procedures of JAMS. Either party shall make such election by delivering written notice thereof to the other party at any time (but not later than forty five (45) days after such party receives notice of the commencement of any administrative or regulatory proceeding or the filing of any lawsuit relating to any such dispute or controversy) and thereupon any such dispute or controversy shall be resolved only in accordance with the provisions of this Section 12. Any such proceedings shall take place in New York, New York before a single arbitrator (rather than a panel of arbitrators), pursuant to any streamlined or expedited (rather than a comprehensive) arbitration process, before a non-judicial (rather than a judicial) arbitrator, and in accordance with an arbitration process which, in the judgment of such arbitrator, shall have the effect of reasonably limiting or reducing the cost of such arbitration. The resolution of any such dispute or controversy by the arbitrator appointed in accordance with the procedures of JAMS shall be final and binding. Judgment upon the award rendered by such arbitrator may be entered in any court having jurisdiction thereof, and the parties consent to the jurisdiction of the New York courts for this purpose. If you shall be the prevailing party in such arbitration, the Company shall promptly pay, upon your demand, all reasonable legal fees, court costs and other reasonable costs and expenses incurred by you in any legal action seeking to enforce the award in any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392430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91" w:name="page92"/>
    <w:bookmarkEnd w:id="91"/>
    <w:p>
      <w:pPr>
        <w:ind w:left="1420" w:hanging="764"/>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90" w:lineRule="auto"/>
        <w:tabs>
          <w:tab w:leader="none" w:pos="2266"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This agreement sets forth the entire agreement between you and the Company and replaces all prior and contemporaneous communications, agreements and understandings, written or oral, with respect to the terms and conditions of your employment. This agreement may not be modified or amended, and no breach shall be deemed to be waived, unless agreed to in writing by you and an expressly authorized representative of the Board. The headings and captions in this agreement are for convenience only and in no way define or describe the scope or content of any provision of this agreement. This agreement may be executed in two or more counterparts, each of which shall be an original and all of which together shall constitute one and the same instrument. This is a New York contract and shall be governed and construed in accordance with the laws of the State of New York, without regard to the conflict of laws principles thereof. In the event of any alleged breach or threatened breach of this agreement, the parties hereby consent and submit to the jurisdiction of the federal and state courts in and of the State of New York and to service of legal process in the State of New York.</w:t>
      </w:r>
    </w:p>
    <w:p>
      <w:pPr>
        <w:spacing w:after="0" w:line="166" w:lineRule="exact"/>
        <w:rPr>
          <w:rFonts w:ascii="Arial" w:cs="Arial" w:eastAsia="Arial" w:hAnsi="Arial"/>
          <w:sz w:val="16"/>
          <w:szCs w:val="16"/>
          <w:color w:val="auto"/>
        </w:rPr>
      </w:pPr>
    </w:p>
    <w:p>
      <w:pPr>
        <w:ind w:firstLine="1305"/>
        <w:spacing w:after="0" w:line="277" w:lineRule="auto"/>
        <w:tabs>
          <w:tab w:leader="none" w:pos="2208"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Notwithstanding any other payment schedule provided herein, if you are identified on the date of termination as a “specified employee” within the meaning of Section 409A(a)(2)(B) of the Code, then:</w:t>
      </w:r>
    </w:p>
    <w:p>
      <w:pPr>
        <w:spacing w:after="0" w:line="170" w:lineRule="exact"/>
        <w:rPr>
          <w:rFonts w:ascii="Arial" w:cs="Arial" w:eastAsia="Arial" w:hAnsi="Arial"/>
          <w:sz w:val="18"/>
          <w:szCs w:val="18"/>
          <w:color w:val="auto"/>
        </w:rPr>
      </w:pPr>
    </w:p>
    <w:p>
      <w:pPr>
        <w:jc w:val="both"/>
        <w:ind w:firstLine="1953"/>
        <w:spacing w:after="0" w:line="293" w:lineRule="auto"/>
        <w:tabs>
          <w:tab w:leader="none" w:pos="2709" w:val="left"/>
        </w:tabs>
        <w:numPr>
          <w:ilvl w:val="2"/>
          <w:numId w:val="62"/>
        </w:numPr>
        <w:rPr>
          <w:rFonts w:ascii="Arial" w:cs="Arial" w:eastAsia="Arial" w:hAnsi="Arial"/>
          <w:sz w:val="16"/>
          <w:szCs w:val="16"/>
          <w:color w:val="auto"/>
        </w:rPr>
      </w:pPr>
      <w:r>
        <w:rPr>
          <w:rFonts w:ascii="Arial" w:cs="Arial" w:eastAsia="Arial" w:hAnsi="Arial"/>
          <w:sz w:val="16"/>
          <w:szCs w:val="16"/>
          <w:color w:val="auto"/>
        </w:rPr>
        <w:t>Any payment that is considered nonqualified deferred compensation subject to Section 409A of the Code (including the regulations promulgated thereunder, “Section 409A”), as determined by the Company in its sole discretion, and payable on account of a “separation from service,” will be made on the date that is the earlier of (A) the expiration of the six (6)-month period beginning on the date of your “separation from service”, and (B) your death (the “Delay Period”) to the extent required under Section 409A. Upon the expiration of the Delay Period, all payments delayed pursuant to this subsection (whether they would have otherwise been payable in a single sum or in installments in the absence of such delay) will be paid to you in a lump sum, and all remaining payments due under this agreement will be paid or provided in accordance with the normal payment dates specified for them herein.</w:t>
      </w:r>
    </w:p>
    <w:p>
      <w:pPr>
        <w:spacing w:after="0" w:line="164" w:lineRule="exact"/>
        <w:rPr>
          <w:rFonts w:ascii="Arial" w:cs="Arial" w:eastAsia="Arial" w:hAnsi="Arial"/>
          <w:sz w:val="16"/>
          <w:szCs w:val="16"/>
          <w:color w:val="auto"/>
        </w:rPr>
      </w:pPr>
    </w:p>
    <w:p>
      <w:pPr>
        <w:jc w:val="both"/>
        <w:ind w:firstLine="1953"/>
        <w:spacing w:after="0" w:line="302" w:lineRule="auto"/>
        <w:tabs>
          <w:tab w:leader="none" w:pos="2759" w:val="left"/>
        </w:tabs>
        <w:numPr>
          <w:ilvl w:val="2"/>
          <w:numId w:val="62"/>
        </w:numPr>
        <w:rPr>
          <w:rFonts w:ascii="Arial" w:cs="Arial" w:eastAsia="Arial" w:hAnsi="Arial"/>
          <w:sz w:val="16"/>
          <w:szCs w:val="16"/>
          <w:color w:val="auto"/>
        </w:rPr>
      </w:pPr>
      <w:r>
        <w:rPr>
          <w:rFonts w:ascii="Arial" w:cs="Arial" w:eastAsia="Arial" w:hAnsi="Arial"/>
          <w:sz w:val="16"/>
          <w:szCs w:val="16"/>
          <w:color w:val="auto"/>
        </w:rPr>
        <w:t>You shall pay the cost of any benefits to be provided during the Delay Period that are considered nonqualified deferred compensation subject to Section 409A, as determined by the Company in its sole discretion, and are provided on account of a “separation from service”; the Company shall reimburse you for that portion of the costs that the Company would otherwise have paid or would otherwise have provided upon expiration of the Delay Period, and any remaining benefits shall be reimbursed or provided by the Company in accordance with the procedures specified herein.</w:t>
      </w:r>
    </w:p>
    <w:p>
      <w:pPr>
        <w:spacing w:after="0" w:line="154" w:lineRule="exact"/>
        <w:rPr>
          <w:rFonts w:ascii="Arial" w:cs="Arial" w:eastAsia="Arial" w:hAnsi="Arial"/>
          <w:sz w:val="16"/>
          <w:szCs w:val="16"/>
          <w:color w:val="auto"/>
        </w:rPr>
      </w:pPr>
    </w:p>
    <w:p>
      <w:pPr>
        <w:ind w:firstLine="1305"/>
        <w:spacing w:after="0" w:line="277" w:lineRule="auto"/>
        <w:tabs>
          <w:tab w:leader="none" w:pos="2077" w:val="left"/>
        </w:tabs>
        <w:numPr>
          <w:ilvl w:val="1"/>
          <w:numId w:val="62"/>
        </w:numPr>
        <w:rPr>
          <w:rFonts w:ascii="Arial" w:cs="Arial" w:eastAsia="Arial" w:hAnsi="Arial"/>
          <w:sz w:val="18"/>
          <w:szCs w:val="18"/>
          <w:color w:val="auto"/>
        </w:rPr>
      </w:pPr>
      <w:r>
        <w:rPr>
          <w:rFonts w:ascii="Arial" w:cs="Arial" w:eastAsia="Arial" w:hAnsi="Arial"/>
          <w:sz w:val="18"/>
          <w:szCs w:val="18"/>
          <w:color w:val="auto"/>
        </w:rPr>
        <w:t>For purposes of Section 409A, your right to receive any installment payment pursuant to this agreement will be treated as a right to receive a series of separate and distinct payments.</w:t>
      </w:r>
    </w:p>
    <w:p>
      <w:pPr>
        <w:spacing w:after="0" w:line="170" w:lineRule="exact"/>
        <w:rPr>
          <w:rFonts w:ascii="Arial" w:cs="Arial" w:eastAsia="Arial" w:hAnsi="Arial"/>
          <w:sz w:val="18"/>
          <w:szCs w:val="18"/>
          <w:color w:val="auto"/>
        </w:rPr>
      </w:pPr>
    </w:p>
    <w:p>
      <w:pPr>
        <w:ind w:firstLine="1305"/>
        <w:spacing w:after="0" w:line="277" w:lineRule="auto"/>
        <w:tabs>
          <w:tab w:leader="none" w:pos="2181"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 no event whatsoever will the Company be liable for any additional tax, interest or penalty that may be imposed on you by Section 409A or damages for failing to comply with Section 409A.</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063" w:val="left"/>
        </w:tabs>
        <w:numPr>
          <w:ilvl w:val="1"/>
          <w:numId w:val="62"/>
        </w:numPr>
        <w:rPr>
          <w:rFonts w:ascii="Arial" w:cs="Arial" w:eastAsia="Arial" w:hAnsi="Arial"/>
          <w:sz w:val="18"/>
          <w:szCs w:val="18"/>
          <w:color w:val="auto"/>
        </w:rPr>
      </w:pPr>
      <w:r>
        <w:rPr>
          <w:rFonts w:ascii="Arial" w:cs="Arial" w:eastAsia="Arial" w:hAnsi="Arial"/>
          <w:sz w:val="18"/>
          <w:szCs w:val="18"/>
          <w:color w:val="auto"/>
        </w:rPr>
        <w:t>Whenever a payment under this agreement specifies a payment period with reference to a number of days (e.g., “payment will be made within thirty (30) days following the date of termination”), the actual date of payment within the specified period will be within the sole discretion of the Company.</w:t>
      </w:r>
    </w:p>
    <w:p>
      <w:pPr>
        <w:spacing w:after="0" w:line="181" w:lineRule="exact"/>
        <w:rPr>
          <w:rFonts w:ascii="Arial" w:cs="Arial" w:eastAsia="Arial" w:hAnsi="Arial"/>
          <w:sz w:val="18"/>
          <w:szCs w:val="18"/>
          <w:color w:val="auto"/>
        </w:rPr>
      </w:pPr>
    </w:p>
    <w:p>
      <w:pPr>
        <w:jc w:val="both"/>
        <w:ind w:firstLine="656"/>
        <w:spacing w:after="0" w:line="312" w:lineRule="auto"/>
        <w:tabs>
          <w:tab w:leader="none" w:pos="144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provided for in this agreement shall be in writing and shall be effective when delivered in person or deposited in the United States mail, postage prepaid, and addressed to you at your last known address on the books of the Company or, in the case of the Company, to it at its principal place of business, attention of the Board, or to such other address as either party may specify by notice to the other actually received.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foregoing is acceptable to you, please sign this letter in the space provided and return it to me. We will provide a countersigned copy for your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records.</w:t>
      </w:r>
    </w:p>
    <w:p>
      <w:pPr>
        <w:spacing w:after="0" w:line="21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Sincerely yours,</w:t>
      </w:r>
    </w:p>
    <w:p>
      <w:pPr>
        <w:spacing w:after="0" w:line="200" w:lineRule="exact"/>
        <w:rPr>
          <w:sz w:val="20"/>
          <w:szCs w:val="20"/>
          <w:color w:val="auto"/>
        </w:rPr>
      </w:pPr>
    </w:p>
    <w:p>
      <w:pPr>
        <w:spacing w:after="0" w:line="24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2" w:name="page93"/>
    <w:bookmarkEnd w:id="92"/>
    <w:p>
      <w:pPr>
        <w:spacing w:after="0"/>
        <w:rPr>
          <w:sz w:val="20"/>
          <w:szCs w:val="20"/>
          <w:color w:val="auto"/>
        </w:rPr>
      </w:pPr>
      <w:r>
        <w:rPr>
          <w:rFonts w:ascii="Arial" w:cs="Arial" w:eastAsia="Arial" w:hAnsi="Arial"/>
          <w:sz w:val="16"/>
          <w:szCs w:val="16"/>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6979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May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Dayl W. Pearson, certify that:</w:t>
      </w:r>
    </w:p>
    <w:p>
      <w:pPr>
        <w:spacing w:after="0" w:line="225" w:lineRule="exact"/>
        <w:rPr>
          <w:sz w:val="20"/>
          <w:szCs w:val="20"/>
          <w:color w:val="auto"/>
        </w:rPr>
      </w:pPr>
    </w:p>
    <w:p>
      <w:pPr>
        <w:ind w:left="600" w:hanging="178"/>
        <w:spacing w:after="0"/>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2015 of KCAP Financial, Inc. (the “registrant”);</w:t>
      </w:r>
    </w:p>
    <w:p>
      <w:pPr>
        <w:spacing w:after="0" w:line="225" w:lineRule="exact"/>
        <w:rPr>
          <w:rFonts w:ascii="Arial" w:cs="Arial" w:eastAsia="Arial" w:hAnsi="Arial"/>
          <w:sz w:val="18"/>
          <w:szCs w:val="18"/>
          <w:color w:val="auto"/>
        </w:rPr>
      </w:pPr>
    </w:p>
    <w:p>
      <w:pPr>
        <w:ind w:right="280" w:firstLine="422"/>
        <w:spacing w:after="0" w:line="342" w:lineRule="auto"/>
        <w:tabs>
          <w:tab w:leader="none" w:pos="594"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22"/>
        <w:spacing w:after="0" w:line="308" w:lineRule="auto"/>
        <w:tabs>
          <w:tab w:leader="none" w:pos="594"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422"/>
        <w:spacing w:after="0" w:line="264" w:lineRule="auto"/>
        <w:tabs>
          <w:tab w:leader="none" w:pos="59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8500" w:val="left"/>
        </w:tabs>
        <w:rPr>
          <w:sz w:val="20"/>
          <w:szCs w:val="20"/>
          <w:color w:val="auto"/>
        </w:rPr>
      </w:pPr>
      <w:r>
        <w:rPr>
          <w:rFonts w:ascii="Arial" w:cs="Arial" w:eastAsia="Arial" w:hAnsi="Arial"/>
          <w:sz w:val="18"/>
          <w:szCs w:val="18"/>
          <w:color w:val="auto"/>
        </w:rPr>
        <w:t>Date: May 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-130810</wp:posOffset>
            </wp:positionV>
            <wp:extent cx="2744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Edward U. Gilpin, certify that:</w:t>
      </w:r>
    </w:p>
    <w:p>
      <w:pPr>
        <w:spacing w:after="0" w:line="225" w:lineRule="exact"/>
        <w:rPr>
          <w:sz w:val="20"/>
          <w:szCs w:val="20"/>
          <w:color w:val="auto"/>
        </w:rPr>
      </w:pPr>
    </w:p>
    <w:p>
      <w:pPr>
        <w:ind w:left="600" w:hanging="178"/>
        <w:spacing w:after="0"/>
        <w:tabs>
          <w:tab w:leader="none" w:pos="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2015 of KCAP Financial, Inc. (the “registrant”);</w:t>
      </w:r>
    </w:p>
    <w:p>
      <w:pPr>
        <w:spacing w:after="0" w:line="225" w:lineRule="exact"/>
        <w:rPr>
          <w:rFonts w:ascii="Arial" w:cs="Arial" w:eastAsia="Arial" w:hAnsi="Arial"/>
          <w:sz w:val="18"/>
          <w:szCs w:val="18"/>
          <w:color w:val="auto"/>
        </w:rPr>
      </w:pPr>
    </w:p>
    <w:p>
      <w:pPr>
        <w:ind w:right="280" w:firstLine="422"/>
        <w:spacing w:after="0" w:line="342" w:lineRule="auto"/>
        <w:tabs>
          <w:tab w:leader="none" w:pos="594"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22"/>
        <w:spacing w:after="0" w:line="277" w:lineRule="auto"/>
        <w:tabs>
          <w:tab w:leader="none" w:pos="594"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22"/>
        <w:spacing w:after="0" w:line="264" w:lineRule="auto"/>
        <w:tabs>
          <w:tab w:leader="none" w:pos="59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060" w:val="left"/>
          <w:tab w:leader="none" w:pos="8160" w:val="left"/>
        </w:tabs>
        <w:rPr>
          <w:sz w:val="20"/>
          <w:szCs w:val="20"/>
          <w:color w:val="auto"/>
        </w:rPr>
      </w:pPr>
      <w:r>
        <w:rPr>
          <w:rFonts w:ascii="Arial" w:cs="Arial" w:eastAsia="Arial" w:hAnsi="Arial"/>
          <w:sz w:val="18"/>
          <w:szCs w:val="18"/>
          <w:color w:val="auto"/>
        </w:rPr>
        <w:t>Date: May 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March 31, 2015 (the “Report”), I, Dayl W. Pearson, President and Chief Executive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6740" w:val="left"/>
          <w:tab w:leader="none" w:pos="8500" w:val="left"/>
        </w:tabs>
        <w:rPr>
          <w:sz w:val="20"/>
          <w:szCs w:val="20"/>
          <w:color w:val="auto"/>
        </w:rPr>
      </w:pPr>
      <w:r>
        <w:rPr>
          <w:rFonts w:ascii="Arial" w:cs="Arial" w:eastAsia="Arial" w:hAnsi="Arial"/>
          <w:sz w:val="18"/>
          <w:szCs w:val="18"/>
          <w:color w:val="auto"/>
        </w:rPr>
        <w:t>Date: May 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-130810</wp:posOffset>
            </wp:positionV>
            <wp:extent cx="2744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March 31, 2015 (the “Report”), I, Edward U. Gilpin, Chief Financial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6060" w:val="left"/>
          <w:tab w:leader="none" w:pos="8160" w:val="left"/>
        </w:tabs>
        <w:rPr>
          <w:sz w:val="20"/>
          <w:szCs w:val="20"/>
          <w:color w:val="auto"/>
        </w:rPr>
      </w:pPr>
      <w:r>
        <w:rPr>
          <w:rFonts w:ascii="Arial" w:cs="Arial" w:eastAsia="Arial" w:hAnsi="Arial"/>
          <w:sz w:val="18"/>
          <w:szCs w:val="18"/>
          <w:color w:val="auto"/>
        </w:rPr>
        <w:t>Date: May 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x"/>
      <w:numFmt w:val="bullet"/>
      <w:start w:val="1"/>
    </w:lvl>
  </w:abstractNum>
  <w:abstractNum w:abstractNumId="1">
    <w:nsid w:val="77465F01"/>
    <w:multiLevelType w:val="hybridMultilevel"/>
    <w:lvl w:ilvl="0">
      <w:lvlJc w:val="left"/>
      <w:lvlText w:val="o"/>
      <w:numFmt w:val="bullet"/>
      <w:start w:val="1"/>
    </w:lvl>
  </w:abstractNum>
  <w:abstractNum w:abstractNumId="2">
    <w:nsid w:val="7724C67E"/>
    <w:multiLevelType w:val="hybridMultilevel"/>
    <w:lvl w:ilvl="0">
      <w:lvlJc w:val="left"/>
      <w:lvlText w:val="1"/>
      <w:numFmt w:val="bullet"/>
      <w:start w:val="1"/>
    </w:lvl>
  </w:abstractNum>
  <w:abstractNum w:abstractNumId="3">
    <w:nsid w:val="5C482A97"/>
    <w:multiLevelType w:val="hybridMultilevel"/>
    <w:lvl w:ilvl="0">
      <w:lvlJc w:val="left"/>
      <w:lvlText w:val="2"/>
      <w:numFmt w:val="bullet"/>
      <w:start w:val="1"/>
    </w:lvl>
  </w:abstractNum>
  <w:abstractNum w:abstractNumId="4">
    <w:nsid w:val="2463B9EA"/>
    <w:multiLevelType w:val="hybridMultilevel"/>
    <w:lvl w:ilvl="0">
      <w:lvlJc w:val="left"/>
      <w:lvlText w:val="3"/>
      <w:numFmt w:val="bullet"/>
      <w:start w:val="1"/>
    </w:lvl>
  </w:abstractNum>
  <w:abstractNum w:abstractNumId="5">
    <w:nsid w:val="5E884ADC"/>
    <w:multiLevelType w:val="hybridMultilevel"/>
    <w:lvl w:ilvl="0">
      <w:lvlJc w:val="left"/>
      <w:lvlText w:val="4"/>
      <w:numFmt w:val="bullet"/>
      <w:start w:val="1"/>
    </w:lvl>
  </w:abstractNum>
  <w:abstractNum w:abstractNumId="6">
    <w:nsid w:val="51EAD36B"/>
    <w:multiLevelType w:val="hybridMultilevel"/>
    <w:lvl w:ilvl="0">
      <w:lvlJc w:val="left"/>
      <w:lvlText w:val="5"/>
      <w:numFmt w:val="bullet"/>
      <w:start w:val="1"/>
    </w:lvl>
  </w:abstractNum>
  <w:abstractNum w:abstractNumId="7">
    <w:nsid w:val="2D517796"/>
    <w:multiLevelType w:val="hybridMultilevel"/>
    <w:lvl w:ilvl="0">
      <w:lvlJc w:val="left"/>
      <w:lvlText w:val="6"/>
      <w:numFmt w:val="bullet"/>
      <w:start w:val="1"/>
    </w:lvl>
  </w:abstractNum>
  <w:abstractNum w:abstractNumId="8">
    <w:nsid w:val="580BD78F"/>
    <w:multiLevelType w:val="hybridMultilevel"/>
    <w:lvl w:ilvl="0">
      <w:lvlJc w:val="left"/>
      <w:lvlText w:val="7"/>
      <w:numFmt w:val="bullet"/>
      <w:start w:val="1"/>
    </w:lvl>
  </w:abstractNum>
  <w:abstractNum w:abstractNumId="9">
    <w:nsid w:val="153EA438"/>
    <w:multiLevelType w:val="hybridMultilevel"/>
    <w:lvl w:ilvl="0">
      <w:lvlJc w:val="left"/>
      <w:lvlText w:val="8"/>
      <w:numFmt w:val="bullet"/>
      <w:start w:val="1"/>
    </w:lvl>
  </w:abstractNum>
  <w:abstractNum w:abstractNumId="10">
    <w:nsid w:val="3855585C"/>
    <w:multiLevelType w:val="hybridMultilevel"/>
    <w:lvl w:ilvl="0">
      <w:lvlJc w:val="left"/>
      <w:lvlText w:val="9"/>
      <w:numFmt w:val="bullet"/>
      <w:start w:val="1"/>
    </w:lvl>
  </w:abstractNum>
  <w:abstractNum w:abstractNumId="11">
    <w:nsid w:val="70A64E2A"/>
    <w:multiLevelType w:val="hybridMultilevel"/>
    <w:lvl w:ilvl="0">
      <w:lvlJc w:val="left"/>
      <w:lvlText w:val="%1"/>
      <w:numFmt w:val="decimal"/>
      <w:start w:val="10"/>
    </w:lvl>
  </w:abstractNum>
  <w:abstractNum w:abstractNumId="12">
    <w:nsid w:val="6A2342EC"/>
    <w:multiLevelType w:val="hybridMultilevel"/>
    <w:lvl w:ilvl="0">
      <w:lvlJc w:val="left"/>
      <w:lvlText w:val="1"/>
      <w:numFmt w:val="bullet"/>
      <w:start w:val="1"/>
    </w:lvl>
  </w:abstractNum>
  <w:abstractNum w:abstractNumId="13">
    <w:nsid w:val="2A487CB0"/>
    <w:multiLevelType w:val="hybridMultilevel"/>
    <w:lvl w:ilvl="0">
      <w:lvlJc w:val="left"/>
      <w:lvlText w:val="2"/>
      <w:numFmt w:val="bullet"/>
      <w:start w:val="1"/>
    </w:lvl>
  </w:abstractNum>
  <w:abstractNum w:abstractNumId="14">
    <w:nsid w:val="1D4ED43B"/>
    <w:multiLevelType w:val="hybridMultilevel"/>
    <w:lvl w:ilvl="0">
      <w:lvlJc w:val="left"/>
      <w:lvlText w:val="3"/>
      <w:numFmt w:val="bullet"/>
      <w:start w:val="1"/>
    </w:lvl>
  </w:abstractNum>
  <w:abstractNum w:abstractNumId="15">
    <w:nsid w:val="725A06FB"/>
    <w:multiLevelType w:val="hybridMultilevel"/>
    <w:lvl w:ilvl="0">
      <w:lvlJc w:val="left"/>
      <w:lvlText w:val="4"/>
      <w:numFmt w:val="bullet"/>
      <w:start w:val="1"/>
    </w:lvl>
  </w:abstractNum>
  <w:abstractNum w:abstractNumId="16">
    <w:nsid w:val="2CD89A32"/>
    <w:multiLevelType w:val="hybridMultilevel"/>
    <w:lvl w:ilvl="0">
      <w:lvlJc w:val="left"/>
      <w:lvlText w:val="5"/>
      <w:numFmt w:val="bullet"/>
      <w:start w:val="1"/>
    </w:lvl>
  </w:abstractNum>
  <w:abstractNum w:abstractNumId="17">
    <w:nsid w:val="57E4CCAF"/>
    <w:multiLevelType w:val="hybridMultilevel"/>
    <w:lvl w:ilvl="0">
      <w:lvlJc w:val="left"/>
      <w:lvlText w:val="6"/>
      <w:numFmt w:val="bullet"/>
      <w:start w:val="1"/>
    </w:lvl>
  </w:abstractNum>
  <w:abstractNum w:abstractNumId="18">
    <w:nsid w:val="7A6D8D3C"/>
    <w:multiLevelType w:val="hybridMultilevel"/>
    <w:lvl w:ilvl="0">
      <w:lvlJc w:val="left"/>
      <w:lvlText w:val="7"/>
      <w:numFmt w:val="bullet"/>
      <w:start w:val="1"/>
    </w:lvl>
  </w:abstractNum>
  <w:abstractNum w:abstractNumId="19">
    <w:nsid w:val="4B588F54"/>
    <w:multiLevelType w:val="hybridMultilevel"/>
    <w:lvl w:ilvl="0">
      <w:lvlJc w:val="left"/>
      <w:lvlText w:val="8"/>
      <w:numFmt w:val="bullet"/>
      <w:start w:val="1"/>
    </w:lvl>
  </w:abstractNum>
  <w:abstractNum w:abstractNumId="20">
    <w:nsid w:val="542289EC"/>
    <w:multiLevelType w:val="hybridMultilevel"/>
    <w:lvl w:ilvl="0">
      <w:lvlJc w:val="left"/>
      <w:lvlText w:val="9"/>
      <w:numFmt w:val="bullet"/>
      <w:start w:val="1"/>
    </w:lvl>
  </w:abstractNum>
  <w:abstractNum w:abstractNumId="21">
    <w:nsid w:val="6DE91B18"/>
    <w:multiLevelType w:val="hybridMultilevel"/>
    <w:lvl w:ilvl="0">
      <w:lvlJc w:val="left"/>
      <w:lvlText w:val="%1"/>
      <w:numFmt w:val="decimal"/>
      <w:start w:val="10"/>
    </w:lvl>
  </w:abstractNum>
  <w:abstractNum w:abstractNumId="22">
    <w:nsid w:val="38437FDB"/>
    <w:multiLevelType w:val="hybridMultilevel"/>
    <w:lvl w:ilvl="0">
      <w:lvlJc w:val="left"/>
      <w:lvlText w:val="1"/>
      <w:numFmt w:val="bullet"/>
      <w:start w:val="1"/>
    </w:lvl>
  </w:abstractNum>
  <w:abstractNum w:abstractNumId="23">
    <w:nsid w:val="7644A45C"/>
    <w:multiLevelType w:val="hybridMultilevel"/>
    <w:lvl w:ilvl="0">
      <w:lvlJc w:val="left"/>
      <w:lvlText w:val="2"/>
      <w:numFmt w:val="bullet"/>
      <w:start w:val="1"/>
    </w:lvl>
  </w:abstractNum>
  <w:abstractNum w:abstractNumId="24">
    <w:nsid w:val="32FFF902"/>
    <w:multiLevelType w:val="hybridMultilevel"/>
    <w:lvl w:ilvl="0">
      <w:lvlJc w:val="left"/>
      <w:lvlText w:val="3"/>
      <w:numFmt w:val="bullet"/>
      <w:start w:val="1"/>
    </w:lvl>
  </w:abstractNum>
  <w:abstractNum w:abstractNumId="25">
    <w:nsid w:val="684A481A"/>
    <w:multiLevelType w:val="hybridMultilevel"/>
    <w:lvl w:ilvl="0">
      <w:lvlJc w:val="left"/>
      <w:lvlText w:val="4"/>
      <w:numFmt w:val="bullet"/>
      <w:start w:val="1"/>
    </w:lvl>
  </w:abstractNum>
  <w:abstractNum w:abstractNumId="26">
    <w:nsid w:val="579478FE"/>
    <w:multiLevelType w:val="hybridMultilevel"/>
    <w:lvl w:ilvl="0">
      <w:lvlJc w:val="left"/>
      <w:lvlText w:val="²"/>
      <w:numFmt w:val="bullet"/>
      <w:start w:val="1"/>
    </w:lvl>
  </w:abstractNum>
  <w:abstractNum w:abstractNumId="27">
    <w:nsid w:val="749ABB43"/>
    <w:multiLevelType w:val="hybridMultilevel"/>
    <w:lvl w:ilvl="0">
      <w:lvlJc w:val="left"/>
      <w:lvlText w:val="1"/>
      <w:numFmt w:val="bullet"/>
      <w:start w:val="1"/>
    </w:lvl>
  </w:abstractNum>
  <w:abstractNum w:abstractNumId="28">
    <w:nsid w:val="3DC240FB"/>
    <w:multiLevelType w:val="hybridMultilevel"/>
    <w:lvl w:ilvl="0">
      <w:lvlJc w:val="left"/>
      <w:lvlText w:val="2"/>
      <w:numFmt w:val="bullet"/>
      <w:start w:val="1"/>
    </w:lvl>
  </w:abstractNum>
  <w:abstractNum w:abstractNumId="29">
    <w:nsid w:val="1BA026FA"/>
    <w:multiLevelType w:val="hybridMultilevel"/>
    <w:lvl w:ilvl="0">
      <w:lvlJc w:val="left"/>
      <w:lvlText w:val="3"/>
      <w:numFmt w:val="bullet"/>
      <w:start w:val="1"/>
    </w:lvl>
  </w:abstractNum>
  <w:abstractNum w:abstractNumId="30">
    <w:nsid w:val="79A1DEAA"/>
    <w:multiLevelType w:val="hybridMultilevel"/>
    <w:lvl w:ilvl="0">
      <w:lvlJc w:val="left"/>
      <w:lvlText w:val="¹"/>
      <w:numFmt w:val="bullet"/>
      <w:start w:val="1"/>
    </w:lvl>
  </w:abstractNum>
  <w:abstractNum w:abstractNumId="31">
    <w:nsid w:val="75C6C33A"/>
    <w:multiLevelType w:val="hybridMultilevel"/>
    <w:lvl w:ilvl="0">
      <w:lvlJc w:val="left"/>
      <w:lvlText w:val="(%1)"/>
      <w:numFmt w:val="decimal"/>
      <w:start w:val="1"/>
    </w:lvl>
  </w:abstractNum>
  <w:abstractNum w:abstractNumId="32">
    <w:nsid w:val="12E685FB"/>
    <w:multiLevelType w:val="hybridMultilevel"/>
    <w:lvl w:ilvl="0">
      <w:lvlJc w:val="left"/>
      <w:lvlText w:val="1"/>
      <w:numFmt w:val="bullet"/>
      <w:start w:val="1"/>
    </w:lvl>
  </w:abstractNum>
  <w:abstractNum w:abstractNumId="33">
    <w:nsid w:val="70C6A529"/>
    <w:multiLevelType w:val="hybridMultilevel"/>
    <w:lvl w:ilvl="0">
      <w:lvlJc w:val="left"/>
      <w:lvlText w:val="(%1)"/>
      <w:numFmt w:val="lowerRoman"/>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¹"/>
      <w:numFmt w:val="bullet"/>
      <w:start w:val="1"/>
    </w:lvl>
  </w:abstractNum>
  <w:abstractNum w:abstractNumId="36">
    <w:nsid w:val="4F4EF005"/>
    <w:multiLevelType w:val="hybridMultilevel"/>
    <w:lvl w:ilvl="0">
      <w:lvlJc w:val="left"/>
      <w:lvlText w:val="²"/>
      <w:numFmt w:val="bullet"/>
      <w:start w:val="1"/>
    </w:lvl>
  </w:abstractNum>
  <w:abstractNum w:abstractNumId="37">
    <w:nsid w:val="23F9C13C"/>
    <w:multiLevelType w:val="hybridMultilevel"/>
    <w:lvl w:ilvl="0">
      <w:lvlJc w:val="left"/>
      <w:lvlText w:val="1"/>
      <w:numFmt w:val="bullet"/>
      <w:start w:val="1"/>
    </w:lvl>
  </w:abstractNum>
  <w:abstractNum w:abstractNumId="38">
    <w:nsid w:val="649BB77C"/>
    <w:multiLevelType w:val="hybridMultilevel"/>
    <w:lvl w:ilvl="0">
      <w:lvlJc w:val="left"/>
      <w:lvlText w:val="2"/>
      <w:numFmt w:val="bullet"/>
      <w:start w:val="1"/>
    </w:lvl>
  </w:abstractNum>
  <w:abstractNum w:abstractNumId="39">
    <w:nsid w:val="275AC794"/>
    <w:multiLevelType w:val="hybridMultilevel"/>
    <w:lvl w:ilvl="0">
      <w:lvlJc w:val="left"/>
      <w:lvlText w:val="¹"/>
      <w:numFmt w:val="bullet"/>
      <w:start w:val="1"/>
    </w:lvl>
  </w:abstractNum>
  <w:abstractNum w:abstractNumId="40">
    <w:nsid w:val="39386575"/>
    <w:multiLevelType w:val="hybridMultilevel"/>
    <w:lvl w:ilvl="0">
      <w:lvlJc w:val="left"/>
      <w:lvlText w:val="²"/>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¹"/>
      <w:numFmt w:val="bullet"/>
      <w:start w:val="1"/>
    </w:lvl>
  </w:abstractNum>
  <w:abstractNum w:abstractNumId="44">
    <w:nsid w:val="47398C89"/>
    <w:multiLevelType w:val="hybridMultilevel"/>
    <w:lvl w:ilvl="0">
      <w:lvlJc w:val="left"/>
      <w:lvlText w:val="²"/>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1."/>
      <w:numFmt w:val="decimal"/>
      <w:start w:val="1"/>
    </w:lvl>
    <w:lvl w:ilvl="1">
      <w:lvlJc w:val="left"/>
      <w:lvlText w:val="(%2)"/>
      <w:numFmt w:val="lowerLetter"/>
      <w:start w:val="1"/>
    </w:lvl>
  </w:abstractNum>
  <w:abstractNum w:abstractNumId="49">
    <w:nsid w:val="10233C99"/>
    <w:multiLevelType w:val="hybridMultilevel"/>
    <w:lvl w:ilvl="0">
      <w:lvlJc w:val="left"/>
      <w:lvlText w:val="%1"/>
      <w:numFmt w:val="decimal"/>
      <w:start w:val="1"/>
    </w:lvl>
    <w:lvl w:ilvl="1">
      <w:lvlJc w:val="left"/>
      <w:lvlText w:val="(%2)"/>
      <w:numFmt w:val="lowerLetter"/>
      <w:start w:val="3"/>
    </w:lvl>
  </w:abstractNum>
  <w:abstractNum w:abstractNumId="50">
    <w:nsid w:val="3F6AB60F"/>
    <w:multiLevelType w:val="hybridMultilevel"/>
    <w:lvl w:ilvl="0">
      <w:lvlJc w:val="left"/>
      <w:lvlText w:val="%1."/>
      <w:numFmt w:val="decimal"/>
      <w:start w:val="3"/>
    </w:lvl>
    <w:lvl w:ilvl="1">
      <w:lvlJc w:val="left"/>
      <w:lvlText w:val="(%2)"/>
      <w:numFmt w:val="lowerLetter"/>
      <w:start w:val="1"/>
    </w:lvl>
  </w:abstractNum>
  <w:abstractNum w:abstractNumId="51">
    <w:nsid w:val="61574095"/>
    <w:multiLevelType w:val="hybridMultilevel"/>
    <w:lvl w:ilvl="0">
      <w:lvlJc w:val="left"/>
      <w:lvlText w:val="(%1)"/>
      <w:numFmt w:val="lowerLetter"/>
      <w:start w:val="3"/>
    </w:lvl>
    <w:lvl w:ilvl="1">
      <w:lvlJc w:val="left"/>
      <w:lvlText w:val="(%2)"/>
      <w:numFmt w:val="lowerRoman"/>
      <w:start w:val="1"/>
    </w:lvl>
  </w:abstractNum>
  <w:abstractNum w:abstractNumId="52">
    <w:nsid w:val="7E0C57B1"/>
    <w:multiLevelType w:val="hybridMultilevel"/>
    <w:lvl w:ilvl="0">
      <w:lvlJc w:val="left"/>
      <w:lvlText w:val="%1"/>
      <w:numFmt w:val="decimal"/>
      <w:start w:val="1"/>
    </w:lvl>
    <w:lvl w:ilvl="1">
      <w:lvlJc w:val="left"/>
      <w:lvlText w:val="(%2)"/>
      <w:numFmt w:val="lowerLetter"/>
      <w:start w:val="5"/>
    </w:lvl>
  </w:abstractNum>
  <w:abstractNum w:abstractNumId="53">
    <w:nsid w:val="77AE35EB"/>
    <w:multiLevelType w:val="hybridMultilevel"/>
    <w:lvl w:ilvl="0">
      <w:lvlJc w:val="left"/>
      <w:lvlText w:val="%1."/>
      <w:numFmt w:val="decimal"/>
      <w:start w:val="4"/>
    </w:lvl>
    <w:lvl w:ilvl="1">
      <w:lvlJc w:val="left"/>
      <w:lvlText w:val="(%2)"/>
      <w:numFmt w:val="lowerLetter"/>
      <w:start w:val="1"/>
    </w:lvl>
  </w:abstractNum>
  <w:abstractNum w:abstractNumId="54">
    <w:nsid w:val="579BE4F1"/>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Letter"/>
      <w:start w:val="1"/>
    </w:lvl>
  </w:abstractNum>
  <w:abstractNum w:abstractNumId="55">
    <w:nsid w:val="310C50B3"/>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lvl w:ilvl="3">
      <w:lvlJc w:val="left"/>
      <w:lvlText w:val="(%4)"/>
      <w:numFmt w:val="lowerLetter"/>
      <w:start w:val="9"/>
    </w:lvl>
  </w:abstractNum>
  <w:abstractNum w:abstractNumId="56">
    <w:nsid w:val="5FF87E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7">
    <w:nsid w:val="2F305DE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8">
    <w:nsid w:val="25A70BF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9">
    <w:nsid w:val="1DBABF00"/>
    <w:multiLevelType w:val="hybridMultilevel"/>
    <w:lvl w:ilvl="0">
      <w:lvlJc w:val="left"/>
      <w:lvlText w:val="(%1)"/>
      <w:numFmt w:val="lowerLetter"/>
      <w:start w:val="2"/>
    </w:lvl>
    <w:lvl w:ilvl="1">
      <w:lvlJc w:val="left"/>
      <w:lvlText w:val="(%2)"/>
      <w:numFmt w:val="lowerRoman"/>
      <w:start w:val="1"/>
    </w:lvl>
  </w:abstractNum>
  <w:abstractNum w:abstractNumId="60">
    <w:nsid w:val="4AD084E9"/>
    <w:multiLevelType w:val="hybridMultilevel"/>
    <w:lvl w:ilvl="0">
      <w:lvlJc w:val="left"/>
      <w:lvlText w:val="%1."/>
      <w:numFmt w:val="decimal"/>
      <w:start w:val="7"/>
    </w:lvl>
  </w:abstractNum>
  <w:abstractNum w:abstractNumId="61">
    <w:nsid w:val="1F48EAA1"/>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lowerLetter"/>
      <w:start w:val="1"/>
    </w:lvl>
  </w:abstractNum>
  <w:abstractNum w:abstractNumId="64">
    <w:nsid w:val="100F8FCA"/>
    <w:multiLevelType w:val="hybridMultilevel"/>
    <w:lvl w:ilvl="0">
      <w:lvlJc w:val="left"/>
      <w:lvlText w:val="%1."/>
      <w:numFmt w:val="decimal"/>
      <w:start w:val="5"/>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decimal"/>
      <w:start w:val="5"/>
    </w:lvl>
  </w:abstractNum>
  <w:abstractNum w:abstractNumId="69">
    <w:nsid w:val="799D0247"/>
    <w:multiLevelType w:val="hybridMultilevel"/>
    <w:lvl w:ilvl="0">
      <w:lvlJc w:val="left"/>
      <w:lvlText w:val="(%1)"/>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2019-12-29T17:04:39Z</dcterms:created>
  <dcterms:modified xsi:type="dcterms:W3CDTF">2019-12-29T17:04:39Z</dcterms:modified>
</cp:coreProperties>
</file>