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22860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3920" w:right="1980" w:hanging="3912"/>
        <w:spacing w:after="0" w:line="213"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-318135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460" w:hanging="452"/>
        <w:spacing w:after="0" w:line="216" w:lineRule="auto"/>
        <w:tabs>
          <w:tab w:leader="none" w:pos="4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-146685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7" w:lineRule="exact"/>
        <w:rPr>
          <w:sz w:val="24"/>
          <w:szCs w:val="24"/>
          <w:color w:val="auto"/>
        </w:rPr>
      </w:pPr>
    </w:p>
    <w:p>
      <w:pPr>
        <w:ind w:left="39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814-00735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tbl>
      <w:tblPr>
        <w:tblLayout w:type="fixed"/>
        <w:tblInd w:w="1820" w:type="dxa"/>
        <w:tblCellMar>
          <w:top w:w="0" w:type="dxa"/>
          <w:left w:w="0" w:type="dxa"/>
          <w:bottom w:w="0" w:type="dxa"/>
          <w:right w:w="0" w:type="dxa"/>
        </w:tblCellMar>
      </w:tblPr>
      <w:tr>
        <w:trPr>
          <w:trHeight w:val="194"/>
        </w:trPr>
        <w:tc>
          <w:tcPr>
            <w:tcW w:w="3920" w:type="dxa"/>
            <w:vAlign w:val="bottom"/>
          </w:tcPr>
          <w:p>
            <w:pPr>
              <w:jc w:val="center"/>
              <w:ind w:right="1965"/>
              <w:spacing w:after="0"/>
              <w:rPr>
                <w:sz w:val="20"/>
                <w:szCs w:val="20"/>
                <w:color w:val="auto"/>
              </w:rPr>
            </w:pPr>
            <w:r>
              <w:rPr>
                <w:rFonts w:ascii="Arial" w:cs="Arial" w:eastAsia="Arial" w:hAnsi="Arial"/>
                <w:sz w:val="16"/>
                <w:szCs w:val="16"/>
                <w:b w:val="1"/>
                <w:bCs w:val="1"/>
                <w:color w:val="auto"/>
                <w:w w:val="91"/>
              </w:rPr>
              <w:t>Delaware</w:t>
            </w:r>
          </w:p>
        </w:tc>
        <w:tc>
          <w:tcPr>
            <w:tcW w:w="3460" w:type="dxa"/>
            <w:vAlign w:val="bottom"/>
          </w:tcPr>
          <w:p>
            <w:pPr>
              <w:jc w:val="center"/>
              <w:ind w:left="1965"/>
              <w:spacing w:after="0"/>
              <w:rPr>
                <w:sz w:val="20"/>
                <w:szCs w:val="20"/>
                <w:color w:val="auto"/>
              </w:rPr>
            </w:pPr>
            <w:r>
              <w:rPr>
                <w:rFonts w:ascii="Arial" w:cs="Arial" w:eastAsia="Arial" w:hAnsi="Arial"/>
                <w:sz w:val="16"/>
                <w:szCs w:val="16"/>
                <w:b w:val="1"/>
                <w:bCs w:val="1"/>
                <w:color w:val="auto"/>
                <w:w w:val="91"/>
              </w:rPr>
              <w:t>20-5951150</w:t>
            </w:r>
          </w:p>
        </w:tc>
      </w:tr>
      <w:tr>
        <w:trPr>
          <w:trHeight w:val="148"/>
        </w:trPr>
        <w:tc>
          <w:tcPr>
            <w:tcW w:w="3920" w:type="dxa"/>
            <w:vAlign w:val="bottom"/>
          </w:tcPr>
          <w:p>
            <w:pPr>
              <w:jc w:val="center"/>
              <w:ind w:right="196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left="1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5"/>
              <w:spacing w:after="0"/>
              <w:rPr>
                <w:sz w:val="20"/>
                <w:szCs w:val="20"/>
                <w:color w:val="auto"/>
              </w:rPr>
            </w:pPr>
            <w:r>
              <w:rPr>
                <w:rFonts w:ascii="Arial" w:cs="Arial" w:eastAsia="Arial" w:hAnsi="Arial"/>
                <w:sz w:val="14"/>
                <w:szCs w:val="14"/>
                <w:b w:val="1"/>
                <w:bCs w:val="1"/>
                <w:color w:val="auto"/>
                <w:w w:val="94"/>
              </w:rPr>
              <w:t>incorporation or organization)</w:t>
            </w:r>
          </w:p>
        </w:tc>
        <w:tc>
          <w:tcPr>
            <w:tcW w:w="3460" w:type="dxa"/>
            <w:vAlign w:val="bottom"/>
          </w:tcPr>
          <w:p>
            <w:pPr>
              <w:jc w:val="center"/>
              <w:ind w:left="196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8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17"/>
                <w:szCs w:val="17"/>
                <w:color w:val="auto"/>
              </w:rPr>
            </w:pPr>
          </w:p>
        </w:tc>
      </w:tr>
      <w:tr>
        <w:trPr>
          <w:trHeight w:val="286"/>
        </w:trPr>
        <w:tc>
          <w:tcPr>
            <w:tcW w:w="3680" w:type="dxa"/>
            <w:vAlign w:val="bottom"/>
          </w:tcPr>
          <w:p>
            <w:pPr>
              <w:jc w:val="center"/>
              <w:ind w:left="739"/>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680" w:type="dxa"/>
            <w:vAlign w:val="bottom"/>
            <w:tcBorders>
              <w:top w:val="single" w:sz="8" w:color="auto"/>
            </w:tcBorders>
          </w:tcPr>
          <w:p>
            <w:pPr>
              <w:jc w:val="center"/>
              <w:ind w:left="759"/>
              <w:spacing w:after="0"/>
              <w:rPr>
                <w:sz w:val="20"/>
                <w:szCs w:val="20"/>
                <w:color w:val="auto"/>
              </w:rPr>
            </w:pPr>
            <w:r>
              <w:rPr>
                <w:rFonts w:ascii="Arial" w:cs="Arial" w:eastAsia="Arial" w:hAnsi="Arial"/>
                <w:sz w:val="16"/>
                <w:szCs w:val="16"/>
                <w:color w:val="auto"/>
                <w:w w:val="90"/>
              </w:rPr>
              <w:t>Common Stock, par value $0.01 per share</w:t>
            </w: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PTMN</w:t>
            </w: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r>
        <w:trPr>
          <w:trHeight w:val="206"/>
        </w:trPr>
        <w:tc>
          <w:tcPr>
            <w:tcW w:w="3680" w:type="dxa"/>
            <w:vAlign w:val="bottom"/>
          </w:tcPr>
          <w:p>
            <w:pPr>
              <w:jc w:val="center"/>
              <w:ind w:left="759"/>
              <w:spacing w:after="0"/>
              <w:rPr>
                <w:sz w:val="20"/>
                <w:szCs w:val="20"/>
                <w:color w:val="auto"/>
              </w:rPr>
            </w:pPr>
            <w:r>
              <w:rPr>
                <w:rFonts w:ascii="Arial" w:cs="Arial" w:eastAsia="Arial" w:hAnsi="Arial"/>
                <w:sz w:val="16"/>
                <w:szCs w:val="16"/>
                <w:color w:val="auto"/>
                <w:w w:val="90"/>
              </w:rPr>
              <w:t>6.125% Notes due 2022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color w:val="auto"/>
                <w:w w:val="99"/>
              </w:rPr>
              <w:t>KCAPL</w:t>
            </w:r>
          </w:p>
        </w:tc>
        <w:tc>
          <w:tcPr>
            <w:tcW w:w="3740" w:type="dxa"/>
            <w:vAlign w:val="bottom"/>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55245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ind w:left="380" w:right="2360"/>
        <w:spacing w:after="0" w:line="25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300"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4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200" w:firstLine="374"/>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566" w:right="339" w:bottom="1440" w:gutter="0" w:footer="0" w:header="0"/>
        </w:sectPr>
      </w:pPr>
    </w:p>
    <w:p>
      <w:pPr>
        <w:spacing w:after="0" w:line="51" w:lineRule="exact"/>
        <w:rPr>
          <w:sz w:val="24"/>
          <w:szCs w:val="24"/>
          <w:color w:val="auto"/>
        </w:rPr>
      </w:pPr>
    </w:p>
    <w:p>
      <w:pPr>
        <w:spacing w:after="0" w:line="362" w:lineRule="auto"/>
        <w:rPr>
          <w:sz w:val="20"/>
          <w:szCs w:val="20"/>
          <w:color w:val="auto"/>
        </w:rPr>
      </w:pPr>
      <w:r>
        <w:rPr>
          <w:rFonts w:ascii="Arial" w:cs="Arial" w:eastAsia="Arial" w:hAnsi="Arial"/>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77" w:lineRule="exact"/>
        <w:rPr>
          <w:sz w:val="24"/>
          <w:szCs w:val="24"/>
          <w:color w:val="auto"/>
        </w:rPr>
      </w:pPr>
    </w:p>
    <w:p>
      <w:pPr>
        <w:sectPr>
          <w:pgSz w:w="11900" w:h="16838" w:orient="portrait"/>
          <w:cols w:equalWidth="0" w:num="8">
            <w:col w:w="1840" w:space="140"/>
            <w:col w:w="160" w:space="580"/>
            <w:col w:w="1080" w:space="240"/>
            <w:col w:w="160" w:space="580"/>
            <w:col w:w="1380" w:space="200"/>
            <w:col w:w="1960" w:space="720"/>
            <w:col w:w="1860" w:space="160"/>
            <w:col w:w="180"/>
          </w:cols>
          <w:pgMar w:left="320" w:top="566" w:right="339" w:bottom="1440" w:gutter="0" w:footer="0" w:header="0"/>
          <w:type w:val="continuous"/>
        </w:sectPr>
      </w:pPr>
    </w:p>
    <w:p>
      <w:pPr>
        <w:ind w:right="200"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33" w:lineRule="exact"/>
        <w:rPr>
          <w:sz w:val="24"/>
          <w:szCs w:val="24"/>
          <w:color w:val="auto"/>
        </w:rPr>
      </w:pPr>
    </w:p>
    <w:p>
      <w:pPr>
        <w:ind w:right="44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5"/>
          <w:szCs w:val="15"/>
          <w:color w:val="auto"/>
        </w:rPr>
        <w:t>☐</w:t>
      </w:r>
    </w:p>
    <w:p>
      <w:pPr>
        <w:spacing w:after="0" w:line="4"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260" w:firstLine="374"/>
        <w:spacing w:after="0" w:line="278"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as of June 30, 2020 was approximately $46,617,065 based upon a closing price of $1.10 reported for such date by The NASDAQ Global Select Market. This determination of affiliate status is not necessarily a conclusive determination for other purposes.</w:t>
      </w:r>
    </w:p>
    <w:p>
      <w:pPr>
        <w:spacing w:after="0" w:line="2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The number of outstanding shares of common stock of the registrant as of March 5, 2021 was 75,195,141.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580" w:firstLine="374"/>
        <w:spacing w:after="0" w:line="342" w:lineRule="auto"/>
        <w:rPr>
          <w:sz w:val="20"/>
          <w:szCs w:val="20"/>
          <w:color w:val="auto"/>
        </w:rPr>
      </w:pPr>
      <w:r>
        <w:rPr>
          <w:rFonts w:ascii="Arial" w:cs="Arial" w:eastAsia="Arial" w:hAnsi="Arial"/>
          <w:sz w:val="16"/>
          <w:szCs w:val="16"/>
          <w:color w:val="auto"/>
        </w:rPr>
        <w:t>Portions of the registrant’s definitive proxy statement for the 2021 annual meeting of stockholders to be filed with the Securities and Exchange Commission within 120 days following the end of the registrant’s fiscal year-end are incorporated by reference into Part III of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 this Annual Report on Form 10-K, the “Company”, “Portman Ridge”, “we”, “us” and “our” refer to Portman Ridge Finance Corporation and its wholly-owned subsidiaries, Garrison Funding 2018-2 Ltd. (“GF CLO 2018-2”),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NOTE ABOUT TRADEMARKS</w:t>
      </w:r>
    </w:p>
    <w:p>
      <w:pPr>
        <w:spacing w:after="0" w:line="121"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Portman Ridge Finance Corporation, our logo and other trademarks of Portman Ridge Finance Corporation are the property of Portman Ridge Finance Corporation. All other trademarks or trade names referred to in this Annual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020" w:type="dxa"/>
            <w:vAlign w:val="bottom"/>
          </w:tcPr>
          <w:p>
            <w:pPr>
              <w:ind w:left="3760"/>
              <w:spacing w:after="0"/>
              <w:rPr>
                <w:sz w:val="20"/>
                <w:szCs w:val="20"/>
                <w:color w:val="auto"/>
              </w:rPr>
            </w:pPr>
            <w:r>
              <w:rPr>
                <w:rFonts w:ascii="Arial" w:cs="Arial" w:eastAsia="Arial" w:hAnsi="Arial"/>
                <w:sz w:val="18"/>
                <w:szCs w:val="18"/>
                <w:b w:val="1"/>
                <w:bCs w:val="1"/>
                <w:color w:val="231F20"/>
              </w:rPr>
              <w:t>TABLE OF CONTENTS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9020" w:type="dxa"/>
            <w:vAlign w:val="bottom"/>
            <w:vMerge w:val="restart"/>
          </w:tcPr>
          <w:p>
            <w:pPr>
              <w:jc w:val="center"/>
              <w:ind w:left="710"/>
              <w:spacing w:after="0"/>
              <w:rPr>
                <w:sz w:val="20"/>
                <w:szCs w:val="20"/>
                <w:color w:val="auto"/>
              </w:rPr>
            </w:pPr>
            <w:r>
              <w:rPr>
                <w:rFonts w:ascii="Arial" w:cs="Arial" w:eastAsia="Arial" w:hAnsi="Arial"/>
                <w:sz w:val="18"/>
                <w:szCs w:val="18"/>
                <w:b w:val="1"/>
                <w:bCs w:val="1"/>
                <w:color w:val="auto"/>
              </w:rPr>
              <w:t>Part I</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90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w:t>
            </w:r>
          </w:p>
        </w:tc>
        <w:tc>
          <w:tcPr>
            <w:tcW w:w="902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1A.</w:t>
            </w:r>
          </w:p>
        </w:tc>
        <w:tc>
          <w:tcPr>
            <w:tcW w:w="9020" w:type="dxa"/>
            <w:vAlign w:val="bottom"/>
          </w:tcPr>
          <w:p>
            <w:pPr>
              <w:ind w:left="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1B.</w:t>
            </w:r>
          </w:p>
        </w:tc>
        <w:tc>
          <w:tcPr>
            <w:tcW w:w="9020" w:type="dxa"/>
            <w:vAlign w:val="bottom"/>
          </w:tcPr>
          <w:p>
            <w:pPr>
              <w:ind w:left="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Unresolved Staff Comments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2.</w:t>
            </w:r>
          </w:p>
        </w:tc>
        <w:tc>
          <w:tcPr>
            <w:tcW w:w="9020" w:type="dxa"/>
            <w:vAlign w:val="bottom"/>
          </w:tcPr>
          <w:p>
            <w:pPr>
              <w:ind w:left="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Properties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3.</w:t>
            </w:r>
          </w:p>
        </w:tc>
        <w:tc>
          <w:tcPr>
            <w:tcW w:w="9020" w:type="dxa"/>
            <w:vAlign w:val="bottom"/>
          </w:tcPr>
          <w:p>
            <w:pPr>
              <w:ind w:left="1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231F20"/>
              </w:rPr>
              <w:t>Item 4.</w:t>
            </w:r>
          </w:p>
        </w:tc>
        <w:tc>
          <w:tcPr>
            <w:tcW w:w="9020" w:type="dxa"/>
            <w:vAlign w:val="bottom"/>
          </w:tcPr>
          <w:p>
            <w:pPr>
              <w:ind w:left="1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Mine Safety Disclosures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9020" w:type="dxa"/>
            <w:vAlign w:val="bottom"/>
          </w:tcPr>
          <w:p>
            <w:pPr>
              <w:jc w:val="center"/>
              <w:ind w:left="690"/>
              <w:spacing w:after="0"/>
              <w:rPr>
                <w:sz w:val="20"/>
                <w:szCs w:val="20"/>
                <w:color w:val="auto"/>
              </w:rPr>
            </w:pPr>
            <w:r>
              <w:rPr>
                <w:rFonts w:ascii="Arial" w:cs="Arial" w:eastAsia="Arial" w:hAnsi="Arial"/>
                <w:sz w:val="18"/>
                <w:szCs w:val="18"/>
                <w:b w:val="1"/>
                <w:bCs w:val="1"/>
                <w:color w:val="231F20"/>
              </w:rPr>
              <w:t>Part 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5.</w:t>
            </w:r>
          </w:p>
        </w:tc>
        <w:tc>
          <w:tcPr>
            <w:tcW w:w="9020" w:type="dxa"/>
            <w:vAlign w:val="bottom"/>
          </w:tcPr>
          <w:p>
            <w:pPr>
              <w:ind w:left="140"/>
              <w:spacing w:after="0"/>
              <w:rPr>
                <w:rFonts w:ascii="Arial" w:cs="Arial" w:eastAsia="Arial" w:hAnsi="Arial"/>
                <w:sz w:val="18"/>
                <w:szCs w:val="18"/>
                <w:u w:val="single" w:color="auto"/>
                <w:color w:val="0000EE"/>
                <w:w w:val="99"/>
              </w:rPr>
            </w:pPr>
            <w:hyperlink w:anchor="page47">
              <w:r>
                <w:rPr>
                  <w:rFonts w:ascii="Arial" w:cs="Arial" w:eastAsia="Arial" w:hAnsi="Arial"/>
                  <w:sz w:val="18"/>
                  <w:szCs w:val="18"/>
                  <w:u w:val="single" w:color="auto"/>
                  <w:color w:val="0000EE"/>
                  <w:w w:val="99"/>
                </w:rPr>
                <w:t>Market for Registrant’s Common Equity, Related Stockholder Matters and Issuer Purchases of Equity Securities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6.</w:t>
            </w:r>
          </w:p>
        </w:tc>
        <w:tc>
          <w:tcPr>
            <w:tcW w:w="9020" w:type="dxa"/>
            <w:vAlign w:val="bottom"/>
          </w:tcPr>
          <w:p>
            <w:pPr>
              <w:ind w:left="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Selected Financial Data</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7.</w:t>
            </w:r>
          </w:p>
        </w:tc>
        <w:tc>
          <w:tcPr>
            <w:tcW w:w="902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Management’s Discussion and Analysis of Financial Condition and Results of Operations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7A.</w:t>
            </w:r>
          </w:p>
        </w:tc>
        <w:tc>
          <w:tcPr>
            <w:tcW w:w="9020" w:type="dxa"/>
            <w:vAlign w:val="bottom"/>
          </w:tcPr>
          <w:p>
            <w:pPr>
              <w:ind w:left="1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Quantitative and Qualitative Disclosures About Market Risk</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8.</w:t>
            </w:r>
          </w:p>
        </w:tc>
        <w:tc>
          <w:tcPr>
            <w:tcW w:w="9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Financial Statements and Supplementary Data</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9.</w:t>
            </w:r>
          </w:p>
        </w:tc>
        <w:tc>
          <w:tcPr>
            <w:tcW w:w="9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Changes in and Disagreements with Accountants on Accounting and Financial Disclosure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9A.</w:t>
            </w:r>
          </w:p>
        </w:tc>
        <w:tc>
          <w:tcPr>
            <w:tcW w:w="9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Controls and Procedures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231F20"/>
              </w:rPr>
              <w:t>Item 9B.</w:t>
            </w:r>
          </w:p>
        </w:tc>
        <w:tc>
          <w:tcPr>
            <w:tcW w:w="9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9020" w:type="dxa"/>
            <w:vAlign w:val="bottom"/>
          </w:tcPr>
          <w:p>
            <w:pPr>
              <w:jc w:val="center"/>
              <w:ind w:left="690"/>
              <w:spacing w:after="0"/>
              <w:rPr>
                <w:sz w:val="20"/>
                <w:szCs w:val="20"/>
                <w:color w:val="auto"/>
              </w:rPr>
            </w:pPr>
            <w:r>
              <w:rPr>
                <w:rFonts w:ascii="Arial" w:cs="Arial" w:eastAsia="Arial" w:hAnsi="Arial"/>
                <w:sz w:val="18"/>
                <w:szCs w:val="18"/>
                <w:b w:val="1"/>
                <w:bCs w:val="1"/>
                <w:color w:val="231F20"/>
              </w:rPr>
              <w:t>Part III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10.</w:t>
            </w:r>
          </w:p>
        </w:tc>
        <w:tc>
          <w:tcPr>
            <w:tcW w:w="9020" w:type="dxa"/>
            <w:vAlign w:val="bottom"/>
          </w:tcPr>
          <w:p>
            <w:pPr>
              <w:ind w:left="1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Directors, Executive Officers and Corporate Governance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11.</w:t>
            </w:r>
          </w:p>
        </w:tc>
        <w:tc>
          <w:tcPr>
            <w:tcW w:w="9020" w:type="dxa"/>
            <w:vAlign w:val="bottom"/>
          </w:tcPr>
          <w:p>
            <w:pPr>
              <w:ind w:left="1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Executive Compensation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12.</w:t>
            </w:r>
          </w:p>
        </w:tc>
        <w:tc>
          <w:tcPr>
            <w:tcW w:w="9020" w:type="dxa"/>
            <w:vAlign w:val="bottom"/>
          </w:tcPr>
          <w:p>
            <w:pPr>
              <w:ind w:left="1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Security Ownership of Certain Beneficial Owners and Management and Related Stockholder Matters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13.</w:t>
            </w:r>
          </w:p>
        </w:tc>
        <w:tc>
          <w:tcPr>
            <w:tcW w:w="9020" w:type="dxa"/>
            <w:vAlign w:val="bottom"/>
          </w:tcPr>
          <w:p>
            <w:pPr>
              <w:ind w:left="1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Certain Relationships and Related Transactions, and Director Independence</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231F20"/>
              </w:rPr>
              <w:t>Item 14.</w:t>
            </w:r>
          </w:p>
        </w:tc>
        <w:tc>
          <w:tcPr>
            <w:tcW w:w="9020" w:type="dxa"/>
            <w:vAlign w:val="bottom"/>
          </w:tcPr>
          <w:p>
            <w:pPr>
              <w:ind w:left="1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Principal Accountant Fees and Services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9020" w:type="dxa"/>
            <w:vAlign w:val="bottom"/>
          </w:tcPr>
          <w:p>
            <w:pPr>
              <w:jc w:val="center"/>
              <w:ind w:left="710"/>
              <w:spacing w:after="0"/>
              <w:rPr>
                <w:sz w:val="20"/>
                <w:szCs w:val="20"/>
                <w:color w:val="auto"/>
              </w:rPr>
            </w:pPr>
            <w:r>
              <w:rPr>
                <w:rFonts w:ascii="Arial" w:cs="Arial" w:eastAsia="Arial" w:hAnsi="Arial"/>
                <w:sz w:val="18"/>
                <w:szCs w:val="18"/>
                <w:b w:val="1"/>
                <w:bCs w:val="1"/>
                <w:color w:val="231F20"/>
              </w:rPr>
              <w:t>Part IV</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231F20"/>
              </w:rPr>
              <w:t>Item 15.</w:t>
            </w:r>
          </w:p>
        </w:tc>
        <w:tc>
          <w:tcPr>
            <w:tcW w:w="902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 and Financial Statement Schedules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Signatures</w:t>
              </w:r>
            </w:hyperlink>
          </w:p>
        </w:tc>
        <w:tc>
          <w:tcPr>
            <w:tcW w:w="9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2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Financial Statements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231F20"/>
        </w:rPr>
        <w:t>CAUTIONARY STATEMENT CONCERNING FORWARD-LOOKING STATEMENTS</w:t>
      </w:r>
    </w:p>
    <w:p>
      <w:pPr>
        <w:spacing w:after="0" w:line="229"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i w:val="1"/>
          <w:iCs w:val="1"/>
          <w:color w:val="231F20"/>
        </w:rPr>
        <w:t>This Annual Report on Form 10-K contains forward-looking statements The matters discussed in this Annual Report, as well as in future oral and written statements by the Company,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 “plan,” “anticipate,” “could,” “intend,” “target,” “project,” “contemplate,”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Annual Report should not be regarded as a representation by us that our plans or objectives will be achieved.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231F20"/>
        </w:rPr>
        <w:t>The forward-looking statements contained in this Annual Report on Form 10-K include statements as to:</w:t>
      </w:r>
    </w:p>
    <w:p>
      <w:pPr>
        <w:spacing w:after="0" w:line="117"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future operating results;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business prospects and the prospects of our existing and prospective portfolio companies;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return or impact of current and future investments;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contractual arrangements and other relationships with third parties;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dependence of our future success on the general economy and its impact on the industries in which we invest;</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financial condition and ability of our existing and prospective portfolio companies to achieve their objectives;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expected financings and investments;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regulatory structure and tax treatment;</w:t>
      </w:r>
    </w:p>
    <w:p>
      <w:pPr>
        <w:spacing w:after="0" w:line="130" w:lineRule="exact"/>
        <w:rPr>
          <w:rFonts w:ascii="Arial" w:cs="Arial" w:eastAsia="Arial" w:hAnsi="Arial"/>
          <w:sz w:val="18"/>
          <w:szCs w:val="18"/>
          <w:color w:val="231F20"/>
        </w:rPr>
      </w:pPr>
    </w:p>
    <w:p>
      <w:pPr>
        <w:ind w:left="740" w:right="440" w:hanging="368"/>
        <w:spacing w:after="0" w:line="277" w:lineRule="auto"/>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 xml:space="preserve">our ability to operate as a </w:t>
      </w:r>
      <w:r>
        <w:rPr>
          <w:rFonts w:ascii="Arial" w:cs="Arial" w:eastAsia="Arial" w:hAnsi="Arial"/>
          <w:sz w:val="18"/>
          <w:szCs w:val="18"/>
          <w:i w:val="1"/>
          <w:iCs w:val="1"/>
          <w:color w:val="000000"/>
        </w:rPr>
        <w:t>business development company</w:t>
      </w:r>
      <w:r>
        <w:rPr>
          <w:rFonts w:ascii="Arial" w:cs="Arial" w:eastAsia="Arial" w:hAnsi="Arial"/>
          <w:sz w:val="18"/>
          <w:szCs w:val="18"/>
          <w:i w:val="1"/>
          <w:iCs w:val="1"/>
          <w:color w:val="231F20"/>
        </w:rPr>
        <w:t xml:space="preserve"> and a regulated investment company, including the impact of changes in laws or regulations governing our operations or the operations of our portfolio companies;</w:t>
      </w:r>
    </w:p>
    <w:p>
      <w:pPr>
        <w:spacing w:after="0" w:line="62"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adequacy of our cash resources and working capital;</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timing of cash flows, if any, from the operations of our portfolio companies;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impact of a protracted decline in the liquidity of credit markets on our business;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impact of fluctuations in interest rates on our business;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valuation of our investments in portfolio companies, particularly those having no liquid trading market;</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our ability to recover unrealized losses;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market conditions and our ability to access additional capital; and</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3"/>
        </w:numPr>
        <w:rPr>
          <w:rFonts w:ascii="Arial" w:cs="Arial" w:eastAsia="Arial" w:hAnsi="Arial"/>
          <w:sz w:val="18"/>
          <w:szCs w:val="18"/>
          <w:color w:val="231F20"/>
        </w:rPr>
      </w:pPr>
      <w:r>
        <w:rPr>
          <w:rFonts w:ascii="Arial" w:cs="Arial" w:eastAsia="Arial" w:hAnsi="Arial"/>
          <w:sz w:val="18"/>
          <w:szCs w:val="18"/>
          <w:i w:val="1"/>
          <w:iCs w:val="1"/>
          <w:color w:val="231F20"/>
        </w:rPr>
        <w:t>the timing, form and amount of any dividend distributions.</w:t>
      </w:r>
    </w:p>
    <w:p>
      <w:pPr>
        <w:spacing w:after="0" w:line="131"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i w:val="1"/>
          <w:iCs w:val="1"/>
          <w:color w:val="231F20"/>
        </w:rPr>
        <w:t>For a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231F20"/>
        </w:rPr>
        <w:t>PART 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3"/>
          <w:szCs w:val="13"/>
          <w:b w:val="1"/>
          <w:bCs w:val="1"/>
          <w:i w:val="1"/>
          <w:iCs w:val="1"/>
          <w:color w:val="231F20"/>
        </w:rPr>
        <w:t>Business</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 this Annual Report on Form 10-K, the “Company”, “Portman Ridge”, “we”, “us” and “our” refer to Portman Ridge Finance Corporation and its wholly-owned subsidiaries,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89" w:lineRule="exact"/>
        <w:rPr>
          <w:sz w:val="20"/>
          <w:szCs w:val="20"/>
          <w:color w:val="auto"/>
        </w:rPr>
      </w:pPr>
    </w:p>
    <w:p>
      <w:pPr>
        <w:ind w:right="200" w:firstLine="374"/>
        <w:spacing w:after="0" w:line="268" w:lineRule="auto"/>
        <w:rPr>
          <w:sz w:val="20"/>
          <w:szCs w:val="20"/>
          <w:color w:val="auto"/>
        </w:rPr>
      </w:pPr>
      <w:r>
        <w:rPr>
          <w:rFonts w:ascii="Arial" w:cs="Arial" w:eastAsia="Arial" w:hAnsi="Arial"/>
          <w:sz w:val="17"/>
          <w:szCs w:val="17"/>
          <w:color w:val="auto"/>
        </w:rPr>
        <w:t>We are an externally managed, non-diversified closed-end investment company that has elected to be regulated as a business development company (“BDC”) under the Investment Company Act of 1940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3"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56"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8" w:lineRule="exact"/>
        <w:rPr>
          <w:sz w:val="20"/>
          <w:szCs w:val="20"/>
          <w:color w:val="auto"/>
        </w:rPr>
      </w:pPr>
    </w:p>
    <w:p>
      <w:pPr>
        <w:ind w:right="220" w:firstLine="374"/>
        <w:spacing w:after="0" w:line="272"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69"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41"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 xml:space="preserve">Our investment portfolio (excluding our investments in the CLO Funds, Joint Venture and short-term investments) at </w:t>
      </w:r>
      <w:r>
        <w:rPr>
          <w:rFonts w:ascii="Arial" w:cs="Arial" w:eastAsia="Arial" w:hAnsi="Arial"/>
          <w:sz w:val="18"/>
          <w:szCs w:val="18"/>
          <w:color w:val="231F20"/>
        </w:rPr>
        <w:t>December 31, 2020</w:t>
      </w:r>
      <w:r>
        <w:rPr>
          <w:rFonts w:ascii="Arial" w:cs="Arial" w:eastAsia="Arial" w:hAnsi="Arial"/>
          <w:sz w:val="18"/>
          <w:szCs w:val="18"/>
          <w:color w:val="auto"/>
        </w:rPr>
        <w:t xml:space="preserve"> was spread across 28 different industries and 121 different entities with an average par balance per entity of approximately $3.8 million. Our investment portfolio totaled $486.6 million at fair value as of </w:t>
      </w:r>
      <w:r>
        <w:rPr>
          <w:rFonts w:ascii="Arial" w:cs="Arial" w:eastAsia="Arial" w:hAnsi="Arial"/>
          <w:sz w:val="18"/>
          <w:szCs w:val="18"/>
          <w:color w:val="231F20"/>
        </w:rPr>
        <w:t>December 31, 2020</w:t>
      </w:r>
      <w:r>
        <w:rPr>
          <w:rFonts w:ascii="Arial" w:cs="Arial" w:eastAsia="Arial" w:hAnsi="Arial"/>
          <w:sz w:val="18"/>
          <w:szCs w:val="18"/>
          <w:color w:val="auto"/>
        </w:rPr>
        <w:t>.</w:t>
      </w:r>
    </w:p>
    <w:p>
      <w:pPr>
        <w:spacing w:after="0" w:line="76"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70" w:lineRule="exact"/>
        <w:rPr>
          <w:sz w:val="20"/>
          <w:szCs w:val="20"/>
          <w:color w:val="auto"/>
        </w:rPr>
      </w:pPr>
    </w:p>
    <w:p>
      <w:pPr>
        <w:ind w:right="100" w:firstLine="374"/>
        <w:spacing w:after="0" w:line="342" w:lineRule="auto"/>
        <w:rPr>
          <w:sz w:val="20"/>
          <w:szCs w:val="20"/>
          <w:color w:val="auto"/>
        </w:rPr>
      </w:pPr>
      <w:r>
        <w:rPr>
          <w:rFonts w:ascii="Arial" w:cs="Arial" w:eastAsia="Arial" w:hAnsi="Arial"/>
          <w:sz w:val="16"/>
          <w:szCs w:val="16"/>
          <w:color w:val="auto"/>
        </w:rPr>
        <w:t>We have elected to be treated for U.S. federal income tax purposes as a regulated investment company (“RIC”) under the Internal Revenue Code of 1986, as amended (the “Code”) and intend to operate in a manner to maintain our RIC status. See “-Taxation as a Regulated Investment Company” below.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231F20"/>
        </w:rPr>
        <w:t>The Externalization</w:t>
      </w:r>
    </w:p>
    <w:p>
      <w:pPr>
        <w:spacing w:after="0" w:line="117" w:lineRule="exact"/>
        <w:rPr>
          <w:sz w:val="20"/>
          <w:szCs w:val="20"/>
          <w:color w:val="auto"/>
        </w:rPr>
      </w:pPr>
    </w:p>
    <w:p>
      <w:pPr>
        <w:ind w:right="280" w:firstLine="374"/>
        <w:spacing w:after="0" w:line="279" w:lineRule="auto"/>
        <w:rPr>
          <w:sz w:val="20"/>
          <w:szCs w:val="20"/>
          <w:color w:val="auto"/>
        </w:rPr>
      </w:pPr>
      <w:r>
        <w:rPr>
          <w:rFonts w:ascii="Arial" w:cs="Arial" w:eastAsia="Arial" w:hAnsi="Arial"/>
          <w:sz w:val="17"/>
          <w:szCs w:val="17"/>
          <w:color w:val="auto"/>
        </w:rPr>
        <w:t>On April 1, 2019 (the “Closing”), we became externally managed (the “Externalization”) by Sierra Crest Investment Management LLC (the “Adviser”), an affiliate of BC Partners LLP, (“BC Partners”),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spacing w:after="0" w:line="63"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and in November 2020, the Adviser purchased approximately $570 thousand newly issued shares of our common stock in connection therewith.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73"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On December 12, 2018, prior to externalization, we and BCP entered into a letter agreement (the “Asset Purchase Letter Agreement”) pursuant to which we and BCP each agreed to use commercially reasonable efforts to effect the sale by BCP (or its affiliates or advisory clients of its affiliates), in one or more transactions, of certain assets held by BCP (or its affiliates or advisory clients thereof) that, taken together, have an aggregate principal amount of approximately $75 million, less $25 million of aggregate amount of capital contributions made by us to the BCP Great Lakes Fund. In the second quarter of 2019 BCP’s obligations under the Asset Purchase Letter Agreement were satisfied.</w:t>
      </w:r>
    </w:p>
    <w:p>
      <w:pPr>
        <w:spacing w:after="0" w:line="68"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231F20"/>
        </w:rPr>
        <w:t>On the date of the Closing, we changed our name from KCAP Financial, Inc. to Portman Ridge Finance Corporation and on April 2, 2019, began trading on the NASDAQ Global Select Market under the symbol “PTMN.”</w:t>
      </w:r>
    </w:p>
    <w:p>
      <w:pPr>
        <w:spacing w:after="0" w:line="62"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231F20"/>
        </w:rPr>
        <w:t>In connection with the Closing, all of our then-current directors resigned from their positions on our Board of Directors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OHAI Transaction</w:t>
      </w:r>
    </w:p>
    <w:p>
      <w:pPr>
        <w:spacing w:after="0" w:line="117"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GARS Transaction</w:t>
      </w:r>
    </w:p>
    <w:p>
      <w:pPr>
        <w:spacing w:after="0" w:line="117"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On June 24, 2020, we entered into an Agreement and Plan of Merger (the “GARS Merger Agreement”) with Garrison Capital Inc., a publicly traded BDC (“GARS”), the Adviser and a wholly-owned merger subsidiary of the Company (such transaction, the “GARS Acquisition”), and on October 28, 2020 we completed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8" w:lineRule="exact"/>
        <w:rPr>
          <w:sz w:val="20"/>
          <w:szCs w:val="20"/>
          <w:color w:val="auto"/>
        </w:rPr>
      </w:pPr>
    </w:p>
    <w:p>
      <w:pPr>
        <w:jc w:val="center"/>
        <w:ind w:right="200"/>
        <w:spacing w:after="0" w:line="291" w:lineRule="auto"/>
        <w:rPr>
          <w:sz w:val="20"/>
          <w:szCs w:val="20"/>
          <w:color w:val="auto"/>
        </w:rPr>
      </w:pPr>
      <w:r>
        <w:rPr>
          <w:rFonts w:ascii="Arial" w:cs="Arial" w:eastAsia="Arial" w:hAnsi="Arial"/>
          <w:sz w:val="16"/>
          <w:szCs w:val="16"/>
          <w:color w:val="auto"/>
        </w:rPr>
        <w:t>In accordance with the terms of the GARS Merger Agreement, each share of common stock, par value $0.001 per share, of GARS (the “GARS Common Stock”) issued and outstanding was converted into the right to receive (i) an amount in cash, without interest, equal to approximately $1.19 and</w:t>
      </w:r>
    </w:p>
    <w:p>
      <w:pPr>
        <w:ind w:right="60" w:firstLine="8"/>
        <w:spacing w:after="0" w:line="273"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 In connection with the closing of the GARS Acquisition, the Board approved an increase in the size of the Board from seven members to nine members, and appointed each of Matthew Westwood and Joseph Morea to serve on the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Proposed HCAP Transaction</w:t>
      </w:r>
    </w:p>
    <w:p>
      <w:pPr>
        <w:spacing w:after="0" w:line="117"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On December 23, 2020, we entered into an Agreement and Plan of Merger (the “HCAP Merger Agreement”) with Harvest Capital Credit Corporation, a publicly traded BDC (“HCAP”), the Adviser and a wholly-owned merger subsidiary of the Company (such transaction, the “HCAP Acquisition”). Under the terms of the HCAP Merger Agreement and in connection with the proposed HCAP Acquisition, our wholly owned merger subsidiary will merge with and into HCAP, with HCAP surviving the merger as our wholly owned subsidiary, and immediately thereafter and as a single integrated transaction, HCAP will consummate a second merger, whereby HCAP will merge with and into us, with the Company surviving the merger.</w:t>
      </w:r>
    </w:p>
    <w:p>
      <w:pPr>
        <w:spacing w:after="0" w:line="53" w:lineRule="exact"/>
        <w:rPr>
          <w:sz w:val="20"/>
          <w:szCs w:val="20"/>
          <w:color w:val="auto"/>
        </w:rPr>
      </w:pPr>
    </w:p>
    <w:p>
      <w:pPr>
        <w:jc w:val="both"/>
        <w:ind w:right="120" w:firstLine="374"/>
        <w:spacing w:after="0" w:line="301" w:lineRule="auto"/>
        <w:rPr>
          <w:sz w:val="20"/>
          <w:szCs w:val="20"/>
          <w:color w:val="auto"/>
        </w:rPr>
      </w:pPr>
      <w:r>
        <w:rPr>
          <w:rFonts w:ascii="Arial" w:cs="Arial" w:eastAsia="Arial" w:hAnsi="Arial"/>
          <w:sz w:val="16"/>
          <w:szCs w:val="16"/>
          <w:color w:val="auto"/>
        </w:rPr>
        <w:t>Under the terms of the proposed transaction, HCAP stockholders will receive a combination of (i) shares of the Company’s common stock valued at 100% of its net asset value per share at the time of closing of the transaction in an aggregate number equal to HCAP’s net asset value at closing, (ii) to the extent that the number of shares of the Company’s common stock exceeds 19.9% of the issued and outstanding shares of the Company’s common stock, a cash consideration in the amount of such excess, and (iii) an additional cash payment from the Adviser of $2.15 million in the aggregate.</w:t>
      </w:r>
    </w:p>
    <w:p>
      <w:pPr>
        <w:spacing w:after="0" w:line="49" w:lineRule="exact"/>
        <w:rPr>
          <w:sz w:val="20"/>
          <w:szCs w:val="20"/>
          <w:color w:val="auto"/>
        </w:rPr>
      </w:pPr>
    </w:p>
    <w:p>
      <w:pPr>
        <w:jc w:val="both"/>
        <w:ind w:right="320" w:firstLine="374"/>
        <w:spacing w:after="0" w:line="259" w:lineRule="auto"/>
        <w:rPr>
          <w:sz w:val="20"/>
          <w:szCs w:val="20"/>
          <w:color w:val="auto"/>
        </w:rPr>
      </w:pPr>
      <w:r>
        <w:rPr>
          <w:rFonts w:ascii="Arial" w:cs="Arial" w:eastAsia="Arial" w:hAnsi="Arial"/>
          <w:sz w:val="18"/>
          <w:szCs w:val="18"/>
          <w:color w:val="auto"/>
        </w:rPr>
        <w:t>The exchange ratio for the stock component of the merger will be determined by the net asset value of HCAP and the Company as of the closing, calculated as of 5:00 p.m. New York City time two days prior to the closing of the transaction. In addition to approval by HCAP’s and the Company’s respective stockholders, the closing of the merger is subject to customary conditions. We currently expect the transaction to be completed in the second calendar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Asset Manager Affiliates</w:t>
      </w:r>
    </w:p>
    <w:p>
      <w:pPr>
        <w:spacing w:after="0" w:line="117"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231F20"/>
        </w:rPr>
        <w:t>On December 31, 2018 pursuant to an agreement with LibreMax Intermediate Holdings, LP (“LibreMax”), our wholly-owned subsidiary Commodore Holdings, LLC (“Commodore”) sold Katonah Debt Advisors, L.L.C. (“Katonah Debt Advisors”), Trimaran Advisors, L.L.C. (“Trimaran Advisors”), and Trimaran Advisors Management, L.L.C. (“Trimaran Advisors Management” and, together with Katonah Debt Advisors and Trimaran Advisors, the “Disposed Manager Affiliates”) to LibreMax for a cash purchase price of approximately $37.9 million The Disposed Manager Affiliates manage certain CLO Funds.</w:t>
      </w:r>
    </w:p>
    <w:p>
      <w:pPr>
        <w:spacing w:after="0" w:line="80" w:lineRule="exact"/>
        <w:rPr>
          <w:sz w:val="20"/>
          <w:szCs w:val="20"/>
          <w:color w:val="auto"/>
        </w:rPr>
      </w:pPr>
    </w:p>
    <w:p>
      <w:pPr>
        <w:ind w:right="420" w:firstLine="374"/>
        <w:spacing w:after="0" w:line="259" w:lineRule="auto"/>
        <w:rPr>
          <w:sz w:val="20"/>
          <w:szCs w:val="20"/>
          <w:color w:val="auto"/>
        </w:rPr>
      </w:pPr>
      <w:r>
        <w:rPr>
          <w:rFonts w:ascii="Arial" w:cs="Arial" w:eastAsia="Arial" w:hAnsi="Arial"/>
          <w:sz w:val="18"/>
          <w:szCs w:val="18"/>
          <w:color w:val="auto"/>
        </w:rPr>
        <w:t>As of December 31, 2020, our remaining asset management affiliates (the “Asset Manager Affiliates”) were comprised of Commodore, Katonah Management Holdings, LLC, Katonah X Management LLC (“Katonah X Management”), Katonah 2007-1 Management, LLC (“Katonah 2007-I Management”) and KCAP Management, LLC. Katonah X Management and Katonah 2007-1 Management have no operations and are expected to be liquidated.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BC Partners’ Corporate Information</w:t>
      </w:r>
    </w:p>
    <w:p>
      <w:pPr>
        <w:spacing w:after="0" w:line="121"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231F20"/>
        </w:rPr>
        <w:t>BC Partners’ principal executive offices are located at 650 Madison Avenue, 23rd Floor, New York, New York 10022, and our telephone number is (212) 891-2880.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Available Information</w:t>
      </w:r>
    </w:p>
    <w:p>
      <w:pPr>
        <w:spacing w:after="0" w:line="121"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231F20"/>
        </w:rPr>
        <w:t xml:space="preserve">We maintain a website on the Internet at </w:t>
      </w:r>
      <w:r>
        <w:rPr>
          <w:rFonts w:ascii="Arial" w:cs="Arial" w:eastAsia="Arial" w:hAnsi="Arial"/>
          <w:sz w:val="17"/>
          <w:szCs w:val="17"/>
          <w:i w:val="1"/>
          <w:iCs w:val="1"/>
          <w:color w:val="231F20"/>
        </w:rPr>
        <w:t>http://</w:t>
      </w:r>
      <w:r>
        <w:rPr>
          <w:rFonts w:ascii="Arial" w:cs="Arial" w:eastAsia="Arial" w:hAnsi="Arial"/>
          <w:sz w:val="17"/>
          <w:szCs w:val="17"/>
          <w:color w:val="231F20"/>
        </w:rPr>
        <w:t xml:space="preserve"> </w:t>
      </w:r>
      <w:r>
        <w:rPr>
          <w:rFonts w:ascii="Arial" w:cs="Arial" w:eastAsia="Arial" w:hAnsi="Arial"/>
          <w:sz w:val="17"/>
          <w:szCs w:val="17"/>
          <w:u w:val="single" w:color="auto"/>
          <w:color w:val="231F20"/>
        </w:rPr>
        <w:t>www.portmanridge.com.</w:t>
      </w:r>
      <w:r>
        <w:rPr>
          <w:rFonts w:ascii="Arial" w:cs="Arial" w:eastAsia="Arial" w:hAnsi="Arial"/>
          <w:sz w:val="17"/>
          <w:szCs w:val="17"/>
          <w:color w:val="231F20"/>
        </w:rPr>
        <w:t xml:space="preserve"> The information contained in our website is not incorporated by reference into this Annual Report. We make copies of our periodic and current reports and other information meeting the informational requirements of the Securities Exchange Act of 1934 (the “Exchange Act”) available on the Investor Relations-SEC Filings section of our website free of charge as soon as reasonably practicable after we electronically file the information with, or furnish it to, the SEC. The SEC maintains an Internet site at </w:t>
      </w:r>
      <w:r>
        <w:rPr>
          <w:rFonts w:ascii="Arial" w:cs="Arial" w:eastAsia="Arial" w:hAnsi="Arial"/>
          <w:sz w:val="17"/>
          <w:szCs w:val="17"/>
          <w:u w:val="single" w:color="auto"/>
          <w:color w:val="231F20"/>
        </w:rPr>
        <w:t>http://www.sec.gov</w:t>
      </w:r>
      <w:r>
        <w:rPr>
          <w:rFonts w:ascii="Arial" w:cs="Arial" w:eastAsia="Arial" w:hAnsi="Arial"/>
          <w:sz w:val="17"/>
          <w:szCs w:val="17"/>
          <w:color w:val="231F20"/>
        </w:rPr>
        <w:t xml:space="preserve"> that contains reports, proxy and information statements and other information filed electronically by us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Investment Portfolio</w:t>
      </w:r>
    </w:p>
    <w:p>
      <w:pPr>
        <w:spacing w:after="0" w:line="121"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231F20"/>
        </w:rPr>
        <w:t>Our investment portfolio generates investment income, which is generally used to pay principal and interest on our borrowings, our operating expenses, and to fund distributions to our stockholders. Our investment portfolio consists primarily of our Debt Securities Portfolio, investments in joint ventures and investments in CLO Fund Securities.</w:t>
      </w:r>
    </w:p>
    <w:p>
      <w:pPr>
        <w:spacing w:after="0" w:line="76"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i w:val="1"/>
          <w:iCs w:val="1"/>
          <w:color w:val="231F20"/>
        </w:rPr>
        <w:t xml:space="preserve">Debt Securities Portfolio. </w:t>
      </w:r>
      <w:r>
        <w:rPr>
          <w:rFonts w:ascii="Arial" w:cs="Arial" w:eastAsia="Arial" w:hAnsi="Arial"/>
          <w:sz w:val="18"/>
          <w:szCs w:val="18"/>
          <w:color w:val="231F20"/>
        </w:rPr>
        <w:t>We target privately-held middle market companies that have strong historical cash flows, experienced management teams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identifiable and defendable market positions in industries with positive dynamics. We generally target companies that generate positive cash flows because we look to cash flows as the primary source for servicing debt.</w:t>
      </w:r>
    </w:p>
    <w:p>
      <w:pPr>
        <w:spacing w:after="0" w:line="7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231F20"/>
        </w:rPr>
        <w:t>We employ a disciplined approach in the selection and monitoring of our investments. Generally, we target investments that will generate a current return through interest income to provide for stability in our shareholder distributions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by following our internal credit policies and procedures.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 w:name="page8"/>
    <w:bookmarkEnd w:id="7"/>
    <w:p>
      <w:pPr>
        <w:ind w:right="20" w:firstLine="374"/>
        <w:spacing w:after="0" w:line="287" w:lineRule="auto"/>
        <w:rPr>
          <w:sz w:val="20"/>
          <w:szCs w:val="20"/>
          <w:color w:val="auto"/>
        </w:rPr>
      </w:pPr>
      <w:r>
        <w:rPr>
          <w:rFonts w:ascii="Arial" w:cs="Arial" w:eastAsia="Arial" w:hAnsi="Arial"/>
          <w:sz w:val="16"/>
          <w:szCs w:val="16"/>
          <w:color w:val="231F20"/>
        </w:rPr>
        <w:t>When we extend senior and junior secured term loans, we will generally take a security interest in the available assets of the portfolio company, including the equity interests of its subsidiaries, which we expect 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originated or warrants to purchase equity at a future date at a fixed cost. Mezzanine debt generally earns a higher return than senior secured debt due to its higher risk profile and usually less restrictive covenants. From time to time we may receive warrants in connection with a mezzanine debt investment. The warrants associated with mezzanine debt are typically detachable, which allows lenders to receive repayment of their principal on an agreed amortization schedule on the debt security while retaining an equity interest in the borrower. Mezzanine debt with warrants also may include a “put” feature, which permits the holder to sell its equity interest back to the borrower at a price determined through an agreed formula.</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Below are summary attributes for our Debt Securities Portfolio as of and for the year ended December 31, 2020:</w:t>
      </w:r>
    </w:p>
    <w:p>
      <w:pPr>
        <w:spacing w:after="0" w:line="117"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represented approximately 83% of total investment portfolio;</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contained credit instruments issued by corporate borrowers;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primarily comprised of senior secured and junior secured loans (81% and 19% of Debt Securities Portfolio, respectively);</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spread across 28 different industries and 109 different entities;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average par balance per investment of approximately $3.1 million;</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eight investments were on non-accrual status; and</w:t>
      </w:r>
    </w:p>
    <w:p>
      <w:pPr>
        <w:spacing w:after="0" w:line="130" w:lineRule="exact"/>
        <w:rPr>
          <w:rFonts w:ascii="Arial" w:cs="Arial" w:eastAsia="Arial" w:hAnsi="Arial"/>
          <w:sz w:val="18"/>
          <w:szCs w:val="18"/>
          <w:color w:val="auto"/>
        </w:rPr>
      </w:pPr>
    </w:p>
    <w:p>
      <w:pPr>
        <w:ind w:left="740" w:right="300" w:hanging="368"/>
        <w:spacing w:after="0" w:line="30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 xml:space="preserve">the weighted average contractual interest rate on our loans and debt securities was approximately </w:t>
      </w:r>
      <w:r>
        <w:rPr>
          <w:rFonts w:ascii="Arial" w:cs="Arial" w:eastAsia="Arial" w:hAnsi="Arial"/>
          <w:sz w:val="17"/>
          <w:szCs w:val="17"/>
          <w:color w:val="000000"/>
        </w:rPr>
        <w:t>7.8%</w:t>
      </w:r>
      <w:r>
        <w:rPr>
          <w:rFonts w:ascii="Arial" w:cs="Arial" w:eastAsia="Arial" w:hAnsi="Arial"/>
          <w:sz w:val="17"/>
          <w:szCs w:val="17"/>
          <w:color w:val="231F20"/>
        </w:rPr>
        <w:t>, and the weighted average contractual interest rate on our loans and debt securities, adjusted for non-accrual investments, was approximately 7.7%.</w:t>
      </w:r>
    </w:p>
    <w:p>
      <w:pPr>
        <w:spacing w:after="0" w:line="38" w:lineRule="exact"/>
        <w:rPr>
          <w:sz w:val="20"/>
          <w:szCs w:val="20"/>
          <w:color w:val="auto"/>
        </w:rPr>
      </w:pPr>
    </w:p>
    <w:p>
      <w:pPr>
        <w:ind w:right="320" w:firstLine="374"/>
        <w:spacing w:after="0" w:line="286" w:lineRule="auto"/>
        <w:rPr>
          <w:sz w:val="20"/>
          <w:szCs w:val="20"/>
          <w:color w:val="auto"/>
        </w:rPr>
      </w:pPr>
      <w:r>
        <w:rPr>
          <w:rFonts w:ascii="Arial" w:cs="Arial" w:eastAsia="Arial" w:hAnsi="Arial"/>
          <w:sz w:val="17"/>
          <w:szCs w:val="17"/>
          <w:color w:val="231F20"/>
        </w:rPr>
        <w:t>Our Debt Securities Portfolio investments generally range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The size of our investments and maturity dates may vary as follows:</w:t>
      </w:r>
    </w:p>
    <w:p>
      <w:pPr>
        <w:spacing w:after="0" w:line="57"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senior secured term loans from $2 to $20 million maturing in five to seven years;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second lien term loans from $5 to $15 million maturing in six to eight years;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senior unsecured loans from $5 to $23 million maturing in six to eight years;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mezzanine loans from $5 to $15 million maturing in seven to ten years;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equity investments from $1 to $5 million.</w:t>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231F20"/>
        </w:rPr>
        <w:t>Investment in Joint Ventures.</w:t>
      </w:r>
    </w:p>
    <w:p>
      <w:pPr>
        <w:spacing w:after="0" w:line="117"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i w:val="1"/>
          <w:iCs w:val="1"/>
          <w:color w:val="231F20"/>
        </w:rPr>
        <w:t xml:space="preserve">KCAP Freedom 3 LLC. </w:t>
      </w:r>
      <w:r>
        <w:rPr>
          <w:rFonts w:ascii="Arial" w:cs="Arial" w:eastAsia="Arial" w:hAnsi="Arial"/>
          <w:sz w:val="17"/>
          <w:szCs w:val="17"/>
          <w:color w:val="231F20"/>
        </w:rPr>
        <w:t>During the third quarter of 2017, the Company and Freedom 3 Opportunities LLC (“Freedom 3 Opportunities”), an affiliate of</w:t>
      </w:r>
      <w:r>
        <w:rPr>
          <w:rFonts w:ascii="Arial" w:cs="Arial" w:eastAsia="Arial" w:hAnsi="Arial"/>
          <w:sz w:val="17"/>
          <w:szCs w:val="17"/>
          <w:i w:val="1"/>
          <w:iCs w:val="1"/>
          <w:color w:val="231F20"/>
        </w:rPr>
        <w:t xml:space="preserve"> </w:t>
      </w:r>
      <w:r>
        <w:rPr>
          <w:rFonts w:ascii="Arial" w:cs="Arial" w:eastAsia="Arial" w:hAnsi="Arial"/>
          <w:sz w:val="17"/>
          <w:szCs w:val="17"/>
          <w:color w:val="231F20"/>
        </w:rPr>
        <w:t>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form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 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Approximately $11.2 million of this distribution was a reduction in the cost basis of our investment in the Joint Venture.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8" w:name="page9"/>
    <w:bookmarkEnd w:id="8"/>
    <w:p>
      <w:pPr>
        <w:ind w:right="20" w:firstLine="374"/>
        <w:spacing w:after="0" w:line="275" w:lineRule="auto"/>
        <w:rPr>
          <w:sz w:val="20"/>
          <w:szCs w:val="20"/>
          <w:color w:val="auto"/>
        </w:rPr>
      </w:pPr>
      <w:r>
        <w:rPr>
          <w:rFonts w:ascii="Arial" w:cs="Arial" w:eastAsia="Arial" w:hAnsi="Arial"/>
          <w:sz w:val="17"/>
          <w:szCs w:val="17"/>
          <w:color w:val="231F20"/>
        </w:rPr>
        <w:t>While we own a 60%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As of December 31, 2020, our investment in the KCAP Freedom 3 LLC Joint Venture was approximately $19.7 million at fair value.</w:t>
      </w:r>
    </w:p>
    <w:p>
      <w:pPr>
        <w:spacing w:after="0" w:line="117"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i w:val="1"/>
          <w:iCs w:val="1"/>
          <w:color w:val="auto"/>
        </w:rPr>
        <w:t xml:space="preserve">BCP Great Lakes Partnership. </w:t>
      </w:r>
      <w:r>
        <w:rPr>
          <w:rFonts w:ascii="Arial" w:cs="Arial" w:eastAsia="Arial" w:hAnsi="Arial"/>
          <w:sz w:val="18"/>
          <w:szCs w:val="18"/>
          <w:color w:val="auto"/>
        </w:rPr>
        <w:t>BCP Great Lakes Fund LP (the “BCP Great Lakes Partnership”) has invested in BCP Great Lakes Holdings LP, a</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formed as a co-investment vehicle to facilitate the participation of certain co-investors to invest, directly or indirectly, in BCP Great Lakes Funding, LLC (the “Great Lakes Joint Venture”).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87"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 xml:space="preserve">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1940 Act). As of </w:t>
      </w:r>
      <w:r>
        <w:rPr>
          <w:rFonts w:ascii="Arial" w:cs="Arial" w:eastAsia="Arial" w:hAnsi="Arial"/>
          <w:sz w:val="16"/>
          <w:szCs w:val="16"/>
          <w:color w:val="231F20"/>
        </w:rPr>
        <w:t>December 31, 2020</w:t>
      </w:r>
      <w:r>
        <w:rPr>
          <w:rFonts w:ascii="Arial" w:cs="Arial" w:eastAsia="Arial" w:hAnsi="Arial"/>
          <w:sz w:val="16"/>
          <w:szCs w:val="16"/>
          <w:color w:val="auto"/>
        </w:rPr>
        <w:t xml:space="preserve">, we had an aggregate $20.0 million unfunded commitment to the BCP Great Lakes Partnership, however, as of that date, our funding commitment was limited to approximately $15.0 million pursuant to the limitations described above. </w:t>
      </w:r>
      <w:r>
        <w:rPr>
          <w:rFonts w:ascii="Arial" w:cs="Arial" w:eastAsia="Arial" w:hAnsi="Arial"/>
          <w:sz w:val="16"/>
          <w:szCs w:val="16"/>
          <w:color w:val="231F20"/>
        </w:rPr>
        <w:t>As of</w:t>
      </w:r>
      <w:r>
        <w:rPr>
          <w:rFonts w:ascii="Arial" w:cs="Arial" w:eastAsia="Arial" w:hAnsi="Arial"/>
          <w:sz w:val="16"/>
          <w:szCs w:val="16"/>
          <w:color w:val="auto"/>
        </w:rPr>
        <w:t xml:space="preserve"> </w:t>
      </w:r>
      <w:r>
        <w:rPr>
          <w:rFonts w:ascii="Arial" w:cs="Arial" w:eastAsia="Arial" w:hAnsi="Arial"/>
          <w:sz w:val="16"/>
          <w:szCs w:val="16"/>
          <w:color w:val="231F20"/>
        </w:rPr>
        <w:t xml:space="preserve">December 31, 2020, our investment in the </w:t>
      </w:r>
      <w:r>
        <w:rPr>
          <w:rFonts w:ascii="Arial" w:cs="Arial" w:eastAsia="Arial" w:hAnsi="Arial"/>
          <w:sz w:val="16"/>
          <w:szCs w:val="16"/>
          <w:color w:val="000000"/>
        </w:rPr>
        <w:t>BCP Great Lakes Partnership</w:t>
      </w:r>
      <w:r>
        <w:rPr>
          <w:rFonts w:ascii="Arial" w:cs="Arial" w:eastAsia="Arial" w:hAnsi="Arial"/>
          <w:sz w:val="16"/>
          <w:szCs w:val="16"/>
          <w:color w:val="231F20"/>
        </w:rPr>
        <w:t xml:space="preserve"> was approximately $29.6 million at fair value.</w:t>
      </w:r>
    </w:p>
    <w:p>
      <w:pPr>
        <w:spacing w:after="0" w:line="53"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i w:val="1"/>
          <w:iCs w:val="1"/>
          <w:color w:val="231F20"/>
        </w:rPr>
        <w:t xml:space="preserve">CLO Fund Securities. </w:t>
      </w:r>
      <w:r>
        <w:rPr>
          <w:rFonts w:ascii="Arial" w:cs="Arial" w:eastAsia="Arial" w:hAnsi="Arial"/>
          <w:sz w:val="18"/>
          <w:szCs w:val="18"/>
          <w:color w:val="231F20"/>
        </w:rPr>
        <w:t>Our investments in CLO Fund Securities are primarily made up of minority investments in the subordinated securities or</w:t>
      </w:r>
      <w:r>
        <w:rPr>
          <w:rFonts w:ascii="Arial" w:cs="Arial" w:eastAsia="Arial" w:hAnsi="Arial"/>
          <w:sz w:val="18"/>
          <w:szCs w:val="18"/>
          <w:i w:val="1"/>
          <w:iCs w:val="1"/>
          <w:color w:val="231F20"/>
        </w:rPr>
        <w:t xml:space="preserve"> </w:t>
      </w:r>
      <w:r>
        <w:rPr>
          <w:rFonts w:ascii="Arial" w:cs="Arial" w:eastAsia="Arial" w:hAnsi="Arial"/>
          <w:sz w:val="18"/>
          <w:szCs w:val="18"/>
          <w:color w:val="231F20"/>
        </w:rPr>
        <w:t>preferred stock of CLO Funds managed by the Disposed Manager Affiliates. From time-to-time we have also made investments in CLO Fund Securities managed by other asset managers.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color w:val="231F20"/>
        </w:rPr>
        <w:t xml:space="preserve">Below are summary attributes for our CLO Fund Securities, as of and for the year-ended </w:t>
      </w:r>
      <w:r>
        <w:rPr>
          <w:rFonts w:ascii="Arial" w:cs="Arial" w:eastAsia="Arial" w:hAnsi="Arial"/>
          <w:sz w:val="17"/>
          <w:szCs w:val="17"/>
          <w:color w:val="000000"/>
        </w:rPr>
        <w:t>December 31, 2020</w:t>
      </w:r>
      <w:r>
        <w:rPr>
          <w:rFonts w:ascii="Arial" w:cs="Arial" w:eastAsia="Arial" w:hAnsi="Arial"/>
          <w:sz w:val="17"/>
          <w:szCs w:val="17"/>
          <w:color w:val="231F20"/>
        </w:rPr>
        <w:t>, unless otherwise specified:</w:t>
      </w:r>
    </w:p>
    <w:p>
      <w:pPr>
        <w:spacing w:after="0" w:line="129"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 xml:space="preserve">CLO Fund Securities represented approximately 4% of total investment portfolio at </w:t>
      </w:r>
      <w:r>
        <w:rPr>
          <w:rFonts w:ascii="Arial" w:cs="Arial" w:eastAsia="Arial" w:hAnsi="Arial"/>
          <w:sz w:val="18"/>
          <w:szCs w:val="18"/>
          <w:color w:val="000000"/>
        </w:rPr>
        <w:t>December 31, 2020</w:t>
      </w:r>
      <w:r>
        <w:rPr>
          <w:rFonts w:ascii="Arial" w:cs="Arial" w:eastAsia="Arial" w:hAnsi="Arial"/>
          <w:sz w:val="18"/>
          <w:szCs w:val="18"/>
          <w:color w:val="231F20"/>
        </w:rPr>
        <w:t>;</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CLO Fund Securities Portfolio represented investments in subordinated securities or equity securities issued by CLO Funds;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all CLO Funds invested primarily in credit instruments issued by corporate borrowers;</w:t>
      </w:r>
    </w:p>
    <w:p>
      <w:pPr>
        <w:spacing w:after="0" w:line="130"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231F20"/>
        </w:rPr>
        <w:t>U.S. generally accepted accounting principles (“GAAP”) basis investment income of $3.5 million; cash distributions received of approximately $4.4 million (approximately $0.0 million taxable distributable income, $4.4 million tax return of capital to the Company).</w:t>
      </w:r>
    </w:p>
    <w:p>
      <w:pPr>
        <w:spacing w:after="0" w:line="38"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i w:val="1"/>
          <w:iCs w:val="1"/>
          <w:color w:val="231F20"/>
        </w:rPr>
        <w:t xml:space="preserve">Asset Manager Affiliates. </w:t>
      </w:r>
      <w:r>
        <w:rPr>
          <w:rFonts w:ascii="Arial" w:cs="Arial" w:eastAsia="Arial" w:hAnsi="Arial"/>
          <w:sz w:val="17"/>
          <w:szCs w:val="17"/>
          <w:color w:val="231F20"/>
        </w:rPr>
        <w:t>As discussed above, in connection with the LibreMax Transaction, on December 31, 2018, our wholly-owned subsidiary</w:t>
      </w:r>
      <w:r>
        <w:rPr>
          <w:rFonts w:ascii="Arial" w:cs="Arial" w:eastAsia="Arial" w:hAnsi="Arial"/>
          <w:sz w:val="17"/>
          <w:szCs w:val="17"/>
          <w:i w:val="1"/>
          <w:iCs w:val="1"/>
          <w:color w:val="231F20"/>
        </w:rPr>
        <w:t xml:space="preserve"> </w:t>
      </w:r>
      <w:r>
        <w:rPr>
          <w:rFonts w:ascii="Arial" w:cs="Arial" w:eastAsia="Arial" w:hAnsi="Arial"/>
          <w:sz w:val="17"/>
          <w:szCs w:val="17"/>
          <w:color w:val="231F20"/>
        </w:rPr>
        <w:t>Commodore Holdings, LLC sold the Disposed Manager Affiliates, which represented substantially all of our investment in the Asset Manager Affiliates, to LibreMax. Commodore Holdings, LLC received cash proceeds of $37.9 million from the sale and distributed $33.8 million in cash to the Company. All of this cash distribution was recorded as a return of capital, and no realized gain or loss was recognized on this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Process</w:t>
      </w:r>
    </w:p>
    <w:p>
      <w:pPr>
        <w:spacing w:after="0" w:line="117" w:lineRule="exact"/>
        <w:rPr>
          <w:sz w:val="20"/>
          <w:szCs w:val="20"/>
          <w:color w:val="auto"/>
        </w:rPr>
      </w:pPr>
    </w:p>
    <w:p>
      <w:pPr>
        <w:ind w:right="280" w:firstLine="374"/>
        <w:spacing w:after="0" w:line="257" w:lineRule="auto"/>
        <w:rPr>
          <w:sz w:val="20"/>
          <w:szCs w:val="20"/>
          <w:color w:val="auto"/>
        </w:rPr>
      </w:pPr>
      <w:r>
        <w:rPr>
          <w:rFonts w:ascii="Arial" w:cs="Arial" w:eastAsia="Arial" w:hAnsi="Arial"/>
          <w:sz w:val="18"/>
          <w:szCs w:val="18"/>
          <w:color w:val="231F20"/>
        </w:rPr>
        <w:t>We review potential investment opportunities and conduct due diligence that typically includes a review of historical and prospective financial information, participation in a presentation held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 capabilities of the prospective portfolio company under a variety of assumed forecast scenarios.</w:t>
      </w:r>
    </w:p>
    <w:p>
      <w:pPr>
        <w:spacing w:after="0" w:line="80"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231F20"/>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focus on lending and investing opportunities in:</w:t>
      </w:r>
    </w:p>
    <w:p>
      <w:pPr>
        <w:spacing w:after="0" w:line="117"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companies with EBITDA of $10 to $50 million;</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companies with financing needs of $25 to $150 million;</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companies purchased by well-regarded private equity sponsors;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9" w:name="page10"/>
    <w:bookmarkEnd w:id="9"/>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non-sponsored companies with successful business models, management teams and systems;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high-yield bonds and broadly syndicated loans to larger companies on a selective basis.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source investment opportunities from:</w:t>
      </w:r>
    </w:p>
    <w:p>
      <w:pPr>
        <w:spacing w:after="0" w:line="117"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private equity sponsors;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regional investment banks for non-sponsored companies;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financial advisers and other market intermediaries;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other middle market lenders with whom we can participate in loans.</w:t>
      </w:r>
    </w:p>
    <w:p>
      <w:pPr>
        <w:spacing w:after="0" w:line="131"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231F20"/>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our historical ability to weather economic cycles. Other key qualitative factors include the experience and depth of the management team and the financial sponsor, if any.</w:t>
      </w:r>
    </w:p>
    <w:p>
      <w:pPr>
        <w:spacing w:after="0" w:line="4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231F20"/>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our competition as well as our ability to manage our working capital requirements and our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 xml:space="preserve">Elements of the </w:t>
      </w:r>
      <w:r>
        <w:rPr>
          <w:rFonts w:ascii="Arial" w:cs="Arial" w:eastAsia="Arial" w:hAnsi="Arial"/>
          <w:sz w:val="18"/>
          <w:szCs w:val="18"/>
          <w:i w:val="1"/>
          <w:iCs w:val="1"/>
          <w:color w:val="231F20"/>
        </w:rPr>
        <w:t>qualitative analysis</w:t>
      </w:r>
      <w:r>
        <w:rPr>
          <w:rFonts w:ascii="Arial" w:cs="Arial" w:eastAsia="Arial" w:hAnsi="Arial"/>
          <w:sz w:val="18"/>
          <w:szCs w:val="18"/>
          <w:color w:val="231F20"/>
        </w:rPr>
        <w:t xml:space="preserve"> we use in evaluating investment opportunities include some combination of the following:</w:t>
      </w:r>
    </w:p>
    <w:p>
      <w:pPr>
        <w:spacing w:after="0" w:line="117"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industry fundamentals;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competitive position and market share;</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impact of historical down-cycles on the industry and us;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quality of financial and technology infrastructure;</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sourcing risks and opportunities;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20"/>
          <w:szCs w:val="20"/>
          <w:color w:val="auto"/>
        </w:rPr>
      </w:pPr>
      <w:r>
        <w:rPr>
          <w:rFonts w:ascii="Arial" w:cs="Arial" w:eastAsia="Arial" w:hAnsi="Arial"/>
          <w:sz w:val="18"/>
          <w:szCs w:val="18"/>
          <w:color w:val="231F20"/>
        </w:rPr>
        <w:t>labor and union strategy;</w:t>
      </w:r>
    </w:p>
    <w:p>
      <w:pPr>
        <w:spacing w:after="0" w:line="107" w:lineRule="exact"/>
        <w:rPr>
          <w:rFonts w:ascii="Arial" w:cs="Arial" w:eastAsia="Arial" w:hAnsi="Arial"/>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technology risk;</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diversity of customer base and product lines;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quality of financial sponsor (if applicable);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acquisition and integration history.</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 xml:space="preserve">Elements of the </w:t>
      </w:r>
      <w:r>
        <w:rPr>
          <w:rFonts w:ascii="Arial" w:cs="Arial" w:eastAsia="Arial" w:hAnsi="Arial"/>
          <w:sz w:val="18"/>
          <w:szCs w:val="18"/>
          <w:i w:val="1"/>
          <w:iCs w:val="1"/>
          <w:color w:val="231F20"/>
        </w:rPr>
        <w:t>quantitative analysis</w:t>
      </w:r>
      <w:r>
        <w:rPr>
          <w:rFonts w:ascii="Arial" w:cs="Arial" w:eastAsia="Arial" w:hAnsi="Arial"/>
          <w:sz w:val="18"/>
          <w:szCs w:val="18"/>
          <w:color w:val="231F20"/>
        </w:rPr>
        <w:t xml:space="preserve"> we use in evaluating investment opportunities include some combination of the following:</w:t>
      </w:r>
    </w:p>
    <w:p>
      <w:pPr>
        <w:spacing w:after="0" w:line="117"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income statement analysis of growth and margin trends;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cash flow analysis of capital expenditures and free cash flow;</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financial ratio and market share standing among comparable companies;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financial projections: underwriting versus stress case;</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event specific credit modeling;</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credit profile trend;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future capital expenditure needs and asset sale plans;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downside protection to limit losses in an event of default;</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risk adjusted returns and relative value analysis;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enterprise and asset valuations.</w:t>
      </w:r>
    </w:p>
    <w:p>
      <w:pPr>
        <w:spacing w:after="0" w:line="131"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231F20"/>
        </w:rPr>
        <w:t>The origination, structuring and credit approval processes are fully integrated. Our credit team is directly involved in all due diligence and analysis prior to the formal credit approval process by our Investment Committee.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46"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231F20"/>
        </w:rPr>
        <w:t>Investment Committee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Investment Committee serves to provide investment consistency and adherence to our core investment philosophy and policies.</w:t>
      </w:r>
    </w:p>
    <w:p>
      <w:pPr>
        <w:spacing w:after="0" w:line="117"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231F20"/>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 analyze the prospective portfolio’s historical financial statements, financial projections, industry and management team, and will then present this memorandum with its recommendations to the Investment Committee for review and approval.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approval of a majority of the Investment Committee is required for all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Monitoring</w:t>
      </w:r>
    </w:p>
    <w:p>
      <w:pPr>
        <w:spacing w:after="0" w:line="121" w:lineRule="exact"/>
        <w:rPr>
          <w:sz w:val="20"/>
          <w:szCs w:val="20"/>
          <w:color w:val="auto"/>
        </w:rPr>
      </w:pPr>
    </w:p>
    <w:p>
      <w:pPr>
        <w:ind w:right="460" w:firstLine="374"/>
        <w:spacing w:after="0" w:line="308" w:lineRule="auto"/>
        <w:rPr>
          <w:sz w:val="20"/>
          <w:szCs w:val="20"/>
          <w:color w:val="auto"/>
        </w:rPr>
      </w:pPr>
      <w:r>
        <w:rPr>
          <w:rFonts w:ascii="Arial" w:cs="Arial" w:eastAsia="Arial" w:hAnsi="Arial"/>
          <w:sz w:val="17"/>
          <w:szCs w:val="17"/>
          <w:color w:val="231F20"/>
        </w:rPr>
        <w:t>Our Board, including a majority of its independent directors, oversees and monitors our investment performance and, beginning with the second anniversary of the effective date of our Advisory Agreement, will annually review the compensation we pay to the Adviser.</w:t>
      </w:r>
    </w:p>
    <w:p>
      <w:pPr>
        <w:spacing w:after="0" w:line="38"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auto"/>
        </w:rPr>
        <w:t>Our Adviser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the Adviser and the private equity sponsor, if applicable, of the portfolio company to take any necessary remedial action. In addition, most of the Adviser’s senior management team, has substantial workout and restructuring experience.</w:t>
      </w:r>
    </w:p>
    <w:p>
      <w:pPr>
        <w:spacing w:after="0" w:line="63"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231F20"/>
        </w:rPr>
        <w:t>In order to assist us in detecting issues with our Debt Securities Portfolio companies as early as possible, we perform a financial analysis at least quarterly on each portfolio company. This analysis typically includes:</w:t>
      </w:r>
    </w:p>
    <w:p>
      <w:pPr>
        <w:spacing w:after="0" w:line="62"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A summary of the portfolio company’s current total credit exposure as well as our portion of this exposure.</w:t>
      </w:r>
    </w:p>
    <w:p>
      <w:pPr>
        <w:spacing w:after="0" w:line="130" w:lineRule="exact"/>
        <w:rPr>
          <w:rFonts w:ascii="Arial" w:cs="Arial" w:eastAsia="Arial" w:hAnsi="Arial"/>
          <w:sz w:val="18"/>
          <w:szCs w:val="18"/>
          <w:color w:val="auto"/>
        </w:rPr>
      </w:pPr>
    </w:p>
    <w:p>
      <w:pPr>
        <w:ind w:left="740" w:right="220" w:hanging="368"/>
        <w:spacing w:after="0" w:line="342"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231F20"/>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Reaffirmation of, or proposal to change, the risk rating of the underlying investment.</w:t>
      </w:r>
    </w:p>
    <w:p>
      <w:pPr>
        <w:spacing w:after="0" w:line="130" w:lineRule="exact"/>
        <w:rPr>
          <w:rFonts w:ascii="Arial" w:cs="Arial" w:eastAsia="Arial" w:hAnsi="Arial"/>
          <w:sz w:val="18"/>
          <w:szCs w:val="18"/>
          <w:color w:val="auto"/>
        </w:rPr>
      </w:pPr>
    </w:p>
    <w:p>
      <w:pPr>
        <w:ind w:left="380" w:right="740" w:hanging="8"/>
        <w:spacing w:after="0" w:line="418"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A summary of the portfolio company’s financial covenant results vis a vis financial covenant levels established in the credit agreement. Watch list credits are followed closely and discussed more frequently than quarterly, as appropriate.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About the Adviser</w:t>
      </w:r>
    </w:p>
    <w:p>
      <w:pPr>
        <w:spacing w:after="0" w:line="121" w:lineRule="exact"/>
        <w:rPr>
          <w:sz w:val="20"/>
          <w:szCs w:val="20"/>
          <w:color w:val="auto"/>
        </w:rPr>
      </w:pPr>
    </w:p>
    <w:p>
      <w:pPr>
        <w:jc w:val="both"/>
        <w:ind w:right="200" w:firstLine="374"/>
        <w:spacing w:after="0" w:line="263" w:lineRule="auto"/>
        <w:rPr>
          <w:sz w:val="20"/>
          <w:szCs w:val="20"/>
          <w:color w:val="auto"/>
        </w:rPr>
      </w:pPr>
      <w:r>
        <w:rPr>
          <w:rFonts w:ascii="Arial" w:cs="Arial" w:eastAsia="Arial" w:hAnsi="Arial"/>
          <w:sz w:val="18"/>
          <w:szCs w:val="18"/>
          <w:color w:val="auto"/>
        </w:rPr>
        <w:t>The Adviser is an affiliate of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76"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56" w:lineRule="exact"/>
        <w:rPr>
          <w:sz w:val="20"/>
          <w:szCs w:val="20"/>
          <w:color w:val="auto"/>
        </w:rPr>
      </w:pPr>
    </w:p>
    <w:p>
      <w:pPr>
        <w:ind w:right="120" w:firstLine="374"/>
        <w:spacing w:after="0" w:line="253" w:lineRule="auto"/>
        <w:rPr>
          <w:sz w:val="20"/>
          <w:szCs w:val="20"/>
          <w:color w:val="auto"/>
        </w:rPr>
      </w:pPr>
      <w:r>
        <w:rPr>
          <w:rFonts w:ascii="Arial" w:cs="Arial" w:eastAsia="Arial" w:hAnsi="Arial"/>
          <w:sz w:val="18"/>
          <w:szCs w:val="18"/>
          <w:color w:val="auto"/>
        </w:rPr>
        <w:t>BC Partners is a leading buyout firm with a 30-year history investing across Europe and North America with over $40 billion in assets under management in private equity, private credit and real estate strategies. The assets under management for BC Partners are based on actively managed commitments of its managed funds and relevant vehicles formed for the purpose of co-investing alongside such funds. BC Partners operates a private equity investment platform (“BCP PE”) a credit investment platform (“BCP Credit”) and a real estate investment platform as fully integrated businesses. Our investment activity will take place primarily within the BCP Credit platform. Integration with the broader BC Partners platform allows BCP Credit to leverage a team of investment professionals across its private equity platform including its operations team. The BCP Credit Investment Team (the “Investment Team”) is led by Ted Goldthorpe who sits on both the BCP Credit and BCP PE investment committees. BCP Credit currently manages a private fund in the BCP Credit platform along with several separately managed accounts focused on credit investments and BC Partners Lending Corporation, a private BDC.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1" w:name="page12"/>
    <w:bookmarkEnd w:id="11"/>
    <w:p>
      <w:pPr>
        <w:ind w:right="540" w:firstLine="374"/>
        <w:spacing w:after="0" w:line="308" w:lineRule="auto"/>
        <w:rPr>
          <w:sz w:val="20"/>
          <w:szCs w:val="20"/>
          <w:color w:val="auto"/>
        </w:rPr>
      </w:pPr>
      <w:r>
        <w:rPr>
          <w:rFonts w:ascii="Arial" w:cs="Arial" w:eastAsia="Arial" w:hAnsi="Arial"/>
          <w:sz w:val="17"/>
          <w:szCs w:val="17"/>
          <w:color w:val="auto"/>
        </w:rPr>
        <w:t>During the fourth quarter of 2020, LibreMax Intermediate Holdings, LP (“LibreMax”) sold its minority stake in the Adviser to a wholly-owned subsidiary of Mount Logan Capital Inc. (“Mount Logan”). An affiliate of BC Partners serves as administrator to Mount Logan.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Advisory Agreement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us pursuant to the Advisory Agreement. Under the terms of the Investment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03"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our assets in accordance with our investment objective, policies and restrictions;</w:t>
      </w:r>
    </w:p>
    <w:p>
      <w:pPr>
        <w:spacing w:after="0" w:line="130"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our investments;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our investments;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the securities and other assets we will purchase, retain or sell;</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assisting the Board with its valuation of our assets;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our portfolio companies;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us;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30"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us with such other investment advisory, research and related services as we may, from time to time, reasonably require for the investment of capital.</w:t>
      </w:r>
    </w:p>
    <w:p>
      <w:pPr>
        <w:spacing w:after="0" w:line="62"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Term</w:t>
      </w:r>
    </w:p>
    <w:p>
      <w:pPr>
        <w:spacing w:after="0" w:line="117" w:lineRule="exact"/>
        <w:rPr>
          <w:sz w:val="20"/>
          <w:szCs w:val="20"/>
          <w:color w:val="auto"/>
        </w:rPr>
      </w:pPr>
    </w:p>
    <w:p>
      <w:pPr>
        <w:ind w:right="220" w:firstLine="374"/>
        <w:spacing w:after="0" w:line="308" w:lineRule="auto"/>
        <w:rPr>
          <w:sz w:val="20"/>
          <w:szCs w:val="20"/>
          <w:color w:val="auto"/>
        </w:rPr>
      </w:pPr>
      <w:r>
        <w:rPr>
          <w:rFonts w:ascii="Arial" w:cs="Arial" w:eastAsia="Arial" w:hAnsi="Arial"/>
          <w:sz w:val="17"/>
          <w:szCs w:val="17"/>
          <w:color w:val="auto"/>
        </w:rPr>
        <w:t>Unless earlier terminated as described below, the Investment Advisory Agreement will remain in effect from year-to-year if approved annually by a majority of the Board or by the holders of a majority of our outstanding shares, and, in each case, a majority of the independent directors.</w:t>
      </w:r>
    </w:p>
    <w:p>
      <w:pPr>
        <w:spacing w:after="0" w:line="38"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The Advisory Agreement will automatically terminate within the meaning of the 1940 Act and related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our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Removal of Adviser</w:t>
      </w:r>
    </w:p>
    <w:p>
      <w:pPr>
        <w:spacing w:after="0" w:line="117" w:lineRule="exact"/>
        <w:rPr>
          <w:sz w:val="20"/>
          <w:szCs w:val="20"/>
          <w:color w:val="auto"/>
        </w:rPr>
      </w:pPr>
    </w:p>
    <w:p>
      <w:pPr>
        <w:ind w:right="380" w:firstLine="374"/>
        <w:spacing w:after="0" w:line="311" w:lineRule="auto"/>
        <w:rPr>
          <w:sz w:val="20"/>
          <w:szCs w:val="20"/>
          <w:color w:val="auto"/>
        </w:rPr>
      </w:pPr>
      <w:r>
        <w:rPr>
          <w:rFonts w:ascii="Arial" w:cs="Arial" w:eastAsia="Arial" w:hAnsi="Arial"/>
          <w:sz w:val="16"/>
          <w:szCs w:val="16"/>
          <w:color w:val="auto"/>
        </w:rPr>
        <w:t>The Adviser may be removed our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Compensation of Adviser</w:t>
      </w:r>
    </w:p>
    <w:p>
      <w:pPr>
        <w:spacing w:after="0" w:line="117"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Pursuant to the terms of the Advisory Agreement, we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our gross assets, excluding cash and cash equivalents, but including assets purchased with borrowed amounts, as of the end of such calendar quarter. Subsequently, the Base Management Fee will be 1.50% of our average gross assets, excluding cash and cash equivalents, but including assets purchased with borrowed amounts, at the end of the two most recently completed calendar quarters; provided, however, that the Base Management Fee will be 1.00% of our average gross assets, excluding cash and cash equivalents, but including assets purchased with borrowed amounts, that exceed the product of (i) 200% and (ii) the value of our net asset value at the end of the most recently completed calendar quarter. The Incentive Fee consists of two parts: (1) a portion based on our pre-incentive fee net investment income (the “Income-Based Fee”) and (2) a portion based on the net capital gains received on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color w:val="auto"/>
        </w:rPr>
        <w:t xml:space="preserve">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 In connection with the Externalization, for </w:t>
      </w:r>
      <w:r>
        <w:rPr>
          <w:rFonts w:ascii="Arial" w:cs="Arial" w:eastAsia="Arial" w:hAnsi="Arial"/>
          <w:sz w:val="18"/>
          <w:szCs w:val="18"/>
          <w:color w:val="231F20"/>
        </w:rPr>
        <w:t>the period of one year from the first day of the first quarter following the quarter in which the Closing occurred, the</w:t>
      </w:r>
      <w:r>
        <w:rPr>
          <w:rFonts w:ascii="Arial" w:cs="Arial" w:eastAsia="Arial" w:hAnsi="Arial"/>
          <w:sz w:val="18"/>
          <w:szCs w:val="18"/>
          <w:color w:val="auto"/>
        </w:rPr>
        <w:t xml:space="preserve"> </w:t>
      </w:r>
      <w:r>
        <w:rPr>
          <w:rFonts w:ascii="Arial" w:cs="Arial" w:eastAsia="Arial" w:hAnsi="Arial"/>
          <w:sz w:val="18"/>
          <w:szCs w:val="18"/>
          <w:color w:val="231F20"/>
        </w:rPr>
        <w:t>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w:t>
      </w:r>
    </w:p>
    <w:p>
      <w:pPr>
        <w:spacing w:after="0" w:line="87" w:lineRule="exact"/>
        <w:rPr>
          <w:sz w:val="20"/>
          <w:szCs w:val="20"/>
          <w:color w:val="auto"/>
        </w:rPr>
      </w:pPr>
    </w:p>
    <w:p>
      <w:pPr>
        <w:ind w:right="100" w:firstLine="374"/>
        <w:spacing w:after="0" w:line="291" w:lineRule="auto"/>
        <w:rPr>
          <w:sz w:val="20"/>
          <w:szCs w:val="20"/>
          <w:color w:val="auto"/>
        </w:rPr>
      </w:pPr>
      <w:r>
        <w:rPr>
          <w:rFonts w:ascii="Arial" w:cs="Arial" w:eastAsia="Arial" w:hAnsi="Arial"/>
          <w:sz w:val="16"/>
          <w:szCs w:val="16"/>
          <w:color w:val="auto"/>
        </w:rPr>
        <w:t>Pre-incentive fee net investment income means dividends (including reinvested dividends), interest and fee income accrued by us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we may not have received in cash. The Adviser is not obligated to return the incentive fee it receives on PIK interest that is later determined to be uncollectible in cash. See “Item 1A. Risk Factors— Risks Related to the Adviser and its Affiliates.” Pre-incentive fee net investment income does not include any realized capital gains, realized capital losses or unrealized capital appreciation or depreciation.</w:t>
      </w:r>
    </w:p>
    <w:p>
      <w:pPr>
        <w:spacing w:after="0" w:line="58" w:lineRule="exact"/>
        <w:rPr>
          <w:sz w:val="20"/>
          <w:szCs w:val="20"/>
          <w:color w:val="auto"/>
        </w:rPr>
      </w:pPr>
    </w:p>
    <w:p>
      <w:pPr>
        <w:ind w:right="120" w:firstLine="374"/>
        <w:spacing w:after="0" w:line="270" w:lineRule="auto"/>
        <w:rPr>
          <w:sz w:val="20"/>
          <w:szCs w:val="20"/>
          <w:color w:val="auto"/>
        </w:rPr>
      </w:pPr>
      <w:r>
        <w:rPr>
          <w:rFonts w:ascii="Arial" w:cs="Arial" w:eastAsia="Arial" w:hAnsi="Arial"/>
          <w:sz w:val="17"/>
          <w:szCs w:val="17"/>
          <w:color w:val="auto"/>
        </w:rPr>
        <w:t>To determine the Income-Based Fee, pre-incentive fee net investment income is expressed as a rate of return on the value of our net assets at the end of the immediately preceding calendar quarter. Because of the structure of the incentive fee, it is possible that we may pay an incentive fee in a calendar quarter in which we incur a loss. For example, if we receive pre-incentive fee net investment income in excess of the quarterly hurdle rate, we will pay the applicable incentive fee even if we have incurred a loss in that calendar quarter due to realized capital losses and unrealized capital depreciation. In addition, because the quarterly hurdle rate is calculated based on our net assets, decreases in our net assets due to realized capital losses or unrealized capital depreciation in any given calendar quarter may increase the likelihood that the hurdle rate is reached and therefore the likelihood of us paying an incentive fee for the subsequent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graphical representation of the calculation of the Income-Based Fee: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Income-Based Fee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left w:val="single" w:sz="8" w:color="auto"/>
              <w:bottom w:val="single" w:sz="8" w:color="auto"/>
              <w:right w:val="single" w:sz="8" w:color="auto"/>
            </w:tcBorders>
          </w:tcPr>
          <w:p>
            <w:pPr>
              <w:jc w:val="right"/>
              <w:ind w:right="3130"/>
              <w:spacing w:after="0"/>
              <w:rPr>
                <w:sz w:val="20"/>
                <w:szCs w:val="20"/>
                <w:color w:val="auto"/>
              </w:rPr>
            </w:pPr>
            <w:r>
              <w:rPr>
                <w:rFonts w:ascii="Arial" w:cs="Arial" w:eastAsia="Arial" w:hAnsi="Arial"/>
                <w:sz w:val="18"/>
                <w:szCs w:val="18"/>
                <w:color w:val="auto"/>
              </w:rPr>
              <w:t>0%</w:t>
            </w:r>
          </w:p>
        </w:tc>
        <w:tc>
          <w:tcPr>
            <w:tcW w:w="3800" w:type="dxa"/>
            <w:vAlign w:val="bottom"/>
            <w:tcBorders>
              <w:bottom w:val="single" w:sz="8" w:color="auto"/>
              <w:right w:val="single" w:sz="8" w:color="auto"/>
            </w:tcBorders>
          </w:tcPr>
          <w:p>
            <w:pPr>
              <w:jc w:val="right"/>
              <w:ind w:right="2990"/>
              <w:spacing w:after="0"/>
              <w:rPr>
                <w:sz w:val="20"/>
                <w:szCs w:val="20"/>
                <w:color w:val="auto"/>
              </w:rPr>
            </w:pPr>
            <w:r>
              <w:rPr>
                <w:rFonts w:ascii="Arial" w:cs="Arial" w:eastAsia="Arial" w:hAnsi="Arial"/>
                <w:sz w:val="18"/>
                <w:szCs w:val="18"/>
                <w:color w:val="auto"/>
              </w:rPr>
              <w:t>1.75%</w:t>
            </w:r>
          </w:p>
        </w:tc>
        <w:tc>
          <w:tcPr>
            <w:tcW w:w="3700" w:type="dxa"/>
            <w:vAlign w:val="bottom"/>
            <w:tcBorders>
              <w:bottom w:val="single" w:sz="8" w:color="auto"/>
              <w:right w:val="single" w:sz="8" w:color="auto"/>
            </w:tcBorders>
          </w:tcPr>
          <w:p>
            <w:pPr>
              <w:jc w:val="right"/>
              <w:ind w:right="2750"/>
              <w:spacing w:after="0"/>
              <w:rPr>
                <w:sz w:val="20"/>
                <w:szCs w:val="20"/>
                <w:color w:val="auto"/>
              </w:rPr>
            </w:pPr>
            <w:r>
              <w:rPr>
                <w:rFonts w:ascii="Arial" w:cs="Arial" w:eastAsia="Arial" w:hAnsi="Arial"/>
                <w:sz w:val="18"/>
                <w:szCs w:val="18"/>
                <w:color w:val="auto"/>
              </w:rPr>
              <w:t>2.121 %</w:t>
            </w:r>
          </w:p>
        </w:tc>
      </w:tr>
      <w:tr>
        <w:trPr>
          <w:trHeight w:val="426"/>
        </w:trPr>
        <w:tc>
          <w:tcPr>
            <w:tcW w:w="3740" w:type="dxa"/>
            <w:vAlign w:val="bottom"/>
            <w:tcBorders>
              <w:left w:val="single" w:sz="8" w:color="auto"/>
              <w:right w:val="single" w:sz="8" w:color="auto"/>
            </w:tcBorders>
          </w:tcPr>
          <w:p>
            <w:pPr>
              <w:jc w:val="right"/>
              <w:ind w:right="1430"/>
              <w:spacing w:after="0"/>
              <w:rPr>
                <w:sz w:val="20"/>
                <w:szCs w:val="20"/>
                <w:color w:val="auto"/>
              </w:rPr>
            </w:pPr>
            <w:r>
              <w:rPr>
                <w:rFonts w:ascii="Arial" w:cs="Arial" w:eastAsia="Arial" w:hAnsi="Arial"/>
                <w:sz w:val="18"/>
                <w:szCs w:val="18"/>
                <w:color w:val="auto"/>
              </w:rPr>
              <w:t>←0%→</w:t>
            </w:r>
          </w:p>
        </w:tc>
        <w:tc>
          <w:tcPr>
            <w:tcW w:w="3800" w:type="dxa"/>
            <w:vAlign w:val="bottom"/>
            <w:tcBorders>
              <w:right w:val="single" w:sz="8" w:color="auto"/>
            </w:tcBorders>
          </w:tcPr>
          <w:p>
            <w:pPr>
              <w:jc w:val="right"/>
              <w:ind w:right="1390"/>
              <w:spacing w:after="0"/>
              <w:rPr>
                <w:sz w:val="20"/>
                <w:szCs w:val="20"/>
                <w:color w:val="auto"/>
              </w:rPr>
            </w:pPr>
            <w:r>
              <w:rPr>
                <w:rFonts w:ascii="Arial" w:cs="Arial" w:eastAsia="Arial" w:hAnsi="Arial"/>
                <w:sz w:val="18"/>
                <w:szCs w:val="18"/>
                <w:color w:val="auto"/>
              </w:rPr>
              <w:t>← 100% →</w:t>
            </w:r>
          </w:p>
        </w:tc>
        <w:tc>
          <w:tcPr>
            <w:tcW w:w="3700" w:type="dxa"/>
            <w:vAlign w:val="bottom"/>
            <w:tcBorders>
              <w:right w:val="single" w:sz="8" w:color="auto"/>
            </w:tcBorders>
          </w:tcPr>
          <w:p>
            <w:pPr>
              <w:jc w:val="right"/>
              <w:ind w:right="1310"/>
              <w:spacing w:after="0"/>
              <w:rPr>
                <w:sz w:val="20"/>
                <w:szCs w:val="20"/>
                <w:color w:val="auto"/>
              </w:rPr>
            </w:pPr>
            <w:r>
              <w:rPr>
                <w:rFonts w:ascii="Arial" w:cs="Arial" w:eastAsia="Arial" w:hAnsi="Arial"/>
                <w:sz w:val="18"/>
                <w:szCs w:val="18"/>
                <w:color w:val="auto"/>
              </w:rPr>
              <w:t>← 17.5% →</w:t>
            </w:r>
          </w:p>
        </w:tc>
      </w:tr>
      <w:tr>
        <w:trPr>
          <w:trHeight w:val="864"/>
        </w:trPr>
        <w:tc>
          <w:tcPr>
            <w:tcW w:w="3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180" w:firstLine="374"/>
        <w:spacing w:after="0" w:line="272" w:lineRule="auto"/>
        <w:rPr>
          <w:sz w:val="20"/>
          <w:szCs w:val="20"/>
          <w:color w:val="auto"/>
        </w:rPr>
      </w:pPr>
      <w:r>
        <w:rPr>
          <w:rFonts w:ascii="Arial" w:cs="Arial" w:eastAsia="Arial" w:hAnsi="Arial"/>
          <w:sz w:val="17"/>
          <w:szCs w:val="17"/>
          <w:color w:val="auto"/>
        </w:rPr>
        <w:t>The second component of the incentive fee, the Capital Gains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fee for prior periods. We will accrue, but will not pay, a Capital Gains incentive Fee with respect to unrealized appreciation because a Capital Gains incentive Fee would be owed to the Adviser if we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us for acts or omissions performed in accordance with and pursuant to the Advisory Agreement, except those resulting from acts constituting criminal conduct, gross negligence, willful misfeasance, bad faith or reckless disregard of the duties that the Adviser owes to us under the Advisory Agreement. In addition, as part of the Advisory Agreement, we have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 w:name="page14"/>
    <w:bookmarkEnd w:id="13"/>
    <w:p>
      <w:pPr>
        <w:ind w:left="380"/>
        <w:spacing w:after="0"/>
        <w:rPr>
          <w:sz w:val="20"/>
          <w:szCs w:val="20"/>
          <w:color w:val="auto"/>
        </w:rPr>
      </w:pPr>
      <w:r>
        <w:rPr>
          <w:rFonts w:ascii="Arial" w:cs="Arial" w:eastAsia="Arial" w:hAnsi="Arial"/>
          <w:sz w:val="18"/>
          <w:szCs w:val="18"/>
          <w:b w:val="1"/>
          <w:bCs w:val="1"/>
          <w:i w:val="1"/>
          <w:iCs w:val="1"/>
          <w:color w:val="auto"/>
        </w:rPr>
        <w:t>Board Approval of the Advisory Agreement</w:t>
      </w:r>
    </w:p>
    <w:p>
      <w:pPr>
        <w:spacing w:after="0" w:line="117"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On December 12, 2018, our then-current Board held an in-person meeting to consider and approve the Advisory Agreement and related matters, and on April 1, 2019, we entered into the Advisory Agreement with the Adviser. Our Board most recently determined to re-approve the Advisory Agreement at a meeting held on March 11, 2021.</w:t>
      </w:r>
    </w:p>
    <w:p>
      <w:pPr>
        <w:spacing w:after="0" w:line="76"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color w:val="auto"/>
        </w:rPr>
        <w:t>In reaching a decision to re-approve the Advisory Agreement, the Board was provided the information required to consider the Advisory Agreement, including: (a) the nature, quality and extent of the advisory and other services to be provided to us by the Adviser; (b) comparative data with respect to advisory fees or similar expenses paid by other BDCs with similar investment objectives; (c) our projected operating expenses and expense ratio compared to BDCs with similar investment objectives; (d) any existing and potential sources of indirect income to the Adviser from its relationship with us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57" w:lineRule="exact"/>
        <w:rPr>
          <w:sz w:val="20"/>
          <w:szCs w:val="20"/>
          <w:color w:val="auto"/>
        </w:rPr>
      </w:pPr>
    </w:p>
    <w:p>
      <w:pPr>
        <w:ind w:right="500" w:firstLine="374"/>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our investment performance and, beginning with the second anniversary of the effective date of the Advisory Agreement, will annually review the compensation we pay to the Adviser.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right="100" w:firstLine="374"/>
        <w:spacing w:after="0" w:line="293" w:lineRule="auto"/>
        <w:rPr>
          <w:sz w:val="20"/>
          <w:szCs w:val="20"/>
          <w:color w:val="auto"/>
        </w:rPr>
      </w:pPr>
      <w:r>
        <w:rPr>
          <w:rFonts w:ascii="Arial" w:cs="Arial" w:eastAsia="Arial" w:hAnsi="Arial"/>
          <w:sz w:val="16"/>
          <w:szCs w:val="16"/>
          <w:color w:val="auto"/>
        </w:rPr>
        <w:t>Under the terms of the Administration Agreement between us and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w:t>
      </w:r>
    </w:p>
    <w:p>
      <w:pPr>
        <w:spacing w:after="0" w:line="56"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Payments under the Administration Agreement are equal to an amount that reimburses the Administrator for its costs and expenses in performing its obligations and providing personnel and facilities (including rent, office equipment and utilities) for our use under the Administration Agreement, including our allocable portion of the compensation paid to our chief compliance officer and chief financial officer and their respective staff who provide services to us. The Board, including the independent directors, will review the general nature of the services provided by the Administrator as well as the related cost to us for those services and consider whether the cost is reasonable in light of the services provided.</w:t>
      </w:r>
    </w:p>
    <w:p>
      <w:pPr>
        <w:spacing w:after="0" w:line="6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our Board most recently determined to re-approve the Administration Agreement at a meeting held on March 11, 2021.</w:t>
      </w:r>
    </w:p>
    <w:p>
      <w:pPr>
        <w:spacing w:after="0" w:line="79" w:lineRule="exact"/>
        <w:rPr>
          <w:sz w:val="20"/>
          <w:szCs w:val="20"/>
          <w:color w:val="auto"/>
        </w:rPr>
      </w:pPr>
    </w:p>
    <w:p>
      <w:pPr>
        <w:jc w:val="both"/>
        <w:ind w:right="600" w:firstLine="374"/>
        <w:spacing w:after="0" w:line="263" w:lineRule="auto"/>
        <w:rPr>
          <w:sz w:val="20"/>
          <w:szCs w:val="20"/>
          <w:color w:val="auto"/>
        </w:rPr>
      </w:pPr>
      <w:r>
        <w:rPr>
          <w:rFonts w:ascii="Arial" w:cs="Arial" w:eastAsia="Arial" w:hAnsi="Arial"/>
          <w:sz w:val="18"/>
          <w:szCs w:val="18"/>
          <w:color w:val="auto"/>
        </w:rPr>
        <w:t>We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 under Our Advisory and Administration Agreements</w:t>
      </w:r>
    </w:p>
    <w:p>
      <w:pPr>
        <w:spacing w:after="0" w:line="121"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color w:val="auto"/>
        </w:rPr>
        <w:t>Except as specifically provided below, we anticipate that all investment professionals and staffs of the Adviser, when and to the extent engaged in providing investment advisory and management services to us, and the compensation and routine overhead expenses (including rent, office equipment and utilities), of such personnel allocable to such services, will be provided and paid for by the Adviser. We will bear an allocable portion of the compensation paid by the Adviser (or its affiliates) to our chief compliance officer and chief financial officer and their respective staffs (based on a percentage of time such individuals devote, on an estimated basis, to our business affairs). We will also bear all other costs and expenses of our operations, administration and transactions, including, but not limited to (i) investment advisory fees, including management fees and incentive fees, to the Adviser, pursuant to our Advisory Agreement; (ii) an allocable portion of overhead and other expenses incurred by the Adviser (or its affiliates) in performing its administrative obligations under our Advisory Agreement; and (iii) all other expenses of our operations and transactions including, without limitation, those relating to:</w:t>
      </w:r>
    </w:p>
    <w:p>
      <w:pPr>
        <w:spacing w:after="0" w:line="57"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administration fees payable under our Administration Agreement and any sub-administration agreements, including related expenses;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44"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44" w:lineRule="exact"/>
        <w:rPr>
          <w:rFonts w:ascii="Arial" w:cs="Arial" w:eastAsia="Arial" w:hAnsi="Arial"/>
          <w:sz w:val="18"/>
          <w:szCs w:val="18"/>
          <w:color w:val="auto"/>
        </w:rPr>
      </w:pPr>
    </w:p>
    <w:p>
      <w:pPr>
        <w:ind w:left="740" w:right="520" w:hanging="368"/>
        <w:spacing w:after="0" w:line="26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5" w:lineRule="exact"/>
        <w:rPr>
          <w:rFonts w:ascii="Arial" w:cs="Arial" w:eastAsia="Arial" w:hAnsi="Arial"/>
          <w:sz w:val="18"/>
          <w:szCs w:val="18"/>
          <w:color w:val="auto"/>
        </w:rPr>
      </w:pPr>
    </w:p>
    <w:p>
      <w:pPr>
        <w:ind w:left="740" w:right="120" w:hanging="368"/>
        <w:spacing w:after="0" w:line="30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44"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our Administration Agreement;</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48" w:lineRule="exact"/>
        <w:rPr>
          <w:sz w:val="20"/>
          <w:szCs w:val="20"/>
          <w:color w:val="auto"/>
        </w:rPr>
      </w:pPr>
    </w:p>
    <w:p>
      <w:pPr>
        <w:ind w:right="5540"/>
        <w:spacing w:after="0" w:line="378" w:lineRule="auto"/>
        <w:rPr>
          <w:sz w:val="20"/>
          <w:szCs w:val="20"/>
          <w:color w:val="auto"/>
        </w:rPr>
      </w:pPr>
      <w:r>
        <w:rPr>
          <w:rFonts w:ascii="Arial" w:cs="Arial" w:eastAsia="Arial" w:hAnsi="Arial"/>
          <w:sz w:val="18"/>
          <w:szCs w:val="18"/>
          <w:b w:val="1"/>
          <w:bCs w:val="1"/>
          <w:color w:val="auto"/>
        </w:rPr>
        <w:t xml:space="preserve">Allocation of Investment Opportunities and Potential Conflicts of Interest </w:t>
      </w:r>
      <w:r>
        <w:rPr>
          <w:rFonts w:ascii="Arial" w:cs="Arial" w:eastAsia="Arial" w:hAnsi="Arial"/>
          <w:sz w:val="18"/>
          <w:szCs w:val="18"/>
          <w:b w:val="1"/>
          <w:bCs w:val="1"/>
          <w:i w:val="1"/>
          <w:iCs w:val="1"/>
          <w:color w:val="auto"/>
        </w:rPr>
        <w:t>Co-Investment Relief</w:t>
      </w:r>
    </w:p>
    <w:p>
      <w:pPr>
        <w:ind w:firstLine="374"/>
        <w:spacing w:after="0" w:line="288" w:lineRule="auto"/>
        <w:rPr>
          <w:sz w:val="20"/>
          <w:szCs w:val="20"/>
          <w:color w:val="auto"/>
        </w:rPr>
      </w:pPr>
      <w:r>
        <w:rPr>
          <w:rFonts w:ascii="Arial" w:cs="Arial" w:eastAsia="Arial" w:hAnsi="Arial"/>
          <w:sz w:val="16"/>
          <w:szCs w:val="16"/>
          <w:color w:val="auto"/>
        </w:rPr>
        <w:t>As a BDC, we are subject to certain regulatory restrictions in making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October 23, 2018, the SEC issued an exemptive order to an affiliate of the Adviser that permits us to co-invest, subject to the satisfaction of certain conditions, in certain private placement transactions, with other funds managed by us or our affiliates, including BC Partners Lending Corporation, BCP Special Opportunities Fund I LP, BCP Special Opportunities Fund II LP and any future funds that are advised by the Adviser or its affiliated investment advisers. Under the terms of the exemptive order, in order for us to participate in a co-investment transaction a “required majority” (as defined in Section 57(o) of the 1940 Act) of our independent directors must conclude that (i) the terms of the proposed transaction, including the consideration to be paid, are reasonable and fair to us and our stockholders and do not involve overreaching with respect to us or our stockholders on the part of any person concerned, and (ii) the proposed transaction is consistent with the interests of our stockholders and is consistent with our investment objectives and strategies and certain criteria established by our Board.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231F20"/>
        </w:rPr>
        <w:t>DETERMINATION OF NET ASSET VALUE</w:t>
      </w:r>
    </w:p>
    <w:p>
      <w:pPr>
        <w:spacing w:after="0" w:line="121"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231F20"/>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62"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231F20"/>
        </w:rPr>
        <w:t xml:space="preserve">Our net asset value per share was $2.88 and $3.40 as of </w:t>
      </w:r>
      <w:r>
        <w:rPr>
          <w:rFonts w:ascii="Arial" w:cs="Arial" w:eastAsia="Arial" w:hAnsi="Arial"/>
          <w:sz w:val="18"/>
          <w:szCs w:val="18"/>
          <w:color w:val="000000"/>
        </w:rPr>
        <w:t>December 31, 2020</w:t>
      </w:r>
      <w:r>
        <w:rPr>
          <w:rFonts w:ascii="Arial" w:cs="Arial" w:eastAsia="Arial" w:hAnsi="Arial"/>
          <w:sz w:val="18"/>
          <w:szCs w:val="18"/>
          <w:color w:val="231F20"/>
        </w:rPr>
        <w:t xml:space="preserve"> and December 31, 2019, respectively. Since we report our assets at fair value for each reporting period, net asset value also represents the amount of stockholders’ equity per share for the reporting period. Our net asset value is comprised primarily of investment assets less debt and other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r>
      <w:tr>
        <w:trPr>
          <w:trHeight w:val="237"/>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(1)</w:t>
            </w: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per Share</w:t>
            </w:r>
            <w:r>
              <w:rPr>
                <w:rFonts w:ascii="Arial" w:cs="Arial" w:eastAsia="Arial" w:hAnsi="Arial"/>
                <w:sz w:val="12"/>
                <w:szCs w:val="12"/>
                <w:b w:val="1"/>
                <w:bCs w:val="1"/>
                <w:color w:val="auto"/>
                <w:w w:val="95"/>
              </w:rPr>
              <w:t>(1)</w:t>
            </w: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2"/>
                <w:szCs w:val="12"/>
                <w:b w:val="1"/>
                <w:bCs w:val="1"/>
                <w:color w:val="auto"/>
                <w:w w:val="98"/>
              </w:rPr>
              <w:t>(1)</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Investments in debt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404,860,855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186,802,908</w:t>
            </w:r>
          </w:p>
        </w:tc>
        <w:tc>
          <w:tcPr>
            <w:tcW w:w="2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CLO Fund Securities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19,582,555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31,968,202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13,944,876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9,864,419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Joint Ventures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Investment in Derivatives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(1,108,618)</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(33,437)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short-term investments</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6,990,008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136,864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75,913,411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4,967,491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assets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29,537,553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27,372,742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599,069,803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310,374,263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6.125% Notes Due 2022 (net of offering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75,667,624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75,755,253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2018-2 CLO Secured Notes (net of discount)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249,418,186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Great Lakes Portman Ridge Funding LLC (net of offering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48,223,083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78,108,535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9,497,047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4,311,905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382,805,940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158,175,693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ASSET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216,263,863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152,198,570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hanging="372"/>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balance sheet at fair value and resultant net asset value are calculated on a basis consistent with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Consists of cash held for interest and principal payments on our borrowings.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Valuation</w:t>
      </w:r>
    </w:p>
    <w:p>
      <w:pPr>
        <w:spacing w:after="0" w:line="121" w:lineRule="exact"/>
        <w:rPr>
          <w:sz w:val="20"/>
          <w:szCs w:val="20"/>
          <w:color w:val="auto"/>
        </w:rPr>
      </w:pPr>
    </w:p>
    <w:p>
      <w:pPr>
        <w:ind w:right="160" w:firstLine="374"/>
        <w:spacing w:after="0" w:line="269" w:lineRule="auto"/>
        <w:rPr>
          <w:sz w:val="20"/>
          <w:szCs w:val="20"/>
          <w:color w:val="auto"/>
        </w:rPr>
      </w:pPr>
      <w:r>
        <w:rPr>
          <w:rFonts w:ascii="Arial" w:cs="Arial" w:eastAsia="Arial" w:hAnsi="Arial"/>
          <w:sz w:val="17"/>
          <w:szCs w:val="17"/>
          <w:color w:val="231F20"/>
        </w:rPr>
        <w:t>As a BDC, we invest primarily in illiquid securities, including loans to and equity of private companies and interests in other illiquid securities, such as interests in CLO Fund Securities, joint ventures, derivatives, partnerships and distressed debt securities. These portfolio investments may be subject to restrictions on resale and will generally have no established trading market. As a result, our Board determines in good faith the fair value of our portfolio investments pursuant to a valuation policy developed in accordance with the Financial Accounting Standards Board Accounting Standards Codification 820, Fair Value Measurements and Disclosures (“ASC 820: Fair Value”), and a valuation process approved by our Board and in accordance with the 1940 Act. Our valuation policy is intended to provide a consistent basis for determining the fair value of the portfolio. Our Board is ultimately and solely responsible for making a good faith determination of the fair value of portfolio investments on a quarterly basis. We use an independent valuation firm to provide third party valuation consulting services to us and the Board of Directors. For additional information concerning valuation, see “Item 7: Management’s Discussion and Analysis of Financial Condition and Results of Operations – Valuation of Portfolio Investments”; and Notes 2 and 4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231F20"/>
        </w:rPr>
        <w:t>Competition</w:t>
      </w:r>
    </w:p>
    <w:p>
      <w:pPr>
        <w:spacing w:after="0" w:line="121"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231F20"/>
        </w:rPr>
        <w:t>Our primary competitors also provide financing to prospective portfolio companies. These include commercial investment banks, specialty finance companies, hedge funds, structured investment funds, and other BDCs.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 Factors — Risks Related to Our Business and Structure — We operate in a highly competitive market for investment opportunities.”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Employees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Since the Externalization, we have not had any employees and do not expect to have any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REGULATION</w:t>
      </w:r>
    </w:p>
    <w:p>
      <w:pPr>
        <w:spacing w:after="0" w:line="121"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231F20"/>
        </w:rPr>
        <w:t>The following discussion is a general summary of some of the material prohibitions and restrictions governing BDCs generally. It does not purport to be a complete description of all the laws and regulations affecting BDCs.</w:t>
      </w:r>
    </w:p>
    <w:p>
      <w:pPr>
        <w:spacing w:after="0" w:line="62"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231F20"/>
        </w:rPr>
        <w:t>A BDC is a unique kind of investment company that primarily focuses on investing in or lending to private or relatively small publicly traded companies and making managerial assistance available to them. The 1940 Act contains prohibitions and restrictions relating to transactions between BDCs and their directors and officers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80"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231F20"/>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Qualifying Assets</w:t>
      </w:r>
    </w:p>
    <w:p>
      <w:pPr>
        <w:spacing w:after="0" w:line="121" w:lineRule="exact"/>
        <w:rPr>
          <w:sz w:val="20"/>
          <w:szCs w:val="20"/>
          <w:color w:val="auto"/>
        </w:rPr>
      </w:pPr>
    </w:p>
    <w:p>
      <w:pPr>
        <w:jc w:val="both"/>
        <w:ind w:right="260" w:firstLine="374"/>
        <w:spacing w:after="0" w:line="263" w:lineRule="auto"/>
        <w:rPr>
          <w:sz w:val="20"/>
          <w:szCs w:val="20"/>
          <w:color w:val="auto"/>
        </w:rPr>
      </w:pPr>
      <w:r>
        <w:rPr>
          <w:rFonts w:ascii="Arial" w:cs="Arial" w:eastAsia="Arial" w:hAnsi="Arial"/>
          <w:sz w:val="18"/>
          <w:szCs w:val="18"/>
          <w:color w:val="231F20"/>
        </w:rPr>
        <w:t>Under the 1940 Act, a BDC may not acquire any asset other than assets of the type listed in Section 55(a) of the 1940 Act, or “Qualifying Assets,” unless, at the time the acquisition is made, Qualifying Assets represent at least 70% of the company’s total assets. The principal categories of Qualifying Assets relevant to our business are the following:</w:t>
      </w:r>
    </w:p>
    <w:p>
      <w:pPr>
        <w:spacing w:after="0" w:line="76" w:lineRule="exact"/>
        <w:rPr>
          <w:sz w:val="20"/>
          <w:szCs w:val="20"/>
          <w:color w:val="auto"/>
        </w:rPr>
      </w:pPr>
    </w:p>
    <w:p>
      <w:pPr>
        <w:ind w:left="740" w:right="36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Securities of an “eligible portfolio company” purchased in transactions not involving any public offering. An “eligible portfolio company” is defined in the 1940 Act as any issuer which:</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1"/>
          <w:numId w:val="18"/>
        </w:numPr>
        <w:rPr>
          <w:rFonts w:ascii="Arial" w:cs="Arial" w:eastAsia="Arial" w:hAnsi="Arial"/>
          <w:sz w:val="18"/>
          <w:szCs w:val="18"/>
          <w:color w:val="231F20"/>
        </w:rPr>
      </w:pPr>
      <w:r>
        <w:rPr>
          <w:rFonts w:ascii="Arial" w:cs="Arial" w:eastAsia="Arial" w:hAnsi="Arial"/>
          <w:sz w:val="18"/>
          <w:szCs w:val="18"/>
          <w:color w:val="231F20"/>
        </w:rPr>
        <w:t>is organized under the laws of, and has its principal place of business in, the United States;</w:t>
      </w:r>
    </w:p>
    <w:p>
      <w:pPr>
        <w:spacing w:after="0" w:line="130" w:lineRule="exact"/>
        <w:rPr>
          <w:rFonts w:ascii="Arial" w:cs="Arial" w:eastAsia="Arial" w:hAnsi="Arial"/>
          <w:sz w:val="18"/>
          <w:szCs w:val="18"/>
          <w:color w:val="231F20"/>
        </w:rPr>
      </w:pPr>
    </w:p>
    <w:p>
      <w:pPr>
        <w:ind w:left="1120" w:right="80" w:hanging="370"/>
        <w:spacing w:after="0" w:line="277" w:lineRule="auto"/>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231F20"/>
        </w:rPr>
        <w:t>is not an investment company (other than a small business investment company wholly-owned by the BDC)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231F20"/>
        </w:rPr>
        <w:t>satisfies any of the following:</w:t>
      </w:r>
    </w:p>
    <w:p>
      <w:pPr>
        <w:spacing w:after="0" w:line="130" w:lineRule="exact"/>
        <w:rPr>
          <w:rFonts w:ascii="Arial" w:cs="Arial" w:eastAsia="Arial" w:hAnsi="Arial"/>
          <w:sz w:val="18"/>
          <w:szCs w:val="18"/>
          <w:color w:val="auto"/>
        </w:rPr>
      </w:pPr>
    </w:p>
    <w:p>
      <w:pPr>
        <w:ind w:left="1500" w:right="240" w:hanging="372"/>
        <w:spacing w:after="0" w:line="342" w:lineRule="auto"/>
        <w:tabs>
          <w:tab w:leader="none" w:pos="1500" w:val="left"/>
        </w:tabs>
        <w:numPr>
          <w:ilvl w:val="2"/>
          <w:numId w:val="18"/>
        </w:numPr>
        <w:rPr>
          <w:rFonts w:ascii="Arial" w:cs="Arial" w:eastAsia="Arial" w:hAnsi="Arial"/>
          <w:sz w:val="16"/>
          <w:szCs w:val="16"/>
          <w:color w:val="auto"/>
        </w:rPr>
      </w:pPr>
      <w:r>
        <w:rPr>
          <w:rFonts w:ascii="Arial" w:cs="Arial" w:eastAsia="Arial" w:hAnsi="Arial"/>
          <w:sz w:val="16"/>
          <w:szCs w:val="16"/>
          <w:color w:val="231F20"/>
        </w:rPr>
        <w:t>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15" w:lineRule="exact"/>
        <w:rPr>
          <w:rFonts w:ascii="Arial" w:cs="Arial" w:eastAsia="Arial" w:hAnsi="Arial"/>
          <w:sz w:val="16"/>
          <w:szCs w:val="16"/>
          <w:color w:val="auto"/>
        </w:rPr>
      </w:pPr>
    </w:p>
    <w:p>
      <w:pPr>
        <w:ind w:left="1500" w:right="40" w:hanging="372"/>
        <w:spacing w:after="0" w:line="250" w:lineRule="auto"/>
        <w:tabs>
          <w:tab w:leader="none" w:pos="1500" w:val="left"/>
        </w:tabs>
        <w:numPr>
          <w:ilvl w:val="2"/>
          <w:numId w:val="18"/>
        </w:numPr>
        <w:rPr>
          <w:rFonts w:ascii="Arial" w:cs="Arial" w:eastAsia="Arial" w:hAnsi="Arial"/>
          <w:sz w:val="20"/>
          <w:szCs w:val="20"/>
          <w:color w:val="auto"/>
        </w:rPr>
      </w:pPr>
      <w:r>
        <w:rPr>
          <w:rFonts w:ascii="Arial" w:cs="Arial" w:eastAsia="Arial" w:hAnsi="Arial"/>
          <w:sz w:val="18"/>
          <w:szCs w:val="18"/>
          <w:color w:val="231F20"/>
        </w:rPr>
        <w:t>is controlled by a BDC or a group of companies including a BDC and the BDC has an affiliated person who is a director of the eligible portfolio company;</w:t>
      </w:r>
    </w:p>
    <w:p>
      <w:pPr>
        <w:spacing w:after="0" w:line="84" w:lineRule="exact"/>
        <w:rPr>
          <w:rFonts w:ascii="Arial" w:cs="Arial" w:eastAsia="Arial" w:hAnsi="Arial"/>
          <w:sz w:val="20"/>
          <w:szCs w:val="20"/>
          <w:color w:val="auto"/>
        </w:rPr>
      </w:pPr>
    </w:p>
    <w:p>
      <w:pPr>
        <w:ind w:left="1500" w:hanging="372"/>
        <w:spacing w:after="0"/>
        <w:tabs>
          <w:tab w:leader="none" w:pos="1500" w:val="left"/>
        </w:tabs>
        <w:numPr>
          <w:ilvl w:val="2"/>
          <w:numId w:val="18"/>
        </w:numPr>
        <w:rPr>
          <w:rFonts w:ascii="Arial" w:cs="Arial" w:eastAsia="Arial" w:hAnsi="Arial"/>
          <w:sz w:val="16"/>
          <w:szCs w:val="16"/>
          <w:color w:val="auto"/>
        </w:rPr>
      </w:pPr>
      <w:r>
        <w:rPr>
          <w:rFonts w:ascii="Arial" w:cs="Arial" w:eastAsia="Arial" w:hAnsi="Arial"/>
          <w:sz w:val="16"/>
          <w:szCs w:val="16"/>
          <w:color w:val="231F20"/>
        </w:rPr>
        <w:t>is a small and solvent company having total assets of not more than $4 million and capital and surplus of not less than $2 million; or</w:t>
      </w:r>
    </w:p>
    <w:p>
      <w:pPr>
        <w:spacing w:after="0" w:line="153" w:lineRule="exact"/>
        <w:rPr>
          <w:rFonts w:ascii="Arial" w:cs="Arial" w:eastAsia="Arial" w:hAnsi="Arial"/>
          <w:sz w:val="16"/>
          <w:szCs w:val="16"/>
          <w:color w:val="auto"/>
        </w:rPr>
      </w:pPr>
    </w:p>
    <w:p>
      <w:pPr>
        <w:ind w:left="1500" w:hanging="372"/>
        <w:spacing w:after="0"/>
        <w:tabs>
          <w:tab w:leader="none" w:pos="1500" w:val="left"/>
        </w:tabs>
        <w:numPr>
          <w:ilvl w:val="2"/>
          <w:numId w:val="18"/>
        </w:numPr>
        <w:rPr>
          <w:rFonts w:ascii="Arial" w:cs="Arial" w:eastAsia="Arial" w:hAnsi="Arial"/>
          <w:sz w:val="18"/>
          <w:szCs w:val="18"/>
          <w:color w:val="auto"/>
        </w:rPr>
      </w:pPr>
      <w:r>
        <w:rPr>
          <w:rFonts w:ascii="Arial" w:cs="Arial" w:eastAsia="Arial" w:hAnsi="Arial"/>
          <w:sz w:val="18"/>
          <w:szCs w:val="18"/>
          <w:color w:val="231F20"/>
        </w:rPr>
        <w:t>does not have outstanding any class of securities with respect to which a broker or dealer may extend margin credit.</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Securities of any eligible portfolio company that we control;</w:t>
      </w:r>
    </w:p>
    <w:p>
      <w:pPr>
        <w:spacing w:after="0" w:line="130" w:lineRule="exact"/>
        <w:rPr>
          <w:rFonts w:ascii="Arial" w:cs="Arial" w:eastAsia="Arial" w:hAnsi="Arial"/>
          <w:sz w:val="18"/>
          <w:szCs w:val="18"/>
          <w:color w:val="auto"/>
        </w:rPr>
      </w:pPr>
    </w:p>
    <w:p>
      <w:pPr>
        <w:ind w:left="740" w:right="92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Securities purchased in a private transaction from a U.S. issuer that is not an investment company and is in bankruptcy and subject to reorganization;</w:t>
      </w:r>
    </w:p>
    <w:p>
      <w:pPr>
        <w:spacing w:after="0" w:line="62"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Securities received in exchange for or distributed on or with respect to securities described above, or pursuant to the conversion of warrants or rights relating to such securities;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Cash, cash equivalents, U.S. government securities or high-quality debt securities maturing in one year or less from the time of investment.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231F20"/>
        </w:rPr>
        <w:t>Significant Managerial Assistance</w:t>
      </w:r>
    </w:p>
    <w:p>
      <w:pPr>
        <w:spacing w:after="0" w:line="121"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231F20"/>
        </w:rPr>
        <w:t>A BDC must be organized and have its principal place of business in the United States and must be operated for the purpose of making investments in the types of securities described above. In addition, BDCs must generally offer to make available to such issuer of the securities (other than small and solvent companies described above) significant managerial assistance; except that, where we purchase such securities in conjunction with one or more other persons acting together, one of the other persons is the group may make available such managerial assistance. Making available significant managerial assistance means, among other things, any arrangement whereby the BDC, through its directors, officers or employees, offers to provide, and, if accepted, does so provide,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Temporary Investments</w:t>
      </w:r>
    </w:p>
    <w:p>
      <w:pPr>
        <w:spacing w:after="0" w:line="121"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Indebtedness; Coverage Ratio</w:t>
      </w:r>
    </w:p>
    <w:p>
      <w:pPr>
        <w:spacing w:after="0" w:line="121"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231F20"/>
        </w:rPr>
        <w:t>We are permitted, under specified conditions, to issue multiple classes of indebtedness and one class of stock senior to our common stock if our asset coverage, as defined in the 1940 Act, is at least equal to 150%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On March 29, 2018, our Board,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was changed from 200% to 150%, effective as of March 29, 2019. We may also borrow amounts up to 5% of the value of our total assets for temporary purposes. For a discussion of the risks associated with the resulting leverage, see “Item 1A. Risk Factors — Risks Related to Our Business and Structure — We borrow money, which magnifies the potential for gain or loss on amounts invested and may increase the risk of investing in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Common Stock</w:t>
      </w:r>
    </w:p>
    <w:p>
      <w:pPr>
        <w:spacing w:after="0" w:line="121"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231F20"/>
        </w:rPr>
        <w:t>We are not generally able to issue and sell our common stock at a price below net asset value per share. We may, however, sell our common stock, at a price below the current net asset value of the common stock if our Board determines that such sale is in our best interests and that of our stockholders, and our stockholders approve such sale. In any such case, the price at which our common stock is to be issued and sold may not be less than a price which, in the determination of our Board, closely approximates the market value of such common stock (less any distributing commission or discount). We may also make rights offerings to our stockholders at prices per share less than the net asset value per share, subject to applicable requirements of the 1940 Act. See “Item 1A. Risk Factors — Risks Relating to Our Business and Structure — Regulations governing our operation as a BDC affect our ability to, and the way in which we, raise additional capital.”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 of Ethics</w:t>
      </w:r>
    </w:p>
    <w:p>
      <w:pPr>
        <w:spacing w:after="0" w:line="121"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231F20"/>
        </w:rPr>
        <w:t xml:space="preserve">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A copy of the code of ethics is available on the Corporate Governance section of the Company’s website at </w:t>
      </w:r>
      <w:r>
        <w:rPr>
          <w:rFonts w:ascii="Arial" w:cs="Arial" w:eastAsia="Arial" w:hAnsi="Arial"/>
          <w:sz w:val="16"/>
          <w:szCs w:val="16"/>
          <w:u w:val="single" w:color="auto"/>
          <w:color w:val="000000"/>
        </w:rPr>
        <w:t>www.portmanridge.com</w:t>
      </w:r>
      <w:r>
        <w:rPr>
          <w:rFonts w:ascii="Arial" w:cs="Arial" w:eastAsia="Arial" w:hAnsi="Arial"/>
          <w:sz w:val="16"/>
          <w:szCs w:val="16"/>
          <w:color w:val="000000"/>
        </w:rPr>
        <w:t>.</w:t>
      </w:r>
      <w:r>
        <w:rPr>
          <w:rFonts w:ascii="Arial" w:cs="Arial" w:eastAsia="Arial" w:hAnsi="Arial"/>
          <w:sz w:val="16"/>
          <w:szCs w:val="16"/>
          <w:color w:val="231F20"/>
        </w:rPr>
        <w:t xml:space="preserve"> Our code of ethics is available on the EDGAR Database on the SEC’s Internet site at </w:t>
      </w:r>
      <w:r>
        <w:rPr>
          <w:rFonts w:ascii="Arial" w:cs="Arial" w:eastAsia="Arial" w:hAnsi="Arial"/>
          <w:sz w:val="16"/>
          <w:szCs w:val="16"/>
          <w:i w:val="1"/>
          <w:iCs w:val="1"/>
          <w:u w:val="single" w:color="auto"/>
          <w:color w:val="231F20"/>
        </w:rPr>
        <w:t>http://www.sec.gov</w:t>
      </w:r>
      <w:r>
        <w:rPr>
          <w:rFonts w:ascii="Arial" w:cs="Arial" w:eastAsia="Arial" w:hAnsi="Arial"/>
          <w:sz w:val="16"/>
          <w:szCs w:val="16"/>
          <w:u w:val="single" w:color="auto"/>
          <w:color w:val="231F20"/>
        </w:rPr>
        <w:t>.</w:t>
      </w:r>
      <w:r>
        <w:rPr>
          <w:rFonts w:ascii="Arial" w:cs="Arial" w:eastAsia="Arial" w:hAnsi="Arial"/>
          <w:sz w:val="16"/>
          <w:szCs w:val="16"/>
          <w:color w:val="231F20"/>
        </w:rPr>
        <w:t xml:space="preserve"> Copies may be obtained by electronic request to </w:t>
      </w:r>
      <w:r>
        <w:rPr>
          <w:rFonts w:ascii="Arial" w:cs="Arial" w:eastAsia="Arial" w:hAnsi="Arial"/>
          <w:sz w:val="16"/>
          <w:szCs w:val="16"/>
          <w:u w:val="single" w:color="auto"/>
          <w:color w:val="231F20"/>
        </w:rPr>
        <w:t>publicinfo@sec.gov</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Privacy Principles</w:t>
      </w:r>
    </w:p>
    <w:p>
      <w:pPr>
        <w:spacing w:after="0" w:line="121"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231F20"/>
        </w:rPr>
        <w:t>We are committed to maintaining the privacy of our stockholders and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6"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231F20"/>
        </w:rPr>
        <w:t>Generally, we do not receive any non-public personal information relating to our stockholders, although some non-public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right="20" w:firstLine="374"/>
        <w:spacing w:after="0" w:line="277" w:lineRule="auto"/>
        <w:rPr>
          <w:sz w:val="20"/>
          <w:szCs w:val="20"/>
          <w:color w:val="auto"/>
        </w:rPr>
      </w:pPr>
      <w:r>
        <w:rPr>
          <w:rFonts w:ascii="Arial" w:cs="Arial" w:eastAsia="Arial" w:hAnsi="Arial"/>
          <w:sz w:val="18"/>
          <w:szCs w:val="18"/>
          <w:color w:val="231F20"/>
        </w:rPr>
        <w:t>We restrict access to non-public personal information about our stockholders to our employees with a legitimate business need for the information. We maintain safeguards designed to protect the non-public personal information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Proxy Voting Policy and Procedures</w:t>
      </w:r>
    </w:p>
    <w:p>
      <w:pPr>
        <w:spacing w:after="0" w:line="121"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231F20"/>
        </w:rPr>
        <w:t>Although the securities we hold are not typically voting securities, some of our investments could entitle us to voting rights. If this were to occur the Adviser would vote its portfolio securities in the best interest of our stockholders and the Adviser would review on a case-by-case basis each proposal submitted to a stockholder vote to determine its impact on the portfolio securities held by us. Although the Adviser would generally vote against proposals that it believes may have a negative impact on our portfolio securities, the Adviser may vote for such a proposal if it were to believe there exists a compelling long-term reason to do so.</w:t>
      </w:r>
    </w:p>
    <w:p>
      <w:pPr>
        <w:spacing w:after="0" w:line="80"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231F20"/>
        </w:rPr>
        <w:t>Our voting decisions would be made by the Adviser, subject to authority assigned under our Advisory Agreement. To ensure that the Adviser’s vote would not be the product of a conflict of interest, we would require that (1) anyone involved in the decision making process disclose to our Board any potential conflict that he or she is aware of and any contact that he or she has had with any interested party regarding a vote; and (2) employees involved in the decision making process or vote administration are prohibited from revealing how we intend to vote on a proposal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Exclusion from CFTC Regulation</w:t>
      </w:r>
    </w:p>
    <w:p>
      <w:pPr>
        <w:spacing w:after="0" w:line="121"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Rule 4.5 of the Commodity Futures Trading Commission (“</w:t>
      </w:r>
      <w:r>
        <w:rPr>
          <w:rFonts w:ascii="Arial" w:cs="Arial" w:eastAsia="Arial" w:hAnsi="Arial"/>
          <w:sz w:val="16"/>
          <w:szCs w:val="16"/>
          <w:i w:val="1"/>
          <w:iCs w:val="1"/>
          <w:color w:val="auto"/>
        </w:rPr>
        <w:t>CFTC</w:t>
      </w:r>
      <w:r>
        <w:rPr>
          <w:rFonts w:ascii="Arial" w:cs="Arial" w:eastAsia="Arial" w:hAnsi="Arial"/>
          <w:sz w:val="16"/>
          <w:szCs w:val="16"/>
          <w:color w:val="auto"/>
        </w:rPr>
        <w:t>”) permits investment advisers to BDCs to claim an exclusion from the definition of “commodity pool operator” under the Commodities Exchange Act (the “CEA”) with respect to a fund, provided certain requirements are met. In order to permit our Adviser to claim this exclusion with respect to us, we must limit our transactions in certain futures, options on futures and swaps deemed “commodity interests” under CFTC rules (excluding transactions entered into for “bona fide hedging purposes,” as defined under CFTC regulations) such that either: (i) the aggregate initial margin and premiums required to establish such futures, options on futures and swaps do not exceed 5% of the liquidation value of our portfolio, after taking into account unrealized profits and losses on such positions; or (ii) the aggregate net notional value of such futures, options on futures and swaps does not exceed 100% of the liquidation value of our portfolio, after taking into account unrealized profits and losses on such positions. In addition to meeting one of the foregoing trading limitations, we may not market our self as a commodity pool or otherwise as a vehicle for trading in the futures, options or swaps markets. Accordingly, we are not subject to regulation under the CEA or otherwise regulated by the CFTC. If the Adviser was unable to claim the exclusion with respect to us, the Adviser would become subject to registration and regulation as a commodity pool operator, which would subject the Adviser and us to additional registration and regulatory requirements and increased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are subject to examination by the SEC for compliance with the 1940 Act.</w:t>
      </w:r>
    </w:p>
    <w:p>
      <w:pPr>
        <w:spacing w:after="0" w:line="117" w:lineRule="exact"/>
        <w:rPr>
          <w:sz w:val="20"/>
          <w:szCs w:val="20"/>
          <w:color w:val="auto"/>
        </w:rPr>
      </w:pPr>
    </w:p>
    <w:p>
      <w:pPr>
        <w:ind w:right="360" w:firstLine="374"/>
        <w:spacing w:after="0" w:line="286" w:lineRule="auto"/>
        <w:rPr>
          <w:sz w:val="20"/>
          <w:szCs w:val="20"/>
          <w:color w:val="auto"/>
        </w:rPr>
      </w:pPr>
      <w:r>
        <w:rPr>
          <w:rFonts w:ascii="Arial" w:cs="Arial" w:eastAsia="Arial" w:hAnsi="Arial"/>
          <w:sz w:val="17"/>
          <w:szCs w:val="17"/>
          <w:color w:val="231F20"/>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57"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231F20"/>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Chief Compliance Officer who is responsible for administering these policies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TAXATION AS A REGULATED INVESTMENT COMPANY</w:t>
      </w:r>
    </w:p>
    <w:p>
      <w:pPr>
        <w:spacing w:after="0" w:line="121"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231F20"/>
        </w:rPr>
        <w:t>We have elected to be treated for U.S. federal income tax purposes as a RIC under the Code and intend to operate in a manner to maintain our RIC tax treatment. As a RIC, we generally will not have to pay corporate-level U.S. federal income taxes on any ordinary income or capital gains that we timely distribute to our stockholders as dividends. To qualify for tax treatment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Taxation as a RIC</w:t>
      </w:r>
    </w:p>
    <w:p>
      <w:pPr>
        <w:spacing w:after="0" w:line="11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231F20"/>
        </w:rPr>
        <w:t xml:space="preserve">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w:t>
      </w:r>
      <w:r>
        <w:rPr>
          <w:rFonts w:ascii="Arial" w:cs="Arial" w:eastAsia="Arial" w:hAnsi="Arial"/>
          <w:sz w:val="18"/>
          <w:szCs w:val="18"/>
          <w:color w:val="000000"/>
        </w:rPr>
        <w:t>any investment company taxable</w:t>
      </w:r>
      <w:r>
        <w:rPr>
          <w:rFonts w:ascii="Arial" w:cs="Arial" w:eastAsia="Arial" w:hAnsi="Arial"/>
          <w:sz w:val="18"/>
          <w:szCs w:val="18"/>
          <w:color w:val="231F20"/>
        </w:rPr>
        <w:t xml:space="preserve"> income or net capital gain not distributed (or deemed distributed) to our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9" w:name="page20"/>
    <w:bookmarkEnd w:id="19"/>
    <w:p>
      <w:pPr>
        <w:ind w:right="40" w:firstLine="374"/>
        <w:spacing w:after="0" w:line="272" w:lineRule="auto"/>
        <w:rPr>
          <w:sz w:val="20"/>
          <w:szCs w:val="20"/>
          <w:color w:val="auto"/>
        </w:rPr>
      </w:pPr>
      <w:r>
        <w:rPr>
          <w:rFonts w:ascii="Arial" w:cs="Arial" w:eastAsia="Arial" w:hAnsi="Arial"/>
          <w:sz w:val="17"/>
          <w:szCs w:val="17"/>
          <w:color w:val="231F20"/>
        </w:rPr>
        <w:t>We will be subject to a 4% nondeductible U.S. federal excise tax on our undistributed income unless we distribute in a timely manner for each calendar year an amount at least equal to the sum of (a) 98% of our net ordinary income for that calendar year, (b) 98.2% of our capital gain net income for the one-year period ending October 31 in that calendar year and (c) any income or gains realized, but not distributed, in the preceding year and on which we paid no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 distributed by year end (or earlier if estimated taxes are paid). Although we generally endeavor to make sufficient distributions each taxable year to satisfy the Excise Tax Avoidance Requirement, we may incur a U.S. federal excise tax.</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To qualify as a RIC for U.S. federal income tax purposes, we must, among other things:</w:t>
      </w:r>
    </w:p>
    <w:p>
      <w:pPr>
        <w:spacing w:after="0" w:line="117"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have an election in effect to be treated as a business development company under the 1940 Act at all times during each taxable year;</w:t>
      </w:r>
    </w:p>
    <w:p>
      <w:pPr>
        <w:spacing w:after="0" w:line="142" w:lineRule="exact"/>
        <w:rPr>
          <w:rFonts w:ascii="Arial" w:cs="Arial" w:eastAsia="Arial" w:hAnsi="Arial"/>
          <w:sz w:val="17"/>
          <w:szCs w:val="17"/>
          <w:color w:val="auto"/>
        </w:rPr>
      </w:pPr>
    </w:p>
    <w:p>
      <w:pPr>
        <w:ind w:left="740" w:right="180" w:hanging="368"/>
        <w:spacing w:after="0" w:line="296"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231F20"/>
        </w:rPr>
        <w:t>derive in each taxable year at least 90% of our gross income from dividends, interest, payments with respect to certain securities loans, gains from the sale of stock or other securities or foreign currencies, or other income derived with respect to our business of investing in such stock, securities or currencies, and net income derived from interests in “qualified publicly traded partnerships” (which generally are partnerships that are traded on an established securities market or readily tradable on a secondary market (or the substantial equivalent thereof), other than partnerships that derive 90% of their income from interest, dividends and other permitted RIC income) (the “90% Income Test”); and</w:t>
      </w:r>
    </w:p>
    <w:p>
      <w:pPr>
        <w:spacing w:after="0" w:line="53" w:lineRule="exact"/>
        <w:rPr>
          <w:rFonts w:ascii="Arial" w:cs="Arial" w:eastAsia="Arial" w:hAnsi="Arial"/>
          <w:sz w:val="16"/>
          <w:szCs w:val="16"/>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diversify our holdings so that at the end of each quarter of the taxable year:</w:t>
      </w:r>
    </w:p>
    <w:p>
      <w:pPr>
        <w:spacing w:after="0" w:line="130" w:lineRule="exact"/>
        <w:rPr>
          <w:rFonts w:ascii="Arial" w:cs="Arial" w:eastAsia="Arial" w:hAnsi="Arial"/>
          <w:sz w:val="18"/>
          <w:szCs w:val="18"/>
          <w:color w:val="auto"/>
        </w:rPr>
      </w:pPr>
    </w:p>
    <w:p>
      <w:pPr>
        <w:ind w:left="1120" w:right="360" w:hanging="370"/>
        <w:spacing w:after="0" w:line="263"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231F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75" w:lineRule="exact"/>
        <w:rPr>
          <w:rFonts w:ascii="Arial" w:cs="Arial" w:eastAsia="Arial" w:hAnsi="Arial"/>
          <w:sz w:val="18"/>
          <w:szCs w:val="18"/>
          <w:color w:val="auto"/>
        </w:rPr>
      </w:pPr>
    </w:p>
    <w:p>
      <w:pPr>
        <w:ind w:left="1120" w:right="140" w:hanging="370"/>
        <w:spacing w:after="0" w:line="259"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231F20"/>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7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231F20"/>
        </w:rPr>
        <w:t>If we do not satisfy the requirements of the Diversification Tests as of the end of any quarter, we will not lose our status as a RIC provided that (i) we satisfied the requirements in a prior quarter and (ii) our failure to satisfy the requirements in the current quarter is not due in whole or in part to an acquisition of any security or other property.</w:t>
      </w:r>
    </w:p>
    <w:p>
      <w:pPr>
        <w:spacing w:after="0" w:line="76"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color w:val="231F20"/>
        </w:rPr>
        <w:t>We may invest in partnerships, including qualified publicly traded partnerships, which may result in our being subject to state, local or foreign income, franchise or withholding liabilities.</w:t>
      </w:r>
    </w:p>
    <w:p>
      <w:pPr>
        <w:spacing w:after="0" w:line="62"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231F20"/>
        </w:rPr>
        <w:t>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70"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231F20"/>
        </w:rPr>
        <w:t>Although we do not presently expect to do so, we are authorized to borrow funds and to sell assets in order (i) 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a certain “asset coverage” test is met. See “Regulation — Indebtedness;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 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84" w:lineRule="exact"/>
        <w:rPr>
          <w:sz w:val="20"/>
          <w:szCs w:val="20"/>
          <w:color w:val="auto"/>
        </w:rPr>
      </w:pPr>
    </w:p>
    <w:p>
      <w:pPr>
        <w:ind w:right="80" w:firstLine="374"/>
        <w:spacing w:after="0" w:line="285" w:lineRule="auto"/>
        <w:rPr>
          <w:sz w:val="20"/>
          <w:szCs w:val="20"/>
          <w:color w:val="auto"/>
        </w:rPr>
      </w:pPr>
      <w:r>
        <w:rPr>
          <w:rFonts w:ascii="Arial" w:cs="Arial" w:eastAsia="Arial" w:hAnsi="Arial"/>
          <w:sz w:val="16"/>
          <w:szCs w:val="16"/>
          <w:color w:val="231F20"/>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long-term capital gain into higher-taxed short-term capital gain or ordinary income, (e) convert an ordinary loss or a deduction into a capital loss (the deductibility of which is more limited), (f) cause us to recognize income or gain without a corresponding receipt of cash,</w:t>
      </w:r>
    </w:p>
    <w:p>
      <w:pPr>
        <w:spacing w:after="0" w:line="2" w:lineRule="exact"/>
        <w:rPr>
          <w:sz w:val="20"/>
          <w:szCs w:val="20"/>
          <w:color w:val="auto"/>
        </w:rPr>
      </w:pPr>
    </w:p>
    <w:p>
      <w:pPr>
        <w:ind w:right="220" w:firstLine="8"/>
        <w:spacing w:after="0" w:line="277" w:lineRule="auto"/>
        <w:tabs>
          <w:tab w:leader="none" w:pos="255"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adversely affect the time as to when a purchase or sale of stock or securities is deemed to occur, (h) adversely alter the characterization of certain complex financial transactions and (i) 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0" w:name="page21"/>
    <w:bookmarkEnd w:id="20"/>
    <w:p>
      <w:pPr>
        <w:ind w:right="480" w:firstLine="374"/>
        <w:spacing w:after="0" w:line="342" w:lineRule="auto"/>
        <w:rPr>
          <w:sz w:val="20"/>
          <w:szCs w:val="20"/>
          <w:color w:val="auto"/>
        </w:rPr>
      </w:pPr>
      <w:r>
        <w:rPr>
          <w:rFonts w:ascii="Arial" w:cs="Arial" w:eastAsia="Arial" w:hAnsi="Arial"/>
          <w:sz w:val="16"/>
          <w:szCs w:val="16"/>
          <w:color w:val="231F20"/>
        </w:rPr>
        <w:t>Gain or loss realized by us from warrants acquired by us as well as any loss attributable to the lapse of such warrants generally will be treated as capital gain or loss. Such capital gain or loss generally will be long- term or short-term, depending on how long we held a particular warrant.</w:t>
      </w:r>
    </w:p>
    <w:p>
      <w:pPr>
        <w:spacing w:after="0" w:line="16" w:lineRule="exact"/>
        <w:rPr>
          <w:sz w:val="20"/>
          <w:szCs w:val="20"/>
          <w:color w:val="auto"/>
        </w:rPr>
      </w:pPr>
    </w:p>
    <w:p>
      <w:pPr>
        <w:ind w:right="80" w:firstLine="374"/>
        <w:spacing w:after="0" w:line="301" w:lineRule="auto"/>
        <w:rPr>
          <w:sz w:val="20"/>
          <w:szCs w:val="20"/>
          <w:color w:val="auto"/>
        </w:rPr>
      </w:pPr>
      <w:r>
        <w:rPr>
          <w:rFonts w:ascii="Arial" w:cs="Arial" w:eastAsia="Arial" w:hAnsi="Arial"/>
          <w:sz w:val="16"/>
          <w:szCs w:val="16"/>
          <w:color w:val="231F20"/>
        </w:rPr>
        <w:t>Some of the income and fees that we may recognize will not be qualifying income for purposes of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Failure to Qualify as a RIC</w:t>
      </w:r>
    </w:p>
    <w:p>
      <w:pPr>
        <w:spacing w:after="0" w:line="117"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231F20"/>
        </w:rPr>
        <w:t xml:space="preserve">If we were unable to qualify for treatment as a RIC, we would be subject to tax on all of our taxable income at regular corporate rates, regardless of whether we make any distributions to our stockholders. Distributions would not be required, and any distributions made </w:t>
      </w:r>
      <w:r>
        <w:rPr>
          <w:rFonts w:ascii="Arial" w:cs="Arial" w:eastAsia="Arial" w:hAnsi="Arial"/>
          <w:sz w:val="17"/>
          <w:szCs w:val="17"/>
          <w:color w:val="000000"/>
        </w:rPr>
        <w:t>out of our current or accumulated</w:t>
      </w:r>
      <w:r>
        <w:rPr>
          <w:rFonts w:ascii="Arial" w:cs="Arial" w:eastAsia="Arial" w:hAnsi="Arial"/>
          <w:sz w:val="17"/>
          <w:szCs w:val="17"/>
          <w:color w:val="231F20"/>
        </w:rPr>
        <w:t xml:space="preserve"> </w:t>
      </w:r>
      <w:r>
        <w:rPr>
          <w:rFonts w:ascii="Arial" w:cs="Arial" w:eastAsia="Arial" w:hAnsi="Arial"/>
          <w:sz w:val="17"/>
          <w:szCs w:val="17"/>
          <w:color w:val="000000"/>
        </w:rPr>
        <w:t xml:space="preserve">earnings and profits </w:t>
      </w:r>
      <w:r>
        <w:rPr>
          <w:rFonts w:ascii="Arial" w:cs="Arial" w:eastAsia="Arial" w:hAnsi="Arial"/>
          <w:sz w:val="17"/>
          <w:szCs w:val="17"/>
          <w:color w:val="231F20"/>
        </w:rPr>
        <w:t>would be taxable to our stockholders as ordinary dividend income that, subject to certain limitations, may be eligible for the 20.0%</w:t>
      </w:r>
      <w:r>
        <w:rPr>
          <w:rFonts w:ascii="Arial" w:cs="Arial" w:eastAsia="Arial" w:hAnsi="Arial"/>
          <w:sz w:val="17"/>
          <w:szCs w:val="17"/>
          <w:color w:val="000000"/>
        </w:rPr>
        <w:t xml:space="preserve"> </w:t>
      </w:r>
      <w:r>
        <w:rPr>
          <w:rFonts w:ascii="Arial" w:cs="Arial" w:eastAsia="Arial" w:hAnsi="Arial"/>
          <w:sz w:val="17"/>
          <w:szCs w:val="17"/>
          <w:color w:val="231F20"/>
        </w:rPr>
        <w:t xml:space="preserve">maximum rate if paid to non-corporate stockholders.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in our stock, and any remaining distributions would be treated as a capital gain </w:t>
      </w:r>
      <w:r>
        <w:rPr>
          <w:rFonts w:ascii="Arial" w:cs="Arial" w:eastAsia="Arial" w:hAnsi="Arial"/>
          <w:sz w:val="17"/>
          <w:szCs w:val="17"/>
          <w:color w:val="000000"/>
        </w:rPr>
        <w:t>provided the stockholder holds our</w:t>
      </w:r>
      <w:r>
        <w:rPr>
          <w:rFonts w:ascii="Arial" w:cs="Arial" w:eastAsia="Arial" w:hAnsi="Arial"/>
          <w:sz w:val="17"/>
          <w:szCs w:val="17"/>
          <w:color w:val="231F20"/>
        </w:rPr>
        <w:t xml:space="preserve"> </w:t>
      </w:r>
      <w:r>
        <w:rPr>
          <w:rFonts w:ascii="Arial" w:cs="Arial" w:eastAsia="Arial" w:hAnsi="Arial"/>
          <w:sz w:val="17"/>
          <w:szCs w:val="17"/>
          <w:color w:val="000000"/>
        </w:rPr>
        <w:t xml:space="preserve">stock as a capital asset. </w:t>
      </w:r>
      <w:r>
        <w:rPr>
          <w:rFonts w:ascii="Arial" w:cs="Arial" w:eastAsia="Arial" w:hAnsi="Arial"/>
          <w:sz w:val="17"/>
          <w:szCs w:val="17"/>
          <w:color w:val="231F20"/>
        </w:rPr>
        <w:t>If we fail to qualify as a RIC for a period greater than two taxable years, to qualify as a RIC in a subsequent year we may be subject</w:t>
      </w:r>
      <w:r>
        <w:rPr>
          <w:rFonts w:ascii="Arial" w:cs="Arial" w:eastAsia="Arial" w:hAnsi="Arial"/>
          <w:sz w:val="17"/>
          <w:szCs w:val="17"/>
          <w:color w:val="000000"/>
        </w:rPr>
        <w:t xml:space="preserve"> </w:t>
      </w:r>
      <w:r>
        <w:rPr>
          <w:rFonts w:ascii="Arial" w:cs="Arial" w:eastAsia="Arial" w:hAnsi="Arial"/>
          <w:sz w:val="17"/>
          <w:szCs w:val="17"/>
          <w:color w:val="231F20"/>
        </w:rPr>
        <w:t>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 REINVESTMENT PLAN</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231F20"/>
        </w:rPr>
        <w:t>We have adopted a dividend reinvestment plan that provides for reinvestment of our distributions on behalf of our stockholders, unless a stockholder elects to receive cash as provided below. As a result, if our Board authorizes, and we declare, a cash distribution, then our stockholders who have not “opted out” of our dividend reinvestment plan will have their cash distributions automatically reinvested in additional shares of our common stock, rather than receiving the cash.</w:t>
      </w:r>
    </w:p>
    <w:p>
      <w:pPr>
        <w:spacing w:after="0" w:line="79"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231F20"/>
        </w:rPr>
        <w:t>No action is required on the part of a registered stockholder to have such shareholder’s cash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69"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231F20"/>
        </w:rPr>
        <w:t>Those stockholders whose shares are held by a broker or other financial intermediary may receive distributions in cash by notifying their broker or other financial intermediary of their election.</w:t>
      </w:r>
    </w:p>
    <w:p>
      <w:pPr>
        <w:spacing w:after="0" w:line="62"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231F20"/>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 by the market price per share of our common stock at the close of regular trading on The NASDAQ Global Select Market 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 reinvestment plan will be allocated to a stockholder based upon the average purchase price, excluding any brokerage charges or other charges, of all shares of common stock purchased with respect to the distribution.</w:t>
      </w:r>
    </w:p>
    <w:p>
      <w:pPr>
        <w:spacing w:after="0" w:line="84"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231F20"/>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79"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231F20"/>
        </w:rPr>
        <w:t>If your distributions are reinvested, you will be required to pay tax on the distributions in the same manner as if the distributions were received in cash. The taxation of distributions will not be affected by the form in which you receive them.</w:t>
      </w:r>
    </w:p>
    <w:p>
      <w:pPr>
        <w:spacing w:after="0" w:line="62" w:lineRule="exact"/>
        <w:rPr>
          <w:sz w:val="20"/>
          <w:szCs w:val="20"/>
          <w:color w:val="auto"/>
        </w:rPr>
      </w:pPr>
    </w:p>
    <w:p>
      <w:pPr>
        <w:jc w:val="both"/>
        <w:ind w:right="300" w:firstLine="374"/>
        <w:spacing w:after="0" w:line="263" w:lineRule="auto"/>
        <w:rPr>
          <w:sz w:val="20"/>
          <w:szCs w:val="20"/>
          <w:color w:val="auto"/>
        </w:rPr>
      </w:pPr>
      <w:r>
        <w:rPr>
          <w:rFonts w:ascii="Arial" w:cs="Arial" w:eastAsia="Arial" w:hAnsi="Arial"/>
          <w:sz w:val="18"/>
          <w:szCs w:val="18"/>
          <w:color w:val="231F20"/>
        </w:rPr>
        <w:t xml:space="preserve">Participants may terminate their accounts under the plan by notifying the plan administrator via its website at </w:t>
      </w:r>
      <w:r>
        <w:rPr>
          <w:rFonts w:ascii="Arial" w:cs="Arial" w:eastAsia="Arial" w:hAnsi="Arial"/>
          <w:sz w:val="18"/>
          <w:szCs w:val="18"/>
          <w:i w:val="1"/>
          <w:iCs w:val="1"/>
          <w:color w:val="231F20"/>
        </w:rPr>
        <w:t>www.amstock.com</w:t>
      </w:r>
      <w:r>
        <w:rPr>
          <w:rFonts w:ascii="Arial" w:cs="Arial" w:eastAsia="Arial" w:hAnsi="Arial"/>
          <w:sz w:val="18"/>
          <w:szCs w:val="18"/>
          <w:color w:val="231F20"/>
        </w:rPr>
        <w:t>, by filling out the transaction request form located at bottom of their statement and sending it to the plan administrator at the address set forth below or by calling the plan administrator at 1-866-668-8564.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p>
      <w:pPr>
        <w:jc w:val="both"/>
        <w:ind w:right="300" w:firstLine="374"/>
        <w:spacing w:after="0" w:line="259" w:lineRule="auto"/>
        <w:rPr>
          <w:sz w:val="20"/>
          <w:szCs w:val="20"/>
          <w:color w:val="auto"/>
        </w:rPr>
      </w:pPr>
      <w:r>
        <w:rPr>
          <w:rFonts w:ascii="Arial" w:cs="Arial" w:eastAsia="Arial" w:hAnsi="Arial"/>
          <w:sz w:val="18"/>
          <w:szCs w:val="18"/>
          <w:color w:val="231F20"/>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American Stock Transfer &amp; Trust Company, Attn. Dividend Reinvestment Department, P.O. Box 922, Wall Street Station, New York, NY 10269-0560 or by telephone at 1-866-668-8564.</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1A.</w:t>
      </w:r>
      <w:r>
        <w:rPr>
          <w:sz w:val="20"/>
          <w:szCs w:val="20"/>
          <w:color w:val="auto"/>
        </w:rPr>
        <w:tab/>
      </w:r>
      <w:r>
        <w:rPr>
          <w:rFonts w:ascii="Arial" w:cs="Arial" w:eastAsia="Arial" w:hAnsi="Arial"/>
          <w:sz w:val="15"/>
          <w:szCs w:val="15"/>
          <w:b w:val="1"/>
          <w:bCs w:val="1"/>
          <w:i w:val="1"/>
          <w:iCs w:val="1"/>
          <w:color w:val="231F20"/>
        </w:rPr>
        <w:t>Risk Factors</w:t>
      </w:r>
    </w:p>
    <w:p>
      <w:pPr>
        <w:spacing w:after="0" w:line="121"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i w:val="1"/>
          <w:iCs w:val="1"/>
          <w:color w:val="231F20"/>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part or all of your investment.</w:t>
      </w:r>
    </w:p>
    <w:p>
      <w:pPr>
        <w:spacing w:after="0" w:line="68"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231F20"/>
        </w:rPr>
        <w:t>The following is a summary of the principal risks that you should carefully consider before investing in our securities. Further details regarding each risk included in the below summary list can be found further below.</w:t>
      </w:r>
    </w:p>
    <w:p>
      <w:pPr>
        <w:spacing w:after="0" w:line="62" w:lineRule="exact"/>
        <w:rPr>
          <w:sz w:val="20"/>
          <w:szCs w:val="20"/>
          <w:color w:val="auto"/>
        </w:rPr>
      </w:pPr>
    </w:p>
    <w:p>
      <w:pPr>
        <w:ind w:left="740" w:hanging="368"/>
        <w:spacing w:after="0"/>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Adviser relies on key personnel, the loss of any of whom could impair its ability to successfully manage us.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We operate in a highly competitive market for investment opportunities.</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21"/>
        </w:numPr>
        <w:rPr>
          <w:rFonts w:ascii="Arial" w:cs="Arial" w:eastAsia="Arial" w:hAnsi="Arial"/>
          <w:sz w:val="17"/>
          <w:szCs w:val="17"/>
          <w:color w:val="231F20"/>
        </w:rPr>
      </w:pPr>
      <w:r>
        <w:rPr>
          <w:rFonts w:ascii="Arial" w:cs="Arial" w:eastAsia="Arial" w:hAnsi="Arial"/>
          <w:sz w:val="17"/>
          <w:szCs w:val="17"/>
          <w:color w:val="231F20"/>
        </w:rPr>
        <w:t>We may from time to time expand our business through acquisitions, which could disrupt our business and harm our financial condition.</w:t>
      </w:r>
    </w:p>
    <w:p>
      <w:pPr>
        <w:spacing w:after="0" w:line="142" w:lineRule="exact"/>
        <w:rPr>
          <w:rFonts w:ascii="Arial" w:cs="Arial" w:eastAsia="Arial" w:hAnsi="Arial"/>
          <w:sz w:val="17"/>
          <w:szCs w:val="17"/>
          <w:color w:val="231F20"/>
        </w:rPr>
      </w:pPr>
    </w:p>
    <w:p>
      <w:pPr>
        <w:ind w:left="740" w:hanging="368"/>
        <w:spacing w:after="0"/>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Regulations governing our operation as a BDC affect our ability to, and the way in which we, raise additional capital.</w:t>
      </w:r>
    </w:p>
    <w:p>
      <w:pPr>
        <w:spacing w:after="0" w:line="130" w:lineRule="exact"/>
        <w:rPr>
          <w:rFonts w:ascii="Arial" w:cs="Arial" w:eastAsia="Arial" w:hAnsi="Arial"/>
          <w:sz w:val="18"/>
          <w:szCs w:val="18"/>
          <w:color w:val="231F20"/>
        </w:rPr>
      </w:pPr>
    </w:p>
    <w:p>
      <w:pPr>
        <w:ind w:left="740" w:right="220" w:hanging="368"/>
        <w:spacing w:after="0" w:line="263" w:lineRule="auto"/>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portfolio investments for which there is no readily available market, including our investment in our Joint Ventures and our investments in CLO Funds, are recorded at fair value as determined in good faith by our Board. As a result, there is uncertainty as to the value of these investments.</w:t>
      </w:r>
    </w:p>
    <w:p>
      <w:pPr>
        <w:spacing w:after="0" w:line="75" w:lineRule="exact"/>
        <w:rPr>
          <w:rFonts w:ascii="Arial" w:cs="Arial" w:eastAsia="Arial" w:hAnsi="Arial"/>
          <w:sz w:val="18"/>
          <w:szCs w:val="18"/>
          <w:color w:val="231F20"/>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We borrow money, which magnifies the potential for gain or loss on amounts invested and may increase the risk of investing in us.</w:t>
      </w:r>
    </w:p>
    <w:p>
      <w:pPr>
        <w:spacing w:after="0" w:line="144" w:lineRule="exact"/>
        <w:rPr>
          <w:rFonts w:ascii="Arial" w:cs="Arial" w:eastAsia="Arial" w:hAnsi="Arial"/>
          <w:sz w:val="18"/>
          <w:szCs w:val="18"/>
          <w:color w:val="auto"/>
        </w:rPr>
      </w:pPr>
    </w:p>
    <w:p>
      <w:pPr>
        <w:ind w:left="740" w:right="180" w:hanging="368"/>
        <w:spacing w:after="0" w:line="26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We may default under the Revolving Credit Facility, the 6.125% Notes due 2022 or any future indebtedness or be unable to amend, repay or refinance any such facility or financing arrangement on commercially reasonable terms, or at all, which could have a material adverse effect on our business, financial condition, results of operations and cash flows.</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investments may be risky, and you could lose all or part of your investment.</w:t>
      </w:r>
    </w:p>
    <w:p>
      <w:pPr>
        <w:spacing w:after="0" w:line="130" w:lineRule="exact"/>
        <w:rPr>
          <w:rFonts w:ascii="Arial" w:cs="Arial" w:eastAsia="Arial" w:hAnsi="Arial"/>
          <w:sz w:val="18"/>
          <w:szCs w:val="18"/>
          <w:color w:val="231F20"/>
        </w:rPr>
      </w:pPr>
    </w:p>
    <w:p>
      <w:pPr>
        <w:ind w:left="740" w:hanging="368"/>
        <w:spacing w:after="0"/>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lack of liquidity in our investments may adversely affect our business.</w:t>
      </w:r>
    </w:p>
    <w:p>
      <w:pPr>
        <w:spacing w:after="0" w:line="130" w:lineRule="exact"/>
        <w:rPr>
          <w:rFonts w:ascii="Arial" w:cs="Arial" w:eastAsia="Arial" w:hAnsi="Arial"/>
          <w:sz w:val="18"/>
          <w:szCs w:val="18"/>
          <w:color w:val="231F20"/>
        </w:rPr>
      </w:pPr>
    </w:p>
    <w:p>
      <w:pPr>
        <w:ind w:left="740" w:hanging="368"/>
        <w:spacing w:after="0" w:line="277" w:lineRule="auto"/>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Shares of closed-end investment companies, including BDCs, frequently trade at a discount to their net asset value, and we cannot assure you that the market price of our common stock will not decline below the net asset value of the stock.</w:t>
      </w:r>
    </w:p>
    <w:p>
      <w:pPr>
        <w:spacing w:after="0" w:line="62" w:lineRule="exact"/>
        <w:rPr>
          <w:rFonts w:ascii="Arial" w:cs="Arial" w:eastAsia="Arial" w:hAnsi="Arial"/>
          <w:sz w:val="18"/>
          <w:szCs w:val="18"/>
          <w:color w:val="231F20"/>
        </w:rPr>
      </w:pPr>
    </w:p>
    <w:p>
      <w:pPr>
        <w:ind w:left="740" w:right="480" w:hanging="368"/>
        <w:spacing w:after="0" w:line="277" w:lineRule="auto"/>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We may be unable to realize the benefits anticipated by the GARS Acquisition, including estimated cost savings, or it may take longer than anticipated to realize such benefits.</w:t>
      </w:r>
    </w:p>
    <w:p>
      <w:pPr>
        <w:spacing w:after="0" w:line="62" w:lineRule="exact"/>
        <w:rPr>
          <w:rFonts w:ascii="Arial" w:cs="Arial" w:eastAsia="Arial" w:hAnsi="Arial"/>
          <w:sz w:val="18"/>
          <w:szCs w:val="18"/>
          <w:color w:val="231F20"/>
        </w:rPr>
      </w:pPr>
    </w:p>
    <w:p>
      <w:pPr>
        <w:ind w:left="740" w:right="200" w:hanging="368"/>
        <w:spacing w:after="0" w:line="277" w:lineRule="auto"/>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The HCAP Acquisition is subject to closing conditions, including stockholder approval, that, if not satisfied or waived, will result in the HCAP Acquisition not being completed.</w:t>
      </w:r>
    </w:p>
    <w:p>
      <w:pPr>
        <w:spacing w:after="0" w:line="62" w:lineRule="exact"/>
        <w:rPr>
          <w:rFonts w:ascii="Arial" w:cs="Arial" w:eastAsia="Arial" w:hAnsi="Arial"/>
          <w:sz w:val="18"/>
          <w:szCs w:val="18"/>
          <w:color w:val="231F20"/>
        </w:rPr>
      </w:pPr>
    </w:p>
    <w:p>
      <w:pPr>
        <w:ind w:left="740" w:right="320" w:hanging="368"/>
        <w:spacing w:after="0" w:line="263" w:lineRule="auto"/>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Capital markets may experience periods of disruption and instability and we cannot predict when these conditions will occur. Such market conditions could materially and adversely affect debt and equity capital markets in the United States and abroad, which could have a negative impact on our business, financial condition and results of operations.</w:t>
      </w:r>
    </w:p>
    <w:p>
      <w:pPr>
        <w:spacing w:after="0" w:line="75" w:lineRule="exact"/>
        <w:rPr>
          <w:rFonts w:ascii="Arial" w:cs="Arial" w:eastAsia="Arial" w:hAnsi="Arial"/>
          <w:sz w:val="18"/>
          <w:szCs w:val="18"/>
          <w:color w:val="231F20"/>
        </w:rPr>
      </w:pPr>
    </w:p>
    <w:p>
      <w:pPr>
        <w:ind w:left="740" w:right="500" w:hanging="368"/>
        <w:spacing w:after="0" w:line="277" w:lineRule="auto"/>
        <w:tabs>
          <w:tab w:leader="none" w:pos="74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Major public health issues, and specifically the novel coronavirus COVID-19, could have an adverse impact on our financial condition and results of operations and other aspects of our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 w:name="page23"/>
    <w:bookmarkEnd w:id="22"/>
    <w:p>
      <w:pPr>
        <w:ind w:left="3900"/>
        <w:spacing w:after="0"/>
        <w:rPr>
          <w:sz w:val="20"/>
          <w:szCs w:val="20"/>
          <w:color w:val="auto"/>
        </w:rPr>
      </w:pPr>
      <w:r>
        <w:rPr>
          <w:rFonts w:ascii="Arial" w:cs="Arial" w:eastAsia="Arial" w:hAnsi="Arial"/>
          <w:sz w:val="18"/>
          <w:szCs w:val="18"/>
          <w:b w:val="1"/>
          <w:bCs w:val="1"/>
          <w:color w:val="231F20"/>
        </w:rPr>
        <w:t>Risks Related to Our Business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Ineffective internal controls could impact our business and operating results.</w:t>
      </w:r>
    </w:p>
    <w:p>
      <w:pPr>
        <w:spacing w:after="0" w:line="117"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231F20"/>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The Adviser and its affiliates, including our officers and some of our directors, face conflicts of interest caused by compensation arrangements with us and our affiliates, which could result in actions that are not in the best interests of our stockholders.</w:t>
      </w:r>
    </w:p>
    <w:p>
      <w:pPr>
        <w:spacing w:after="0" w:line="62" w:lineRule="exact"/>
        <w:rPr>
          <w:sz w:val="20"/>
          <w:szCs w:val="20"/>
          <w:color w:val="auto"/>
        </w:rPr>
      </w:pPr>
    </w:p>
    <w:p>
      <w:pPr>
        <w:ind w:right="420" w:firstLine="374"/>
        <w:spacing w:after="0" w:line="275" w:lineRule="auto"/>
        <w:rPr>
          <w:sz w:val="20"/>
          <w:szCs w:val="20"/>
          <w:color w:val="auto"/>
        </w:rPr>
      </w:pPr>
      <w:r>
        <w:rPr>
          <w:rFonts w:ascii="Arial" w:cs="Arial" w:eastAsia="Arial" w:hAnsi="Arial"/>
          <w:sz w:val="17"/>
          <w:szCs w:val="17"/>
          <w:color w:val="231F20"/>
        </w:rPr>
        <w:t>The Adviser and its affiliates will receive substantial fees from us in return for their services, including certain incentive fees based on the performance of our investments. These fees could influence the advice provided to us. Generally, the more equity we sell in private offerings and the greater the risk assumed by us with respect to our investments, the greater the potential for growth in our assets and profits, and, correlatively, the fees payable by us to the Adviser. These compensation arrangements could affect the Adviser or its affiliates’ judgment with respect to private offerings of equity and investments made by us, which allows the Adviser to earn increased asset management fees.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be obligated to pay the Adviser incentive compensation even if it incurs a net loss due to a decline in the value of our portfolio.</w:t>
      </w:r>
    </w:p>
    <w:p>
      <w:pPr>
        <w:spacing w:after="0" w:line="129"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231F20"/>
        </w:rPr>
        <w:t>Our Advisory Agreement entitles the Adviser to receive incentive compensation on income regardless of any capital losses. In such case, we may be required to pay the Adviser incentive compensation for a fiscal quarter even if there is a decline in the value of our portfolio or if we incur a net loss for that quarter.</w:t>
      </w:r>
    </w:p>
    <w:p>
      <w:pPr>
        <w:spacing w:after="0" w:line="76"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231F20"/>
        </w:rPr>
        <w:t>Any incentive fee payable by us that relates to our net investment income may be computed and paid on income that may include interest that has been accrued, but not yet received, including original issue discount, which may arise if we receive fees in connection with the origination of a loan or possibly in other circumstances, or contractual PIK interest, which represents contractual interest added to the loan balance and due at the end of the loan term. To the extent we do not distribute accrued PIK interest, the deferral of PIK interest has the simultaneous effects of increasing the assets under management and increasing the base management fee at a compounding rate, while generating investment income and increasing the incentive fee at a compounding rate. In addition, the deferral of PIK interest would also increase the loan-to-value ratio at a compounding rate if the issuer’s assets do not increase in value, and investments with a deferred interest feature, such as PIK interest, may represent a higher credit risk than loans on which interest must be paid in full in cash on a regular basis.</w:t>
      </w:r>
    </w:p>
    <w:p>
      <w:pPr>
        <w:spacing w:after="0" w:line="70"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231F20"/>
        </w:rPr>
        <w:t>For example, if a portfolio company defaults on a loan that is structured to provide accrued interest, it is possible that accrued interest previously included in the calculation of the incentive fee will become uncollectible. The Adviser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us paying an incentive fee on income that we never received.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There may be conflicts of interest related to obligations that the Adviser’s senior management and investment team has to other clients.</w:t>
      </w:r>
    </w:p>
    <w:p>
      <w:pPr>
        <w:spacing w:after="0" w:line="12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The members of the senior management and investment team of the Adviser serve or may serve as officers, directors or principals of entities that operate in the same or a related line of business as us, or of investment funds managed by the same personnel. In serving in these multiple capacities, they may have obligations to other clients or investors in those entities, the fulfillment of which may not be in our best interests or in the best interest of our stockholders. Our investment objective may overlap with the investment objectives of such investment funds, accounts or other investment vehicles. In particular, we rely on the Adviser to manage our day-to-day activities and to implement our investment strategy. The Adviser and certain of its affiliates are presently, and plan in the future to continue to be, involved with activities that are unrelated to us. As a result of these activities, the Adviser, its officers and employees and certain of its affiliates will have conflicts of interest in allocating their time between us and other activities in which they are or may become involved, including the management of its affiliated funds. The Adviser and its officers and employees will devote only as much of its or their time to our business as the Adviser and its officers and employees, in their judgment, determine is reasonably required, which may be substantially less than their full time.</w:t>
      </w:r>
    </w:p>
    <w:p>
      <w:pPr>
        <w:spacing w:after="0" w:line="7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231F20"/>
        </w:rPr>
        <w:t>We rely, in part, on the Adviser to assist with identifying and executing upon investment opportunities and on our Board to review and approve the terms of our participation in co-investment transactions with the Adviser and its affiliates. The Adviser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Adviser, its affiliates and their officers and employees will not be devoted exclusively to our business, but will be allocated between us and such other business activities of the Adviser and its affiliates in a manner that the Adviser deems necessary and appropriate.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20" w:firstLine="374"/>
        <w:spacing w:after="0" w:line="296" w:lineRule="auto"/>
        <w:rPr>
          <w:sz w:val="20"/>
          <w:szCs w:val="20"/>
          <w:color w:val="auto"/>
        </w:rPr>
      </w:pPr>
      <w:r>
        <w:rPr>
          <w:rFonts w:ascii="Arial" w:cs="Arial" w:eastAsia="Arial" w:hAnsi="Arial"/>
          <w:sz w:val="16"/>
          <w:szCs w:val="16"/>
          <w:color w:val="231F20"/>
        </w:rPr>
        <w:t>An affiliate of the Adviser manages BC Partners Lending Corporation, which is a BDC that invests primarily in debt and equity of privately-held middle-market companies, similar to our targets for investment. Therefore, there may be certain investment opportunities that satisfy the investment criteria for BC Partners Lending Corporation and us. BC Partners Lending Corporation operates as a distinct and separate company and any investment in our common stock will not be an investment in BC Partners Lending Corporation. In addition, certain of our executive officers serve in substantially similar capacities for BC Partners Lending Corporation and three of our independent directors serve as independent directors of BC Partners Lending Corporation.</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231F20"/>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76"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231F20"/>
        </w:rPr>
        <w:t>Neither the Adviser nor individuals employed by the Adviser are generally prohibited from raising capital for and managing other investment entities that make the same types of investments that we target. As a result, the time and resources that these individuals may devote to us may be diverted. In addition, we may compete with any such investment entity for the same investors and investment opportunities. On October 23, 2018, the SEC issued an order granting an application for exemptive relief to an affiliate of the Adviser that allows BDCs managed by the Adviser, including us, to co-invest, subject to the satisfaction of certain conditions, in certain private placement transactions, with other funds managed by the Adviser or its affiliates, including BC Partners Lending Corporation, BCP Special Opportunities Fund I LP and BCP Special Opportunities Fund II LP and any future funds that are advised by the Adviser or its affiliated investment advisers. Affiliates of the Adviser, whose primary business includes the origination of investments, engage in investment advisory business with accounts that compete with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base management and incentive fees may induce the Adviser to make speculative investments or to incur leverage.</w:t>
      </w:r>
    </w:p>
    <w:p>
      <w:pPr>
        <w:spacing w:after="0" w:line="117"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231F20"/>
        </w:rPr>
        <w:t>The incentive fee payable by us to the Adviser may create an incentive for the Adviser to make investments on our behalf that are risky or more speculative than would be the case in the absence of such compensation arrangement. The way in which the incentive fee payable to the Adviser is determined may encourage the Adviser to use leverage to increase the leveraged return on our investment portfolio. The part of the management and incentive fees payable to the Adviser that relates to our net investment income is computed and paid on income that may include interest income that has been accrued but not yet received in cash, such as market discount, debt instruments with PIK interest, preferred stock with PIK dividends and zero coupon securities. This fee structure may be considered to involve a conflict of interest for the Adviser to the extent that it may encourage the Adviser to favor debt financings that provide for deferred interest, rather than current cash payments of interest.</w:t>
      </w:r>
    </w:p>
    <w:p>
      <w:pPr>
        <w:spacing w:after="0" w:line="69" w:lineRule="exact"/>
        <w:rPr>
          <w:sz w:val="20"/>
          <w:szCs w:val="20"/>
          <w:color w:val="auto"/>
        </w:rPr>
      </w:pPr>
    </w:p>
    <w:p>
      <w:pPr>
        <w:ind w:right="240" w:firstLine="374"/>
        <w:spacing w:after="0" w:line="257" w:lineRule="auto"/>
        <w:rPr>
          <w:sz w:val="20"/>
          <w:szCs w:val="20"/>
          <w:color w:val="auto"/>
        </w:rPr>
      </w:pPr>
      <w:r>
        <w:rPr>
          <w:rFonts w:ascii="Arial" w:cs="Arial" w:eastAsia="Arial" w:hAnsi="Arial"/>
          <w:sz w:val="18"/>
          <w:szCs w:val="18"/>
          <w:color w:val="231F20"/>
        </w:rPr>
        <w:t>In addition, the fact that our base management fee is payable based upon our gross assets, which would include any borrowings for investment purposes, may encourage the Adviser to use leverage to make additional investments. Under certain circumstances, the use of leverage may increase the likelihood of defaulting on our borrowings, which would disfavor holders of our common stock. Such a practice could result in us investing in more speculative securities than would otherwise be in our best interests, which could result in higher investment losses, particularly during cyclical economic downturns.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Adviser relies on key personnel, the loss of any of whom could impair its ability to successfully manage us.</w:t>
      </w:r>
    </w:p>
    <w:p>
      <w:pPr>
        <w:spacing w:after="0" w:line="117"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231F20"/>
        </w:rPr>
        <w:t>Our future success depends, to a significant extent, on the continued services of the officers and employees of the Adviser or its affiliates. Our Adviser’s capabilities in structuring the investment process, providing competent, attentive and efficient services to us, and facilitating access to financing on acceptable terms depend on the employment of investment professionals in adequate number and of adequate sophistication to match the corresponding flow of transactions. The departure of key personnel or of a significant number of the investment professionals or partners of our Adviser could have a material adverse effect on our ability to achieve our investment objective. Our Adviser may need to hire, train, supervise and manage new investment professionals to participate in our investment selection and monitoring process and may not be able to find investment professionals in a timely manner or at all.</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The Adviser may retain additional consultants, advisors and/or operating partners to provide services to us, and such additional personnel will perform similar functions and duties for other organizations which may give rise to conflicts of interest.</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231F20"/>
        </w:rPr>
        <w:t>BC Partners may work with or alongside one or more consultants, advisors (including senior advisors and executive officers) and/or operating partners who are retained by BC Partners on a consultancy or retainer or other basis, to provide services to us and other entities sponsored by BC Partners including the sourcing of investments and other investment-related and support services. The functions undertaken by such persons with respect to us and any of our investments will not be exclusive and such persons may perform similar functions and duties for other organizations which may give rise to conflicts of interest. Such persons may also be appointed to the board of directors of companies and have other business interests which give rise to conflicts of interest with the interests of us or a portfolio entity of us. Stockholders should note that such persons may retain compensation that will not offset the base management fee payable to the Adviser, including that: (i) such persons are permitted to retain all directors’ fees, monitoring fees and other compensation received by them in respect of acting as a director or officer of, or providing other services to, a portfolio entity and such amounts shall not be credited against the base management fee; and (ii) certain of such persons may be paid a deal fee, a consultancy fee or other compensation where they are involved in a specific project relating to us, which fee will be paid either by us or, if applicable, the relevant portfolio entity.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4" w:name="page25"/>
    <w:bookmarkEnd w:id="24"/>
    <w:p>
      <w:pPr>
        <w:ind w:right="240"/>
        <w:spacing w:after="0" w:line="277" w:lineRule="auto"/>
        <w:rPr>
          <w:sz w:val="20"/>
          <w:szCs w:val="20"/>
          <w:color w:val="auto"/>
        </w:rPr>
      </w:pPr>
      <w:r>
        <w:rPr>
          <w:rFonts w:ascii="Arial" w:cs="Arial" w:eastAsia="Arial" w:hAnsi="Arial"/>
          <w:sz w:val="18"/>
          <w:szCs w:val="18"/>
          <w:b w:val="1"/>
          <w:bCs w:val="1"/>
          <w:i w:val="1"/>
          <w:iCs w:val="1"/>
          <w:color w:val="231F20"/>
        </w:rPr>
        <w:t>The Adviser’s influence on conducting our operations gives it the ability to increase its fees, which may reduce the amount of cash flow available for distribution to our stockholders.</w:t>
      </w:r>
    </w:p>
    <w:p>
      <w:pPr>
        <w:spacing w:after="0" w:line="62" w:lineRule="exact"/>
        <w:rPr>
          <w:sz w:val="20"/>
          <w:szCs w:val="20"/>
          <w:color w:val="auto"/>
        </w:rPr>
      </w:pPr>
    </w:p>
    <w:p>
      <w:pPr>
        <w:jc w:val="both"/>
        <w:ind w:right="120" w:firstLine="374"/>
        <w:spacing w:after="0" w:line="301" w:lineRule="auto"/>
        <w:rPr>
          <w:sz w:val="20"/>
          <w:szCs w:val="20"/>
          <w:color w:val="auto"/>
        </w:rPr>
      </w:pPr>
      <w:r>
        <w:rPr>
          <w:rFonts w:ascii="Arial" w:cs="Arial" w:eastAsia="Arial" w:hAnsi="Arial"/>
          <w:sz w:val="16"/>
          <w:szCs w:val="16"/>
          <w:color w:val="231F20"/>
        </w:rPr>
        <w:t>The Adviser is paid a base management fee calculated as a percentage of our gross assets and unrelated to net income or any other performance base or measure. The Adviser may advise us to consummate transactions or conduct its operations in a manner that, in the Adviser’s reasonable discretion, is in the best interests of our stockholders. These transactions, however, may increase the amount of fees paid to the Adviser. The Adviser’s ability to influence the base management fee paid to it by us could reduce the amount of cash flow available for distribution to our stockholders.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color w:val="231F20"/>
        </w:rPr>
        <w:t>Under the Advisory Agreement, the Adviser will not assume any responsibility to us other than to render the services described in the Advisory Agreement, and it is not be responsible for any action of our Board in declining to follow the Adviser’s advice or recommendations. Pursuant to the Advisory Agreement, the Adviser and its officers, managers, partners, agents, employees, controlling persons, members and any other person or entity affiliated with the Adviser are not be liable to us for their acts under the Advisory Agreement, absent criminal conduct, willful misfeasance, bad faith or gross negligence in the performance of their duties or by reason of the reckless disregard of their duties and obligations. We have agreed to indemnify, defend and protect the Adviser and its officers, managers, partners, agents, employees, controlling persons, members and any other person or entity affiliated with the Adviser with respect to all damages, liabilities, costs and expenses arising out of or otherwise based upon the performance of any of the Adviser’s duties or obligations under the Advisory Agreement or otherwise as the Adviser for us, and not arising out of criminal conduct, willful misfeasance, bad faith or gross negligence in the performance of their duties or by reason of the reckless disregard of their duties and obligations under the Advisory Agreement. These protections may lead the Adviser to act in a riskier manner when acting on our behalf than it would when acting for its own account.</w:t>
      </w:r>
    </w:p>
    <w:p>
      <w:pPr>
        <w:spacing w:after="0" w:line="19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231F20"/>
        </w:rPr>
        <w:t>The Adviser is able to resign upon 60 days’ written notice, and we may not be able to find a suitable replacement within that time, resulting in a disruption in our operations that could adversely affect our financial condition, business and results of operations.</w:t>
      </w:r>
    </w:p>
    <w:p>
      <w:pPr>
        <w:spacing w:after="0" w:line="38" w:lineRule="exact"/>
        <w:rPr>
          <w:sz w:val="20"/>
          <w:szCs w:val="20"/>
          <w:color w:val="auto"/>
        </w:rPr>
      </w:pPr>
    </w:p>
    <w:p>
      <w:pPr>
        <w:ind w:right="60" w:firstLine="374"/>
        <w:spacing w:after="0" w:line="253" w:lineRule="auto"/>
        <w:rPr>
          <w:sz w:val="20"/>
          <w:szCs w:val="20"/>
          <w:color w:val="auto"/>
        </w:rPr>
      </w:pPr>
      <w:r>
        <w:rPr>
          <w:rFonts w:ascii="Arial" w:cs="Arial" w:eastAsia="Arial" w:hAnsi="Arial"/>
          <w:sz w:val="18"/>
          <w:szCs w:val="18"/>
          <w:color w:val="231F20"/>
        </w:rPr>
        <w:t>We are an externally managed BDC pursuant to the Advisory Agreement. Pursuant to the Advisory Agreement, the Adviser has the right to resign upon 60 days’ written notice, whether a replacement has been found or not. If the Adviser resigns, it may be difficult to find a replacement with similar expertise and ability to provide the same or equivalent services on acceptable terms within 60 days, or at all. If a replacement is not found quickly, our business, results of operations and financial condition as well as our ability to pay distributions are likely to be adversely affected and the value of our shares may decline. In addition, the coordination of our internal management and investment activities is likely to suffer if we are unable to identify and reach an agreement with a single institution or group of executives having the expertise possessed by the Adviser. Even if a comparable service provider or individuals performing such services are retained, whether internal or external, their integration into our business and lack of familiarity with our investment objective may result in additional costs and time delays that may materially adversely affect our business, results of operations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operate in a highly competitive market for investment opportunities.</w:t>
      </w:r>
    </w:p>
    <w:p>
      <w:pPr>
        <w:spacing w:after="0" w:line="117"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231F20"/>
        </w:rPr>
        <w:t>A large number of entities compete with us to make the types of investments that we make.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marketing and other resources than we do. For example, some competitors may have a lower cost of funds and access to funding sources that are not available to us. This may enable some of our competitors to make commercial loans with interest rates that are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the Adviser is unable to source investments effectively, we may be unable to achieve our investment objectives and provide returns to stockholders.</w:t>
      </w:r>
    </w:p>
    <w:p>
      <w:pPr>
        <w:spacing w:after="0" w:line="152"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231F20"/>
        </w:rPr>
        <w:t>Our ability to achieve our investment objective depends on the Adviser’s ability to identify, evaluate and invest in suitable companies that meet our investment criteria. Accomplishing this result on a cost-effective basis is largely a function of the Adviser’s marketing capabilities, its management of the investment process, its ability to provide efficient services and its access to financing sources on acceptable terms. Failure to source investments effectively could have a material adverse effect on our business,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ind w:right="100"/>
        <w:spacing w:after="0" w:line="277" w:lineRule="auto"/>
        <w:rPr>
          <w:sz w:val="20"/>
          <w:szCs w:val="20"/>
          <w:color w:val="auto"/>
        </w:rPr>
      </w:pPr>
      <w:r>
        <w:rPr>
          <w:rFonts w:ascii="Arial" w:cs="Arial" w:eastAsia="Arial" w:hAnsi="Arial"/>
          <w:sz w:val="18"/>
          <w:szCs w:val="18"/>
          <w:b w:val="1"/>
          <w:bCs w:val="1"/>
          <w:i w:val="1"/>
          <w:iCs w:val="1"/>
          <w:color w:val="231F20"/>
        </w:rPr>
        <w:t>We may have difficulty paying distributions required to maintain our RIC status if we recognize income before or without receiving cash equal to such income.</w:t>
      </w:r>
    </w:p>
    <w:p>
      <w:pPr>
        <w:spacing w:after="0" w:line="62"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231F20"/>
        </w:rPr>
        <w:t>In accordance with the Code, we include in income certain amounts that we have not yet received in cash, such as non-cash PIK interest, which represents contractual interest added to the loan balance and due at the end of the loan term. The increases in loan balances as a result of contracted non-cash PIK arrangements are included in income for the period in which such non-cash PIK interest was received, which is often in advance of receiving cash payment, and are separately identified on our 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 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74"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231F20"/>
        </w:rPr>
        <w:t>Since, in certain cases, we may recognize income before or without receiving cash representing such income, we may have difficulty meeting the annual distribution requirement necessary to maintain RIC tax treatment under the Code.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 For additional discussion regarding the tax implications of a RIC, see “Business — Regulation — Taxation as a Regulated Investment Company.”</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Any unrealized losses we experience on our loan portfolio may be an indication of future realized losses, which could reduce our resources available to make distributions.</w:t>
      </w:r>
    </w:p>
    <w:p>
      <w:pPr>
        <w:spacing w:after="0" w:line="62"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231F20"/>
        </w:rPr>
        <w:t>As a BDC, we are required to carry our investments at market value or, if no market value is ascertainable, at the fair value as determined in good faith by our Board pursuant to a valuation methodology approved by our Board.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resources available to pay dividends or interest and principal on our securities and could cause you to lose all or part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experience fluctuations in our quarterly and annual operating results and credit spreads.</w:t>
      </w:r>
    </w:p>
    <w:p>
      <w:pPr>
        <w:spacing w:after="0" w:line="117"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231F20"/>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exposed to risks associated with changes in interest rates and spreads.</w:t>
      </w:r>
    </w:p>
    <w:p>
      <w:pPr>
        <w:spacing w:after="0" w:line="117" w:lineRule="exact"/>
        <w:rPr>
          <w:sz w:val="20"/>
          <w:szCs w:val="20"/>
          <w:color w:val="auto"/>
        </w:rPr>
      </w:pPr>
    </w:p>
    <w:p>
      <w:pPr>
        <w:ind w:right="200" w:firstLine="374"/>
        <w:spacing w:after="0" w:line="296" w:lineRule="auto"/>
        <w:rPr>
          <w:sz w:val="20"/>
          <w:szCs w:val="20"/>
          <w:color w:val="auto"/>
        </w:rPr>
      </w:pPr>
      <w:r>
        <w:rPr>
          <w:rFonts w:ascii="Arial" w:cs="Arial" w:eastAsia="Arial" w:hAnsi="Arial"/>
          <w:sz w:val="16"/>
          <w:szCs w:val="16"/>
          <w:color w:val="231F20"/>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53"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231F20"/>
        </w:rPr>
        <w:t>In addition,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 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idle funds, which would reduce our net investment income.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b w:val="1"/>
          <w:bCs w:val="1"/>
          <w:i w:val="1"/>
          <w:iCs w:val="1"/>
          <w:color w:val="auto"/>
        </w:rPr>
        <w:t>The interest rates of some of our term loans to our portfolio companies may be priced using a spread over LIBOR, which may be phased out in the future.</w:t>
      </w:r>
    </w:p>
    <w:p>
      <w:pPr>
        <w:spacing w:after="0" w:line="62" w:lineRule="exact"/>
        <w:rPr>
          <w:sz w:val="20"/>
          <w:szCs w:val="20"/>
          <w:color w:val="auto"/>
        </w:rPr>
      </w:pPr>
    </w:p>
    <w:p>
      <w:pPr>
        <w:ind w:right="40" w:firstLine="374"/>
        <w:spacing w:after="0" w:line="284" w:lineRule="auto"/>
        <w:rPr>
          <w:sz w:val="20"/>
          <w:szCs w:val="20"/>
          <w:color w:val="auto"/>
        </w:rPr>
      </w:pPr>
      <w:r>
        <w:rPr>
          <w:rFonts w:ascii="Arial" w:cs="Arial" w:eastAsia="Arial" w:hAnsi="Arial"/>
          <w:sz w:val="16"/>
          <w:szCs w:val="16"/>
          <w:color w:val="231F20"/>
        </w:rPr>
        <w:t>On July 27, 2017, the Financial Conduct Authority (“FCA”) announced that it would phase out the London Interbank Offered Rate (“LIBOR”) as a benchmark by the end of 2021. On November 30, 2020, Intercontinental Exchange, Inc. (“ICE”) announced that the ICE Benchmark Administration Limited, a wholly-owned subsidiary of ICE and the administrator of LIBOR consider extending the LIBOR transition deadline to the end of June 2023. At this time, no consensus exists as to what rate or rates will become accepted alternatives to LIBOR. As an alternative to LIBOR, for example, the U.S. Federal Reserve, in conjunction with the Alternative Reference Rates Committee, a steering committee comprised of large U.S. financial institutions, is considering replacing U.S.-dollar LIBOR with the Secured Overnight Financing Rate ("SOFR"), a new index calculated by short-term repurchase agreements, backed by Treasury securities. Other jurisdictions have also proposed their own alternative to LIBOR, including the Sterling Overnight Index Average for Sterling markets, the Euro Short Term Rate for Euros and Tokyo Overnight Average Rate for Japanese Yens. Although SOFR appears to be the preferred replacement rate for U.S. dollar LIBOR, at this time, it is uncertain whether SOFR will attain market traction or the effect of any such changes as the establishment of alternative reference rates or other reforms to LIBOR. Abandonment of or modifications to LIBOR could have adverse impacts on newly issued financial instruments and our existing financial instruments which reference LIBOR. While some instruments may contemplate a scenario where LIBOR is no longer available by providing for an alternative rate setting methodology, not all instruments may have such provisions and there is significant uncertainty regarding the effectiveness of any such alternative methodologies. Abandonment of or modifications to LIBOR could lead to significant short-term and long-term uncertainty and market instability. If LIBOR ceases to exist, we and our portfolio companies may need to amend or restructure our existing LIBOR-based debt instruments and any related hedging arrangements that extend beyond 2021, which may be difficult, costly and time consuming. In addition, from time to time we invest in floating rate loans and investment securities whose interest rates are indexed to LIBOR. Uncertainty as to the nature of alternative reference rates and as to potential changes or other reforms to LIBOR, or any changes announced with respect to such reforms, may result in a sudden or prolonged increase or decrease in the reported LIBOR rates and the value of LIBOR-based loans and securities, including those of other issuers we or our funds currently own or may in the future own. It remains uncertain how such changes would be implemented and the effects such changes would have on us, issuers of instruments in which we invest and financial markets generally.</w:t>
      </w:r>
    </w:p>
    <w:p>
      <w:pPr>
        <w:spacing w:after="0" w:line="74"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231F20"/>
        </w:rPr>
        <w:t>The expected discontinuation of LIBOR could have a significant impact on our business. The dollar amount of our outstanding debt investments and borrowings that are linked to LIBOR with maturity dates after the anticipated discontinuation date of 2021 is material. We anticipate significant operational challenges for the transition away from LIBOR including, but not limited to, amending existing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will need to be identified and evaluated by us. Due to the uncertainty of the replacement for LIBOR, the potential effect of any such event on our cost of capital and net investment income cannot yet be determined. In addition, the cessation of LIBOR could:</w:t>
      </w:r>
    </w:p>
    <w:p>
      <w:pPr>
        <w:spacing w:after="0" w:line="69" w:lineRule="exact"/>
        <w:rPr>
          <w:sz w:val="20"/>
          <w:szCs w:val="20"/>
          <w:color w:val="auto"/>
        </w:rPr>
      </w:pPr>
    </w:p>
    <w:p>
      <w:pPr>
        <w:ind w:left="740" w:right="50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impact the pricing, liquidity, value of, return on and trading for a broad array of financial products, including any LIBOR-linked securities, loans and derivatives that are included in our assets and liabilities;</w:t>
      </w:r>
    </w:p>
    <w:p>
      <w:pPr>
        <w:spacing w:after="0" w:line="75"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extensive changes to documentation that governs or references LIBOR or LIBOR-based products, including, for example, pursuant to time-consuming renegotiations of existing documentation to modify the terms of outstanding investments;</w:t>
      </w:r>
    </w:p>
    <w:p>
      <w:pPr>
        <w:spacing w:after="0" w:line="75"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inquiries or other actions from regulators in respect of our preparation and readiness for the replacement of LIBOR with one or more alternative reference rates;</w:t>
      </w:r>
    </w:p>
    <w:p>
      <w:pPr>
        <w:spacing w:after="0" w:line="75"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disputes, litigation or other actions with portfolio companies, or other counterparties, regarding the interpretation and enforceability of provisions in our LIBOR-based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92"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8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us to incur additional costs in relation to any of the above factors.</w:t>
      </w:r>
    </w:p>
    <w:p>
      <w:pPr>
        <w:spacing w:after="0" w:line="131" w:lineRule="exact"/>
        <w:rPr>
          <w:sz w:val="20"/>
          <w:szCs w:val="20"/>
          <w:color w:val="auto"/>
        </w:rPr>
      </w:pPr>
    </w:p>
    <w:p>
      <w:pPr>
        <w:jc w:val="both"/>
        <w:ind w:right="60" w:firstLine="374"/>
        <w:spacing w:after="0" w:line="263" w:lineRule="auto"/>
        <w:rPr>
          <w:sz w:val="20"/>
          <w:szCs w:val="20"/>
          <w:color w:val="auto"/>
        </w:rPr>
      </w:pPr>
      <w:r>
        <w:rPr>
          <w:rFonts w:ascii="Arial" w:cs="Arial" w:eastAsia="Arial" w:hAnsi="Arial"/>
          <w:sz w:val="18"/>
          <w:szCs w:val="18"/>
          <w:color w:val="231F20"/>
        </w:rPr>
        <w:t>There is no guarantee that a transition from LIBOR to an alternative will not result in financial market disruptions, significant increases in benchmark rates, or borrowing costs to borrowers, any of which could have a material adverse effect on our business, result of operations, financial condition, and unit price.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231F20"/>
        </w:rPr>
        <w:t>We may from time to time expand our business through acquisitions, which could disrupt our business and harm our financial condition.</w:t>
      </w:r>
    </w:p>
    <w:p>
      <w:pPr>
        <w:spacing w:after="0" w:line="129" w:lineRule="exact"/>
        <w:rPr>
          <w:sz w:val="20"/>
          <w:szCs w:val="20"/>
          <w:color w:val="auto"/>
        </w:rPr>
      </w:pPr>
    </w:p>
    <w:p>
      <w:pPr>
        <w:ind w:right="140" w:firstLine="374"/>
        <w:spacing w:after="0" w:line="342" w:lineRule="auto"/>
        <w:rPr>
          <w:sz w:val="20"/>
          <w:szCs w:val="20"/>
          <w:color w:val="auto"/>
        </w:rPr>
      </w:pPr>
      <w:r>
        <w:rPr>
          <w:rFonts w:ascii="Arial" w:cs="Arial" w:eastAsia="Arial" w:hAnsi="Arial"/>
          <w:sz w:val="16"/>
          <w:szCs w:val="16"/>
          <w:color w:val="231F20"/>
        </w:rPr>
        <w:t>We may pursue potential acquisitions of, and investments in, businesses complementary to our business and from time to time engage in discussions regarding such possible acquisitions. Such acquisition and any other acquisitions we may undertake involve a number of risks, including:</w:t>
      </w:r>
    </w:p>
    <w:p>
      <w:pPr>
        <w:spacing w:after="0" w:line="16"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failure of the acquired businesses to achieve the results we expect;</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substantial cash expenditures;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diversion of capital and management attention from operational matters;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our inability to retain key personnel of the acquired businesses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incurrence of debt and contingent liabilities and risks associated with unanticipated events or liabilities; and</w:t>
      </w:r>
    </w:p>
    <w:p>
      <w:pPr>
        <w:spacing w:after="0" w:line="130"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potential disruption and strain on our existing business and resources that could result from our planned growth and continuing integration of our acquisitions.</w:t>
      </w:r>
    </w:p>
    <w:p>
      <w:pPr>
        <w:spacing w:after="0" w:line="62" w:lineRule="exact"/>
        <w:rPr>
          <w:sz w:val="20"/>
          <w:szCs w:val="20"/>
          <w:color w:val="auto"/>
        </w:rPr>
      </w:pPr>
    </w:p>
    <w:p>
      <w:pPr>
        <w:jc w:val="both"/>
        <w:ind w:right="180" w:firstLine="374"/>
        <w:spacing w:after="0" w:line="301" w:lineRule="auto"/>
        <w:rPr>
          <w:sz w:val="20"/>
          <w:szCs w:val="20"/>
          <w:color w:val="auto"/>
        </w:rPr>
      </w:pPr>
      <w:r>
        <w:rPr>
          <w:rFonts w:ascii="Arial" w:cs="Arial" w:eastAsia="Arial" w:hAnsi="Arial"/>
          <w:sz w:val="16"/>
          <w:szCs w:val="16"/>
          <w:color w:val="231F20"/>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62"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231F20"/>
        </w:rPr>
        <w:t>We may make indirect investments in portfolio companies through joint ventures, partnerships or other special purpose vehicles (“Investment Vehicles”). In general, the risks associated with indirect investments in portfolio companies through a joint venture, partnership or other special purpose vehicle are similar to those associated with a direct investment in a portfolio company. While we intend to analyze the credit and business of a potential portfolio company in determining whether or not to make an investment in an Investment Vehicle, we will nonetheless be exposed to the creditworthiness of the Investment Vehicle. In the event of a bankruptcy proceeding against the portfolio company, the assets of the portfolio company may be used to satisfy its obligations prior to the satisfaction of our investment in the Investment Vehicle (i.e., our investment in the Investment Vehicle could be structurally subordinated to the other obligations of the portfolio company). In addition, if we are to invest in an Investment Vehicle, we may be required to rely on our partners in the Investment Vehicle when making decisions regarding the Investment Vehicle’s investments, accordingly, the value of the investment could be adversely affected if our interests diverge from those of our partners in the Investment Vehicle.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Board may change our investment objective, operating policies and strategies without prior notice or stockholder approval.</w:t>
      </w:r>
    </w:p>
    <w:p>
      <w:pPr>
        <w:spacing w:after="0" w:line="11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231F20"/>
        </w:rPr>
        <w:t>Our Board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governing our operation as a BDC affect our ability to, and the way in which we, raise additional capital.</w:t>
      </w:r>
    </w:p>
    <w:p>
      <w:pPr>
        <w:spacing w:after="0" w:line="117" w:lineRule="exact"/>
        <w:rPr>
          <w:sz w:val="20"/>
          <w:szCs w:val="20"/>
          <w:color w:val="auto"/>
        </w:rPr>
      </w:pPr>
    </w:p>
    <w:p>
      <w:pPr>
        <w:ind w:right="160" w:firstLine="374"/>
        <w:spacing w:after="0" w:line="270" w:lineRule="auto"/>
        <w:rPr>
          <w:sz w:val="20"/>
          <w:szCs w:val="20"/>
          <w:color w:val="auto"/>
        </w:rPr>
      </w:pPr>
      <w:r>
        <w:rPr>
          <w:rFonts w:ascii="Arial" w:cs="Arial" w:eastAsia="Arial" w:hAnsi="Arial"/>
          <w:sz w:val="17"/>
          <w:szCs w:val="17"/>
          <w:color w:val="231F20"/>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150% immediately after such issuance or incurrence.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73"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231F20"/>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In addition, we may grant a lender a security interest in a significant portion or all of our assets, even if the total amount we may borrow from such lender is less than the amount of such lender’s security interest in our assets.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8" w:name="page29"/>
    <w:bookmarkEnd w:id="28"/>
    <w:p>
      <w:pPr>
        <w:ind w:right="40" w:firstLine="374"/>
        <w:spacing w:after="0" w:line="269" w:lineRule="auto"/>
        <w:rPr>
          <w:sz w:val="20"/>
          <w:szCs w:val="20"/>
          <w:color w:val="auto"/>
        </w:rPr>
      </w:pPr>
      <w:r>
        <w:rPr>
          <w:rFonts w:ascii="Arial" w:cs="Arial" w:eastAsia="Arial" w:hAnsi="Arial"/>
          <w:sz w:val="17"/>
          <w:szCs w:val="17"/>
          <w:color w:val="231F20"/>
        </w:rPr>
        <w:t>We are not generally able to issue and sell our common stock at a price below net asset value per share. We may, however, sell our common stock at a price below the then-current net asset value of our common stock if our Board determines that such sale is in the best interests of us and our stockholders, and our stockholders approve, giving us the authority to do so. Although we currently do not have such authorization, we previously sought and received such authorization from our stockholders in the past and may seek such authorization in the future. In any such case, the price at which our securities are to be issued and sold may not be less than a price which, in the determination of our Board, closely approximates the market value of such securities (less any distributing commission or discount). We are also generally prohibited under the 1940 Act from issuing securities convertible into voting securities without obtaining the approval of our existing stockholders. Sales of common stock at prices below net asset value per share dilute the interests of existing stockholders, have the effect of reducing our net asset value per share and may reduce our market price per share. In addition to issuing securities to raise capital as described above; we may securitize a portion of the loans to generate cash for funding new investments. If we are unable to successfully securitize our loan portfolio, our ability to grow our business and fully execute our business strategy and our earnings (if any) may be adversely affected. Moreover, even successful securitization of our loan portfolio might expose us to losses, as the residual loans in which we do not sell interests tend to be those that are riskier and more apt to generate losses.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The application of the risk retention rules under Section 941 of the Dodd-Frank Act to CLOs may have broader effects on the CLO and loan markets in general, potentially resulting in fewer or less desirable investment opportunities for us.</w:t>
      </w:r>
    </w:p>
    <w:p>
      <w:pPr>
        <w:spacing w:after="0" w:line="62"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231F20"/>
        </w:rPr>
        <w:t>Section 941 of the Dodd-Frank Act added a provision to the Exchange Act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U.S.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w:t>
      </w:r>
    </w:p>
    <w:p>
      <w:pPr>
        <w:spacing w:after="0" w:line="56" w:lineRule="exact"/>
        <w:rPr>
          <w:sz w:val="20"/>
          <w:szCs w:val="20"/>
          <w:color w:val="auto"/>
        </w:rPr>
      </w:pPr>
    </w:p>
    <w:p>
      <w:pPr>
        <w:ind w:right="220" w:firstLine="374"/>
        <w:spacing w:after="0" w:line="279" w:lineRule="auto"/>
        <w:rPr>
          <w:sz w:val="20"/>
          <w:szCs w:val="20"/>
          <w:color w:val="auto"/>
        </w:rPr>
      </w:pPr>
      <w:r>
        <w:rPr>
          <w:rFonts w:ascii="Arial" w:cs="Arial" w:eastAsia="Arial" w:hAnsi="Arial"/>
          <w:sz w:val="17"/>
          <w:szCs w:val="17"/>
          <w:color w:val="231F20"/>
        </w:rPr>
        <w:t>On February 9, 2018, the United States Court of Appeals for the District of Columbia (the “D.C. Circuit Court”) ruled in favor of an appeal brought by the Loan Syndications and Trading Association (the “LSTA”) against the SEC and the Board of Governors of the Federal Reserve System (the “Applicable Governmental Agencies”) that managers of so-called “open market CLOs” are not “securitizers” under Section 941 of the Dodd-Frank Act and, therefore, are not subject to the requirements of the U.S. risk retention rules (the “Appellate Court Ruling”).</w:t>
      </w:r>
    </w:p>
    <w:p>
      <w:pPr>
        <w:spacing w:after="0" w:line="63" w:lineRule="exact"/>
        <w:rPr>
          <w:sz w:val="20"/>
          <w:szCs w:val="20"/>
          <w:color w:val="auto"/>
        </w:rPr>
      </w:pPr>
    </w:p>
    <w:p>
      <w:pPr>
        <w:ind w:right="120" w:firstLine="374"/>
        <w:spacing w:after="0" w:line="257" w:lineRule="auto"/>
        <w:rPr>
          <w:sz w:val="20"/>
          <w:szCs w:val="20"/>
          <w:color w:val="auto"/>
        </w:rPr>
      </w:pPr>
      <w:r>
        <w:rPr>
          <w:rFonts w:ascii="Arial" w:cs="Arial" w:eastAsia="Arial" w:hAnsi="Arial"/>
          <w:sz w:val="18"/>
          <w:szCs w:val="18"/>
          <w:color w:val="231F20"/>
        </w:rPr>
        <w:t>On April 5, 2018, the D.C. District Court entered an order implementing the Appellate Court Ruling and thereby vacated the U.S. risk retention rules insofar as they apply to CLO managers of “open market CLOs.” As a result of this decision,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80"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231F20"/>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enter into transactions with our affiliates is restricted.</w:t>
      </w:r>
    </w:p>
    <w:p>
      <w:pPr>
        <w:spacing w:after="0" w:line="117"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231F20"/>
        </w:rPr>
        <w:t>We are prohibited under the 1940 Act from participating in certain transactions with certain of our affiliates without the prior approval of the members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A failure on our part to maintain our status as a BDC or the application of additional regulatory burdens would significantly reduce our operating flexibility.</w:t>
      </w:r>
    </w:p>
    <w:p>
      <w:pPr>
        <w:spacing w:after="0" w:line="62"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231F20"/>
        </w:rPr>
        <w:t>If we fail to maintain our status as a BDC, we might be regulated as a closed-end investment company that is required to register under the 1940 Act, which would subject us to additional regulatory restrictions and significantly decrease our operating flexibility. In addition, any such failure could cause an event of default under our outstanding indebtedness, which could have a material adverse effect on our business, financial condition or results of operations.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9" w:name="page30"/>
    <w:bookmarkEnd w:id="29"/>
    <w:p>
      <w:pPr>
        <w:ind w:right="20" w:firstLine="374"/>
        <w:spacing w:after="0" w:line="273" w:lineRule="auto"/>
        <w:rPr>
          <w:sz w:val="20"/>
          <w:szCs w:val="20"/>
          <w:color w:val="auto"/>
        </w:rPr>
      </w:pPr>
      <w:r>
        <w:rPr>
          <w:rFonts w:ascii="Arial" w:cs="Arial" w:eastAsia="Arial" w:hAnsi="Arial"/>
          <w:sz w:val="17"/>
          <w:szCs w:val="17"/>
          <w:color w:val="auto"/>
        </w:rPr>
        <w:t>In December 2019, the CFTC amended certain rules to require BDCs that trade “commodity interests” (as defined under CFTC rules) to a de minimis extent file an electronic notice of exclusion to not be deemed a “commodity pool operator” pursuant to CFTC regulations. This exclusion allows BDCs that trade commodity interests to forgo regulation under the CEA and the CFTC. If our Adviser is unable to claim this exclusion, or fails to do so in the future, with respect to us, the Adviser would become subject to registration and regulation as a commodity pool operator under the CEA. This additional regulation would subject our Adviser and us to additional registration and regulatory requirements, along with increasing operating expenses which could have a material adverse effect on our business, results of operations or financial condition.</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62"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231F20"/>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we have in the past and may in the future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will be subject to corporate-level U.S. federal income taxes if we are unable to qualify as a RIC under Subchapter M of the Code.</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To maintain RIC tax treatment under the Code, we must meet the following annual distribution, income source and asset diversification requirements:</w:t>
      </w:r>
    </w:p>
    <w:p>
      <w:pPr>
        <w:spacing w:after="0" w:line="140" w:lineRule="exact"/>
        <w:rPr>
          <w:sz w:val="20"/>
          <w:szCs w:val="20"/>
          <w:color w:val="auto"/>
        </w:rPr>
      </w:pPr>
    </w:p>
    <w:p>
      <w:pPr>
        <w:ind w:left="740" w:hanging="368"/>
        <w:spacing w:after="0" w:line="273"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231F20"/>
        </w:rPr>
        <w:t>The annual distribution requirement for a RIC will be satisfied if we distribute to our stockholders on an annual basis at least 90% of our net ordinary income and realized net short-term capital gains in excess of realized net long-term capital losses, if any. Because we use debt financing, we are subject to certain asset coverage ratio requirements under the 1940 Act and are (and may in the future become) subject to certain financial covenants under loan, indenture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69" w:lineRule="exact"/>
        <w:rPr>
          <w:rFonts w:ascii="Arial" w:cs="Arial" w:eastAsia="Arial" w:hAnsi="Arial"/>
          <w:sz w:val="17"/>
          <w:szCs w:val="17"/>
          <w:color w:val="auto"/>
        </w:rPr>
      </w:pPr>
    </w:p>
    <w:p>
      <w:pPr>
        <w:ind w:left="740" w:right="26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source income requirement will be satisfied if we obtain at least 90% of our income for each year from dividends, interest, gains from the sale of stock or securities or similar sources.</w:t>
      </w:r>
    </w:p>
    <w:p>
      <w:pPr>
        <w:spacing w:after="0" w:line="62" w:lineRule="exact"/>
        <w:rPr>
          <w:rFonts w:ascii="Arial" w:cs="Arial" w:eastAsia="Arial" w:hAnsi="Arial"/>
          <w:sz w:val="18"/>
          <w:szCs w:val="18"/>
          <w:color w:val="auto"/>
        </w:rPr>
      </w:pPr>
    </w:p>
    <w:p>
      <w:pPr>
        <w:ind w:left="740" w:right="60" w:hanging="368"/>
        <w:spacing w:after="0" w:line="271"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231F20"/>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0"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231F20"/>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 subject to corporate-level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231F20"/>
        </w:rPr>
        <w:t>Risks Associated with Our Use of Leverage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borrow money, which magnifies the potential for gain or loss on amounts invested and may increase the risk of investing in us.</w:t>
      </w:r>
    </w:p>
    <w:p>
      <w:pPr>
        <w:spacing w:after="0" w:line="117"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231F20"/>
        </w:rPr>
        <w:t>Borrowings, also known as leverage, magnify the potential for gain or loss on amounts invested and, therefore, increase the risks associated with investing in us.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distributions to our stockholders and service our debt obligations. In addition, our common stockholders will bear the burden of any increase in our expenses as a result of leverage. There can be no assurance that our leveraging strategy will be successful.</w:t>
      </w:r>
    </w:p>
    <w:p>
      <w:pPr>
        <w:spacing w:after="0" w:line="77"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231F20"/>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63" w:lineRule="exact"/>
        <w:rPr>
          <w:sz w:val="20"/>
          <w:szCs w:val="20"/>
          <w:color w:val="auto"/>
        </w:rPr>
      </w:pPr>
    </w:p>
    <w:p>
      <w:pPr>
        <w:jc w:val="both"/>
        <w:ind w:right="160" w:firstLine="374"/>
        <w:spacing w:after="0" w:line="263" w:lineRule="auto"/>
        <w:rPr>
          <w:sz w:val="20"/>
          <w:szCs w:val="20"/>
          <w:color w:val="auto"/>
        </w:rPr>
      </w:pPr>
      <w:r>
        <w:rPr>
          <w:rFonts w:ascii="Arial" w:cs="Arial" w:eastAsia="Arial" w:hAnsi="Arial"/>
          <w:sz w:val="18"/>
          <w:szCs w:val="18"/>
          <w:color w:val="231F20"/>
        </w:rPr>
        <w:t>The following table illustrates the effect of leverage on returns from an investment in our common stock as of December 31, 2020, assuming various annual returns, net of expenses. The calculations in the table below are hypothetical and actual returns may be higher or lower than those appearing in the table below.</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our Portfolio (Net of Expenses)</w:t>
            </w:r>
          </w:p>
        </w:tc>
        <w:tc>
          <w:tcPr>
            <w:tcW w:w="2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w:t>
            </w:r>
          </w:p>
        </w:tc>
        <w:tc>
          <w:tcPr>
            <w:tcW w:w="76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(5)%</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338"/>
        </w:trPr>
        <w:tc>
          <w:tcPr>
            <w:tcW w:w="5780" w:type="dxa"/>
            <w:vAlign w:val="bottom"/>
          </w:tcPr>
          <w:p>
            <w:pPr>
              <w:spacing w:after="0"/>
              <w:rPr>
                <w:sz w:val="20"/>
                <w:szCs w:val="20"/>
                <w:color w:val="auto"/>
              </w:rPr>
            </w:pPr>
            <w:r>
              <w:rPr>
                <w:rFonts w:ascii="Arial" w:cs="Arial" w:eastAsia="Arial" w:hAnsi="Arial"/>
                <w:sz w:val="18"/>
                <w:szCs w:val="18"/>
                <w:color w:val="auto"/>
              </w:rPr>
              <w:t>Corresponding return to common stockholder</w:t>
            </w:r>
            <w:r>
              <w:rPr>
                <w:rFonts w:ascii="Arial" w:cs="Arial" w:eastAsia="Arial" w:hAnsi="Arial"/>
                <w:sz w:val="26"/>
                <w:szCs w:val="26"/>
                <w:color w:val="auto"/>
                <w:vertAlign w:val="superscript"/>
              </w:rPr>
              <w:t>(2)</w:t>
            </w:r>
          </w:p>
        </w:tc>
        <w:tc>
          <w:tcPr>
            <w:tcW w:w="2760" w:type="dxa"/>
            <w:vAlign w:val="bottom"/>
          </w:tcPr>
          <w:p>
            <w:pPr>
              <w:jc w:val="right"/>
              <w:ind w:right="10"/>
              <w:spacing w:after="0"/>
              <w:rPr>
                <w:sz w:val="20"/>
                <w:szCs w:val="20"/>
                <w:color w:val="auto"/>
              </w:rPr>
            </w:pPr>
            <w:r>
              <w:rPr>
                <w:rFonts w:ascii="Arial" w:cs="Arial" w:eastAsia="Arial" w:hAnsi="Arial"/>
                <w:sz w:val="18"/>
                <w:szCs w:val="18"/>
                <w:b w:val="1"/>
                <w:bCs w:val="1"/>
                <w:color w:val="auto"/>
              </w:rPr>
              <w:t>(33.1)%</w:t>
            </w:r>
          </w:p>
        </w:tc>
        <w:tc>
          <w:tcPr>
            <w:tcW w:w="760" w:type="dxa"/>
            <w:vAlign w:val="bottom"/>
          </w:tcPr>
          <w:p>
            <w:pPr>
              <w:jc w:val="right"/>
              <w:ind w:right="15"/>
              <w:spacing w:after="0"/>
              <w:rPr>
                <w:sz w:val="20"/>
                <w:szCs w:val="20"/>
                <w:color w:val="auto"/>
              </w:rPr>
            </w:pPr>
            <w:r>
              <w:rPr>
                <w:rFonts w:ascii="Arial" w:cs="Arial" w:eastAsia="Arial" w:hAnsi="Arial"/>
                <w:sz w:val="16"/>
                <w:szCs w:val="16"/>
                <w:b w:val="1"/>
                <w:bCs w:val="1"/>
                <w:color w:val="auto"/>
              </w:rPr>
              <w:t>(19.2)%</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22.4%</w:t>
            </w:r>
          </w:p>
        </w:tc>
      </w:tr>
    </w:tbl>
    <w:p>
      <w:pPr>
        <w:spacing w:after="0" w:line="80" w:lineRule="exact"/>
        <w:rPr>
          <w:sz w:val="20"/>
          <w:szCs w:val="20"/>
          <w:color w:val="auto"/>
        </w:rPr>
      </w:pPr>
    </w:p>
    <w:p>
      <w:pPr>
        <w:ind w:left="1220" w:right="740" w:hanging="1212"/>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Assumes $600.2 million in total assets, $377.9 million in par value of outstanding borrowings and $216.3 million in net assets as of as of December 31, 2020 and a weighted average interest rate of 3.0%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indebtedness could adversely affect our financial health and our ability to respond to changes in our business</w:t>
      </w:r>
      <w:r>
        <w:rPr>
          <w:rFonts w:ascii="Arial" w:cs="Arial" w:eastAsia="Arial" w:hAnsi="Arial"/>
          <w:sz w:val="18"/>
          <w:szCs w:val="18"/>
          <w:color w:val="000000"/>
        </w:rPr>
        <w:t>.</w:t>
      </w:r>
    </w:p>
    <w:p>
      <w:pPr>
        <w:spacing w:after="0" w:line="11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231F20"/>
        </w:rPr>
        <w:t>With certain limited exceptions, we are only allowed to borrow amounts or issue senior securities such that our asset coverage, as defined in the 1940 Act, is at least 150% immediately after such borrowing or issuance. The amount of leverage that we employ in the future will depend on our management’s and our Board’s assessment of market and other factors at the time of any proposed borrowing. There is no assurance that a leveraging strategy will be successful. As a result of the level of our leverage:</w:t>
      </w:r>
    </w:p>
    <w:p>
      <w:pPr>
        <w:spacing w:after="0" w:line="79" w:lineRule="exact"/>
        <w:rPr>
          <w:sz w:val="20"/>
          <w:szCs w:val="20"/>
          <w:color w:val="auto"/>
        </w:rPr>
      </w:pPr>
    </w:p>
    <w:p>
      <w:pPr>
        <w:ind w:left="740" w:right="420" w:hanging="368"/>
        <w:spacing w:after="0" w:line="342"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231F20"/>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15" w:lineRule="exact"/>
        <w:rPr>
          <w:rFonts w:ascii="Arial" w:cs="Arial" w:eastAsia="Arial" w:hAnsi="Arial"/>
          <w:sz w:val="16"/>
          <w:szCs w:val="16"/>
          <w:color w:val="auto"/>
        </w:rPr>
      </w:pPr>
    </w:p>
    <w:p>
      <w:pPr>
        <w:ind w:left="740" w:hanging="368"/>
        <w:spacing w:after="0" w:line="259"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decrease in our asset coverage ratio resulting from increased leverage and the covenants contained in documents governing our indebtedness (which may impose asset coverage or 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231F20"/>
        </w:rPr>
        <w:t>we are required to dedicate a portion of our cash flow to interest payments, limiting the availability of cash for dividends and other purposes; and</w:t>
      </w:r>
    </w:p>
    <w:p>
      <w:pPr>
        <w:spacing w:after="0" w:line="153" w:lineRule="exact"/>
        <w:rPr>
          <w:rFonts w:ascii="Arial" w:cs="Arial" w:eastAsia="Arial" w:hAnsi="Arial"/>
          <w:sz w:val="16"/>
          <w:szCs w:val="16"/>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our ability to obtain additional financing in the future may be impaired.</w:t>
      </w:r>
    </w:p>
    <w:p>
      <w:pPr>
        <w:spacing w:after="0" w:line="131"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231F20"/>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b w:val="1"/>
          <w:bCs w:val="1"/>
          <w:i w:val="1"/>
          <w:iCs w:val="1"/>
          <w:color w:val="231F20"/>
        </w:rPr>
        <w:t>We may default under the Revolving Credit Facility, the 6.125% Notes due 2022 or any future indebtedness or be unable to amend, repay or refinance any such facility or financing arrangement on commercially reasonable terms, or at all, which could have a material adverse effect on our business, financial condition, results of operations and cash flows.</w:t>
      </w:r>
    </w:p>
    <w:p>
      <w:pPr>
        <w:spacing w:after="0" w:line="76" w:lineRule="exact"/>
        <w:rPr>
          <w:sz w:val="20"/>
          <w:szCs w:val="20"/>
          <w:color w:val="auto"/>
        </w:rPr>
      </w:pPr>
    </w:p>
    <w:p>
      <w:pPr>
        <w:jc w:val="both"/>
        <w:ind w:right="20" w:firstLine="374"/>
        <w:spacing w:after="0" w:line="296" w:lineRule="auto"/>
        <w:rPr>
          <w:sz w:val="20"/>
          <w:szCs w:val="20"/>
          <w:color w:val="auto"/>
        </w:rPr>
      </w:pPr>
      <w:r>
        <w:rPr>
          <w:rFonts w:ascii="Arial" w:cs="Arial" w:eastAsia="Arial" w:hAnsi="Arial"/>
          <w:sz w:val="16"/>
          <w:szCs w:val="16"/>
          <w:color w:val="231F20"/>
        </w:rPr>
        <w:t>In the event we default under our revolving credit facility (the “Revolving Credit Facility”), the 6.125% Notes due 2022 or any future indebtedness, or are unable to amend, repay or refinance such indebtedness on commercially reasonable terms, or at all, our business could be adversely affected as we may be forced to sell a portion of our investments quickly and prematurely at prices that may be disadvantageous to us in order to meet our outstanding payment obligations and/or support working capital requirements under the Revolving Credit Facility, the 6.125% Notes due 2022 or any future indebtedness, any of which would have a material adverse effect on our business, financial condition, results of operations and cash flows.</w:t>
      </w:r>
    </w:p>
    <w:p>
      <w:pPr>
        <w:spacing w:after="0" w:line="53"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231F20"/>
        </w:rPr>
        <w:t>Events of default under the Revolving Credit Facility include, among other things, (i) a payment default; (ii) bankruptcy; (iii) a covenant default; (iv) a change of control; (v) if we are required to register as an “investment company” as defined in the 1940 Act; and (vi) certain declines in our net asset value. Following any such default, the agent for the lenders under the Revolving Credit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80"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231F20"/>
        </w:rPr>
        <w:t xml:space="preserve">Events of default under the indenture governing the 6.125% Notes due 2022 include, among other things, (i) a payment default; (ii) a covenant default; (ii) a cross-default provision with respect to any instrument by which we have indebtedness for money borrowed in excess of $10 million in the aggregate; (iii) bankruptcy; and (iv) certain declines in the net asset value of the 6.125% Notes due 2022. </w:t>
      </w:r>
      <w:r>
        <w:rPr>
          <w:rFonts w:ascii="Arial" w:cs="Arial" w:eastAsia="Arial" w:hAnsi="Arial"/>
          <w:sz w:val="18"/>
          <w:szCs w:val="18"/>
          <w:color w:val="000000"/>
        </w:rPr>
        <w:t>If any such event of default has occurred and is</w:t>
      </w:r>
      <w:r>
        <w:rPr>
          <w:rFonts w:ascii="Arial" w:cs="Arial" w:eastAsia="Arial" w:hAnsi="Arial"/>
          <w:sz w:val="18"/>
          <w:szCs w:val="18"/>
          <w:color w:val="231F20"/>
        </w:rPr>
        <w:t xml:space="preserve"> </w:t>
      </w:r>
      <w:r>
        <w:rPr>
          <w:rFonts w:ascii="Arial" w:cs="Arial" w:eastAsia="Arial" w:hAnsi="Arial"/>
          <w:sz w:val="18"/>
          <w:szCs w:val="18"/>
          <w:color w:val="000000"/>
        </w:rPr>
        <w:t>continuing, the trustee or the holders of not less than 25% in principal amount of the 6.125% Notes due 2022 may declare the entire principal amount of all such notes to be due and immediately payable.</w:t>
      </w:r>
    </w:p>
    <w:p>
      <w:pPr>
        <w:spacing w:after="0" w:line="80" w:lineRule="exact"/>
        <w:rPr>
          <w:sz w:val="20"/>
          <w:szCs w:val="20"/>
          <w:color w:val="auto"/>
        </w:rPr>
      </w:pPr>
    </w:p>
    <w:p>
      <w:pPr>
        <w:ind w:right="180" w:firstLine="374"/>
        <w:spacing w:after="0" w:line="296" w:lineRule="auto"/>
        <w:rPr>
          <w:sz w:val="20"/>
          <w:szCs w:val="20"/>
          <w:color w:val="auto"/>
        </w:rPr>
      </w:pPr>
      <w:r>
        <w:rPr>
          <w:rFonts w:ascii="Arial" w:cs="Arial" w:eastAsia="Arial" w:hAnsi="Arial"/>
          <w:sz w:val="16"/>
          <w:szCs w:val="16"/>
          <w:color w:val="231F20"/>
        </w:rPr>
        <w:t>Our continued compliance with the covenants under the Revolving Credit Facility and the indenture governing the 6.125% Notes due 2022 Notes depends on many factors, some of which are beyond our control, and there can be no assurance that we will continue to comply with such covenants. Our failure to satisfy the respective covenants could result in foreclosure by the lenders under the applicable credit facility or governing instrument or acceleration by the applicable lenders or noteholders, which would accelerate our repayment obligations under the relevant agreement and thereby have a material adverse effect on our business, liquidity, financial condition, results of operations and ability to pay distributions to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Provisions in the Revolving Credit Facility or any other future borrowing facility may limit our discretion in operating our business.</w:t>
      </w:r>
    </w:p>
    <w:p>
      <w:pPr>
        <w:spacing w:after="0" w:line="117"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231F20"/>
        </w:rPr>
        <w:t>The Revolving Credit Facility is, and any future borrowing facility may be, backed by all or a portion of our loans and securities on which the lenders will or, in the case of a future facility, may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73"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color w:val="231F20"/>
        </w:rPr>
        <w:t>In addition, any security interests as well as negative covenants under the Revolving Credit Facility or any other borrowing facility may limit our ability to create liens on assets to secure additional debt and may make it difficult for us to restructure or refinance indebtedness at or prior to maturity or obtain additional debt or equity financing. In addition, if our borrowing base under the Revolving Credit Facility or any other borrowing facility were to decrease, we would be required to secure additional assets in an amount equal to any borrowing base deficiency. In the event that all of our assets are secured at the time of such a borrowing base deficiency, we could be required to repay advances under the Revolving Credit Facility or any other borrowing facility or make deposits to a collection account, either of which could have a material adverse impact on our ability to fund future investments and to make stockholder distributions.</w:t>
      </w:r>
    </w:p>
    <w:p>
      <w:pPr>
        <w:spacing w:after="0" w:line="87"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231F20"/>
        </w:rPr>
        <w:t>In addition, under the Revolving Credit Facility or any future borrowing facility we will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the Revolving Credit Facility or any other borrowing facility could result in an accelerated maturity date for all amounts outstanding thereunder, which could have a material adverse effect on our business and financial condition. This could reduce our revenues and, by delaying any cash payment allowed to us under the Revolving Credit Facility or any other borrowing facility until the lenders have been paid in full, reduce our liquidity and cash flow and impair our ability to grow our business and maintain our qualification as a RIC.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b w:val="1"/>
          <w:bCs w:val="1"/>
          <w:i w:val="1"/>
          <w:iCs w:val="1"/>
          <w:color w:val="auto"/>
        </w:rPr>
        <w:t>Following the consummation of the GARS Acquisition, we hold investments in a collateralized loan obligation vehicle, which investments are subject to a number of significant risks.</w:t>
      </w:r>
    </w:p>
    <w:p>
      <w:pPr>
        <w:spacing w:after="0" w:line="76"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Following the consummation of the GARS Acquisition, we own all of the subordinated notes issued as part of the 2018-2 CLO (as defined below) (the “2018-2 Subordinated Notes”), and we consolidate the financial statements of the 2018-2 CLO in our financial statements and treat the senior secured notes issued as part of the 2018-2 CLO (the “2018-2 Secured Notes”) as leverage, except any 2018-2 Secured Notes owned by us, which are eliminated in consolidation. “2018-2 CLO” refers to the $420.0 million collateralized loan obligation (“CLO”) completed on October 18, 2018 by GF CLO 2018-2, an exempted company incorporated with limited liability under the laws of the Cayman Islands and Garrison Funding 2018-2 LLC, a Delaware limited liability company and wholly-owned subsidiary of GF CLO 2018-2.</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Investments in CLOs, including an investment in the 2018-2 CLO, involve a number of significant risks, including:</w:t>
      </w:r>
    </w:p>
    <w:p>
      <w:pPr>
        <w:spacing w:after="0" w:line="131" w:lineRule="exact"/>
        <w:rPr>
          <w:sz w:val="20"/>
          <w:szCs w:val="20"/>
          <w:color w:val="auto"/>
        </w:rPr>
      </w:pPr>
    </w:p>
    <w:p>
      <w:pPr>
        <w:ind w:left="740" w:right="6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CLOs typically are comprised of a portfolio of senior secured loans; payments on CLO investments are and will be payable solely from the cash-flows from such senior secured loans;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CLO investments are exposed to leveraged credit risk;</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CLO Funds are highly leveraged;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the potential for interruption and deferral of cash-flow from CLO investments;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rates paid by corporate borrowers are subject to volatility;</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inability of a CLO collateral manager to reinvest the proceeds of the prepayment of senior secured loans may adversely affect us;</w:t>
      </w:r>
    </w:p>
    <w:p>
      <w:pPr>
        <w:spacing w:after="0" w:line="142" w:lineRule="exact"/>
        <w:rPr>
          <w:rFonts w:ascii="Arial" w:cs="Arial" w:eastAsia="Arial" w:hAnsi="Arial"/>
          <w:sz w:val="17"/>
          <w:szCs w:val="17"/>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CLO investments are subject to prepayments and calls, increasing re-investment risk;</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senior secured loans owned by the CLOs in which we invest;</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any CLO in which we invest;</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senior secured loans of CLOs may be sold and replaced resulting in a loss to us;</w:t>
      </w:r>
    </w:p>
    <w:p>
      <w:pPr>
        <w:spacing w:after="0" w:line="130"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results may be affected adversely if one or more of our significant equity or junior debt investments in a CLO vehicle defaults on its payment obligations or fails to perform as we expect;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non-investment grade debt involves a greater risk of default and higher price volatility than investment grade debt.</w:t>
      </w:r>
    </w:p>
    <w:p>
      <w:pPr>
        <w:spacing w:after="0" w:line="2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Because we intend to continue to distribute substantially all of our income and net realized capital gains to our stockholders, we will need additional capital to finance our growth.</w:t>
      </w:r>
    </w:p>
    <w:p>
      <w:pPr>
        <w:spacing w:after="0" w:line="62"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231F20"/>
        </w:rPr>
        <w:t>In order to continue to qualify as a RIC, to avoid payment of excise taxes and to minimize or avoid payment of U.S. federal income taxes, we intend to continue to distribute to our stockholders substantially all of our net ordinary income and realized net capital gains (although we may retain certain net long-term capital gains, pay applicable U.S. federal income taxes with respect thereto, and elect to treat as deemed distributions to our stockholders). As a BDC, in order to incur new debt, we are generally required to meet a coverage ratio of total assets to total senior securities, which includes all of our borrowings and any preferred stock we may issue in the future, of at least 150%,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Also, as a business development company, we generally are not permitted to issue equity securities priced below net asset value without stockholder approval. If additional funds are not available to us, we could be forced to curtail or cease new lending and investment activities.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Risks Associated with Our Information Technology Systems</w:t>
      </w:r>
    </w:p>
    <w:p>
      <w:pPr>
        <w:spacing w:after="0" w:line="229"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231F20"/>
        </w:rPr>
        <w:t>We rely on various information technology systems to manage our operations. Information technology systems are subject to numerous risks including unanticipated operating problems, system failures, rapid technological change, failure of the systems that operate as anticipated, reliance on third party computer hardware, software and IT service providers, computer viruses, telecommunication failures, data breaches, denial of service attacks, spamming, phishing attacks, computer hackers and other similar disruptions, any of which could materially adversely impact our consolidated financial condition and results of operations. Additional risks include, but are not limited to, the following: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231F20"/>
        </w:rPr>
        <w:t>Disruptions in current systems or difficulties in integrating new systems.</w:t>
      </w:r>
    </w:p>
    <w:p>
      <w:pPr>
        <w:spacing w:after="0" w:line="117" w:lineRule="exact"/>
        <w:rPr>
          <w:sz w:val="20"/>
          <w:szCs w:val="20"/>
          <w:color w:val="auto"/>
        </w:rPr>
      </w:pPr>
    </w:p>
    <w:p>
      <w:pPr>
        <w:ind w:right="240" w:firstLine="374"/>
        <w:spacing w:after="0" w:line="311" w:lineRule="auto"/>
        <w:rPr>
          <w:sz w:val="20"/>
          <w:szCs w:val="20"/>
          <w:color w:val="auto"/>
        </w:rPr>
      </w:pPr>
      <w:r>
        <w:rPr>
          <w:rFonts w:ascii="Arial" w:cs="Arial" w:eastAsia="Arial" w:hAnsi="Arial"/>
          <w:sz w:val="16"/>
          <w:szCs w:val="16"/>
          <w:color w:val="231F20"/>
        </w:rPr>
        <w:t>We regularly maintain, upgrade, enhance or replace our information technology systems to support our business strategies and provide business continuity. Replacing legacy systems with successor systems, making changes to existing systems or acquiring new systems with new functionality have inherent risks including disruptions, delays, or difficulties that may impair the effectiveness of our information technology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 and external cyber threats, as well as other disasters, could impair our ability to conduct business effectively.</w:t>
      </w:r>
    </w:p>
    <w:p>
      <w:pPr>
        <w:spacing w:after="0" w:line="117"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231F20"/>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49"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231F20"/>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unauthorized tampering employee impersonation, social engineering or “phishing” attempts.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70" w:lineRule="exact"/>
        <w:rPr>
          <w:sz w:val="20"/>
          <w:szCs w:val="20"/>
          <w:color w:val="auto"/>
        </w:rPr>
      </w:pPr>
    </w:p>
    <w:p>
      <w:pPr>
        <w:ind w:right="280" w:firstLine="374"/>
        <w:spacing w:after="0" w:line="301" w:lineRule="auto"/>
        <w:rPr>
          <w:sz w:val="20"/>
          <w:szCs w:val="20"/>
          <w:color w:val="auto"/>
        </w:rPr>
      </w:pPr>
      <w:r>
        <w:rPr>
          <w:rFonts w:ascii="Arial" w:cs="Arial" w:eastAsia="Arial" w:hAnsi="Arial"/>
          <w:sz w:val="16"/>
          <w:szCs w:val="16"/>
          <w:color w:val="231F20"/>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5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231F20"/>
        </w:rPr>
        <w:t>Risks Related to Our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investments may be risky, and you could lose all or part of your investment.</w:t>
      </w:r>
    </w:p>
    <w:p>
      <w:pPr>
        <w:spacing w:after="0" w:line="11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231F20"/>
        </w:rPr>
        <w:t>We invest primarily in senior secured term loans, mezzanine debt and selected equity investments issued by middle market companies, CLO Funds, Joint Ventures and derivatives.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79"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i w:val="1"/>
          <w:iCs w:val="1"/>
          <w:color w:val="231F20"/>
        </w:rPr>
        <w:t>Secured Loans</w:t>
      </w:r>
      <w:r>
        <w:rPr>
          <w:rFonts w:ascii="Arial" w:cs="Arial" w:eastAsia="Arial" w:hAnsi="Arial"/>
          <w:sz w:val="16"/>
          <w:szCs w:val="16"/>
          <w:color w:val="231F20"/>
        </w:rPr>
        <w:t>. When we extend secured term loans, we generally take a security interest (either as a first lien position or as a second lien position) in</w:t>
      </w:r>
      <w:r>
        <w:rPr>
          <w:rFonts w:ascii="Arial" w:cs="Arial" w:eastAsia="Arial" w:hAnsi="Arial"/>
          <w:sz w:val="16"/>
          <w:szCs w:val="16"/>
          <w:i w:val="1"/>
          <w:iCs w:val="1"/>
          <w:color w:val="231F20"/>
        </w:rPr>
        <w:t xml:space="preserve"> </w:t>
      </w:r>
      <w:r>
        <w:rPr>
          <w:rFonts w:ascii="Arial" w:cs="Arial" w:eastAsia="Arial" w:hAnsi="Arial"/>
          <w:sz w:val="16"/>
          <w:szCs w:val="16"/>
          <w:color w:val="231F20"/>
        </w:rPr>
        <w:t>the available assets of these portfolio 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57"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i w:val="1"/>
          <w:iCs w:val="1"/>
          <w:color w:val="231F20"/>
        </w:rPr>
        <w:t>Mezzanine Debt</w:t>
      </w:r>
      <w:r>
        <w:rPr>
          <w:rFonts w:ascii="Arial" w:cs="Arial" w:eastAsia="Arial" w:hAnsi="Arial"/>
          <w:sz w:val="18"/>
          <w:szCs w:val="18"/>
          <w:color w:val="231F20"/>
        </w:rPr>
        <w:t>. Our mezzanine debt investments generally are subordinated to senior loans and generally are unsecured. This may result in an above</w:t>
      </w:r>
      <w:r>
        <w:rPr>
          <w:rFonts w:ascii="Arial" w:cs="Arial" w:eastAsia="Arial" w:hAnsi="Arial"/>
          <w:sz w:val="18"/>
          <w:szCs w:val="18"/>
          <w:i w:val="1"/>
          <w:iCs w:val="1"/>
          <w:color w:val="231F20"/>
        </w:rPr>
        <w:t xml:space="preserve"> </w:t>
      </w:r>
      <w:r>
        <w:rPr>
          <w:rFonts w:ascii="Arial" w:cs="Arial" w:eastAsia="Arial" w:hAnsi="Arial"/>
          <w:sz w:val="18"/>
          <w:szCs w:val="18"/>
          <w:color w:val="231F20"/>
        </w:rPr>
        <w:t>average amount of risk and volatility or loss of principal.</w:t>
      </w:r>
    </w:p>
    <w:p>
      <w:pPr>
        <w:spacing w:after="0" w:line="62" w:lineRule="exact"/>
        <w:rPr>
          <w:sz w:val="20"/>
          <w:szCs w:val="20"/>
          <w:color w:val="auto"/>
        </w:rPr>
      </w:pPr>
    </w:p>
    <w:p>
      <w:pPr>
        <w:jc w:val="both"/>
        <w:ind w:right="100" w:firstLine="374"/>
        <w:spacing w:after="0" w:line="286" w:lineRule="auto"/>
        <w:rPr>
          <w:sz w:val="20"/>
          <w:szCs w:val="20"/>
          <w:color w:val="auto"/>
        </w:rPr>
      </w:pPr>
      <w:r>
        <w:rPr>
          <w:rFonts w:ascii="Arial" w:cs="Arial" w:eastAsia="Arial" w:hAnsi="Arial"/>
          <w:sz w:val="17"/>
          <w:szCs w:val="17"/>
          <w:color w:val="231F20"/>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5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i w:val="1"/>
          <w:iCs w:val="1"/>
          <w:color w:val="231F20"/>
        </w:rPr>
        <w:t>Equity Investments</w:t>
      </w:r>
      <w:r>
        <w:rPr>
          <w:rFonts w:ascii="Arial" w:cs="Arial" w:eastAsia="Arial" w:hAnsi="Arial"/>
          <w:sz w:val="18"/>
          <w:szCs w:val="18"/>
          <w:color w:val="231F20"/>
        </w:rPr>
        <w:t>. We have made and expect to make selected equity investments in middle market companies. In addition, when we invest in senior</w:t>
      </w:r>
      <w:r>
        <w:rPr>
          <w:rFonts w:ascii="Arial" w:cs="Arial" w:eastAsia="Arial" w:hAnsi="Arial"/>
          <w:sz w:val="18"/>
          <w:szCs w:val="18"/>
          <w:i w:val="1"/>
          <w:iCs w:val="1"/>
          <w:color w:val="231F20"/>
        </w:rPr>
        <w:t xml:space="preserve"> </w:t>
      </w:r>
      <w:r>
        <w:rPr>
          <w:rFonts w:ascii="Arial" w:cs="Arial" w:eastAsia="Arial" w:hAnsi="Arial"/>
          <w:sz w:val="18"/>
          <w:szCs w:val="18"/>
          <w:color w:val="231F20"/>
        </w:rPr>
        <w:t>secured loans or mezzanine debt, we may acquire warrants in the equity of the portfolio company.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7"/>
          <w:szCs w:val="17"/>
          <w:i w:val="1"/>
          <w:iCs w:val="1"/>
          <w:color w:val="231F20"/>
        </w:rPr>
        <w:t>Risks Associated with Middle Market Companies</w:t>
      </w:r>
      <w:r>
        <w:rPr>
          <w:rFonts w:ascii="Arial" w:cs="Arial" w:eastAsia="Arial" w:hAnsi="Arial"/>
          <w:sz w:val="17"/>
          <w:szCs w:val="17"/>
          <w:color w:val="231F20"/>
        </w:rPr>
        <w:t>. Investments in middle market companies also involve a number of significant risks, including:</w:t>
      </w:r>
    </w:p>
    <w:p>
      <w:pPr>
        <w:spacing w:after="0" w:line="129" w:lineRule="exact"/>
        <w:rPr>
          <w:sz w:val="20"/>
          <w:szCs w:val="20"/>
          <w:color w:val="auto"/>
        </w:rPr>
      </w:pPr>
    </w:p>
    <w:p>
      <w:pPr>
        <w:ind w:left="740" w:hanging="368"/>
        <w:spacing w:after="0" w:line="308"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231F20"/>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38" w:lineRule="exact"/>
        <w:rPr>
          <w:rFonts w:ascii="Arial" w:cs="Arial" w:eastAsia="Arial" w:hAnsi="Arial"/>
          <w:sz w:val="17"/>
          <w:szCs w:val="17"/>
          <w:color w:val="auto"/>
        </w:rPr>
      </w:pPr>
    </w:p>
    <w:p>
      <w:pPr>
        <w:ind w:left="740" w:right="12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shorter operating histories, narrower product lines and smaller market shares than larger businesses, which tend to render them more vulnerable to competitors’ actions and market conditions, as well as general economic downturns;</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62"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difficulty accessing the capital markets to meet future capital needs;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generally less publicly available information about their businesses, operations and financial condition.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231F20"/>
        </w:rPr>
        <w:t xml:space="preserve">CLO Fund Investments. </w:t>
      </w:r>
      <w:r>
        <w:rPr>
          <w:rFonts w:ascii="Arial" w:cs="Arial" w:eastAsia="Arial" w:hAnsi="Arial"/>
          <w:sz w:val="18"/>
          <w:szCs w:val="18"/>
          <w:color w:val="231F20"/>
        </w:rPr>
        <w:t>Investments in CLO Funds also involve a number of significant risks, including:</w:t>
      </w:r>
    </w:p>
    <w:p>
      <w:pPr>
        <w:spacing w:after="0" w:line="117" w:lineRule="exact"/>
        <w:rPr>
          <w:sz w:val="20"/>
          <w:szCs w:val="20"/>
          <w:color w:val="auto"/>
        </w:rPr>
      </w:pPr>
    </w:p>
    <w:p>
      <w:pPr>
        <w:ind w:left="740" w:right="2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CLOs typically are comprised of a portfolio of senior secured loans; payments on CLO investments are and will be payable solely from the cash-flows from such senior secured loans;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CLO investments are exposed to leveraged credit risk;</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CLO Funds are highly leveraged;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there is the potential for interruption and deferral of cash-flow from CLO investments;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interest rates paid by corporate borrowers are subject to volatility;</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the inability of a CLO collateral manager to reinvest the proceeds of the prepayment of senior secured loans may adversely affect us;</w:t>
      </w:r>
    </w:p>
    <w:p>
      <w:pPr>
        <w:spacing w:after="0" w:line="142" w:lineRule="exact"/>
        <w:rPr>
          <w:rFonts w:ascii="Arial" w:cs="Arial" w:eastAsia="Arial" w:hAnsi="Arial"/>
          <w:sz w:val="17"/>
          <w:szCs w:val="17"/>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our CLO investments are subject to prepayments and calls, increasing re-investment risk;</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we have limited control of the administration and amendment of any CLO in which we invest;</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senior secured loans of CLOs may be sold and replaced resulting in a loss to us;</w:t>
      </w:r>
    </w:p>
    <w:p>
      <w:pPr>
        <w:spacing w:after="0" w:line="13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our financial results may be affected adversely if one or more of our significant equity or junior debt investments in a CLO vehicle defaults on its payment obligations or fails to perform as we expect;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non-investment grade debt involves a greater risk of default and higher price volatility than investment grade debt.</w:t>
      </w:r>
    </w:p>
    <w:p>
      <w:pPr>
        <w:spacing w:after="0" w:line="239"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231F20"/>
        </w:rPr>
        <w:t>Our portfolio investments for which there is no readily available market, including our investment in our Joint Ventures and our investments in CLO Funds, are recorded at fair value as determined in good faith by our Board. As a result, there is uncertainty as to the value of these investments.</w:t>
      </w:r>
    </w:p>
    <w:p>
      <w:pPr>
        <w:spacing w:after="0" w:line="1"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231F20"/>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We value these securities at fair value as determined in good faith by our Board pursuant to a valuation methodology approved by our Board. These valuations are initially prepared by our management and reviewed by our Valuation Committee, which uses its best judgment in arriving at the fair value of these securities. However, the Board retains ultimate authority to determine the appropriate valuation for each investment.</w:t>
      </w:r>
    </w:p>
    <w:p>
      <w:pPr>
        <w:spacing w:after="0" w:line="70"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231F20"/>
        </w:rPr>
        <w:t>We have engaged an independent valuation firm to provide third party valuation consulting services to our Board. Each quarter, the independent valuation firm performs third party valuations on our material investments in illiquid securities, such that they are reviewed at least once during a trailing 12 month period. These third party valuation estimates are one of the relevant data points in the Board’s determination of fair value. The Board intends to continue to engage an independent valuation firm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35" w:name="page36"/>
    <w:bookmarkEnd w:id="35"/>
    <w:p>
      <w:pPr>
        <w:ind w:right="40"/>
        <w:spacing w:after="0" w:line="270" w:lineRule="auto"/>
        <w:rPr>
          <w:sz w:val="20"/>
          <w:szCs w:val="20"/>
          <w:color w:val="auto"/>
        </w:rPr>
      </w:pPr>
      <w:r>
        <w:rPr>
          <w:rFonts w:ascii="Arial" w:cs="Arial" w:eastAsia="Arial" w:hAnsi="Arial"/>
          <w:sz w:val="17"/>
          <w:szCs w:val="17"/>
          <w:color w:val="231F20"/>
        </w:rPr>
        <w:t>Substantially all of our investment in the Asset Manager Affiliates was sold on December 31, 2018. Prior thereto, our investment in our Asset Manager Affiliates was carried at fair value, which was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included an analysis of comparable asset management companies. In addition, our investment in our Joint Venture is carried at fair value, which is determined based on the fair value of the investments held by the Joint Venture. Because such valuations, and particularly valuations of private investments and private companies, are inherently uncertain and may be based on estimates, our determinations of fair value may differ materially from the values that would be assessed if a ready market for these securities existed. Our net asset value could be adversely affected if our determinations regarding the fair value of our illiquid investments were materially higher than the values that we ultimately realize upon the disposal of such securities.</w:t>
      </w:r>
    </w:p>
    <w:p>
      <w:pPr>
        <w:spacing w:after="0" w:line="18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231F20"/>
        </w:rPr>
        <w:t>We are a non-diversified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76" w:lineRule="exact"/>
        <w:rPr>
          <w:sz w:val="20"/>
          <w:szCs w:val="20"/>
          <w:color w:val="auto"/>
        </w:rPr>
      </w:pPr>
    </w:p>
    <w:p>
      <w:pPr>
        <w:ind w:right="180" w:firstLine="374"/>
        <w:spacing w:after="0" w:line="272" w:lineRule="auto"/>
        <w:rPr>
          <w:sz w:val="20"/>
          <w:szCs w:val="20"/>
          <w:color w:val="auto"/>
        </w:rPr>
      </w:pPr>
      <w:r>
        <w:rPr>
          <w:rFonts w:ascii="Arial" w:cs="Arial" w:eastAsia="Arial" w:hAnsi="Arial"/>
          <w:sz w:val="17"/>
          <w:szCs w:val="17"/>
          <w:color w:val="231F20"/>
        </w:rPr>
        <w:t>We are classified as a non-diversified investment company within the meaning of the 1940 Act, and therefore we may invest a significant portion of our assets in a relatively small number of issuers in a limited number of industries. Beyond the asset diversification requirements associated with our qualification as a RIC, we do not have fixed guidelines for diversification, and while we are not targeting any specific industries, relatively few industries may become 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changes in fair value over time or a downturn in any particular industry. We may also be more susceptible to any single economic or regulatory occurrence than a diversified investment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Defaults by our portfolio companies could harm our operating results.</w:t>
      </w:r>
    </w:p>
    <w:p>
      <w:pPr>
        <w:spacing w:after="0" w:line="11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231F20"/>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86"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As part of our lending activities, we may in certain opportunistic circumstances originate loans to companies that are experiencing significant financial or business difficulties, including companies involved in bankruptcy or other reorganization and liquidation proceedings. Any such investment would involve a substantial degree of risk.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62"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color w:val="231F20"/>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have limited access to information about privately held companies in which we invest.</w:t>
      </w:r>
    </w:p>
    <w:p>
      <w:pPr>
        <w:spacing w:after="0" w:line="117"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231F20"/>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231F20"/>
        </w:rPr>
        <w:t>Prepayments of our debt investments by our portfolio companies could negatively impact our operating results.</w:t>
      </w:r>
    </w:p>
    <w:p>
      <w:pPr>
        <w:spacing w:after="0" w:line="117"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231F20"/>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portfolio companies may incur debt that ranks equal with, or senior to, our investments in such companies.</w:t>
      </w:r>
    </w:p>
    <w:p>
      <w:pPr>
        <w:spacing w:after="0" w:line="117"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231F20"/>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16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231F20"/>
        </w:rPr>
        <w:t>Certain loans that we make are secured by a second priority security interest in the same collateral pledged by a portfolio company to secure senior debt owed by the portfolio company to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231F20"/>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investments in equity securities involve a substantial degree of risk.</w:t>
      </w:r>
    </w:p>
    <w:p>
      <w:pPr>
        <w:spacing w:after="0" w:line="117"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231F20"/>
        </w:rPr>
        <w:t>We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231F20"/>
        </w:rPr>
        <w:t>The lack of liquidity in our investments may adversely affect our business.</w:t>
      </w:r>
    </w:p>
    <w:p>
      <w:pPr>
        <w:spacing w:after="0" w:line="11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231F20"/>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investments in foreign securities may involve significant risks in addition to the risks inherent in U.S. investments.</w:t>
      </w:r>
    </w:p>
    <w:p>
      <w:pPr>
        <w:spacing w:after="0" w:line="11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231F20"/>
        </w:rPr>
        <w:t>Our investment strategy contemplates that a portion of our investments may be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6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231F20"/>
        </w:rPr>
        <w:t>Although it is anticipated that most of our investments will be denominated in U.S. dollars, our investments that are denominated in a foreign currency will be subject to the risk that the value of a particular currency may change in relation to the U.S. dollar.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disposition of our investments may result in contingent liabilities.</w:t>
      </w:r>
    </w:p>
    <w:p>
      <w:pPr>
        <w:spacing w:after="0" w:line="117"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7"/>
          <w:szCs w:val="17"/>
          <w:color w:val="231F20"/>
        </w:rPr>
        <w:t>We currently expect that a significant portion of our investments will involve lending directly to private companies. 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receive any return on our investment in the CLO Funds in which we have invested.</w:t>
      </w:r>
    </w:p>
    <w:p>
      <w:pPr>
        <w:spacing w:after="0" w:line="117"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231F20"/>
        </w:rPr>
        <w:t>As of December 31, 2020, we had $19.6 million at fair value invested in the subordinated securities, preferred shares, or other securities issued by the CLO Funds. Subordinated securities are the most junior class of securities issued by the CLO Funds and are subordinated in priority of payment to every other 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defaulted loans or individual fund assets, the value of the subordinated securities at their redemption could be reduced.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Related to Our Common Stock</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231F20"/>
        </w:rPr>
        <w:t>We may not be able to pay distributions to our stockholders, our distributions may not grow over time, and a portion of distributions paid to our stockholders may be a return of capital.</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231F20"/>
        </w:rPr>
        <w:t>We intend to continue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covenants that we agreed to in connection with the issuance of the 6.125% Notes Due 2022 we are limited in our ability to make distributions in certain circumstances. In this regard, we agreed in connection with our issuance of 6.125% Notes Due 2022 that for the period of time during which the 6.125% Notes Due 2022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150%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ind w:right="100" w:firstLine="374"/>
        <w:spacing w:after="0" w:line="263" w:lineRule="auto"/>
        <w:rPr>
          <w:sz w:val="20"/>
          <w:szCs w:val="20"/>
          <w:color w:val="auto"/>
        </w:rPr>
      </w:pPr>
      <w:r>
        <w:rPr>
          <w:rFonts w:ascii="Arial" w:cs="Arial" w:eastAsia="Arial" w:hAnsi="Arial"/>
          <w:sz w:val="18"/>
          <w:szCs w:val="18"/>
          <w:color w:val="231F20"/>
        </w:rPr>
        <w:t>All distributions will be paid at the discretion of our Board and will depend on our earnings, our financial condition, maintenance of our RIC status, compliance with applicable BDC regulations and such other factors as our Board may deem relevant from time to time. We cannot assure you that we will pay distributions to our stockholders in the future.</w:t>
      </w:r>
    </w:p>
    <w:p>
      <w:pPr>
        <w:spacing w:after="0" w:line="76" w:lineRule="exact"/>
        <w:rPr>
          <w:sz w:val="20"/>
          <w:szCs w:val="20"/>
          <w:color w:val="auto"/>
        </w:rPr>
      </w:pPr>
    </w:p>
    <w:p>
      <w:pPr>
        <w:ind w:right="120" w:firstLine="374"/>
        <w:spacing w:after="0" w:line="255" w:lineRule="auto"/>
        <w:rPr>
          <w:sz w:val="20"/>
          <w:szCs w:val="20"/>
          <w:color w:val="auto"/>
        </w:rPr>
      </w:pPr>
      <w:r>
        <w:rPr>
          <w:rFonts w:ascii="Arial" w:cs="Arial" w:eastAsia="Arial" w:hAnsi="Arial"/>
          <w:sz w:val="18"/>
          <w:szCs w:val="18"/>
          <w:color w:val="231F20"/>
        </w:rPr>
        <w:t>When we make quarterly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which may result in higher tax liability when the shares are sold, even if they have not increased in value or have lost value. Our distributions have over the last several years included a significant return of capital component. For more information about our distributions over the last several years that have included a return of capital component, see Note 8 — “Distributable Taxable Income” to our consolidated financial statements included elsewhere in this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in shares of our common stock may involve an above average degree of risk.</w:t>
      </w:r>
    </w:p>
    <w:p>
      <w:pPr>
        <w:spacing w:after="0" w:line="11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231F20"/>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Shares of closed-end investment companies, including BDCs, frequently trade at a discount to their net asset value, and we cannot assure you that the market price of our common stock will not decline below the net asset value of the stock.</w:t>
      </w:r>
    </w:p>
    <w:p>
      <w:pPr>
        <w:spacing w:after="0" w:line="6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231F20"/>
        </w:rPr>
        <w:t>We cannot predict the price at which our common stock will trade. Shares of closed-end investment companies frequently trade at a discount to their net asset value and our stock may also be discounted in the market. This characteristic of closed-end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share price may be volatile and may fluctuate substantially.</w:t>
      </w:r>
    </w:p>
    <w:p>
      <w:pPr>
        <w:spacing w:after="0" w:line="117"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231F20"/>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2" w:lineRule="exact"/>
        <w:rPr>
          <w:sz w:val="20"/>
          <w:szCs w:val="20"/>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price and volume fluctuations in the overall stock market from time to time;</w:t>
      </w:r>
    </w:p>
    <w:p>
      <w:pPr>
        <w:spacing w:after="0" w:line="130"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significant volatility in the market price and trading volume of securities of BDCs or other companies in our sector, which are not necessarily related to the operating performance of these companies or to us;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our inability to deploy or invest our capital;</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fluctuations in interest rates;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operating performance of companies comparable to us;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changes in regulatory policies or tax rules, particularly with respect to RICs or BDCs;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inability to maintain our qualification as a RIC for U.S. federal income tax purposes;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changes in earnings or variations in operating results;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changes in the value of our portfolio;</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general economic conditions and trends;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departure of key personnel.</w:t>
      </w:r>
    </w:p>
    <w:p>
      <w:pPr>
        <w:spacing w:after="0" w:line="2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Certain provisions of the Delaware General Corporation Law and our certificate of incorporation and bylaws could deter takeover attempts and have an adverse impact on the price of our common stock.</w:t>
      </w:r>
    </w:p>
    <w:p>
      <w:pPr>
        <w:spacing w:after="0" w:line="62"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231F20"/>
        </w:rPr>
        <w:t>The Delaware General Corporation Law, our certificate of incorporation and our bylaws contain provisions that may have the effect of discouraging a third party from making an acquisition proposal for us. Our Board is divided into three classes of directors serving staggered three-year terms, which could prevent stockholders from removing a majority of directors in any given election. Our Board may, without stockholder action, authorize the issuance of shares in one or more classes or series, including shares of preferred stock. These anti-takeover provisions may inhibit a change in control in circumstances that could give the holders of our common stock the opportunity to realize a premium over the market price of our common stock.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231F20"/>
        </w:rPr>
        <w:t>Risks Related to Our Notes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Our 6.125% Notes Due 2022 are unsecured and therefore are effectively subordinated to any secured indebtedness we have currently incurred or may incur in the future.</w:t>
      </w:r>
    </w:p>
    <w:p>
      <w:pPr>
        <w:spacing w:after="0" w:line="62"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231F20"/>
        </w:rPr>
        <w:t>Our 6.125% Notes Due 2022 are not secured by any of our assets or any of the assets of our subsidiaries. As a result, the 6.125% Notes Due 2022 are effectively subordinated to any secured indebtedness we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6.125% Notes Due 2022 .</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 xml:space="preserve">The </w:t>
      </w:r>
      <w:r>
        <w:rPr>
          <w:rFonts w:ascii="Arial" w:cs="Arial" w:eastAsia="Arial" w:hAnsi="Arial"/>
          <w:sz w:val="18"/>
          <w:szCs w:val="18"/>
          <w:color w:val="231F20"/>
        </w:rPr>
        <w:t>6</w:t>
      </w:r>
      <w:r>
        <w:rPr>
          <w:rFonts w:ascii="Arial" w:cs="Arial" w:eastAsia="Arial" w:hAnsi="Arial"/>
          <w:sz w:val="18"/>
          <w:szCs w:val="18"/>
          <w:b w:val="1"/>
          <w:bCs w:val="1"/>
          <w:i w:val="1"/>
          <w:iCs w:val="1"/>
          <w:color w:val="231F20"/>
        </w:rPr>
        <w:t>.125% Notes Due 2022 are structurally subordinated to the indebtedness and other liabilities of our subsidiaries and portfolio companies with respect to which we hold equity investments.</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231F20"/>
        </w:rPr>
        <w:t>The 6.125% Notes Due 2022 are obligations exclusively of Portman Ridge Finance Corporation, and not of any of our subsidiaries. None of our subsidiaries are guarantors of the 6.125% Notes Due 2022, and the 6.125% Notes Due 2022 will not be required to be guaranteed by any subsidiary or asset management firm we may acquire or create in the future. Any assets of our subsidiaries will not be directly available to satisfy the claims of our creditors, including holders of the 6.125% Notes Due 2022. Except to the extent we are a creditor with recognized claims against our subsidiaries, all claims of creditors of our subsidiaries will have priority over our equity interests in such entities (and therefore the claims of our creditors, including holders of the 6.125% Notes Due 2022 )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6.125% Notes Due 2022 are structurally subordinated to all indebtedness and other liabilities of any of our subsidiaries and portfolio companies with respect to which we hold equity investments, or that we may in the future acquire or establish. These entities may incur substantial indebtedness in the future, all of which would be structurally senior to the 6.125% Notes Due 2022.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indentures under which the 6.125% Notes Due 2022 are issued contain limited protection for holders of the 6.125% Notes Due 2022.</w:t>
      </w:r>
    </w:p>
    <w:p>
      <w:pPr>
        <w:spacing w:after="0" w:line="129"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231F20"/>
        </w:rPr>
        <w:t>The indentures under which the 6.125% Notes Due 2022 are issued offer limited protection to holders of the 6.125% Notes Due 2022. The terms of the indentures and the 6.125% Notes Due 2022 do not restrict our or any of our subsidiaries, ability to engage in, or otherwise be a party to, a variety of corporate transactions, circumstances or events that could have a material adverse impact on your investment in the 6.125% Notes Due 2022. In particular, the terms of the indenture and the 6.125% Notes Due 2022 do not place any restrictions on our or our subsidiaries, ability to:</w:t>
      </w:r>
    </w:p>
    <w:p>
      <w:pPr>
        <w:spacing w:after="0" w:line="49" w:lineRule="exact"/>
        <w:rPr>
          <w:sz w:val="20"/>
          <w:szCs w:val="20"/>
          <w:color w:val="auto"/>
        </w:rPr>
      </w:pPr>
    </w:p>
    <w:p>
      <w:pPr>
        <w:ind w:left="740" w:right="80" w:hanging="368"/>
        <w:spacing w:after="0" w:line="286" w:lineRule="auto"/>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231F20"/>
        </w:rPr>
        <w:t>issue securities or otherwise incur additional indebtedness or other obligations, including (1) any indebtedness or other obligations that would be equal in right of payment to the 6.125% Notes Due 2022, (2) any indebtedness or other obligations that would be secured and therefore rank effectively senior in right of payment to the 6.125% Notes Due 2022 to the extent of the values of the assets securing such debt, (3) indebtedness of ours that is guaranteed by one or more of our subsidiaries or the Asset Manager Affiliates and which therefore is structurally senior to the</w:t>
      </w:r>
    </w:p>
    <w:p>
      <w:pPr>
        <w:spacing w:after="0" w:line="1" w:lineRule="exact"/>
        <w:rPr>
          <w:rFonts w:ascii="Arial" w:cs="Arial" w:eastAsia="Arial" w:hAnsi="Arial"/>
          <w:sz w:val="16"/>
          <w:szCs w:val="16"/>
          <w:color w:val="auto"/>
        </w:rPr>
      </w:pPr>
    </w:p>
    <w:p>
      <w:pPr>
        <w:ind w:left="740" w:right="20"/>
        <w:spacing w:after="0" w:line="270" w:lineRule="auto"/>
        <w:rPr>
          <w:rFonts w:ascii="Arial" w:cs="Arial" w:eastAsia="Arial" w:hAnsi="Arial"/>
          <w:sz w:val="16"/>
          <w:szCs w:val="16"/>
          <w:color w:val="auto"/>
        </w:rPr>
      </w:pPr>
      <w:r>
        <w:rPr>
          <w:rFonts w:ascii="Arial" w:cs="Arial" w:eastAsia="Arial" w:hAnsi="Arial"/>
          <w:sz w:val="17"/>
          <w:szCs w:val="17"/>
          <w:color w:val="231F20"/>
        </w:rPr>
        <w:t>6.125% Notes Due 2022 and (4) securities, indebtedness or obligations issued or incurred by our subsidiaries or the Asset Manager Affiliates that would be senior to our equity interests in those entities and therefore rank structurally senior to the 6.125% Notes Due 2022 with respect to the assets of our subsidiaries and the Asset Manager Affiliates, in each case other than an incurrence of indebtedness or other obligation that would cause a violation of Section 18(a)(1)(A) as modified by Section 61(a)(1) of the 1940 Act or any successor provisions. These provisions generally prohibit us from making additional borrowings, including through the issuance of additional debt or the sale of additional debt securities, unless our asset coverage, as defined in the 1940 Act, equals at least 150% after such borrowings;</w:t>
      </w:r>
    </w:p>
    <w:p>
      <w:pPr>
        <w:spacing w:after="0" w:line="70" w:lineRule="exact"/>
        <w:rPr>
          <w:rFonts w:ascii="Arial" w:cs="Arial" w:eastAsia="Arial" w:hAnsi="Arial"/>
          <w:sz w:val="16"/>
          <w:szCs w:val="16"/>
          <w:color w:val="auto"/>
        </w:rPr>
      </w:pPr>
    </w:p>
    <w:p>
      <w:pPr>
        <w:ind w:left="740" w:right="60" w:hanging="368"/>
        <w:spacing w:after="0" w:line="273"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231F20"/>
        </w:rPr>
        <w:t>pay dividends on, or purchase or redeem or make any payments in respect of, capital stock or other securities ranking junior in right of payment to the 6.125% Notes Due 2022, including subordinated indebtedness, in each case other than dividends, purchases, redemptions or payments that would cause a violation of Section 18(a)(1)(B) as modified by Section 61(a)(1) of the 1940 Act or any successor provisions. These provisions generally prohibit us from declaring any cash dividend or distribution upon any class of our capital stock, or purchasing any such capital stock if our asset coverage, as defined in the 1940 Act, is below 150% at the time of the declaration of the dividend or distribution or the purchase and after deducting the amount of such dividend, distribution or purchase;</w:t>
      </w:r>
    </w:p>
    <w:p>
      <w:pPr>
        <w:spacing w:after="0" w:line="69" w:lineRule="exact"/>
        <w:rPr>
          <w:rFonts w:ascii="Arial" w:cs="Arial" w:eastAsia="Arial" w:hAnsi="Arial"/>
          <w:sz w:val="17"/>
          <w:szCs w:val="17"/>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enter into transactions with affiliates;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make investments; or</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create restrictions on the payment of dividends or other amounts to us from our subsidiaries.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In addition, the indenture does not require us to offer to purchase the 6.125% Notes Due 2022 in connection with a change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231F20"/>
        </w:rPr>
        <w:t>control or any other event.</w:t>
      </w:r>
    </w:p>
    <w:p>
      <w:pPr>
        <w:spacing w:after="0" w:line="117" w:lineRule="exact"/>
        <w:rPr>
          <w:sz w:val="20"/>
          <w:szCs w:val="20"/>
          <w:color w:val="auto"/>
        </w:rPr>
      </w:pPr>
    </w:p>
    <w:p>
      <w:pPr>
        <w:jc w:val="both"/>
        <w:ind w:right="220" w:firstLine="374"/>
        <w:spacing w:after="0" w:line="311" w:lineRule="auto"/>
        <w:rPr>
          <w:sz w:val="20"/>
          <w:szCs w:val="20"/>
          <w:color w:val="auto"/>
        </w:rPr>
      </w:pPr>
      <w:r>
        <w:rPr>
          <w:rFonts w:ascii="Arial" w:cs="Arial" w:eastAsia="Arial" w:hAnsi="Arial"/>
          <w:sz w:val="16"/>
          <w:szCs w:val="16"/>
          <w:color w:val="231F20"/>
        </w:rPr>
        <w:t>Furthermore, the terms of the indenture and the 6.125% Notes Due 2022 do not protect holders of the 6.125% Notes Due 2022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 other than as described above.</w:t>
      </w:r>
    </w:p>
    <w:p>
      <w:pPr>
        <w:spacing w:after="0" w:line="41" w:lineRule="exact"/>
        <w:rPr>
          <w:sz w:val="20"/>
          <w:szCs w:val="20"/>
          <w:color w:val="auto"/>
        </w:rPr>
      </w:pPr>
    </w:p>
    <w:p>
      <w:pPr>
        <w:jc w:val="both"/>
        <w:ind w:right="280" w:firstLine="374"/>
        <w:spacing w:after="0" w:line="286" w:lineRule="auto"/>
        <w:rPr>
          <w:sz w:val="20"/>
          <w:szCs w:val="20"/>
          <w:color w:val="auto"/>
        </w:rPr>
      </w:pPr>
      <w:r>
        <w:rPr>
          <w:rFonts w:ascii="Arial" w:cs="Arial" w:eastAsia="Arial" w:hAnsi="Arial"/>
          <w:sz w:val="17"/>
          <w:szCs w:val="17"/>
          <w:color w:val="231F20"/>
        </w:rPr>
        <w:t>Our ability to recapitalize, incur additional debt and take a number of other actions that are not limited by the terms of the 6.125% Notes Due 2022 may have important consequences for you as a holder of the 6.125% Notes Due 2022 including making it more difficult for us to satisfy our obligations with respect to the 6.125% Notes Due 2022 or negatively affecting the trading value of the 6.125% Notes Due 2022.</w:t>
      </w:r>
    </w:p>
    <w:p>
      <w:pPr>
        <w:spacing w:after="0" w:line="5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231F20"/>
        </w:rPr>
        <w:t>Other debt we issue or incur in the future could contain more protections for its holders than the indentures and the 6.125% Notes Due 2022, including additional covenants and events of default. The issuance or incurrence of any such debt with incremental protections could affect the market for and trading levels and prices of the 6.125% Notes Due 2022.</w:t>
      </w:r>
    </w:p>
    <w:p>
      <w:pPr>
        <w:spacing w:after="0" w:line="18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231F20"/>
        </w:rPr>
        <w:t>Even though the 6.125% Notes Due 2022 are listed on the NASDAQ Global Select Market, an active trading market for the 6.125% Notes Due 2022 may not develop, or if it does develop, it may not be sustained, which could limit your ability to sell the 6.125% Notes Due 2022 or affect the market price of the 6.125% Notes Due 2022</w:t>
      </w:r>
    </w:p>
    <w:p>
      <w:pPr>
        <w:spacing w:after="0" w:line="76" w:lineRule="exact"/>
        <w:rPr>
          <w:sz w:val="20"/>
          <w:szCs w:val="20"/>
          <w:color w:val="auto"/>
        </w:rPr>
      </w:pPr>
    </w:p>
    <w:p>
      <w:pPr>
        <w:ind w:right="340" w:firstLine="374"/>
        <w:spacing w:after="0" w:line="291" w:lineRule="auto"/>
        <w:rPr>
          <w:sz w:val="20"/>
          <w:szCs w:val="20"/>
          <w:color w:val="auto"/>
        </w:rPr>
      </w:pPr>
      <w:r>
        <w:rPr>
          <w:rFonts w:ascii="Arial" w:cs="Arial" w:eastAsia="Arial" w:hAnsi="Arial"/>
          <w:sz w:val="16"/>
          <w:szCs w:val="16"/>
          <w:color w:val="231F20"/>
        </w:rPr>
        <w:t>We cannot provide any assurances that an active trading market will develop for the 6.125% Notes Due 2022, or that, if it does develop, it will be sustained or that you will be able to sell your 6.125% Notes Due 2022. The 6.125% Notes Due 2022 may trade at a discount from the price paid for the</w:t>
      </w:r>
    </w:p>
    <w:p>
      <w:pPr>
        <w:ind w:right="40"/>
        <w:spacing w:after="0" w:line="260" w:lineRule="auto"/>
        <w:rPr>
          <w:sz w:val="20"/>
          <w:szCs w:val="20"/>
          <w:color w:val="auto"/>
        </w:rPr>
      </w:pPr>
      <w:r>
        <w:rPr>
          <w:rFonts w:ascii="Arial" w:cs="Arial" w:eastAsia="Arial" w:hAnsi="Arial"/>
          <w:sz w:val="18"/>
          <w:szCs w:val="18"/>
          <w:color w:val="231F20"/>
        </w:rPr>
        <w:t>6.125% Notes Due 2022 depending on prevailing interest rates, the market for similar securities, our credit ratings, if any, general economic conditions, our financial condition, performance and prospects and other factors.</w:t>
      </w:r>
    </w:p>
    <w:p>
      <w:pPr>
        <w:spacing w:after="0" w:line="77"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231F20"/>
        </w:rPr>
        <w:t>Accordingly, we cannot assure you that a liquid trading market will develop for the 6.125% Notes Due 2022 or that, if an active trading market for the 6.125% Notes Due 2022 does develop, it will be sustained, that you will be able to sell your 6.125% Notes Due 2022 at a particular time or that the price you receive when you sell will be favorable. To the extent an active trading market does not develop, the liquidity and trading price for the 6.125% Notes Due 2022 may be harmed. Accordingly, you may be required to bear the financial risk of an investment in the 6.125% Notes Due 2022 for an indefinite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If we default on our obligations to pay our other indebtedness, we may not be able to make payments on the 6.125% Notes Due 2022.</w:t>
      </w:r>
    </w:p>
    <w:p>
      <w:pPr>
        <w:spacing w:after="0" w:line="129"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231F20"/>
        </w:rPr>
        <w:t>Any default under the agreements governing our indebtedness, that is not waived by the required lenders, and the remedies sought by the holders of such indebtedness could make us unable to pay principal, premium, if any, and interest on the 6.125% Notes Due 2022 and could substantially decrease the market value of the 6.125% Notes Due 2022.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any debt we may incur in the future could elect to terminate its commitment, cease making further loans and institute foreclosure proceedings against our assets, and we could be forced into bankruptcy or liquidation. If our operating performance declines, we may in the future need to seek to obtain waivers from under any other debt that we may incur in the future to avoid being in default. If we breach our covenants under any debt and seek a waiver, we may not be able to obtain a waiver from the required lenders. If this occurs, we would be in default under any debt, the lender could exercise its rights as described above, and we could be forced into bankruptcy or liquidation. If we are unable to repay debt, lenders having secured obligations could proceed against the collateral securing the debt. Because any future debt we issue will likely have customary cross-default provisions, if such other debt is accelerated, we may be unable to repay or finance the amounts due.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shares of our common stock after the completion of the GARS Acquisition may cause the market price of our common stock to decline.</w:t>
      </w:r>
    </w:p>
    <w:p>
      <w:pPr>
        <w:spacing w:after="0" w:line="140"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Former GARS Stockholders may decide not to hold the shares of our common stock that they received pursuant to the merger agreement. Certain GARS Stockholders, such as funds with limitations on their permitted holdings of stock in individual issuers, may be required to sell the shares of our common stock that they received pursuant to the merger agreement. In addition, our stockholders may decide not to hold their shares of common stock as a result of the merger. In each case, such sales of our common stock could have the effect of depressing the market price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investments acquired as a result of the GARS Acquisition, it may result in capital gains and increase the incentive fees payable to the Adviser.</w:t>
      </w:r>
    </w:p>
    <w:p>
      <w:pPr>
        <w:spacing w:after="0" w:line="152" w:lineRule="exact"/>
        <w:rPr>
          <w:sz w:val="20"/>
          <w:szCs w:val="20"/>
          <w:color w:val="auto"/>
        </w:rPr>
      </w:pPr>
    </w:p>
    <w:p>
      <w:pPr>
        <w:ind w:right="240" w:firstLine="374"/>
        <w:spacing w:after="0" w:line="296" w:lineRule="auto"/>
        <w:rPr>
          <w:sz w:val="20"/>
          <w:szCs w:val="20"/>
          <w:color w:val="auto"/>
        </w:rPr>
      </w:pPr>
      <w:r>
        <w:rPr>
          <w:rFonts w:ascii="Arial" w:cs="Arial" w:eastAsia="Arial" w:hAnsi="Arial"/>
          <w:sz w:val="16"/>
          <w:szCs w:val="16"/>
          <w:color w:val="auto"/>
        </w:rPr>
        <w:t>Investments that we acquired as a result of the GARS Acquisition are booked at a discount under ASC 805-50, Business Combinations–Related Issues. To the extent we sell one of these acquired investments at a price that is higher than its then-amortized cost, such sale would result in realized capital gain that would be factored into the amount of the incentive fee on capital gains, if any, that is paid by us to the Adviser. If we sell a significant portion of the investments acquired as a result of the GARS Acquisition, it may materially increase the incentive fee on capital gains paid to the Adviser. The effect on the incentive fee on capital gains would be greater for acquired investments sold closer to the closing date of the GARS Acquisition.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1" w:name="page42"/>
    <w:bookmarkEnd w:id="41"/>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unable to realize the benefits anticipated by the GARS Acquisition, including estimated cost savings, or it may take longer than anticipated to realize such benefits.</w:t>
      </w:r>
    </w:p>
    <w:p>
      <w:pPr>
        <w:spacing w:after="0" w:line="6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The realization of certain benefits anticipated as a result of the GARS Acquisition will depend in part on the integration of GARS’ investment portfolio with ours and the integration of GARS’ business. There can be no assurance that GARS’ investment portfolio or business can be operated profitably or integrated successfully into our operations in a timely fashion or at all. The dedication of management resources to such integration may divert attention from the day-to-day business of the combined company and there can be no assurance that there will not be substantial costs associated with the transition process or there will not be other material adverse effects as a result of these integration efforts. Such effects, including incurring unexpected costs or delays in connection with such integration and failure of GARS’ investment portfolio to perform as expected, could have a material adverse effect on our results of operations.</w:t>
      </w:r>
    </w:p>
    <w:p>
      <w:pPr>
        <w:spacing w:after="0" w:line="87"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We also expect to achieve certain cost savings from the GARS Acquisition when the two companies have fully integrated their portfolios. It is possible that the estimates of the potential cost savings could ultimately be incorrect. The cost savings estimates also assume we will be able to combine the operations of us and GARS in a manner that permits those cost savings to be fully realized. If the estimates turn out to be incorrect or if we are not able to successfully combine GARS’ investment portfolio or business with our operations, the anticipated cost savings may not be fully realized, or realized at all, or may take longer to realize than expected.</w:t>
      </w:r>
    </w:p>
    <w:p>
      <w:pPr>
        <w:spacing w:after="0" w:line="188"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b w:val="1"/>
          <w:bCs w:val="1"/>
          <w:i w:val="1"/>
          <w:iCs w:val="1"/>
          <w:color w:val="auto"/>
        </w:rPr>
        <w:t>The HCAP Acquisition is subject to closing conditions, including stockholder approval, that, if not satisfied or waived, will result in the HCAP Acquisition not being completed.</w:t>
      </w:r>
    </w:p>
    <w:p>
      <w:pPr>
        <w:spacing w:after="0" w:line="62"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The HCAP Acquisition is subject to closing conditions, including certain approvals of HCAP stockholders that, if not satisfied, will prevent the HCAP Acquisition from being completed. The closing condition that HCAP stockholders approve the HCAP Acquisition may not be waived under applicable law and must be satisfied for the acquisition to be completed. HCAP currently expects that all directors and executive officers of HCAP will vote their shares of HCAP common stock in favor of the proposals presented at the special meeting. If HCAP stockholders do not approve the HCAP Acquisition and the HCAP Acquisition is not completed, the resulting failure of the HCAP Acquisition could have a negative impact on our business and operations.</w:t>
      </w:r>
    </w:p>
    <w:p>
      <w:pPr>
        <w:spacing w:after="0" w:line="161"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b w:val="1"/>
          <w:bCs w:val="1"/>
          <w:i w:val="1"/>
          <w:iCs w:val="1"/>
          <w:color w:val="auto"/>
        </w:rPr>
        <w:t>We may be unable to realize the benefits anticipated by the HCAP Acquisition, including estimated cost savings, or it may take longer than anticipated to achieve such benefits.</w:t>
      </w:r>
    </w:p>
    <w:p>
      <w:pPr>
        <w:spacing w:after="0" w:line="62" w:lineRule="exact"/>
        <w:rPr>
          <w:sz w:val="20"/>
          <w:szCs w:val="20"/>
          <w:color w:val="auto"/>
        </w:rPr>
      </w:pPr>
    </w:p>
    <w:p>
      <w:pPr>
        <w:ind w:right="60" w:firstLine="374"/>
        <w:spacing w:after="0" w:line="272" w:lineRule="auto"/>
        <w:rPr>
          <w:sz w:val="20"/>
          <w:szCs w:val="20"/>
          <w:color w:val="auto"/>
        </w:rPr>
      </w:pPr>
      <w:r>
        <w:rPr>
          <w:rFonts w:ascii="Arial" w:cs="Arial" w:eastAsia="Arial" w:hAnsi="Arial"/>
          <w:sz w:val="17"/>
          <w:szCs w:val="17"/>
          <w:color w:val="auto"/>
        </w:rPr>
        <w:t>The realization of certain benefits anticipated as a result of the HCAP Acquisition will depend in part on the integration of OHAI’s investment portfolio with our portfolio and integration of HCAP’s business. There can be no assurance that HCAP’s investment portfolio or business can be operated profitably or integrated successfully into our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there will not be other material adverse effects as a result of these integration efforts. Such effects, including, but not limited to, incurring unexpected costs or delays in connection with such integration and failure of HCAP’s investment portfolio to perform as expected, could have a material adverse effect on the financial results of the combined company.</w:t>
      </w:r>
    </w:p>
    <w:p>
      <w:pPr>
        <w:spacing w:after="0" w:line="137" w:lineRule="exact"/>
        <w:rPr>
          <w:sz w:val="20"/>
          <w:szCs w:val="20"/>
          <w:color w:val="auto"/>
        </w:rPr>
      </w:pPr>
    </w:p>
    <w:p>
      <w:pPr>
        <w:ind w:right="40" w:firstLine="490"/>
        <w:spacing w:after="0" w:line="257" w:lineRule="auto"/>
        <w:rPr>
          <w:sz w:val="20"/>
          <w:szCs w:val="20"/>
          <w:color w:val="auto"/>
        </w:rPr>
      </w:pPr>
      <w:r>
        <w:rPr>
          <w:rFonts w:ascii="Arial" w:cs="Arial" w:eastAsia="Arial" w:hAnsi="Arial"/>
          <w:sz w:val="18"/>
          <w:szCs w:val="18"/>
          <w:color w:val="auto"/>
        </w:rPr>
        <w:t>We also expect to achieve certain cost savings from the HCAP Acquisition when the two companies have fully integrated their portfolios. It is possible that the estimates of the potential cost savings could ultimately be incorrect. The cost savings estimates also assume we will be able to combine our operations with HCAP’s in a manner that permits those cost savings to be fully realized. If the estimates turn out to be incorrect or if we are not able to successfully combine HCAP’s investment portfolio or business with our operations, the anticipated cost savings may not be fully realized, or realized at all, or may take longer to realize than expected.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Economic recessions or downturns may have a material adverse effect on our business, financial condition and results of operations, and could impair the ability of our portfolio companies to repay loans.</w:t>
      </w:r>
    </w:p>
    <w:p>
      <w:pPr>
        <w:spacing w:after="0" w:line="62"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231F20"/>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79"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231F20"/>
        </w:rPr>
        <w:t>In the event of economic recessions and downturns, the financial results of middle-market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financial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231F20"/>
        </w:rPr>
        <w:t>distributable income and have a material adverse effect on our results of operations.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231F20"/>
        </w:rPr>
        <w:t>Capital markets may experience periods of disruption and instability and we cannot predict when these conditions will occur. Such market conditions could materially and adversely affect debt and equity capital markets in the United States and abroad, which could have a negative impact on our business, financial condition and results of operations.</w:t>
      </w:r>
    </w:p>
    <w:p>
      <w:pPr>
        <w:spacing w:after="0" w:line="7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231F20"/>
        </w:rPr>
        <w:t>From time-to-time, capital markets may experience periods of disruption and instability. For example, from 2008 to 2009, the global capital markets were unstable as evidenced by the lack of liquidity in the debt capital markets, significant write-offs in the financial services sector, the re-pricing of credit risk in the broadly syndicated credit market and the failure of major financial institutions. Despite actions of the U.S. federal government and various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There have been more recent periods of volatility and there can be no assurance that adverse market conditions will not repeat themselves in the future. If similar adverse and volatile market conditions repeat in the future, we and other companies in the financial services sector may have to access, if available, alternative markets for debt and equity capital in order to grow.</w:t>
      </w:r>
    </w:p>
    <w:p>
      <w:pPr>
        <w:spacing w:after="0" w:line="70"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231F20"/>
        </w:rPr>
        <w:t>Moreover, the re-appearance of market conditions similar to those experienced from 2008 through 2009 for any substantial length of time or worsened market conditions, including as a result of U.S. government shutdowns or the perceived creditworthiness of the United States, could make it difficult for us to borrow money or to extend the maturity of or refinance any indebtedness we may have under similar terms and any failure to do so could have a material adverse effect on our business. Unfavorable economic and political conditions, including future recessions, political instability, geopolitical turmoil and foreign hostilities, and disease, pandemics and other serious health events, also could increase our funding costs, limit our access to the capital markets or result in a decision by lenders not to extend credit to us.</w:t>
      </w:r>
    </w:p>
    <w:p>
      <w:pPr>
        <w:spacing w:after="0" w:line="84"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231F20"/>
        </w:rPr>
        <w:t>In addition, there will likely continue to be considerable uncertainty as to the United Kingdom’s post-transition and post-withdrawal framework following its withdrawal from the European Union (“Brexit”), in particular as to the arrangements which will apply to its relationships with the European Union and with other countries. The new Trade and Cooperation Agreement reached between the European Union and the United Kingdom in late 2020 is untested and may lead to ongoing political and economic uncertainty and periods of exacerbated volatility in both the United Kingdom and in wider European and global markets for some time.</w:t>
      </w:r>
    </w:p>
    <w:p>
      <w:pPr>
        <w:spacing w:after="0" w:line="80" w:lineRule="exact"/>
        <w:rPr>
          <w:sz w:val="20"/>
          <w:szCs w:val="20"/>
          <w:color w:val="auto"/>
        </w:rPr>
      </w:pPr>
    </w:p>
    <w:p>
      <w:pPr>
        <w:jc w:val="both"/>
        <w:ind w:right="20" w:firstLine="374"/>
        <w:spacing w:after="0" w:line="311" w:lineRule="auto"/>
        <w:rPr>
          <w:sz w:val="20"/>
          <w:szCs w:val="20"/>
          <w:color w:val="auto"/>
        </w:rPr>
      </w:pPr>
      <w:r>
        <w:rPr>
          <w:rFonts w:ascii="Arial" w:cs="Arial" w:eastAsia="Arial" w:hAnsi="Arial"/>
          <w:sz w:val="16"/>
          <w:szCs w:val="16"/>
          <w:color w:val="231F20"/>
        </w:rPr>
        <w:t>We may in the future have difficulty accessing debt and equity capital on attractive terms, or at all, and a severe disruption and instability in the global financial markets or deteriorations in credit and financing conditions may cause us to reduce the volume of loans we originate and/or fund, adversely affect the value of our portfolio investments or otherwise have a material adverse effect on our business, financial condition, results of operations and cash flows.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novel coronavirus COVID-19, could have an adverse impact on our financial condition and results of operations and other aspects of our business</w:t>
      </w:r>
      <w:r>
        <w:rPr>
          <w:rFonts w:ascii="Arial" w:cs="Arial" w:eastAsia="Arial" w:hAnsi="Arial"/>
          <w:sz w:val="18"/>
          <w:szCs w:val="18"/>
          <w:color w:val="auto"/>
        </w:rPr>
        <w:t>.</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global impact of the COVID-19 pandemic continues to evolve and has, and may continue to have, an adverse effect on our and our portfolio companies’ business. While, due to the evolving nature of this event, it currently is not possible to estimate its impact precisely, the COVID-19 pandemic has, and could impact further, our business, financial condition, results of operations, liquidity or prospects and those of our portfolio companies in a number of ways. For instance, our investment portfolio (and, specifically, the valuations of investment assets we hold) has been, and may continue to be, adversely affected as a result of market developments from the COVID-19 pandemic and uncertainty regarding its outcome. Moreover, changes in interest rates, reduced liquidity or a continued slowdown in U.S. or global economic conditions may also adversely affect our business, financial condition, results of operations, liquidity or prospects and those of our portfolio companies. Further, extreme market volatility may leave us and our portfolio companies unable to react to market events in a prudent manner consistent with our historical practices in dealing with more orderly markets. Although it is impossible to predict with certainty the full magnitude of the business and economic ramifications, COVID-19 has impacted, and may further impact, our business in various ways, including but not limited to:</w:t>
      </w:r>
    </w:p>
    <w:p>
      <w:pPr>
        <w:spacing w:after="0" w:line="91" w:lineRule="exact"/>
        <w:rPr>
          <w:sz w:val="20"/>
          <w:szCs w:val="20"/>
          <w:color w:val="auto"/>
        </w:rPr>
      </w:pPr>
    </w:p>
    <w:p>
      <w:pPr>
        <w:ind w:left="1000" w:right="100" w:hanging="439"/>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an operational perspective, our Adviser’s employees, as well as the workforces of our vendors, service providers and counterparties, may also be adversely affected by the COVID-19 pandemic or efforts to mitigate the pandemic, including government-mandated shutdowns, requests or orders for employees to work remotely, and other social distancing measures, which could result in an adverse impact on our ability to conduct our business;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3" w:name="page44"/>
    <w:bookmarkEnd w:id="43"/>
    <w:p>
      <w:pPr>
        <w:ind w:left="1000" w:hanging="439"/>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While the market dislocation caused by COVID-19 may present attractive investment opportunities, due to increased volatility in the financial markets, we may not be able to complete those investments;</w:t>
      </w:r>
    </w:p>
    <w:p>
      <w:pPr>
        <w:spacing w:after="0" w:line="75" w:lineRule="exact"/>
        <w:rPr>
          <w:rFonts w:ascii="Arial" w:cs="Arial" w:eastAsia="Arial" w:hAnsi="Arial"/>
          <w:sz w:val="18"/>
          <w:szCs w:val="18"/>
          <w:color w:val="auto"/>
        </w:rPr>
      </w:pPr>
    </w:p>
    <w:p>
      <w:pPr>
        <w:ind w:left="1000" w:right="60" w:hanging="439"/>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impact of COVID-19 continues, we may have more limited opportunities to successfully exit existing investments, due to, among other reasons, lower valuations, decreased revenues and earnings, or lack of potential buyers with financial resources to pursue an acquisition, resulting in a reduced ability to realize value from such investments;</w:t>
      </w:r>
    </w:p>
    <w:p>
      <w:pPr>
        <w:spacing w:after="0" w:line="89" w:lineRule="exact"/>
        <w:rPr>
          <w:rFonts w:ascii="Arial" w:cs="Arial" w:eastAsia="Arial" w:hAnsi="Arial"/>
          <w:sz w:val="18"/>
          <w:szCs w:val="18"/>
          <w:color w:val="auto"/>
        </w:rPr>
      </w:pPr>
    </w:p>
    <w:p>
      <w:pPr>
        <w:ind w:left="1000" w:right="120" w:hanging="439"/>
        <w:spacing w:after="0" w:line="279"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portfolio companies are facing or may face in the future increased credit and liquidity risk due to volatility in financial markets, reduced revenue streams, and limited or higher cost of access to preferred sources of funding, which may result in write-downs or write-offs in the value of our investments. Changes in the debt financing markets are impacting, or, if the volatility in financial market continues, may in the future impact, the ability of our portfolio companies to meet their respective financial obligations;</w:t>
      </w:r>
    </w:p>
    <w:p>
      <w:pPr>
        <w:spacing w:after="0" w:line="76" w:lineRule="exact"/>
        <w:rPr>
          <w:rFonts w:ascii="Arial" w:cs="Arial" w:eastAsia="Arial" w:hAnsi="Arial"/>
          <w:sz w:val="17"/>
          <w:szCs w:val="17"/>
          <w:color w:val="auto"/>
        </w:rPr>
      </w:pPr>
    </w:p>
    <w:p>
      <w:pPr>
        <w:ind w:left="1000" w:right="180" w:hanging="439"/>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Borrowers of loans, notes and other credit instruments in our portfolio may be unable to meet their principal or interest payment obligations or satisfy financial covenants, resulting in a decrease in value of our investments and lower-than-expected return. In addition, for variable interest instruments, lower reference rates resulting from government stimulus programs in response to COVID-19 could lead to lower interest income;</w:t>
      </w:r>
    </w:p>
    <w:p>
      <w:pPr>
        <w:spacing w:after="0" w:line="92" w:lineRule="exact"/>
        <w:rPr>
          <w:rFonts w:ascii="Arial" w:cs="Arial" w:eastAsia="Arial" w:hAnsi="Arial"/>
          <w:sz w:val="18"/>
          <w:szCs w:val="18"/>
          <w:color w:val="auto"/>
        </w:rPr>
      </w:pPr>
    </w:p>
    <w:p>
      <w:pPr>
        <w:ind w:left="1000" w:right="100" w:hanging="439"/>
        <w:spacing w:after="0" w:line="275"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Many of our portfolio companies operate in industries that are materially impacted by COVID-19, including but not limited to healthcare, travel, entertainment and hospitality. Many of these companies are facing operational and financial hardships resulting from the spread of COVID-19 and related governmental measures, such as the closure of stores, restrictions on travel, quarantines or stay-at-home orders. If the disruptions caused by COVID-19 continue and such measures are not lifted, the businesses of these portfolio companies could suffer materially or become insolvent, which would decrease the value of our investments;</w:t>
      </w:r>
    </w:p>
    <w:p>
      <w:pPr>
        <w:spacing w:after="0" w:line="203" w:lineRule="exact"/>
        <w:rPr>
          <w:rFonts w:ascii="Arial" w:cs="Arial" w:eastAsia="Arial" w:hAnsi="Arial"/>
          <w:sz w:val="17"/>
          <w:szCs w:val="17"/>
          <w:color w:val="auto"/>
        </w:rPr>
      </w:pPr>
    </w:p>
    <w:p>
      <w:pPr>
        <w:ind w:left="1000" w:right="20" w:hanging="439"/>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extended period of remote working by our Adviser’s employees could strain its technology resources and introduce operational risks, including heightened cybersecurity risk. Remote working environments may be less secure and more susceptible to hacking attacks, including phishing and social engineering attempts that seek to exploit the COVID-19 pandemic; and</w:t>
      </w:r>
    </w:p>
    <w:p>
      <w:pPr>
        <w:spacing w:after="0" w:line="192" w:lineRule="exact"/>
        <w:rPr>
          <w:rFonts w:ascii="Arial" w:cs="Arial" w:eastAsia="Arial" w:hAnsi="Arial"/>
          <w:sz w:val="17"/>
          <w:szCs w:val="17"/>
          <w:color w:val="auto"/>
        </w:rPr>
      </w:pPr>
    </w:p>
    <w:p>
      <w:pPr>
        <w:ind w:left="1000" w:right="200" w:hanging="439"/>
        <w:spacing w:after="0" w:line="30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COVID-19 presents a significant threat to our Adviser’s employees’ well-being and morale. While our Adviser has implemented a business continuity plan to protect the health of its employees and has contingency plans in place for key employees or executive officers who may become sick or otherwise unable to perform their duties for an extended period of time, such plans cannot anticipate all scenarios, and our Adviser may experience potential loss of productivity or a delay in the roll out of certain strategic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December 2019.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 We also face an increased risk of investor, creditor or portfolio company disputes, litigation and governmental and regulatory scrutiny as a results of the effects of COVID-19 on economic and market conditions.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ind w:right="220"/>
        <w:spacing w:after="0" w:line="263" w:lineRule="auto"/>
        <w:rPr>
          <w:sz w:val="20"/>
          <w:szCs w:val="20"/>
          <w:color w:val="auto"/>
        </w:rPr>
      </w:pPr>
      <w:r>
        <w:rPr>
          <w:rFonts w:ascii="Arial" w:cs="Arial" w:eastAsia="Arial" w:hAnsi="Arial"/>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8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Although we have historically paid distributions to our stockholders, we cannot assure you that we will achieve investment results that will allow us to make a specified level of cash distributions or year-to-year increases in cash distributions going forward. Our ability to pay distributions has been, and may continue to be, adversely affected by the impact of one or more of the risk factors described in this report or in our Annual Report on Form 10-K for the fiscal year ended December 31, 2020, including the COVID-19 pandemic described above. If we are unable to satisfy the asset coverage test applicable to us under the 1940 Act as a BDC or if we violate certain covenants under our existing or future credit facilities or other borrowing arrangements, we may be limited in our ability to make distributions in the future. If we declare a distribution,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Terrorist attacks, acts of war or natural disasters may affect any market for our common stock, impact the businesses in which we invest and harm our business, operating results and financial condition.</w:t>
      </w:r>
    </w:p>
    <w:p>
      <w:pPr>
        <w:spacing w:after="0" w:line="62"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231F20"/>
        </w:rPr>
        <w:t>Terrorist attacks, acts of war or natural disasters may disrupt our operations, as well as the operations of the businesses in which we invest. Such acts have created, and continue to create, economic and political uncertainties and have contributed to global economic instability. Further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businesses may be adversely affected by litigation and regulatory proceedings.</w:t>
      </w:r>
    </w:p>
    <w:p>
      <w:pPr>
        <w:spacing w:after="0" w:line="117" w:lineRule="exact"/>
        <w:rPr>
          <w:sz w:val="20"/>
          <w:szCs w:val="20"/>
          <w:color w:val="auto"/>
        </w:rPr>
      </w:pPr>
    </w:p>
    <w:p>
      <w:pPr>
        <w:ind w:right="20" w:firstLine="374"/>
        <w:spacing w:after="0" w:line="289" w:lineRule="auto"/>
        <w:rPr>
          <w:sz w:val="20"/>
          <w:szCs w:val="20"/>
          <w:color w:val="auto"/>
        </w:rPr>
      </w:pPr>
      <w:r>
        <w:rPr>
          <w:rFonts w:ascii="Arial" w:cs="Arial" w:eastAsia="Arial" w:hAnsi="Arial"/>
          <w:sz w:val="16"/>
          <w:szCs w:val="16"/>
          <w:color w:val="231F20"/>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In connection with acquisitions of, and investments in, businesses complementary to our business, we have been and may be in the future subject to securities litigation or shareholder activism in connection with such acquisitions or investments. Securities litigation and shareholder activism, including potential proxy contests, could result in substantial costs and divert management’s and our board of directors’ attention and resources from our business.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2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1B.</w:t>
      </w:r>
      <w:r>
        <w:rPr>
          <w:sz w:val="20"/>
          <w:szCs w:val="20"/>
          <w:color w:val="auto"/>
        </w:rPr>
        <w:tab/>
      </w:r>
      <w:r>
        <w:rPr>
          <w:rFonts w:ascii="Arial" w:cs="Arial" w:eastAsia="Arial" w:hAnsi="Arial"/>
          <w:sz w:val="15"/>
          <w:szCs w:val="15"/>
          <w:b w:val="1"/>
          <w:bCs w:val="1"/>
          <w:i w:val="1"/>
          <w:iCs w:val="1"/>
          <w:color w:val="231F20"/>
        </w:rPr>
        <w:t>Unresolved Staff Comments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5"/>
          <w:szCs w:val="15"/>
          <w:b w:val="1"/>
          <w:bCs w:val="1"/>
          <w:i w:val="1"/>
          <w:iCs w:val="1"/>
          <w:color w:val="231F20"/>
        </w:rPr>
        <w:t>Properties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 do not own any real estate or other real property.</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3.</w:t>
      </w:r>
      <w:r>
        <w:rPr>
          <w:sz w:val="20"/>
          <w:szCs w:val="20"/>
          <w:color w:val="auto"/>
        </w:rPr>
        <w:tab/>
      </w:r>
      <w:r>
        <w:rPr>
          <w:rFonts w:ascii="Arial" w:cs="Arial" w:eastAsia="Arial" w:hAnsi="Arial"/>
          <w:sz w:val="15"/>
          <w:szCs w:val="15"/>
          <w:b w:val="1"/>
          <w:bCs w:val="1"/>
          <w:i w:val="1"/>
          <w:iCs w:val="1"/>
          <w:color w:val="231F20"/>
        </w:rPr>
        <w:t>Legal Proceedings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Company is not currently a party to any material legal proceedings except as set forth below.</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On September 22, 2020, putative GARS stockholder Kenneth Bachmeier filed a complaint on behalf of himself and all others similarly situated in the Delaware Court of Chancery, captioned Bachmeier v. Tansey, et al., No. 2020-0812-SG (Del. Ch.). On September 23, 2020, (i) putative GARS stockholder Ricardo Rodriguez filed a complaint in the United States District Court for the Eastern District of New York, captioned Rodriguez v. Garrison Capital Inc., et al., No. 1:20-cv-04512 (E.D.N.Y.) and (ii) putative GARS stockholder Steve Schnipper Individual 401(k) filed a complaint in the United States District Court for the Southern District of New York, captioned Steve Schnipper Individual 401(k) Cust v. Garrison Capital Inc., et al., No. 1:20-cv-07838 (S.D.N.Y.). On September 24, 2020, putative GARS stockholder Edward Smith filed a complaint on behalf of himself and all others similarly situated in the United States District Court for the District of Delaware, captioned Smith v. Garrison Capital Inc., et al., No. 1:20-cv-01290 (D. Del.). On September 25, 2020, putative GARS stockholder Jerome Williams filed a complaint in the United States District Court for the Southern District of New York, captioned Williams v. Garrison Capital, Inc., et al., No. 1:20-cv-07955 (S.D.N.Y.). On September 29, 2020, putative GARS stockholder Stephen Bushansky filed a complaint in, the United States District Court for the Southern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spacing w:after="0" w:line="285" w:lineRule="auto"/>
        <w:rPr>
          <w:sz w:val="20"/>
          <w:szCs w:val="20"/>
          <w:color w:val="auto"/>
        </w:rPr>
      </w:pPr>
      <w:r>
        <w:rPr>
          <w:rFonts w:ascii="Arial" w:cs="Arial" w:eastAsia="Arial" w:hAnsi="Arial"/>
          <w:sz w:val="16"/>
          <w:szCs w:val="16"/>
          <w:color w:val="auto"/>
        </w:rPr>
        <w:t>District of New York, captioned Bushansky v. Garrison Capital Inc., et al., No. 1:20-cv-08055 (S.D.N.Y.). These lawsuits are collectively referred to as the “Merger Litigation”. The Merger Litigation alleges breach of fiduciary duty claims against the board of directors of GARS and/or violations of sections 14(a) and 20(a) of the Exchange Act against GARS and/or the board of directors of GARS and, with respect to one lawsuit (</w:t>
      </w:r>
      <w:r>
        <w:rPr>
          <w:rFonts w:ascii="Arial" w:cs="Arial" w:eastAsia="Arial" w:hAnsi="Arial"/>
          <w:sz w:val="16"/>
          <w:szCs w:val="16"/>
          <w:i w:val="1"/>
          <w:iCs w:val="1"/>
          <w:color w:val="auto"/>
        </w:rPr>
        <w:t>Smith</w:t>
      </w:r>
      <w:r>
        <w:rPr>
          <w:rFonts w:ascii="Arial" w:cs="Arial" w:eastAsia="Arial" w:hAnsi="Arial"/>
          <w:sz w:val="16"/>
          <w:szCs w:val="16"/>
          <w:color w:val="auto"/>
        </w:rPr>
        <w:t>), us and our wholly owned merger subsidiary, in connection with the solicitation of stockholder approval of the GARS Acquisition. The claims against us were made as a purported “control person” of GARS under Section 20(a) of the Exchange Act. The Merger Litigation alleges, among other things, that the proxy statement GARS issued seeking approval of the GARS Acquisition omitted certain information that the plaintiffs claim is material. The plaintiffs in the Merger Litigation sought to enjoin the merger or, in the alternative, an award of recessionary damages, as well as costs and fees. We and the other defendants believe that the claims in the Merger Litigations are wholly without merit, that GARS had previously disclosed all information required to be disclosed to ensure that its stockholders could make an informed vote at its special meeting, and that the additional disclosures requested by the plaintiffs were immaterial. As reported more fully in a Form 8-K dated October 2, 2020, in an attempt to reduce the costs, risks and uncertainties inherent in litigation and to maximize GARS’ net asset value at the time of the merger, a supplemental set of disclosures was also issued. On November 4, 2020, the lawsuit brought against us (</w:t>
      </w:r>
      <w:r>
        <w:rPr>
          <w:rFonts w:ascii="Arial" w:cs="Arial" w:eastAsia="Arial" w:hAnsi="Arial"/>
          <w:sz w:val="16"/>
          <w:szCs w:val="16"/>
          <w:i w:val="1"/>
          <w:iCs w:val="1"/>
          <w:color w:val="auto"/>
        </w:rPr>
        <w:t>Smith</w:t>
      </w:r>
      <w:r>
        <w:rPr>
          <w:rFonts w:ascii="Arial" w:cs="Arial" w:eastAsia="Arial" w:hAnsi="Arial"/>
          <w:sz w:val="16"/>
          <w:szCs w:val="16"/>
          <w:color w:val="auto"/>
        </w:rPr>
        <w:t xml:space="preserve">) was voluntarily dismissed by the applicable plaintiffs. On November 6, 2020, the </w:t>
      </w:r>
      <w:r>
        <w:rPr>
          <w:rFonts w:ascii="Arial" w:cs="Arial" w:eastAsia="Arial" w:hAnsi="Arial"/>
          <w:sz w:val="16"/>
          <w:szCs w:val="16"/>
          <w:i w:val="1"/>
          <w:iCs w:val="1"/>
          <w:color w:val="auto"/>
        </w:rPr>
        <w:t>Bachmeier</w:t>
      </w:r>
      <w:r>
        <w:rPr>
          <w:rFonts w:ascii="Arial" w:cs="Arial" w:eastAsia="Arial" w:hAnsi="Arial"/>
          <w:sz w:val="16"/>
          <w:szCs w:val="16"/>
          <w:color w:val="auto"/>
        </w:rPr>
        <w:t xml:space="preserve"> lawsuit was voluntarily dismissed by the applicable plaintiffs, with the court retaining jurisdiction solely for the purpose of adjudicating an anticipated application for attorneys’ fees and expenses by the plaintiff’s counsel. Also on November 6, 2020, the </w:t>
      </w:r>
      <w:r>
        <w:rPr>
          <w:rFonts w:ascii="Arial" w:cs="Arial" w:eastAsia="Arial" w:hAnsi="Arial"/>
          <w:sz w:val="16"/>
          <w:szCs w:val="16"/>
          <w:i w:val="1"/>
          <w:iCs w:val="1"/>
          <w:color w:val="auto"/>
        </w:rPr>
        <w:t>Williams</w:t>
      </w:r>
      <w:r>
        <w:rPr>
          <w:rFonts w:ascii="Arial" w:cs="Arial" w:eastAsia="Arial" w:hAnsi="Arial"/>
          <w:sz w:val="16"/>
          <w:szCs w:val="16"/>
          <w:color w:val="auto"/>
        </w:rPr>
        <w:t xml:space="preserve"> lawsuit was voluntarily dismissed by the applicable plaintiffs. On November 24, 2020, the </w:t>
      </w:r>
      <w:r>
        <w:rPr>
          <w:rFonts w:ascii="Arial" w:cs="Arial" w:eastAsia="Arial" w:hAnsi="Arial"/>
          <w:sz w:val="16"/>
          <w:szCs w:val="16"/>
          <w:i w:val="1"/>
          <w:iCs w:val="1"/>
          <w:color w:val="auto"/>
        </w:rPr>
        <w:t>Rodriguez</w:t>
      </w:r>
      <w:r>
        <w:rPr>
          <w:rFonts w:ascii="Arial" w:cs="Arial" w:eastAsia="Arial" w:hAnsi="Arial"/>
          <w:sz w:val="16"/>
          <w:szCs w:val="16"/>
          <w:color w:val="auto"/>
        </w:rPr>
        <w:t xml:space="preserve"> lawsuit was voluntarily dismissed by the applicable plaintiffs. On November 30, 2020, the </w:t>
      </w:r>
      <w:r>
        <w:rPr>
          <w:rFonts w:ascii="Arial" w:cs="Arial" w:eastAsia="Arial" w:hAnsi="Arial"/>
          <w:sz w:val="16"/>
          <w:szCs w:val="16"/>
          <w:i w:val="1"/>
          <w:iCs w:val="1"/>
          <w:color w:val="auto"/>
        </w:rPr>
        <w:t>Bushansky</w:t>
      </w:r>
      <w:r>
        <w:rPr>
          <w:rFonts w:ascii="Arial" w:cs="Arial" w:eastAsia="Arial" w:hAnsi="Arial"/>
          <w:sz w:val="16"/>
          <w:szCs w:val="16"/>
          <w:color w:val="auto"/>
        </w:rPr>
        <w:t xml:space="preserve"> lawsuit was voluntarily dismissed by the applicable plaintiffs. On December 24, 2020, the </w:t>
      </w:r>
      <w:r>
        <w:rPr>
          <w:rFonts w:ascii="Arial" w:cs="Arial" w:eastAsia="Arial" w:hAnsi="Arial"/>
          <w:sz w:val="16"/>
          <w:szCs w:val="16"/>
          <w:i w:val="1"/>
          <w:iCs w:val="1"/>
          <w:color w:val="auto"/>
        </w:rPr>
        <w:t>Steve Schnipper</w:t>
      </w:r>
      <w:r>
        <w:rPr>
          <w:rFonts w:ascii="Arial" w:cs="Arial" w:eastAsia="Arial" w:hAnsi="Arial"/>
          <w:sz w:val="16"/>
          <w:szCs w:val="16"/>
          <w:color w:val="auto"/>
        </w:rPr>
        <w:t xml:space="preserve"> lawsuit was voluntarily dismissed by the applicable plaintiffs. On January 4, 2021, the parties to the </w:t>
      </w:r>
      <w:r>
        <w:rPr>
          <w:rFonts w:ascii="Arial" w:cs="Arial" w:eastAsia="Arial" w:hAnsi="Arial"/>
          <w:sz w:val="16"/>
          <w:szCs w:val="16"/>
          <w:i w:val="1"/>
          <w:iCs w:val="1"/>
          <w:color w:val="auto"/>
        </w:rPr>
        <w:t>Bachmeier</w:t>
      </w:r>
      <w:r>
        <w:rPr>
          <w:rFonts w:ascii="Arial" w:cs="Arial" w:eastAsia="Arial" w:hAnsi="Arial"/>
          <w:sz w:val="16"/>
          <w:szCs w:val="16"/>
          <w:color w:val="auto"/>
        </w:rPr>
        <w:t xml:space="preserve"> action informed the court that, while denying any and all liability, GARS had agreed to pay a settlement amount to the plaintiff’s counsel for attorneys’ fees and expenses, and on January 21, 2021, the </w:t>
      </w:r>
      <w:r>
        <w:rPr>
          <w:rFonts w:ascii="Arial" w:cs="Arial" w:eastAsia="Arial" w:hAnsi="Arial"/>
          <w:sz w:val="16"/>
          <w:szCs w:val="16"/>
          <w:i w:val="1"/>
          <w:iCs w:val="1"/>
          <w:color w:val="auto"/>
        </w:rPr>
        <w:t>Bachmeier</w:t>
      </w:r>
      <w:r>
        <w:rPr>
          <w:rFonts w:ascii="Arial" w:cs="Arial" w:eastAsia="Arial" w:hAnsi="Arial"/>
          <w:sz w:val="16"/>
          <w:szCs w:val="16"/>
          <w:color w:val="auto"/>
        </w:rPr>
        <w:t xml:space="preserve"> case was closed as a result. The amount of the settlement payment was not material to the financial position or results of operations of the Company.</w:t>
      </w:r>
    </w:p>
    <w:p>
      <w:pPr>
        <w:spacing w:after="0" w:line="20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231F20"/>
        </w:rPr>
        <w:t>Item 4.</w:t>
      </w:r>
      <w:r>
        <w:rPr>
          <w:sz w:val="20"/>
          <w:szCs w:val="20"/>
          <w:color w:val="auto"/>
        </w:rPr>
        <w:tab/>
      </w:r>
      <w:r>
        <w:rPr>
          <w:rFonts w:ascii="Arial" w:cs="Arial" w:eastAsia="Arial" w:hAnsi="Arial"/>
          <w:sz w:val="15"/>
          <w:szCs w:val="15"/>
          <w:b w:val="1"/>
          <w:bCs w:val="1"/>
          <w:i w:val="1"/>
          <w:iCs w:val="1"/>
          <w:color w:val="231F20"/>
        </w:rPr>
        <w:t>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6" w:name="page47"/>
    <w:bookmarkEnd w:id="46"/>
    <w:p>
      <w:pPr>
        <w:spacing w:after="0"/>
        <w:tabs>
          <w:tab w:leader="none" w:pos="1000" w:val="left"/>
        </w:tabs>
        <w:rPr>
          <w:sz w:val="20"/>
          <w:szCs w:val="20"/>
          <w:color w:val="auto"/>
        </w:rPr>
      </w:pPr>
      <w:r>
        <w:rPr>
          <w:rFonts w:ascii="Arial" w:cs="Arial" w:eastAsia="Arial" w:hAnsi="Arial"/>
          <w:sz w:val="18"/>
          <w:szCs w:val="18"/>
          <w:b w:val="1"/>
          <w:bCs w:val="1"/>
          <w:color w:val="231F20"/>
        </w:rPr>
        <w:t>Item 5.</w:t>
      </w:r>
      <w:r>
        <w:rPr>
          <w:sz w:val="20"/>
          <w:szCs w:val="20"/>
          <w:color w:val="auto"/>
        </w:rPr>
        <w:tab/>
      </w:r>
      <w:r>
        <w:rPr>
          <w:rFonts w:ascii="Arial" w:cs="Arial" w:eastAsia="Arial" w:hAnsi="Arial"/>
          <w:sz w:val="15"/>
          <w:szCs w:val="15"/>
          <w:b w:val="1"/>
          <w:bCs w:val="1"/>
          <w:i w:val="1"/>
          <w:iCs w:val="1"/>
          <w:color w:val="231F20"/>
        </w:rPr>
        <w:t>Market for Registrant’s Common Equity, Related Stockholder Matters and Issuer Purchases of Equity Securities</w:t>
      </w:r>
    </w:p>
    <w:p>
      <w:pPr>
        <w:spacing w:after="0" w:line="121" w:lineRule="exact"/>
        <w:rPr>
          <w:sz w:val="20"/>
          <w:szCs w:val="20"/>
          <w:color w:val="auto"/>
        </w:rPr>
      </w:pPr>
    </w:p>
    <w:p>
      <w:pPr>
        <w:ind w:right="360" w:firstLine="374"/>
        <w:spacing w:after="0" w:line="342" w:lineRule="auto"/>
        <w:rPr>
          <w:sz w:val="20"/>
          <w:szCs w:val="20"/>
          <w:color w:val="auto"/>
        </w:rPr>
      </w:pPr>
      <w:r>
        <w:rPr>
          <w:rFonts w:ascii="Arial" w:cs="Arial" w:eastAsia="Arial" w:hAnsi="Arial"/>
          <w:sz w:val="16"/>
          <w:szCs w:val="16"/>
          <w:color w:val="231F20"/>
        </w:rPr>
        <w:t>Our common stock is quoted on The NASDAQ Global Select Market under the symbol “PTMN.” We completed our initial public offering on December 11, 2006 at an initial public offering (“IPO”) price of $15.00 per share. Prior to such date there was no public market for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HOLDERS</w:t>
      </w:r>
    </w:p>
    <w:p>
      <w:pPr>
        <w:spacing w:after="0" w:line="121"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231F20"/>
        </w:rPr>
        <w:t>As of March 5, 2021, there were approximately 59 holders of record of our common stock. This number does not include shareholders for whom shares are held in “nominee” or “street name.”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 POLICY</w:t>
      </w:r>
    </w:p>
    <w:p>
      <w:pPr>
        <w:spacing w:after="0" w:line="121"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231F20"/>
        </w:rPr>
        <w:t>We intend to continue to make quarterly distributions to our stockholders. Our quarterly distributions, if any, will be determined by our Board. To maintain our RIC status, we must timely distribute an amount equal to at least 90% of our tax basis ordinary income and realized net short-term capital gains in excess of realized net long-term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and on which we paid no corporate tax.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60" w:lineRule="exact"/>
        <w:rPr>
          <w:sz w:val="20"/>
          <w:szCs w:val="20"/>
          <w:color w:val="auto"/>
        </w:rPr>
      </w:pPr>
    </w:p>
    <w:p>
      <w:pPr>
        <w:jc w:val="both"/>
        <w:ind w:right="700" w:firstLine="374"/>
        <w:spacing w:after="0" w:line="286" w:lineRule="auto"/>
        <w:rPr>
          <w:sz w:val="20"/>
          <w:szCs w:val="20"/>
          <w:color w:val="auto"/>
        </w:rPr>
      </w:pPr>
      <w:r>
        <w:rPr>
          <w:rFonts w:ascii="Arial" w:cs="Arial" w:eastAsia="Arial" w:hAnsi="Arial"/>
          <w:sz w:val="17"/>
          <w:szCs w:val="17"/>
          <w:color w:val="231F20"/>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57"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231F20"/>
        </w:rPr>
        <w:t>We maintain an “opt out” dividend reinvestment plan for our common stockholders. As a result, if we declare distributions, then stockholders’ cash distributions will be automatically reinvested in additional shares of our common stock, unless they specifically “opt out” of the dividend reinvestment plan so as to receive cash.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231F20"/>
        </w:rPr>
        <w:t>Performance Graph</w:t>
      </w:r>
    </w:p>
    <w:p>
      <w:pPr>
        <w:spacing w:after="0" w:line="121"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231F20"/>
        </w:rPr>
        <w:t xml:space="preserve">The following graph compares the return on our common stock with that of the Russell 2000 Index and the Nasdaq Financial 100 Index (IXF), for the period December 11, 2006 (the date of our initial public offering) to </w:t>
      </w:r>
      <w:r>
        <w:rPr>
          <w:rFonts w:ascii="Arial" w:cs="Arial" w:eastAsia="Arial" w:hAnsi="Arial"/>
          <w:sz w:val="18"/>
          <w:szCs w:val="18"/>
          <w:color w:val="000000"/>
        </w:rPr>
        <w:t>December 31, 2020</w:t>
      </w:r>
      <w:r>
        <w:rPr>
          <w:rFonts w:ascii="Arial" w:cs="Arial" w:eastAsia="Arial" w:hAnsi="Arial"/>
          <w:sz w:val="18"/>
          <w:szCs w:val="18"/>
          <w:color w:val="231F20"/>
        </w:rPr>
        <w:t>.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Shareholder Return Performance Graph Cumulative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Total Return Since Initial Public Offering</w:t>
      </w:r>
      <w:r>
        <w:rPr>
          <w:rFonts w:ascii="Arial" w:cs="Arial" w:eastAsia="Arial" w:hAnsi="Arial"/>
          <w:sz w:val="11"/>
          <w:szCs w:val="11"/>
          <w:b w:val="1"/>
          <w:bCs w:val="1"/>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652260" cy="2734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5226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right="60" w:hanging="372"/>
        <w:spacing w:after="0" w:line="263" w:lineRule="auto"/>
        <w:tabs>
          <w:tab w:leader="none" w:pos="38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 xml:space="preserve">Total return includes reinvestment of distributions through </w:t>
      </w:r>
      <w:r>
        <w:rPr>
          <w:rFonts w:ascii="Arial" w:cs="Arial" w:eastAsia="Arial" w:hAnsi="Arial"/>
          <w:sz w:val="18"/>
          <w:szCs w:val="18"/>
          <w:color w:val="000000"/>
        </w:rPr>
        <w:t>December 31, 2020</w:t>
      </w:r>
      <w:r>
        <w:rPr>
          <w:rFonts w:ascii="Arial" w:cs="Arial" w:eastAsia="Arial" w:hAnsi="Arial"/>
          <w:sz w:val="18"/>
          <w:szCs w:val="18"/>
          <w:color w:val="231F20"/>
        </w:rPr>
        <w:t>. The IXF is an index of diversified financial sector stocks and, as such, the Company believes that it is representative of our industry. The Russell 2000 is a broad-based equity market index that tracks companies with a market capitalization that the Company believes are comparable to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ISSUER PURCHASES OF EQUITY SECURITIES</w:t>
      </w:r>
    </w:p>
    <w:p>
      <w:pPr>
        <w:spacing w:after="0" w:line="121"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 xml:space="preserve">Pursuant to the merger agreement entered into with OHAI, if at any time within one year after the closing date of the transaction the Company’s common stock is trading at a price below 75% of its net asset value, we will initiate an open-market stock repurchase program of up to $10 million to support the trading price of the combined entity for up to one year from the date such program is announced. In accordance with the merger agreement, </w:t>
      </w:r>
      <w:r>
        <w:rPr>
          <w:rFonts w:ascii="Arial" w:cs="Arial" w:eastAsia="Arial" w:hAnsi="Arial"/>
          <w:sz w:val="17"/>
          <w:szCs w:val="17"/>
          <w:color w:val="231F20"/>
        </w:rPr>
        <w:t>on</w:t>
      </w:r>
      <w:r>
        <w:rPr>
          <w:rFonts w:ascii="Arial" w:cs="Arial" w:eastAsia="Arial" w:hAnsi="Arial"/>
          <w:sz w:val="17"/>
          <w:szCs w:val="17"/>
          <w:color w:val="auto"/>
        </w:rPr>
        <w:t xml:space="preserve"> </w:t>
      </w:r>
      <w:r>
        <w:rPr>
          <w:rFonts w:ascii="Arial" w:cs="Arial" w:eastAsia="Arial" w:hAnsi="Arial"/>
          <w:sz w:val="17"/>
          <w:szCs w:val="17"/>
          <w:color w:val="231F20"/>
        </w:rPr>
        <w:t xml:space="preserve">March 5, 2020 our board of directors authorized a stock repurchase program of up to $10 million (the “Stock Repurchase Program”) effective March 6, 2020 and terminating on March 5, 2021. Under the Stock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w:t>
      </w:r>
      <w:r>
        <w:rPr>
          <w:rFonts w:ascii="Arial" w:cs="Arial" w:eastAsia="Arial" w:hAnsi="Arial"/>
          <w:sz w:val="17"/>
          <w:szCs w:val="17"/>
          <w:color w:val="000000"/>
        </w:rPr>
        <w:t>On March 11, 2021, our board of directors authorized a renewed stock repurchase program of up to $10 million (the</w:t>
      </w:r>
      <w:r>
        <w:rPr>
          <w:rFonts w:ascii="Arial" w:cs="Arial" w:eastAsia="Arial" w:hAnsi="Arial"/>
          <w:sz w:val="17"/>
          <w:szCs w:val="17"/>
          <w:color w:val="231F20"/>
        </w:rPr>
        <w:t xml:space="preserve"> </w:t>
      </w:r>
      <w:r>
        <w:rPr>
          <w:rFonts w:ascii="Arial" w:cs="Arial" w:eastAsia="Arial" w:hAnsi="Arial"/>
          <w:sz w:val="17"/>
          <w:szCs w:val="17"/>
          <w:color w:val="000000"/>
        </w:rPr>
        <w:t>"Renewed Stock Repurchase Program") for an approximately one-year period, effective March 11, 2021 and terminating on March 31, 2022. The terms and conditions of the Renewed Stock Repurchase Program are substantially similar to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prior Stock Repurchase Program. </w:t>
      </w:r>
      <w:r>
        <w:rPr>
          <w:rFonts w:ascii="Arial" w:cs="Arial" w:eastAsia="Arial" w:hAnsi="Arial"/>
          <w:sz w:val="18"/>
          <w:szCs w:val="18"/>
          <w:color w:val="231F20"/>
        </w:rPr>
        <w:t>The Renewed Stock Repurchase Program may be suspended or discontinued at any time.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information regarding repurchases of shares of our common stock during the year ended December 31,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Average Price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80" w:type="dxa"/>
            <w:vAlign w:val="bottom"/>
          </w:tcPr>
          <w:p>
            <w:pPr>
              <w:spacing w:after="0"/>
              <w:rPr>
                <w:sz w:val="12"/>
                <w:szCs w:val="12"/>
                <w:color w:val="auto"/>
              </w:rPr>
            </w:pPr>
          </w:p>
        </w:tc>
        <w:tc>
          <w:tcPr>
            <w:tcW w:w="2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 the Program (Dollars in</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per Share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Thousands) (a)</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1-March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April 1-June 30,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July 1-September 30,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358,959</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October 1-December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December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20" w:hanging="368"/>
        <w:spacing w:after="0" w:line="301"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On March 5, 2020, the Board of Directors of the Company approved the $10 million Stock Repurchase Program </w:t>
      </w:r>
      <w:r>
        <w:rPr>
          <w:rFonts w:ascii="Arial" w:cs="Arial" w:eastAsia="Arial" w:hAnsi="Arial"/>
          <w:sz w:val="16"/>
          <w:szCs w:val="16"/>
          <w:color w:val="231F20"/>
        </w:rPr>
        <w:t>effective March 6, 2020 and</w:t>
      </w:r>
      <w:r>
        <w:rPr>
          <w:rFonts w:ascii="Arial" w:cs="Arial" w:eastAsia="Arial" w:hAnsi="Arial"/>
          <w:sz w:val="16"/>
          <w:szCs w:val="16"/>
          <w:color w:val="auto"/>
        </w:rPr>
        <w:t xml:space="preserve"> </w:t>
      </w:r>
      <w:r>
        <w:rPr>
          <w:rFonts w:ascii="Arial" w:cs="Arial" w:eastAsia="Arial" w:hAnsi="Arial"/>
          <w:sz w:val="16"/>
          <w:szCs w:val="16"/>
          <w:color w:val="231F20"/>
        </w:rPr>
        <w:t>terminating on March 5, 2021</w:t>
      </w:r>
      <w:r>
        <w:rPr>
          <w:rFonts w:ascii="Arial" w:cs="Arial" w:eastAsia="Arial" w:hAnsi="Arial"/>
          <w:sz w:val="16"/>
          <w:szCs w:val="16"/>
          <w:color w:val="000000"/>
        </w:rPr>
        <w:t>.On March 11, 2021, our board of directors authorized the Renewed Stock Repurchase Program, effective March</w:t>
      </w:r>
      <w:r>
        <w:rPr>
          <w:rFonts w:ascii="Arial" w:cs="Arial" w:eastAsia="Arial" w:hAnsi="Arial"/>
          <w:sz w:val="16"/>
          <w:szCs w:val="16"/>
          <w:color w:val="231F20"/>
        </w:rPr>
        <w:t xml:space="preserve"> </w:t>
      </w:r>
      <w:r>
        <w:rPr>
          <w:rFonts w:ascii="Arial" w:cs="Arial" w:eastAsia="Arial" w:hAnsi="Arial"/>
          <w:sz w:val="16"/>
          <w:szCs w:val="16"/>
          <w:color w:val="000000"/>
        </w:rPr>
        <w:t>11, 2021 and terminating on March 31, 2022. The Renewed Stock Repurchase Program may be suspended or discontinued at any time. Subject to these restrictions, we will selectively pursue opportunities to repurchase shares which are accretive to net asset value per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OF UNREGISTERED SECURITIES</w:t>
      </w:r>
    </w:p>
    <w:p>
      <w:pPr>
        <w:spacing w:after="0" w:line="121"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231F20"/>
        </w:rPr>
        <w:t>During the fiscal year ended December 31, 2020, we issued 98,609 shares of common stock pursuant to a dividend reinvestment plan. This issuance was not subject to the registration requirements of the Securities Act. See Note 10 “Stockholders’ Equity,” of our Notes to the Consolidated Financial Statements included herein.</w:t>
      </w:r>
    </w:p>
    <w:p>
      <w:pPr>
        <w:spacing w:after="0" w:line="76"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On December 1, 2020, the Company entered into a securities purchase agreement (the “Purchase Agreement”) with an affiliate of LibreMax and an affiliate of the Adviser for the sale of 204,708 shares of the Company’s common stock. The Company received proceeds in cash of approximately $572 thousand from the sale and the transaction closed on December 16, 2020. The issuance of common stock under the Purchase Agreement was exempt from registration under the Securities Act pursuant to Section 4(a)(2) thereof and Regulation D thereunder. The Company relied, in part, upon representations by the purchasers in the respective Purchase Agreement that such purchasers were accredited investors as defined in Regulation D under the Securities Act.</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6.</w:t>
      </w:r>
      <w:r>
        <w:rPr>
          <w:sz w:val="20"/>
          <w:szCs w:val="20"/>
          <w:color w:val="auto"/>
        </w:rPr>
        <w:tab/>
      </w:r>
      <w:r>
        <w:rPr>
          <w:rFonts w:ascii="Arial" w:cs="Arial" w:eastAsia="Arial" w:hAnsi="Arial"/>
          <w:sz w:val="16"/>
          <w:szCs w:val="16"/>
          <w:b w:val="1"/>
          <w:bCs w:val="1"/>
          <w:i w:val="1"/>
          <w:iCs w:val="1"/>
          <w:color w:val="231F20"/>
        </w:rPr>
        <w:t>Selected Financial Data</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231F20"/>
        </w:rPr>
        <w:t>This item is no longer required as we have elected to early adopt the changes to Item 301 of Regulation S-K contained in SEC Release No. 33-10890.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9" w:name="page50"/>
    <w:bookmarkEnd w:id="49"/>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340" w:firstLine="374"/>
        <w:spacing w:after="0" w:line="296" w:lineRule="auto"/>
        <w:rPr>
          <w:sz w:val="20"/>
          <w:szCs w:val="20"/>
          <w:color w:val="auto"/>
        </w:rPr>
      </w:pPr>
      <w:r>
        <w:rPr>
          <w:rFonts w:ascii="Arial" w:cs="Arial" w:eastAsia="Arial" w:hAnsi="Arial"/>
          <w:sz w:val="16"/>
          <w:szCs w:val="16"/>
          <w:i w:val="1"/>
          <w:iCs w:val="1"/>
          <w:color w:val="auto"/>
        </w:rPr>
        <w:t>The following discussion should be read in conjunction with our financial statements and related notes and other financial information appearing elsewhere in this annual report.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“Item 1A. Risk Factors” and “Note About Forward-Looking Statements” appearing elsewhere in this annual report. Except as otherwise indicated, the terms “we,” “us,” “our” and the “Company” refer to Portman Ridge Finance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Since April 1, 2019, we have been an externally managed, non-diversified closed-end investment company that has elected to be regulated as a BDC under the 1940 Act. The Adviser is an affiliate of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3"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8"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8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The CLO Funds typically invest in broadly syndicated loans, high-yield bonds and other credit instruments. The majority of our investments in CLO Fund Securities are anticipated to provide us with recurring cash distributions.</w:t>
      </w:r>
    </w:p>
    <w:p>
      <w:pPr>
        <w:spacing w:after="0" w:line="79" w:lineRule="exact"/>
        <w:rPr>
          <w:sz w:val="20"/>
          <w:szCs w:val="20"/>
          <w:color w:val="auto"/>
        </w:rPr>
      </w:pPr>
    </w:p>
    <w:p>
      <w:pPr>
        <w:ind w:right="200" w:firstLine="374"/>
        <w:spacing w:after="0" w:line="257" w:lineRule="auto"/>
        <w:rPr>
          <w:sz w:val="20"/>
          <w:szCs w:val="20"/>
          <w:color w:val="auto"/>
        </w:rPr>
      </w:pPr>
      <w:r>
        <w:rPr>
          <w:rFonts w:ascii="Arial" w:cs="Arial" w:eastAsia="Arial" w:hAnsi="Arial"/>
          <w:sz w:val="18"/>
          <w:szCs w:val="18"/>
          <w:color w:val="auto"/>
        </w:rPr>
        <w:t>Subject to market conditions, we intend to grow our portfolio of assets by raising additional capital, including through the prudent use of leverage available to us. As a BDC, we are limited in the amount of leverage we can incur under the 1940 Act. We are allowed to borrow amounts such that our asset coverage, as defined in the 1940 Act, equals at least 150% after such borrowing. In December 2019, our wholly owned subsidiary entered into a Revolving Credit Facility (see “- Financial Condition, Liquidity, and Capital Resources – Borrowings – Great Lakes Portman Ridge Funding LLC.”) See Note 7 - “Borrowings” to our consolidated financial statements.</w:t>
      </w:r>
    </w:p>
    <w:p>
      <w:pPr>
        <w:spacing w:after="0" w:line="80"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80"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During the fourth quarter of 2020, LibreMax sold its minority stake in the Adviser to a wholly-owned subsidiary of Mount Logan. An affiliate of BC Partners serves as administrator to Mount Logan.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w:t>
      </w:r>
    </w:p>
    <w:p>
      <w:pPr>
        <w:spacing w:after="0" w:line="121" w:lineRule="exact"/>
        <w:rPr>
          <w:sz w:val="20"/>
          <w:szCs w:val="20"/>
          <w:color w:val="auto"/>
        </w:rPr>
      </w:pPr>
    </w:p>
    <w:p>
      <w:pPr>
        <w:ind w:right="80" w:firstLine="374"/>
        <w:spacing w:after="0" w:line="279" w:lineRule="auto"/>
        <w:rPr>
          <w:sz w:val="20"/>
          <w:szCs w:val="20"/>
          <w:color w:val="auto"/>
        </w:rPr>
      </w:pPr>
      <w:r>
        <w:rPr>
          <w:rFonts w:ascii="Arial" w:cs="Arial" w:eastAsia="Arial" w:hAnsi="Arial"/>
          <w:sz w:val="17"/>
          <w:szCs w:val="17"/>
          <w:color w:val="auto"/>
        </w:rPr>
        <w:t>On December 14, 2018, we entered into the Externalization Agreement with BCP, an affiliate of BC Partners, through which the Adviser agreed to become our investment adviser, subject to our stockholders’ approval of the Advisory Agreement between us and the Adviser. At a special meeting of our stockholders held on February 19, 2019, our stockholders approved the Advisory Agreement. The Externalization closed on April 1, 2019 (the “Closing”), and the Company commenced operations as an externally managed BDC managed by the Adviser.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0" w:name="page51"/>
    <w:bookmarkEnd w:id="50"/>
    <w:p>
      <w:pPr>
        <w:ind w:right="40" w:firstLine="374"/>
        <w:spacing w:after="0" w:line="291" w:lineRule="auto"/>
        <w:rPr>
          <w:sz w:val="20"/>
          <w:szCs w:val="20"/>
          <w:color w:val="auto"/>
        </w:rPr>
      </w:pPr>
      <w:r>
        <w:rPr>
          <w:rFonts w:ascii="Arial" w:cs="Arial" w:eastAsia="Arial" w:hAnsi="Arial"/>
          <w:sz w:val="16"/>
          <w:szCs w:val="16"/>
          <w:color w:val="auto"/>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our common stock for such one-year period to be at least equal to $0.40 per share, subject to certain adjustments.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 As a result of the merger, we issued an aggregate of 7,439,559 shares of our common stock to former OHAI stockholders (approximately 16.6% of the Company’s outstanding shares at December 31, 2019).</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Pursuant to the merger agreement, if at any time within one year after the closing date of the transaction our common stock is trading at a price below</w:t>
      </w:r>
    </w:p>
    <w:p>
      <w:pPr>
        <w:spacing w:after="0" w:line="46"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75% of its net asset value, we will initiate an open-market stock repurchase of up to $10 million to support the trading price of the combined entity for up to one year from the date such program is announced. Our board approved a repurchase program on March 5, 2020. See “Item 5. Market for Registrant’s Common Equity, Related Stockholder Matters and Issuer Purchases of Equity Securities – Issuer Purchases of Equity Securities.”</w:t>
      </w:r>
    </w:p>
    <w:p>
      <w:pPr>
        <w:spacing w:after="0" w:line="65"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the Adviser was allocated to the OHAI investments acquired, based on their relative fair values as of the date of acquisition. Immediately following the acquisition of OHAI, we recorded OHAI’s net assets at their respective fair values and, as a result, the purchase discount was allocated to the cost basis of the OHAI investments acquired and was immediately recognized as unrealized gain on our Consolidated Statement of Operations. The purchase discount was allocated to the acquired investments on a relative fair value basis and, for debt securities, will generally amortize over the life of the investments through interest income with a corresponding reversal of the unrealized appreciation on the OHAI investments acquired through their maturity. Upon the sale of any of the OHAI acquired investments, we will recognize a realized gain or a reduction in realized losses with a corresponding reversal of the unrealized losses.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the market price at closing of $2.09 as of December 18, 2019 and the 7,439,559 shares of common stock issued by us in conjunction with the merger.</w:t>
      </w:r>
    </w:p>
    <w:p>
      <w:pPr>
        <w:spacing w:after="0" w:line="138" w:lineRule="exact"/>
        <w:rPr>
          <w:rFonts w:ascii="Arial" w:cs="Arial" w:eastAsia="Arial" w:hAnsi="Arial"/>
          <w:sz w:val="15"/>
          <w:szCs w:val="15"/>
          <w:color w:val="auto"/>
        </w:rPr>
      </w:pPr>
    </w:p>
    <w:p>
      <w:pPr>
        <w:ind w:left="380" w:right="540" w:hanging="372"/>
        <w:spacing w:after="0" w:line="293"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directly to shareholders of OHAI at closing from the Adviser.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GARS TRANSACTION</w:t>
      </w:r>
    </w:p>
    <w:p>
      <w:pPr>
        <w:spacing w:after="0" w:line="121" w:lineRule="exact"/>
        <w:rPr>
          <w:sz w:val="20"/>
          <w:szCs w:val="20"/>
          <w:color w:val="auto"/>
        </w:rPr>
      </w:pPr>
    </w:p>
    <w:p>
      <w:pPr>
        <w:ind w:right="20" w:firstLine="374"/>
        <w:spacing w:after="0" w:line="289" w:lineRule="auto"/>
        <w:rPr>
          <w:sz w:val="20"/>
          <w:szCs w:val="20"/>
          <w:color w:val="auto"/>
        </w:rPr>
      </w:pPr>
      <w:r>
        <w:rPr>
          <w:rFonts w:ascii="Arial" w:cs="Arial" w:eastAsia="Arial" w:hAnsi="Arial"/>
          <w:sz w:val="16"/>
          <w:szCs w:val="16"/>
          <w:color w:val="auto"/>
        </w:rPr>
        <w:t>On June 24, 2020, we entered into the GARS Merger Agreement with GARS, the Adviser and a wholly-owned merger subsidiary of the Company, and on October 28, 2020 we completed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 In accordance with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 In connection with the closing of the GARS Acquisition, our Board approved an increase in the size of the Board from seven members to nine members, and appointed each of Matthew Westwood and Joseph Morea to serve on the Board.</w:t>
      </w:r>
    </w:p>
    <w:p>
      <w:pPr>
        <w:spacing w:after="0" w:line="58" w:lineRule="exact"/>
        <w:rPr>
          <w:sz w:val="20"/>
          <w:szCs w:val="20"/>
          <w:color w:val="auto"/>
        </w:rPr>
      </w:pPr>
    </w:p>
    <w:p>
      <w:pPr>
        <w:ind w:right="80"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$5.0 million of cash payment (deemed capital contribution) paid at closing directly to shareholders of GARS from the Adviser, was allocated to the GARS investments acquired, based on their relative fair values as of the date of acquisition. The fair value of the purchase consideration paid by the Company below the fair value of net assets acquired is considered the purchase discount. Immediately following the acquisition of GARS, we recorded GARS net assets at their respective fair values and, as a result, the purchase discount was allocated to the cost basis of the GARS investments acquired and was immediately recognized as unrealized gain on our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GARS investments acquired through their maturity. Upon the sale of any of the GARS acquired investments, we will recognize a realized gain or a reduction in realized losses with a corresponding reversal of the unrealized losses.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38,764,706</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Cash consideration to GARS shareholders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24,100,000</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$432,339)</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1,167,661</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64,032,367</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$277,380,492)</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317,802,548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35,360,820</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1,871,232</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2,087,550</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357,122,150</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251,213,342</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1,454,384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252,667,726</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104,454,424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(40,422,057)</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420" w:hanging="372"/>
        <w:spacing w:after="0" w:line="293"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the market price at closing of $1.26 as of October 28, 2020 and the 30,765,640 shares of common stock issued by the Company in conjunction with the merger.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portfolio investment activity (excluding activity in U.S. treasury bills and money market investments) for the years 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December 31, 2020, 2019 and 2018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Asset</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CLO Fund</w:t>
            </w:r>
          </w:p>
        </w:tc>
        <w:tc>
          <w:tcPr>
            <w:tcW w:w="180" w:type="dxa"/>
            <w:vAlign w:val="bottom"/>
          </w:tcPr>
          <w:p>
            <w:pPr>
              <w:spacing w:after="0"/>
              <w:rPr>
                <w:sz w:val="12"/>
                <w:szCs w:val="12"/>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Manager</w:t>
            </w:r>
          </w:p>
        </w:tc>
        <w:tc>
          <w:tcPr>
            <w:tcW w:w="180" w:type="dxa"/>
            <w:vAlign w:val="bottom"/>
          </w:tcPr>
          <w:p>
            <w:pPr>
              <w:spacing w:after="0"/>
              <w:rPr>
                <w:sz w:val="12"/>
                <w:szCs w:val="12"/>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Joint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Securities</w:t>
            </w:r>
          </w:p>
        </w:tc>
        <w:tc>
          <w:tcPr>
            <w:tcW w:w="1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Affiliates</w:t>
            </w:r>
          </w:p>
        </w:tc>
        <w:tc>
          <w:tcPr>
            <w:tcW w:w="1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Ventures</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Derivatives</w:t>
            </w:r>
          </w:p>
        </w:tc>
        <w:tc>
          <w:tcPr>
            <w:tcW w:w="1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Portfolio</w:t>
            </w: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2017</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2018 Activity:</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118,197,479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51,678,673</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4,414,684</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38,849,000</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21,516,000</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234,655,836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92,911,178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12,781,528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12,466,667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118,159,373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(57,125,611)</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(19,033,322)</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(1,093,244)</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(34,800,000)</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(112,052,177)</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1,289,512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5,878,260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7,167,772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losses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9,933</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(16,484,872)</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(16,474,939)</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(7,420,747)</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9,504,733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(1,283,420)</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(579,000)</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(3,125,560)</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(2,903,994)</w:t>
            </w: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2018</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2019 Activity:</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147,861,744</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44,325,000</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2,038,020</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30,857,107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228,551,871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164,680,210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14,966,500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15,857,536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30,609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195,534,855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(123,783,352)</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(13,629,382)</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(371,222)</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(4,644,523)</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(142,428,478)</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366,805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6,162,690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6,529,495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(8,841,780)</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(1,395,218)</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(1,912,048)</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(3,470,000)</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(15,619,046)</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6,519,282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(3,494,888)</w:t>
            </w: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(4,856,831)</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3,017,847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(64,046)</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1,121,364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2019</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2020 Activity:</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186,802,908</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31,968,202</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9,864,419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45,087,967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(33,437)</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273,690,061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380,765,492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4,937,711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14,098,055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399,801,258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(198,364,694)</w:t>
            </w: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(4,432,200)</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(1,515,936)</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(7,760,136)</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(976,968)</w:t>
            </w: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(213,049,934)</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8,228,390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3,541,296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11,769,686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7,616,860</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(989,131)</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976,968</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7,604,698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19,811,899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(11,494,743)</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1,647,812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(2,076,723)</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(1,075,182)</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6,813,063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Fair Value at December 31, 2020</w:t>
            </w: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vMerge w:val="continue"/>
            <w:shd w:val="clear" w:color="auto" w:fill="CFF0FC"/>
          </w:tcPr>
          <w:p>
            <w:pPr>
              <w:spacing w:after="0"/>
              <w:rPr>
                <w:sz w:val="13"/>
                <w:szCs w:val="13"/>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404,860,855</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19,582,555</w:t>
            </w:r>
          </w:p>
        </w:tc>
        <w:tc>
          <w:tcPr>
            <w:tcW w:w="18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13,944,876</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49,349,163</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(1,108,618)</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486,628,831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portfolio by security type at December 31,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2020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304,539,184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328,845,612</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88,788,639</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87,977,057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75,807,477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416,170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207,766</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403,615</w:t>
            </w:r>
          </w:p>
        </w:tc>
        <w:tc>
          <w:tcPr>
            <w:tcW w:w="3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Subordinated Note</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2,422,281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46,618,717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31,968,202</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22,160,993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Asset Manager Affiliates</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48,594,539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(1,108,618)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(33,437)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486,628,831</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9030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3" w:name="page54"/>
    <w:bookmarkEnd w:id="53"/>
    <w:p>
      <w:pPr>
        <w:ind w:right="10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December 31, 2020 and December 31, 2019, for our investment portfolio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b w:val="1"/>
                <w:bCs w:val="1"/>
                <w:color w:val="auto"/>
              </w:rPr>
              <w:t>December 31, 2020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440" w:type="dxa"/>
            <w:vAlign w:val="bottom"/>
          </w:tcPr>
          <w:p>
            <w:pPr>
              <w:jc w:val="right"/>
              <w:ind w:right="30"/>
              <w:spacing w:after="0"/>
              <w:rPr>
                <w:sz w:val="20"/>
                <w:szCs w:val="20"/>
                <w:color w:val="auto"/>
              </w:rPr>
            </w:pPr>
            <w:r>
              <w:rPr>
                <w:rFonts w:ascii="Arial" w:cs="Arial" w:eastAsia="Arial" w:hAnsi="Arial"/>
                <w:sz w:val="16"/>
                <w:szCs w:val="16"/>
                <w:b w:val="1"/>
                <w:bCs w:val="1"/>
                <w:color w:val="auto"/>
              </w:rPr>
              <w:t>%¹</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3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Automotive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w w:val="94"/>
              </w:rPr>
              <w:t>Banking, Finance, Insurance &amp;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31,121,723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4,554,055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8,204,690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6,453,900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34,858,844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2,558,619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2,806,740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2,502,994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2,616,480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Electronics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13,636,090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Energy: Oil &amp; 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6,878,115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4,919,950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3,924,947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Forest Products &amp; Paper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1,576,633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1,270,880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1,534,240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14,059,921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13,791,048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9,136,345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Healthcare &amp; Pharmaceuticals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83,481,401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78,823,040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33,637,136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32,949,892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35,052,389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17,481,155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49,349,163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(Non-Agrclt/Constr/Electr)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w w:val="99"/>
              </w:rPr>
              <w:t>Media: Advertising, Printing &amp; Publishing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2,830,592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3,170,254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4,567,266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Media: Diversified &amp; Production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2,612,250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2,887,230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Metals &amp; Mining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60" w:type="dxa"/>
            <w:vAlign w:val="bottom"/>
            <w:gridSpan w:val="2"/>
          </w:tcPr>
          <w:p>
            <w:pPr>
              <w:spacing w:after="0"/>
              <w:rPr>
                <w:sz w:val="20"/>
                <w:szCs w:val="20"/>
                <w:color w:val="auto"/>
              </w:rPr>
            </w:pPr>
            <w:r>
              <w:rPr>
                <w:rFonts w:ascii="Arial" w:cs="Arial" w:eastAsia="Arial" w:hAnsi="Arial"/>
                <w:sz w:val="18"/>
                <w:szCs w:val="18"/>
                <w:color w:val="auto"/>
              </w:rPr>
              <w:t>Personal, Food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Miscellaneous Services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2,829,436</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5,790,208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6,597,338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Services: Business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58,027,464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60,119,401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4,241,127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4,198,243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8,930,322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9,023,109</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8,164,050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12,415,194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10,860,696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536,008,160</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486,628,831</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334,089,559</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277,897,166</w:t>
            </w:r>
          </w:p>
        </w:tc>
        <w:tc>
          <w:tcPr>
            <w:tcW w:w="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 xml:space="preserve">At December 31, 2020 and December 31, 2019, the weighted average contractual interest rate on our loans and debt securities, </w:t>
      </w:r>
      <w:r>
        <w:rPr>
          <w:rFonts w:ascii="Arial" w:cs="Arial" w:eastAsia="Arial" w:hAnsi="Arial"/>
          <w:sz w:val="18"/>
          <w:szCs w:val="18"/>
          <w:color w:val="231F20"/>
        </w:rPr>
        <w:t>excluding CLO Fund</w:t>
      </w:r>
      <w:r>
        <w:rPr>
          <w:rFonts w:ascii="Arial" w:cs="Arial" w:eastAsia="Arial" w:hAnsi="Arial"/>
          <w:sz w:val="18"/>
          <w:szCs w:val="18"/>
          <w:color w:val="auto"/>
        </w:rPr>
        <w:t xml:space="preserve"> </w:t>
      </w:r>
      <w:r>
        <w:rPr>
          <w:rFonts w:ascii="Arial" w:cs="Arial" w:eastAsia="Arial" w:hAnsi="Arial"/>
          <w:sz w:val="18"/>
          <w:szCs w:val="18"/>
          <w:color w:val="231F20"/>
        </w:rPr>
        <w:t xml:space="preserve">Securities and Joint Ventures, </w:t>
      </w:r>
      <w:r>
        <w:rPr>
          <w:rFonts w:ascii="Arial" w:cs="Arial" w:eastAsia="Arial" w:hAnsi="Arial"/>
          <w:sz w:val="18"/>
          <w:szCs w:val="18"/>
          <w:color w:val="000000"/>
        </w:rPr>
        <w:t>was approximately 7.8% and 10.9%, respectively. At December 31, 2020 and December 31, 2019, the weighted average</w:t>
      </w:r>
      <w:r>
        <w:rPr>
          <w:rFonts w:ascii="Arial" w:cs="Arial" w:eastAsia="Arial" w:hAnsi="Arial"/>
          <w:sz w:val="18"/>
          <w:szCs w:val="18"/>
          <w:color w:val="231F20"/>
        </w:rPr>
        <w:t xml:space="preserve"> </w:t>
      </w:r>
      <w:r>
        <w:rPr>
          <w:rFonts w:ascii="Arial" w:cs="Arial" w:eastAsia="Arial" w:hAnsi="Arial"/>
          <w:sz w:val="18"/>
          <w:szCs w:val="18"/>
          <w:color w:val="000000"/>
        </w:rPr>
        <w:t xml:space="preserve">contractual interest rate on our loans and debt securities, excluding non-accrual and partial non-accrual investments, </w:t>
      </w:r>
      <w:r>
        <w:rPr>
          <w:rFonts w:ascii="Arial" w:cs="Arial" w:eastAsia="Arial" w:hAnsi="Arial"/>
          <w:sz w:val="18"/>
          <w:szCs w:val="18"/>
          <w:color w:val="231F20"/>
        </w:rPr>
        <w:t>excluding CLO Fund Securities and</w:t>
      </w:r>
      <w:r>
        <w:rPr>
          <w:rFonts w:ascii="Arial" w:cs="Arial" w:eastAsia="Arial" w:hAnsi="Arial"/>
          <w:sz w:val="18"/>
          <w:szCs w:val="18"/>
          <w:color w:val="000000"/>
        </w:rPr>
        <w:t xml:space="preserve"> </w:t>
      </w:r>
      <w:r>
        <w:rPr>
          <w:rFonts w:ascii="Arial" w:cs="Arial" w:eastAsia="Arial" w:hAnsi="Arial"/>
          <w:sz w:val="18"/>
          <w:szCs w:val="18"/>
          <w:color w:val="231F20"/>
        </w:rPr>
        <w:t xml:space="preserve">Joint Ventures, </w:t>
      </w:r>
      <w:r>
        <w:rPr>
          <w:rFonts w:ascii="Arial" w:cs="Arial" w:eastAsia="Arial" w:hAnsi="Arial"/>
          <w:sz w:val="18"/>
          <w:szCs w:val="18"/>
          <w:color w:val="000000"/>
        </w:rPr>
        <w:t>was approximately 7.7% and 9.0%, respectively</w:t>
      </w:r>
      <w:r>
        <w:rPr>
          <w:rFonts w:ascii="Arial" w:cs="Arial" w:eastAsia="Arial" w:hAnsi="Arial"/>
          <w:sz w:val="18"/>
          <w:szCs w:val="18"/>
          <w:color w:val="231F20"/>
        </w:rPr>
        <w:t>.</w:t>
      </w:r>
    </w:p>
    <w:p>
      <w:pPr>
        <w:spacing w:after="0" w:line="79"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investment portfolio (excluding our investments in the CLO Funds, Joint Ventures and short-term investments) at December 31, 2020 was spread across 28 different industries and 121 different entities with an average par balance per entity of approximately $3.7 million. As of December 31, 2020, eight of our debt investments were on non-accrual status.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80" w:firstLine="374"/>
        <w:spacing w:after="0" w:line="273" w:lineRule="auto"/>
        <w:rPr>
          <w:sz w:val="20"/>
          <w:szCs w:val="20"/>
          <w:color w:val="auto"/>
        </w:rPr>
      </w:pPr>
      <w:r>
        <w:rPr>
          <w:rFonts w:ascii="Arial" w:cs="Arial" w:eastAsia="Arial" w:hAnsi="Arial"/>
          <w:sz w:val="17"/>
          <w:szCs w:val="17"/>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December 31, 2020 and 2019, the total amount of non-qualifying assets was approximately 13.8% and 25.3% of total assets, respectively. The majority of non-qualifying assets were the Company’s investments in joint ventures, in the aggregate representing 8.2% and 14.5% of the total assets as of December 31, 2020 and December 31, 2019, respectively, and the Company’s investments in CLO Funds, which are typically domiciled outside the U.S. and represented approximately 3.3% and 10.3% of its total assets on such dates,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21"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In the fourth quarter of 2020, Libremax sold its equity interest in the Adviser, and therefore as of December 31, 2020, the CLO Funds managed by Libremax were assigned to CLO Funds managed by non-affiliates. As of December 31, 2020 and 2019, our Asset Manager Affiliates had approximately $300 million of par value of assets under management, for which management fees were waived and thus were deemed to have no value.</w:t>
      </w:r>
    </w:p>
    <w:p>
      <w:pPr>
        <w:spacing w:after="0" w:line="86"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49" w:lineRule="exact"/>
        <w:rPr>
          <w:sz w:val="20"/>
          <w:szCs w:val="20"/>
          <w:color w:val="auto"/>
        </w:rPr>
      </w:pPr>
    </w:p>
    <w:p>
      <w:pPr>
        <w:ind w:right="200" w:firstLine="374"/>
        <w:spacing w:after="0" w:line="301" w:lineRule="auto"/>
        <w:rPr>
          <w:sz w:val="20"/>
          <w:szCs w:val="20"/>
          <w:color w:val="auto"/>
        </w:rPr>
      </w:pPr>
      <w:r>
        <w:rPr>
          <w:rFonts w:ascii="Arial" w:cs="Arial" w:eastAsia="Arial" w:hAnsi="Arial"/>
          <w:sz w:val="16"/>
          <w:szCs w:val="16"/>
          <w:color w:val="auto"/>
        </w:rPr>
        <w:t>Although the investment in the Asset Manager Affiliates is deemed to have no value at December 31, 2020 and December 31, 2019,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made minority investments in the subordinated securities or preferred shares of CLO Funds managed by the Disposed Manager Affiliates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may selectively invest in securities issued by CLO Funds managed by other asset management companies. As of December 31, 2020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had approximately $19.6 million and $32.0 million, respectively invested in CLO Fund Securities, issued primarily by CLO Funds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managed by the Disposed Manager Affiliates.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26"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 — Risks Related to Our Investments — Our investments may be risky, and you could lose all or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5" w:name="page56"/>
    <w:bookmarkEnd w:id="55"/>
    <w:p>
      <w:pPr>
        <w:ind w:left="380"/>
        <w:spacing w:after="0"/>
        <w:rPr>
          <w:sz w:val="20"/>
          <w:szCs w:val="20"/>
          <w:color w:val="auto"/>
        </w:rPr>
      </w:pPr>
      <w:r>
        <w:rPr>
          <w:rFonts w:ascii="Arial" w:cs="Arial" w:eastAsia="Arial" w:hAnsi="Arial"/>
          <w:sz w:val="18"/>
          <w:szCs w:val="18"/>
          <w:color w:val="auto"/>
        </w:rPr>
        <w:t>Our CLO Fund Securities as of December 31, 2020 and December 31, 2019,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December 31, 2020(2)</w:t>
            </w:r>
          </w:p>
        </w:tc>
        <w:tc>
          <w:tcPr>
            <w:tcW w:w="26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2019</w:t>
            </w:r>
            <w:r>
              <w:rPr>
                <w:rFonts w:ascii="Arial" w:cs="Arial" w:eastAsia="Arial" w:hAnsi="Arial"/>
                <w:sz w:val="15"/>
                <w:szCs w:val="15"/>
                <w:b w:val="1"/>
                <w:bCs w:val="1"/>
                <w:color w:val="auto"/>
              </w:rPr>
              <w:t>(3)</w:t>
            </w:r>
          </w:p>
        </w:tc>
      </w:tr>
      <w:tr>
        <w:trPr>
          <w:trHeight w:val="205"/>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Catamaran CLO 2013- 1 Ltd.</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6,219,310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2,611,423</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6,094,823</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5,025,536</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3"/>
          </w:tcPr>
          <w:p>
            <w:pPr>
              <w:spacing w:after="0"/>
              <w:rPr>
                <w:sz w:val="20"/>
                <w:szCs w:val="20"/>
                <w:color w:val="auto"/>
              </w:rPr>
            </w:pPr>
            <w:r>
              <w:rPr>
                <w:rFonts w:ascii="Arial" w:cs="Arial" w:eastAsia="Arial" w:hAnsi="Arial"/>
                <w:sz w:val="18"/>
                <w:szCs w:val="18"/>
                <w:color w:val="auto"/>
              </w:rPr>
              <w:t>Catamaran CLO 2014-1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9,998,258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3,835,632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9,995,658</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6,379,580</w:t>
            </w:r>
          </w:p>
        </w:tc>
        <w:tc>
          <w:tcPr>
            <w:tcW w:w="120" w:type="dxa"/>
            <w:vAlign w:val="bottom"/>
          </w:tcPr>
          <w:p>
            <w:pPr>
              <w:spacing w:after="0"/>
              <w:rPr>
                <w:sz w:val="20"/>
                <w:szCs w:val="20"/>
                <w:color w:val="auto"/>
              </w:rPr>
            </w:pPr>
          </w:p>
        </w:tc>
      </w:tr>
      <w:tr>
        <w:trPr>
          <w:trHeight w:val="215"/>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1,272,501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1,322,100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1,519,641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1,984,155</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3"/>
          </w:tcPr>
          <w:p>
            <w:pPr>
              <w:spacing w:after="0"/>
              <w:rPr>
                <w:sz w:val="20"/>
                <w:szCs w:val="20"/>
                <w:color w:val="auto"/>
              </w:rPr>
            </w:pPr>
            <w:r>
              <w:rPr>
                <w:rFonts w:ascii="Arial" w:cs="Arial" w:eastAsia="Arial" w:hAnsi="Arial"/>
                <w:sz w:val="18"/>
                <w:szCs w:val="18"/>
                <w:color w:val="auto"/>
              </w:rPr>
              <w:t>Catamaran CLO 2014-2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6,065,598</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6,072,697</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1,139,032</w:t>
            </w:r>
          </w:p>
        </w:tc>
        <w:tc>
          <w:tcPr>
            <w:tcW w:w="120" w:type="dxa"/>
            <w:vAlign w:val="bottom"/>
          </w:tcPr>
          <w:p>
            <w:pPr>
              <w:spacing w:after="0"/>
              <w:rPr>
                <w:sz w:val="20"/>
                <w:szCs w:val="20"/>
                <w:color w:val="auto"/>
              </w:rPr>
            </w:pPr>
          </w:p>
        </w:tc>
      </w:tr>
      <w:tr>
        <w:trPr>
          <w:trHeight w:val="215"/>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4,141,981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1,609,400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4,088,504</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2,514,130</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3"/>
          </w:tcPr>
          <w:p>
            <w:pPr>
              <w:spacing w:after="0"/>
              <w:rPr>
                <w:sz w:val="20"/>
                <w:szCs w:val="20"/>
                <w:color w:val="auto"/>
              </w:rPr>
            </w:pPr>
            <w:r>
              <w:rPr>
                <w:rFonts w:ascii="Arial" w:cs="Arial" w:eastAsia="Arial" w:hAnsi="Arial"/>
                <w:sz w:val="18"/>
                <w:szCs w:val="18"/>
                <w:color w:val="auto"/>
              </w:rPr>
              <w:t>Catamaran CLO 2016-1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8,872,484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3,549,000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9,253,304</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6,395,016</w:t>
            </w:r>
          </w:p>
        </w:tc>
        <w:tc>
          <w:tcPr>
            <w:tcW w:w="120" w:type="dxa"/>
            <w:vAlign w:val="bottom"/>
          </w:tcPr>
          <w:p>
            <w:pPr>
              <w:spacing w:after="0"/>
              <w:rPr>
                <w:sz w:val="20"/>
                <w:szCs w:val="20"/>
                <w:color w:val="auto"/>
              </w:rPr>
            </w:pPr>
          </w:p>
        </w:tc>
      </w:tr>
      <w:tr>
        <w:trPr>
          <w:trHeight w:val="215"/>
        </w:trPr>
        <w:tc>
          <w:tcPr>
            <w:tcW w:w="3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9,157,681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6,655,000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9,594,090</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8,530,751</w:t>
            </w:r>
          </w:p>
        </w:tc>
        <w:tc>
          <w:tcPr>
            <w:tcW w:w="120" w:type="dxa"/>
            <w:vAlign w:val="bottom"/>
            <w:shd w:val="clear" w:color="auto" w:fill="CFF0FC"/>
          </w:tcPr>
          <w:p>
            <w:pPr>
              <w:spacing w:after="0"/>
              <w:rPr>
                <w:sz w:val="20"/>
                <w:szCs w:val="20"/>
                <w:color w:val="auto"/>
              </w:rPr>
            </w:pPr>
          </w:p>
        </w:tc>
      </w:tr>
      <w:tr>
        <w:trPr>
          <w:trHeight w:val="223"/>
        </w:trPr>
        <w:tc>
          <w:tcPr>
            <w:tcW w:w="3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45,727,813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19,582,555</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46,618,717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31,968,202</w:t>
            </w:r>
          </w:p>
        </w:tc>
        <w:tc>
          <w:tcPr>
            <w:tcW w:w="1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percentage of class held as of December 31, 2020.</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December 31, 2020, the CLO Funds managed by Libremax were assigned to CLO Funds managed by non-affiliates.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than Dryden 30, all of our CLO Fund securities investments were managed by affiliates as of December 31, 2019.</w:t>
      </w:r>
    </w:p>
    <w:p>
      <w:pPr>
        <w:spacing w:after="0" w:line="117"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As a result of the severe economic consequences resulting from the COVID 19 pandemic, during the second quarter of 2020, the Company was notified that 4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The estimated timing and amount of future distributions, if any, from these CLO Fund Securities is uncertain. It is also possible, based upon current economic conditions resulting from the COVID 19 pandemic, that additional CLO Fund Securities owned by the Company, and including the subordinated securities issued by Great Lakes KCAP F3C Senior LLC CLO, which are owned by the KCAP Freedom 3 Joint Venture, could also cease making distributions to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220" w:firstLine="374"/>
        <w:spacing w:after="0" w:line="273" w:lineRule="auto"/>
        <w:rPr>
          <w:sz w:val="20"/>
          <w:szCs w:val="20"/>
          <w:color w:val="auto"/>
        </w:rPr>
      </w:pPr>
      <w:r>
        <w:rPr>
          <w:rFonts w:ascii="Arial" w:cs="Arial" w:eastAsia="Arial" w:hAnsi="Arial"/>
          <w:sz w:val="17"/>
          <w:szCs w:val="17"/>
          <w:color w:val="auto"/>
        </w:rPr>
        <w:t>During the third quarter of 2017, we and Freedom 3 Opportunities, an affiliate of Freedom 3 Capital LLC, entered into an agreement to create the Joint Venture. We contributed approximately $37 million and Freedom 3 Opportunities contributed approximately $25 million,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The Fund invests primarily in middle-market loans and the Joint Venture partners may source middle-market loans from time-to-time for the Fund.</w:t>
      </w:r>
    </w:p>
    <w:p>
      <w:pPr>
        <w:spacing w:after="0" w:line="7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53"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6" w:name="page57"/>
    <w:bookmarkEnd w:id="56"/>
    <w:p>
      <w:pPr>
        <w:ind w:right="40" w:firstLine="374"/>
        <w:spacing w:after="0" w:line="275" w:lineRule="auto"/>
        <w:rPr>
          <w:sz w:val="20"/>
          <w:szCs w:val="20"/>
          <w:color w:val="auto"/>
        </w:rPr>
      </w:pPr>
      <w:r>
        <w:rPr>
          <w:rFonts w:ascii="Arial" w:cs="Arial" w:eastAsia="Arial" w:hAnsi="Arial"/>
          <w:sz w:val="17"/>
          <w:szCs w:val="17"/>
          <w:color w:val="auto"/>
        </w:rPr>
        <w:t>We own a 60% economic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68" w:lineRule="exact"/>
        <w:rPr>
          <w:sz w:val="20"/>
          <w:szCs w:val="20"/>
          <w:color w:val="auto"/>
        </w:rPr>
      </w:pPr>
    </w:p>
    <w:p>
      <w:pPr>
        <w:ind w:right="320" w:firstLine="374"/>
        <w:spacing w:after="0" w:line="257" w:lineRule="auto"/>
        <w:rPr>
          <w:sz w:val="20"/>
          <w:szCs w:val="20"/>
          <w:color w:val="auto"/>
        </w:rPr>
      </w:pPr>
      <w:r>
        <w:rPr>
          <w:rFonts w:ascii="Arial" w:cs="Arial" w:eastAsia="Arial" w:hAnsi="Arial"/>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6"/>
              </w:rPr>
              <w:t>KCAP Freedom 3 LLC</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0"/>
              </w:rPr>
              <w:t>Summarized Statements of Financial Condition</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7"/>
          </w:tcPr>
          <w:p>
            <w:pPr>
              <w:ind w:left="40"/>
              <w:spacing w:after="0"/>
              <w:rPr>
                <w:sz w:val="20"/>
                <w:szCs w:val="20"/>
                <w:color w:val="auto"/>
              </w:rPr>
            </w:pPr>
            <w:r>
              <w:rPr>
                <w:rFonts w:ascii="Arial" w:cs="Arial" w:eastAsia="Arial" w:hAnsi="Arial"/>
                <w:sz w:val="18"/>
                <w:szCs w:val="18"/>
                <w:b w:val="1"/>
                <w:bCs w:val="1"/>
                <w:color w:val="auto"/>
              </w:rPr>
              <w:t>As of December 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6"/>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3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5"/>
              </w:rPr>
              <w:t>31,404,100</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34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31,404,100</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167,389</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Equity</w:t>
            </w:r>
          </w:p>
        </w:tc>
        <w:tc>
          <w:tcPr>
            <w:tcW w:w="34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31,236,711</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3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5"/>
              </w:rPr>
              <w:t>31,404,100</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vMerge w:val="restart"/>
          </w:tcPr>
          <w:p>
            <w:pPr>
              <w:jc w:val="center"/>
              <w:ind w:left="1050"/>
              <w:spacing w:after="0"/>
              <w:rPr>
                <w:sz w:val="20"/>
                <w:szCs w:val="20"/>
                <w:color w:val="auto"/>
              </w:rPr>
            </w:pPr>
            <w:r>
              <w:rPr>
                <w:rFonts w:ascii="Arial" w:cs="Arial" w:eastAsia="Arial" w:hAnsi="Arial"/>
                <w:sz w:val="18"/>
                <w:szCs w:val="18"/>
                <w:b w:val="1"/>
                <w:bCs w:val="1"/>
                <w:color w:val="auto"/>
                <w:w w:val="96"/>
              </w:rPr>
              <w:t>KCAP Freedom 3 LLC</w:t>
            </w: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9"/>
              </w:rPr>
              <w:t>Summarized Statements of Operations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15"/>
          </w:tcPr>
          <w:p>
            <w:pPr>
              <w:jc w:val="center"/>
              <w:ind w:right="110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34"/>
        </w:trPr>
        <w:tc>
          <w:tcPr>
            <w:tcW w:w="31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4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3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5,006,291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5,127,460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4,800,844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71,518</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86,183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126,786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3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4,934,773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5,041,277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4,674,058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Unrealized appreciation on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(518,361)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2,951,441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(4,951,938)</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3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9"/>
              </w:rPr>
              <w:t>4,416,412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7,992,718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(277,880)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gridSpan w:val="2"/>
            <w:vMerge w:val="restart"/>
          </w:tcPr>
          <w:p>
            <w:pPr>
              <w:jc w:val="center"/>
              <w:ind w:left="1050"/>
              <w:spacing w:after="0"/>
              <w:rPr>
                <w:sz w:val="20"/>
                <w:szCs w:val="20"/>
                <w:color w:val="auto"/>
              </w:rPr>
            </w:pPr>
            <w:r>
              <w:rPr>
                <w:rFonts w:ascii="Arial" w:cs="Arial" w:eastAsia="Arial" w:hAnsi="Arial"/>
                <w:sz w:val="18"/>
                <w:szCs w:val="18"/>
                <w:b w:val="1"/>
                <w:bCs w:val="1"/>
                <w:color w:val="auto"/>
                <w:w w:val="96"/>
              </w:rPr>
              <w:t>KCAP Freedom 3 LLC</w:t>
            </w: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4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7"/>
              </w:rPr>
              <w:t>Schedule of Investments</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8"/>
              </w:rPr>
              <w:t>December 31, 2020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2"/>
              </w:rPr>
              <w:t>by Joint</w:t>
            </w:r>
          </w:p>
        </w:tc>
        <w:tc>
          <w:tcPr>
            <w:tcW w:w="20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260" w:type="dxa"/>
            <w:vAlign w:val="bottom"/>
          </w:tcPr>
          <w:p>
            <w:pPr>
              <w:spacing w:after="0"/>
              <w:rPr>
                <w:sz w:val="20"/>
                <w:szCs w:val="20"/>
                <w:color w:val="auto"/>
              </w:rPr>
            </w:pPr>
          </w:p>
        </w:tc>
        <w:tc>
          <w:tcPr>
            <w:tcW w:w="130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9"/>
              </w:rPr>
              <w:t>Venture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09"/>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12.3%, 12/29 maturity</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88"/>
              </w:rPr>
              <w:t>38,986,212</w:t>
            </w:r>
          </w:p>
        </w:tc>
        <w:tc>
          <w:tcPr>
            <w:tcW w:w="40" w:type="dxa"/>
            <w:vAlign w:val="bottom"/>
            <w:shd w:val="clear" w:color="auto" w:fill="CFF0FC"/>
          </w:tcPr>
          <w:p>
            <w:pPr>
              <w:spacing w:after="0"/>
              <w:rPr>
                <w:sz w:val="20"/>
                <w:szCs w:val="20"/>
                <w:color w:val="auto"/>
              </w:rPr>
            </w:pPr>
          </w:p>
        </w:tc>
        <w:tc>
          <w:tcPr>
            <w:tcW w:w="360" w:type="dxa"/>
            <w:vAlign w:val="bottom"/>
            <w:gridSpan w:val="4"/>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31,404,100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88"/>
              </w:rPr>
              <w:t>38,986,212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31,404,100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8" w:lineRule="exact"/>
        <w:rPr>
          <w:sz w:val="20"/>
          <w:szCs w:val="20"/>
          <w:color w:val="auto"/>
        </w:rPr>
      </w:pPr>
    </w:p>
    <w:p>
      <w:pPr>
        <w:ind w:left="380" w:right="160" w:hanging="372"/>
        <w:spacing w:after="0" w:line="254"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380" w:right="640" w:hanging="372"/>
        <w:spacing w:after="0" w:line="276"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6"/>
              </w:rPr>
              <w:t>KCAP Freedom 3 LLC</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7"/>
              </w:rPr>
              <w:t>Schedule of Investments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88"/>
              </w:rPr>
              <w:t>December 31, 2019</w:t>
            </w:r>
          </w:p>
        </w:tc>
        <w:tc>
          <w:tcPr>
            <w:tcW w:w="1760" w:type="dxa"/>
            <w:vAlign w:val="bottom"/>
            <w:gridSpan w:val="3"/>
            <w:vMerge w:val="restart"/>
          </w:tcPr>
          <w:p>
            <w:pPr>
              <w:jc w:val="center"/>
              <w:ind w:right="447"/>
              <w:spacing w:after="0"/>
              <w:rPr>
                <w:sz w:val="20"/>
                <w:szCs w:val="20"/>
                <w:color w:val="auto"/>
              </w:rPr>
            </w:pPr>
            <w:r>
              <w:rPr>
                <w:rFonts w:ascii="Arial" w:cs="Arial" w:eastAsia="Arial" w:hAnsi="Arial"/>
                <w:sz w:val="18"/>
                <w:szCs w:val="18"/>
                <w:b w:val="1"/>
                <w:bCs w:val="1"/>
                <w:color w:val="auto"/>
                <w:w w:val="86"/>
              </w:rPr>
              <w:t>Percentage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Ownership</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89"/>
              </w:rPr>
              <w:t>by Joint</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Venture</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Great Lakes KCAP F3C Senior, LLC</w:t>
            </w:r>
            <w:r>
              <w:rPr>
                <w:rFonts w:ascii="Arial" w:cs="Arial" w:eastAsia="Arial" w:hAnsi="Arial"/>
                <w:sz w:val="15"/>
                <w:szCs w:val="15"/>
                <w:color w:val="auto"/>
                <w:w w:val="97"/>
              </w:rPr>
              <w:t>(1)(2)</w:t>
            </w:r>
          </w:p>
        </w:tc>
        <w:tc>
          <w:tcPr>
            <w:tcW w:w="16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11.2%, 12/29 maturity</w:t>
            </w:r>
          </w:p>
        </w:tc>
        <w:tc>
          <w:tcPr>
            <w:tcW w:w="17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100.0%  $</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40,801,382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40,801,382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8" w:lineRule="exact"/>
        <w:rPr>
          <w:sz w:val="20"/>
          <w:szCs w:val="20"/>
          <w:color w:val="auto"/>
        </w:rPr>
      </w:pPr>
    </w:p>
    <w:p>
      <w:pPr>
        <w:ind w:left="380" w:right="160" w:hanging="372"/>
        <w:spacing w:after="0" w:line="254"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third-party broker quote.</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Formerly known as KCAP F3C Senior Funding, LLC</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w:t>
      </w:r>
    </w:p>
    <w:p>
      <w:pPr>
        <w:spacing w:after="0" w:line="121" w:lineRule="exact"/>
        <w:rPr>
          <w:sz w:val="20"/>
          <w:szCs w:val="20"/>
          <w:color w:val="auto"/>
        </w:rPr>
      </w:pPr>
    </w:p>
    <w:p>
      <w:pPr>
        <w:ind w:right="180" w:firstLine="374"/>
        <w:spacing w:after="0" w:line="293"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56"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The fair value of our investment in the BCP Great Lakes Partnership at December 31, 2020 and December 31, 2019 was $29.6 million and $23.8 million, respectively.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70" w:lineRule="exact"/>
        <w:rPr>
          <w:sz w:val="20"/>
          <w:szCs w:val="20"/>
          <w:color w:val="auto"/>
        </w:rPr>
      </w:pPr>
    </w:p>
    <w:p>
      <w:pPr>
        <w:ind w:right="140" w:firstLine="374"/>
        <w:spacing w:after="0" w:line="257" w:lineRule="auto"/>
        <w:rPr>
          <w:sz w:val="20"/>
          <w:szCs w:val="20"/>
          <w:color w:val="auto"/>
        </w:rPr>
      </w:pPr>
      <w:r>
        <w:rPr>
          <w:rFonts w:ascii="Arial" w:cs="Arial" w:eastAsia="Arial" w:hAnsi="Arial"/>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1940 Act). As of December 31, 2020 and December 31, 2019, we had a $20.0 million and $26.3 million, respectively unfunded commitment to the BCP Great Lakes Partnership. However, at December 31, 2020 our funding commitment was limited to approximately $15.0 million pursuant to the limitations described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including interest expense.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discussion of our results of operations for years ended December 31, 2020,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0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Income: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Interest from investments in debt securities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31,428,339</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14,983,694</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16,005,663</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short-term investments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76,055</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Investment income on CLO Fund Securities managed by affiliates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3,221,838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4,427,387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6,024,935</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2,008,148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388,237</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Dividends from Asset Manager Affiliates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1,246,510</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Joint Ventures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6,911,418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4,859,780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3,100,000</w:t>
            </w: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Capital structuring service fees</w:t>
            </w: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867,853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245,393</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investment income</w:t>
            </w:r>
          </w:p>
        </w:tc>
        <w:tc>
          <w:tcPr>
            <w:tcW w:w="6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42,764,185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26,495,135</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27,086,793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62"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79"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Effective April 1, 2019, as a result of the Externalization and related transactions, CLO Fund investments managed by LibreMax were assigned to CLO Funds managed by affiliates. In the fourth quarter of 2020, Libremax sold its equity interest in the Adviser, and therefore as of December 31, 2020, the CLO Funds managed by Libremax were assigned to CLO Funds managed by non-affiliates.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59" w:lineRule="exact"/>
        <w:rPr>
          <w:sz w:val="20"/>
          <w:szCs w:val="20"/>
          <w:color w:val="auto"/>
        </w:rPr>
      </w:pPr>
    </w:p>
    <w:p>
      <w:pPr>
        <w:ind w:right="60" w:firstLine="374"/>
        <w:spacing w:after="0" w:line="291"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our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Substantially all of our investment in the Asset Manager Affiliates was sold on December 31, 2018. Prior</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we had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ind w:firstLine="374"/>
        <w:spacing w:after="0" w:line="288" w:lineRule="auto"/>
        <w:rPr>
          <w:sz w:val="20"/>
          <w:szCs w:val="20"/>
          <w:color w:val="auto"/>
        </w:rPr>
      </w:pPr>
      <w:r>
        <w:rPr>
          <w:rFonts w:ascii="Arial" w:cs="Arial" w:eastAsia="Arial" w:hAnsi="Arial"/>
          <w:sz w:val="16"/>
          <w:szCs w:val="16"/>
          <w:color w:val="auto"/>
        </w:rPr>
        <w:t>As a result of tax-basis goodwill amortization and certain other tax-related adjustments, portions of distributions received may be deemed return of capital. Our investment in our Asset Manager Affiliates was deemed to have no value at December 31, 2020 and December 31, 2019. There were no distributions from the Asset Manager Affiliates during 2020 and 2019. For the year ended December 31, 2018, we recognized dividend income of $1.2 million from the Asset Manager Affiliates, while cash distributions received were approximately $36.0 million.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December 31, 2020 and December 31, 2019.</w:t>
      </w:r>
    </w:p>
    <w:p>
      <w:pPr>
        <w:spacing w:after="0" w:line="60"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i w:val="1"/>
          <w:iCs w:val="1"/>
          <w:color w:val="auto"/>
        </w:rPr>
        <w:t xml:space="preserve">Investments in Joint Ventures. </w:t>
      </w:r>
      <w:r>
        <w:rPr>
          <w:rFonts w:ascii="Arial" w:cs="Arial" w:eastAsia="Arial" w:hAnsi="Arial"/>
          <w:sz w:val="18"/>
          <w:szCs w:val="18"/>
          <w:color w:val="auto"/>
        </w:rPr>
        <w:t>For the years ended December 31, 2020, 2019 and 2018,we recognized $6.9 million, $4.9 million and $3.1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investment income from our investments in Joint Ventures. As of December 31, 2020 and December 31, 2019, the fair value of our investments in Joint Ventures was approximately $49.3 million and $45.1 million, respectively.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40" w:firstLine="374"/>
        <w:spacing w:after="0" w:line="263" w:lineRule="auto"/>
        <w:rPr>
          <w:sz w:val="20"/>
          <w:szCs w:val="20"/>
          <w:color w:val="auto"/>
        </w:rPr>
      </w:pPr>
      <w:r>
        <w:rPr>
          <w:rFonts w:ascii="Arial" w:cs="Arial" w:eastAsia="Arial" w:hAnsi="Arial"/>
          <w:sz w:val="18"/>
          <w:szCs w:val="18"/>
          <w:color w:val="auto"/>
        </w:rPr>
        <w:t>Investment income for the years ended December 31, 2020, 2019 and 2018, was approximately $42.8 million, $26.5 million and $27.1 million respectively. Of these amounts, approximately $31.4 million, $15.0 million and $16.0 million, respectively, was attributable to interest income on our Debt Securities Portfolio.</w:t>
      </w:r>
    </w:p>
    <w:p>
      <w:pPr>
        <w:spacing w:after="0" w:line="76"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At December 31, 2020 and 2019, the weighted average contractual interest rate on our loans and debt securities was approximately 7.8% and 10.9%, respectively. At December 31, 2020 and 2019, the weighted average contractual interest rate on our loans and debt securities, excluding non-accrual and partial non-accrual investments, was approximately 7.7% and 9.0%, respectively.</w:t>
      </w:r>
    </w:p>
    <w:p>
      <w:pPr>
        <w:spacing w:after="0" w:line="76"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79"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For the years ended December 31, 2020, 2019 and 2018, approximately $3.5 million, $6.4 million and $6.4 million, respectively, of investment income was attributable to investments in CLO Fund Securities. On a tax basis, the Company recognized $14.7 thousand, $2.5 million and $3.5 million of taxable distributable income on distributions from our CLO Fund Securities during the years ended December 31, 2020, 2019 and 2018,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4,579,082</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3,129,079</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Performance-based incentive fees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4,857,563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and amortization of debt issuance costs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10,283,996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8,261,445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7,403,436</w:t>
            </w: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3,688,578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4,012,743</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Professional fees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2,835,947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3,466,877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3,470,269</w:t>
            </w:r>
          </w:p>
        </w:tc>
        <w:tc>
          <w:tcPr>
            <w:tcW w:w="100" w:type="dxa"/>
            <w:vAlign w:val="bottom"/>
          </w:tcPr>
          <w:p>
            <w:pPr>
              <w:spacing w:after="0"/>
              <w:rPr>
                <w:sz w:val="19"/>
                <w:szCs w:val="19"/>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704,592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321,268</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Administrative services expense</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1,941,398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1,243,587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general and administrative expenses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1,496,258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1,874,600</w:t>
            </w:r>
          </w:p>
        </w:tc>
        <w:tc>
          <w:tcPr>
            <w:tcW w:w="100" w:type="dxa"/>
            <w:vAlign w:val="bottom"/>
            <w:shd w:val="clear" w:color="auto" w:fill="CFF0FC"/>
          </w:tcPr>
          <w:p>
            <w:pPr>
              <w:spacing w:after="0"/>
              <w:rPr>
                <w:sz w:val="19"/>
                <w:szCs w:val="19"/>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Lease termination costs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1,431,030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9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26,320,719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23,421,446</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17,082,316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Management and performance-based incentive fees waived</w:t>
            </w: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(556,880)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Expenses</w:t>
            </w:r>
          </w:p>
        </w:tc>
        <w:tc>
          <w:tcPr>
            <w:tcW w:w="9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25,763,839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23,421,446</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17,082,316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40" w:firstLine="374"/>
        <w:spacing w:after="0" w:line="284" w:lineRule="auto"/>
        <w:rPr>
          <w:sz w:val="20"/>
          <w:szCs w:val="20"/>
          <w:color w:val="auto"/>
        </w:rPr>
      </w:pPr>
      <w:r>
        <w:rPr>
          <w:rFonts w:ascii="Arial" w:cs="Arial" w:eastAsia="Arial" w:hAnsi="Arial"/>
          <w:sz w:val="16"/>
          <w:szCs w:val="16"/>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were typically our largest expenses each period. Since the Closing of the Externalization,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w:t>
      </w:r>
    </w:p>
    <w:p>
      <w:pPr>
        <w:spacing w:after="0" w:line="1" w:lineRule="exact"/>
        <w:rPr>
          <w:sz w:val="20"/>
          <w:szCs w:val="20"/>
          <w:color w:val="auto"/>
        </w:rPr>
      </w:pPr>
    </w:p>
    <w:p>
      <w:pPr>
        <w:ind w:right="140" w:firstLine="8"/>
        <w:spacing w:after="0" w:line="281" w:lineRule="auto"/>
        <w:tabs>
          <w:tab w:leader="none" w:pos="2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other expenses of our operations and transactions including, without limitation, those relating to:</w:t>
      </w:r>
    </w:p>
    <w:p>
      <w:pPr>
        <w:spacing w:after="0" w:line="102"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42" w:lineRule="exact"/>
        <w:rPr>
          <w:rFonts w:ascii="Arial" w:cs="Arial" w:eastAsia="Arial" w:hAnsi="Arial"/>
          <w:sz w:val="17"/>
          <w:szCs w:val="17"/>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740" w:right="440" w:hanging="368"/>
        <w:spacing w:after="0" w:line="277" w:lineRule="auto"/>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30" w:lineRule="exact"/>
        <w:rPr>
          <w:rFonts w:ascii="Arial" w:cs="Arial" w:eastAsia="Arial" w:hAnsi="Arial"/>
          <w:sz w:val="18"/>
          <w:szCs w:val="18"/>
          <w:color w:val="auto"/>
        </w:rPr>
      </w:pPr>
    </w:p>
    <w:p>
      <w:pPr>
        <w:ind w:left="740" w:right="560" w:hanging="368"/>
        <w:spacing w:after="0" w:line="263" w:lineRule="auto"/>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5" w:lineRule="exact"/>
        <w:rPr>
          <w:rFonts w:ascii="Arial" w:cs="Arial" w:eastAsia="Arial" w:hAnsi="Arial"/>
          <w:sz w:val="18"/>
          <w:szCs w:val="18"/>
          <w:color w:val="auto"/>
        </w:rPr>
      </w:pPr>
    </w:p>
    <w:p>
      <w:pPr>
        <w:ind w:left="740" w:right="160" w:hanging="368"/>
        <w:spacing w:after="0" w:line="308" w:lineRule="auto"/>
        <w:tabs>
          <w:tab w:leader="none" w:pos="7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30" w:lineRule="exact"/>
        <w:rPr>
          <w:rFonts w:ascii="Arial" w:cs="Arial" w:eastAsia="Arial" w:hAnsi="Arial"/>
          <w:sz w:val="18"/>
          <w:szCs w:val="18"/>
          <w:color w:val="auto"/>
        </w:rPr>
      </w:pPr>
    </w:p>
    <w:p>
      <w:pPr>
        <w:ind w:left="740" w:right="380" w:hanging="368"/>
        <w:spacing w:after="0" w:line="27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131" w:lineRule="exact"/>
        <w:rPr>
          <w:sz w:val="20"/>
          <w:szCs w:val="20"/>
          <w:color w:val="auto"/>
        </w:rPr>
      </w:pPr>
    </w:p>
    <w:p>
      <w:pPr>
        <w:jc w:val="both"/>
        <w:ind w:right="40" w:firstLine="374"/>
        <w:spacing w:after="0" w:line="286" w:lineRule="auto"/>
        <w:rPr>
          <w:sz w:val="20"/>
          <w:szCs w:val="20"/>
          <w:color w:val="auto"/>
        </w:rPr>
      </w:pPr>
      <w:r>
        <w:rPr>
          <w:rFonts w:ascii="Arial" w:cs="Arial" w:eastAsia="Arial" w:hAnsi="Arial"/>
          <w:sz w:val="17"/>
          <w:szCs w:val="17"/>
          <w:i w:val="1"/>
          <w:iCs w:val="1"/>
          <w:color w:val="auto"/>
        </w:rPr>
        <w:t xml:space="preserve">Management Fees and Incentive Fees. </w:t>
      </w:r>
      <w:r>
        <w:rPr>
          <w:rFonts w:ascii="Arial" w:cs="Arial" w:eastAsia="Arial" w:hAnsi="Arial"/>
          <w:sz w:val="17"/>
          <w:szCs w:val="17"/>
          <w:color w:val="auto"/>
        </w:rPr>
        <w:t>Management fees for the years ended December 31, 2020 and 2019 were approximately $4.6 million and $3.1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Incentive fees for the years ended December 31, 2020, were approximately $4.9 million, of which approximately $557 thousand were waived. There were no incentive fees earned during the year ended December 31, 2019. See “The Externalization” above.</w:t>
      </w:r>
    </w:p>
    <w:p>
      <w:pPr>
        <w:spacing w:after="0" w:line="57" w:lineRule="exact"/>
        <w:rPr>
          <w:sz w:val="20"/>
          <w:szCs w:val="20"/>
          <w:color w:val="auto"/>
        </w:rPr>
      </w:pPr>
    </w:p>
    <w:p>
      <w:pPr>
        <w:ind w:right="220" w:firstLine="374"/>
        <w:spacing w:after="0" w:line="279" w:lineRule="auto"/>
        <w:rPr>
          <w:sz w:val="20"/>
          <w:szCs w:val="20"/>
          <w:color w:val="auto"/>
        </w:rPr>
      </w:pPr>
      <w:r>
        <w:rPr>
          <w:rFonts w:ascii="Arial" w:cs="Arial" w:eastAsia="Arial" w:hAnsi="Arial"/>
          <w:sz w:val="17"/>
          <w:szCs w:val="17"/>
          <w:i w:val="1"/>
          <w:iCs w:val="1"/>
          <w:color w:val="auto"/>
        </w:rPr>
        <w:t>Interest and Amortization of Debt Issuance Costs</w:t>
      </w:r>
      <w:r>
        <w:rPr>
          <w:rFonts w:ascii="Arial" w:cs="Arial" w:eastAsia="Arial" w:hAnsi="Arial"/>
          <w:sz w:val="17"/>
          <w:szCs w:val="17"/>
          <w:color w:val="auto"/>
        </w:rPr>
        <w:t>. Interest expense is dependent on the average outstanding balance on our borrowings and the base</w:t>
      </w:r>
      <w:r>
        <w:rPr>
          <w:rFonts w:ascii="Arial" w:cs="Arial" w:eastAsia="Arial" w:hAnsi="Arial"/>
          <w:sz w:val="17"/>
          <w:szCs w:val="17"/>
          <w:i w:val="1"/>
          <w:iCs w:val="1"/>
          <w:color w:val="auto"/>
        </w:rPr>
        <w:t xml:space="preserve"> </w:t>
      </w:r>
      <w:r>
        <w:rPr>
          <w:rFonts w:ascii="Arial" w:cs="Arial" w:eastAsia="Arial" w:hAnsi="Arial"/>
          <w:sz w:val="17"/>
          <w:szCs w:val="17"/>
          <w:color w:val="auto"/>
        </w:rPr>
        <w:t>index rate for the period. Debt issuance costs represent fees and other direct costs incurred in connection with our borrowings. These amounts are capitalized and amortized over the expected term of the borrowing. Debt assumed in connection with the GARS Acquisition was recognized at fair value on the date of the transaction, resulting in a discount which is amortized over the remaining term of the borrowings.</w:t>
      </w:r>
    </w:p>
    <w:p>
      <w:pPr>
        <w:spacing w:after="0" w:line="63"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i w:val="1"/>
          <w:iCs w:val="1"/>
          <w:color w:val="auto"/>
        </w:rPr>
        <w:t xml:space="preserve">Compensation Expense. </w:t>
      </w:r>
      <w:r>
        <w:rPr>
          <w:rFonts w:ascii="Arial" w:cs="Arial" w:eastAsia="Arial" w:hAnsi="Arial"/>
          <w:sz w:val="18"/>
          <w:szCs w:val="18"/>
          <w:color w:val="auto"/>
        </w:rPr>
        <w:t>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80"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i w:val="1"/>
          <w:iCs w:val="1"/>
          <w:color w:val="auto"/>
        </w:rPr>
        <w:t xml:space="preserve">Professional Fees and General and Administrative Expenses. </w:t>
      </w:r>
      <w:r>
        <w:rPr>
          <w:rFonts w:ascii="Arial" w:cs="Arial" w:eastAsia="Arial" w:hAnsi="Arial"/>
          <w:sz w:val="18"/>
          <w:szCs w:val="18"/>
          <w:color w:val="auto"/>
        </w:rPr>
        <w:t>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fees, valuation and other professional services), insurance costs, Administrative services expense under the Administration Agreement and general administrative and other costs.</w:t>
      </w:r>
    </w:p>
    <w:p>
      <w:pPr>
        <w:spacing w:after="0" w:line="76"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Total expenses for the years ended December 31, 2020, 2019 and 2018 were approximately $26.3 million, $23.4 million and $17.1 million, respectively. For the year ended December 31, 2019, we incurred approximately $3.4 million in total expenses in connection with the Externalization and approximately $1.4 million related to the termination of the lease of office space formerly occupied by the Company prior to the Externalization. The impairment charge related to our write down of our lease right-of-use asset is recorded as a separate line item within the expense section of the consolidated statement of operations. For the years ended December 31, 2020, 2019 and 2018, interest expense and amortization on debt issuance costs and discount for the period was approximately $10.3 million, $8.3 million and $7.4 million, respectively, on average debt outstanding of $203 million, $132 million, and $105 million, respectively.</w:t>
      </w:r>
    </w:p>
    <w:p>
      <w:pPr>
        <w:spacing w:after="0" w:line="87" w:lineRule="exact"/>
        <w:rPr>
          <w:sz w:val="20"/>
          <w:szCs w:val="20"/>
          <w:color w:val="auto"/>
        </w:rPr>
      </w:pPr>
    </w:p>
    <w:p>
      <w:pPr>
        <w:ind w:right="240" w:firstLine="374"/>
        <w:spacing w:after="0" w:line="311" w:lineRule="auto"/>
        <w:rPr>
          <w:sz w:val="20"/>
          <w:szCs w:val="20"/>
          <w:color w:val="auto"/>
        </w:rPr>
      </w:pPr>
      <w:r>
        <w:rPr>
          <w:rFonts w:ascii="Arial" w:cs="Arial" w:eastAsia="Arial" w:hAnsi="Arial"/>
          <w:sz w:val="16"/>
          <w:szCs w:val="16"/>
          <w:color w:val="auto"/>
        </w:rPr>
        <w:t>For the years ended December 31, 2019 and 2018, approximately $3.7 million and $4.0 million of expenses were attributable to compensation of former employees, including salaries, bonuses, employee benefits, payroll taxes and stock-based compensation expense, respectively. For the year ended December 31, 2019, we incurred approximately $2.2 million in compensation expense (primarily severance) in connection with the Externalization.</w:t>
      </w:r>
    </w:p>
    <w:p>
      <w:pPr>
        <w:spacing w:after="0" w:line="41" w:lineRule="exact"/>
        <w:rPr>
          <w:sz w:val="20"/>
          <w:szCs w:val="20"/>
          <w:color w:val="auto"/>
        </w:rPr>
      </w:pPr>
    </w:p>
    <w:p>
      <w:pPr>
        <w:ind w:right="160" w:firstLine="374"/>
        <w:spacing w:after="0" w:line="293" w:lineRule="auto"/>
        <w:rPr>
          <w:sz w:val="20"/>
          <w:szCs w:val="20"/>
          <w:color w:val="auto"/>
        </w:rPr>
      </w:pPr>
      <w:r>
        <w:rPr>
          <w:rFonts w:ascii="Arial" w:cs="Arial" w:eastAsia="Arial" w:hAnsi="Arial"/>
          <w:sz w:val="16"/>
          <w:szCs w:val="16"/>
          <w:color w:val="auto"/>
        </w:rPr>
        <w:t>For the years ended December 31, 2020, 2019 and 2018, professional fees and insurance expenses totaled approximately $3.5 million, $4.2 million and $3.8 million, respectively. For the year ended December 31, 2019, we incurred approximately $1.0 million of professional fees in connection with the Externalization. For the year ended December 31, 2020 and 2019, administrative services expense was approximately $1.9 million and $1.2 million , respectively. Other general and administrative expenses, which includes rent expense on our former lease obligation, technology and other office and administrative expenses, totaled approximately $1.2 million, $1.5 million and $1.9 million for the years ended December 31, 2020, 2019 and 2018, respectively. For the year ended December 31, 2019, we incurred approximately $187,000 in administrative costs in connection with the Externalization.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1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Net investment income and net realized gains (losses) represents the change in stockholder’s equity before net unrealized appreciation or depreciation on investments. For the year ended December 31, 2020, net investment income and net realized gains were approximately $24.6 million, or $0.49 per share. For the year ended December 31, 2019, net investment income and net realized (losses) were approximately ($12.5) million, or ($0.33) per share. For the year ended December 31, 2018, net investment income and net realized (losses) were approximately ($6.5) million, or ($0.17) per share. Net investment income represents the income earned on our investments less operating and interest expense before net realized gains or losses and unrealized appreciation or depreciation on investments.</w:t>
      </w:r>
    </w:p>
    <w:p>
      <w:pPr>
        <w:spacing w:after="0" w:line="84" w:lineRule="exact"/>
        <w:rPr>
          <w:sz w:val="20"/>
          <w:szCs w:val="20"/>
          <w:color w:val="auto"/>
        </w:rPr>
      </w:pPr>
    </w:p>
    <w:p>
      <w:pPr>
        <w:ind w:right="200" w:firstLine="374"/>
        <w:spacing w:after="0" w:line="255" w:lineRule="auto"/>
        <w:rPr>
          <w:sz w:val="20"/>
          <w:szCs w:val="20"/>
          <w:color w:val="auto"/>
        </w:rPr>
      </w:pPr>
      <w:r>
        <w:rPr>
          <w:rFonts w:ascii="Arial" w:cs="Arial" w:eastAsia="Arial" w:hAnsi="Arial"/>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year ended December 31, 2020, GAAP-basis net investment income was approximately $17.0 million or $0.34 per share, while tax-basis distributable income was approximately $10.8 million or $0.22 per share. For the year ended December 31, 2019, GAAP-basis net investment income was approximately $3.1 million or $0.08 per basic share, while tax-basis distributable income was approximately $0.5 million or $0.01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Gains (Losses) On Investments: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19,811,899</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6,519,282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(7,420,747)</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Equity securities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1,647,812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(4,856,831)</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(1,283,420)</w:t>
            </w: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CLO Fund Securities managed by affiliates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(11,079,828)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(6,875,007)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17,790,480</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CLO Fund Securities managed by non-affiliates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(414,915)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3,380,119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(8,285,747)</w:t>
            </w: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Manager Affiliates investments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(579,000)</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Joint Venture Investments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(2,076,723)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3,017,847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(3,125,560)</w:t>
            </w: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(1,075,182)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(64,046)</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 net unrealized gain (loss) from investment transactions</w:t>
            </w:r>
          </w:p>
        </w:tc>
        <w:tc>
          <w:tcPr>
            <w:tcW w:w="1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6,813,063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1,121,364</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(2,903,994)</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74"/>
        <w:spacing w:after="0" w:line="268" w:lineRule="auto"/>
        <w:rPr>
          <w:sz w:val="20"/>
          <w:szCs w:val="20"/>
          <w:color w:val="auto"/>
        </w:rPr>
      </w:pPr>
      <w:r>
        <w:rPr>
          <w:rFonts w:ascii="Arial" w:cs="Arial" w:eastAsia="Arial" w:hAnsi="Arial"/>
          <w:sz w:val="17"/>
          <w:szCs w:val="17"/>
          <w:color w:val="auto"/>
        </w:rPr>
        <w:t>During the year ended December 31, 2020, our total investments had net unrealized appreciation of approximately $6.8 million. Included in the net unrealized appreciation for the year ended December 31, 2020, are unrealized depreciation on CLO Fund Securities of approximately $11.5 million, net unrealized appreciation on equity securities of approximately $1.6 million, as well as unrealized depreciation of $2.1 million on our Joint Venture investments and unrealized appreciation on our debt securities of approximately $19.8 million, including approximately $40.4 million of purchase discount related to assets acquired in the GARS transaction. During the year ended December 31, 2019, our total investments had net unrealized appreciation of approximately $1.1 million. Included in the net unrealized appreciation for the year ended December 31, 2019 are unrealized depreciation on CLO Fund Securities of approximately $3.5 million unrealized depreciation and on equity securities of approximately $4.9 million, unrealized appreciation of $3.0 million on our Joint Ventures investment and unrealized appreciation on our debt securities of $6.5 million, including approximately $6.4 million of purchase discount related to assets acquired in the OHAI transaction. During the year ended December 31, 2018, our total investments had net unrealized depreciation of approximately $2.9 million. Included in the net unrealized depreciation for the year ended December 31, 2018 are unrealized appreciation on CLO Fund Securities of approximately $9.5 million unrealized depreciation and on equity securities of approximately $1.3 million, unrealized depreciation of the Asset Manager Affiliates of $0.6 million, unrealized depreciation of $3.1 million on our Joint Ventures investments and unrealized depreciation on our debt securities of $7.4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 xml:space="preserve">The net increase in stockholders’ equity resulting from operations for the year ended December 31, 2020 was approximately $31.6 million, or $0.63 per basic share. Net decrease in stockholders’ equity resulting from operations for the year ended December 31, 2019 was approximately ($12.5) million, or $(0.33) per share. </w:t>
      </w:r>
      <w:r>
        <w:rPr>
          <w:rFonts w:ascii="Arial" w:cs="Arial" w:eastAsia="Arial" w:hAnsi="Arial"/>
          <w:sz w:val="18"/>
          <w:szCs w:val="18"/>
          <w:color w:val="231F20"/>
        </w:rPr>
        <w:t>Net decrease in stockholders’ equity resulting from operations for the year ended December 31, 2018 was approximately $(9.6)</w:t>
      </w:r>
      <w:r>
        <w:rPr>
          <w:rFonts w:ascii="Arial" w:cs="Arial" w:eastAsia="Arial" w:hAnsi="Arial"/>
          <w:sz w:val="18"/>
          <w:szCs w:val="18"/>
          <w:color w:val="auto"/>
        </w:rPr>
        <w:t xml:space="preserve"> </w:t>
      </w:r>
      <w:r>
        <w:rPr>
          <w:rFonts w:ascii="Arial" w:cs="Arial" w:eastAsia="Arial" w:hAnsi="Arial"/>
          <w:sz w:val="18"/>
          <w:szCs w:val="18"/>
          <w:color w:val="231F20"/>
        </w:rPr>
        <w:t>million, or $(0.26) per basic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ind w:left="380"/>
        <w:spacing w:after="0"/>
        <w:rPr>
          <w:sz w:val="20"/>
          <w:szCs w:val="20"/>
          <w:color w:val="auto"/>
        </w:rPr>
      </w:pPr>
      <w:r>
        <w:rPr>
          <w:rFonts w:ascii="Arial" w:cs="Arial" w:eastAsia="Arial" w:hAnsi="Arial"/>
          <w:sz w:val="18"/>
          <w:szCs w:val="18"/>
          <w:color w:val="auto"/>
        </w:rPr>
        <w:t>As of December 31, 2020 and December 31, 2019 the fair value of investments and cash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2"/>
              </w:rPr>
              <w:t>December 31, 2020</w:t>
            </w: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6,990,008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75,913,411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4,967,491</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328,845,612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88,788,639</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75,807,477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Subordinated Note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2,422,281</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207,766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403,615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49,349,163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(1,108,618)</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(33,437)</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569,532,250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283,001,520</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374"/>
        <w:spacing w:after="0" w:line="289"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We also may repurchase our common stock and our Board has provided authorization to do so. See “Item 5. Market for Registrant’s Common Equity, Related Stockholder Matters and Issuer Purchases of Equity Securities – Issuer Purchases of Equity Securities.” In addition, we evaluate strategic opportunities available to us, including mergers, divestures, spin-offs, joint ventures and other similar transactions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35"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December 31, 2020, we had approximately $377.9 million of par value of outstanding borrowings and our asset coverage ratio of total assets to total borrowings was 156%, compliant with the minimum asset coverage level of 150% generally required for a BDC by the 1940 Act. We may also borrow amounts of up to 5% of the value of our total assets for temporary purposes.</w:t>
      </w:r>
    </w:p>
    <w:p>
      <w:pPr>
        <w:spacing w:after="0" w:line="84" w:lineRule="exact"/>
        <w:rPr>
          <w:sz w:val="20"/>
          <w:szCs w:val="20"/>
          <w:color w:val="auto"/>
        </w:rPr>
      </w:pPr>
    </w:p>
    <w:p>
      <w:pPr>
        <w:ind w:right="340" w:firstLine="374"/>
        <w:spacing w:after="0" w:line="257" w:lineRule="auto"/>
        <w:rPr>
          <w:sz w:val="20"/>
          <w:szCs w:val="20"/>
          <w:color w:val="auto"/>
        </w:rPr>
      </w:pPr>
      <w:r>
        <w:rPr>
          <w:rFonts w:ascii="Arial" w:cs="Arial" w:eastAsia="Arial" w:hAnsi="Arial"/>
          <w:sz w:val="18"/>
          <w:szCs w:val="18"/>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expect to maintain adequate liquidity and compliance with regulatory and contractual asset coverage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Notes</w:t>
      </w:r>
    </w:p>
    <w:p>
      <w:pPr>
        <w:spacing w:after="0" w:line="117"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 xml:space="preserve">During the third quarter of 2017, we issued $77.4 million aggregate principal amount of our Notes. The net proceeds for the </w:t>
      </w:r>
      <w:r>
        <w:rPr>
          <w:rFonts w:ascii="Arial" w:cs="Arial" w:eastAsia="Arial" w:hAnsi="Arial"/>
          <w:sz w:val="17"/>
          <w:szCs w:val="17"/>
          <w:color w:val="231F20"/>
        </w:rPr>
        <w:t>6.125% Notes Due 2022</w:t>
      </w:r>
      <w:r>
        <w:rPr>
          <w:rFonts w:ascii="Arial" w:cs="Arial" w:eastAsia="Arial" w:hAnsi="Arial"/>
          <w:sz w:val="17"/>
          <w:szCs w:val="17"/>
          <w:color w:val="auto"/>
        </w:rPr>
        <w:t xml:space="preserve">, after the payment of underwriting expenses, were approximately $74.6 million. Interest on the </w:t>
      </w:r>
      <w:r>
        <w:rPr>
          <w:rFonts w:ascii="Arial" w:cs="Arial" w:eastAsia="Arial" w:hAnsi="Arial"/>
          <w:sz w:val="17"/>
          <w:szCs w:val="17"/>
          <w:color w:val="231F20"/>
        </w:rPr>
        <w:t>6.125% Notes Due 2022</w:t>
      </w:r>
      <w:r>
        <w:rPr>
          <w:rFonts w:ascii="Arial" w:cs="Arial" w:eastAsia="Arial" w:hAnsi="Arial"/>
          <w:sz w:val="17"/>
          <w:szCs w:val="17"/>
          <w:color w:val="auto"/>
        </w:rPr>
        <w:t xml:space="preserve"> is paid quarterly in arrears on March 30, June 30, September 30 and December 30, at a rate of 6.125% commencing September 30, 2017. The </w:t>
      </w:r>
      <w:r>
        <w:rPr>
          <w:rFonts w:ascii="Arial" w:cs="Arial" w:eastAsia="Arial" w:hAnsi="Arial"/>
          <w:sz w:val="17"/>
          <w:szCs w:val="17"/>
          <w:color w:val="231F20"/>
        </w:rPr>
        <w:t>6.125% Notes Due 2022</w:t>
      </w:r>
      <w:r>
        <w:rPr>
          <w:rFonts w:ascii="Arial" w:cs="Arial" w:eastAsia="Arial" w:hAnsi="Arial"/>
          <w:sz w:val="17"/>
          <w:szCs w:val="17"/>
          <w:color w:val="auto"/>
        </w:rPr>
        <w:t xml:space="preserve"> mature on September 30, 2022 and are senior unsecured obligations. The indenture governing the </w:t>
      </w:r>
      <w:r>
        <w:rPr>
          <w:rFonts w:ascii="Arial" w:cs="Arial" w:eastAsia="Arial" w:hAnsi="Arial"/>
          <w:sz w:val="17"/>
          <w:szCs w:val="17"/>
          <w:color w:val="231F20"/>
        </w:rPr>
        <w:t>6.125% Notes Due 2022</w:t>
      </w:r>
      <w:r>
        <w:rPr>
          <w:rFonts w:ascii="Arial" w:cs="Arial" w:eastAsia="Arial" w:hAnsi="Arial"/>
          <w:sz w:val="17"/>
          <w:szCs w:val="17"/>
          <w:color w:val="auto"/>
        </w:rPr>
        <w:t xml:space="preserve"> contains certain restrictive covenants, including compliance with certain provisions of the 1940 Act relating to borrowing and dividends. At December 31, 2020, there was approximately $76.7 million of principal amount outstanding, and we were in compliance with all of our debt covenants on the 6.125% Notes.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Revolving Credit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4" w:name="page65"/>
    <w:bookmarkEnd w:id="64"/>
    <w:p>
      <w:pPr>
        <w:ind w:right="80" w:firstLine="374"/>
        <w:spacing w:after="0" w:line="291"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Great Lakes Portman Ridge Funding LLC</w:t>
      </w:r>
    </w:p>
    <w:p>
      <w:pPr>
        <w:spacing w:after="0" w:line="11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7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GLPRF LLC’s obligations to the lenders under the Revolving Credit Facility are secured by a first priority security interest in all of SPV’s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76"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8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79"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At December 31, 2020, GLPRF LLC was in compliance with all of its debt covenants and there was approximately $49.3 million principal amount of borrowings was outstanding under the Revolving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121"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62" w:lineRule="exact"/>
        <w:rPr>
          <w:sz w:val="20"/>
          <w:szCs w:val="20"/>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130"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62"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62"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5" w:name="page66"/>
    <w:bookmarkEnd w:id="65"/>
    <w:p>
      <w:pPr>
        <w:ind w:right="140" w:firstLine="374"/>
        <w:spacing w:after="0" w:line="263" w:lineRule="auto"/>
        <w:rPr>
          <w:sz w:val="20"/>
          <w:szCs w:val="20"/>
          <w:color w:val="auto"/>
        </w:rPr>
      </w:pPr>
      <w:r>
        <w:rPr>
          <w:rFonts w:ascii="Arial" w:cs="Arial" w:eastAsia="Arial" w:hAnsi="Arial"/>
          <w:sz w:val="18"/>
          <w:szCs w:val="18"/>
          <w:color w:val="auto"/>
        </w:rPr>
        <w:t>We are also prohibited by the indentures governing our Notes from making distributions on our common stock if, at the time of declaration, our asset coverage, as defined in the 1940 Act, is below 150%. In any such event, we would be prohibited from making distributions required in order to maintain our status as a RIC.</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since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Declaration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Record</w:t>
            </w:r>
          </w:p>
        </w:tc>
        <w:tc>
          <w:tcPr>
            <w:tcW w:w="126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Date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2021:</w:t>
            </w: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29"/>
        </w:trPr>
        <w:tc>
          <w:tcPr>
            <w:tcW w:w="58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2/12/2021</w:t>
            </w:r>
            <w:r>
              <w:rPr>
                <w:rFonts w:ascii="Arial" w:cs="Arial" w:eastAsia="Arial" w:hAnsi="Arial"/>
                <w:sz w:val="15"/>
                <w:szCs w:val="15"/>
                <w:color w:val="auto"/>
              </w:rPr>
              <w:t>1</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2/22/2021</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3/2/2021</w:t>
            </w: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10/16/2020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10/26/2020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11/27/2020</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8/5/2020</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8/28/2020</w:t>
            </w: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3/17/2020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5/7/2020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5/27/2020</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2/5/2020</w:t>
            </w:r>
            <w:r>
              <w:rPr>
                <w:rFonts w:ascii="Arial" w:cs="Arial" w:eastAsia="Arial" w:hAnsi="Arial"/>
                <w:sz w:val="15"/>
                <w:szCs w:val="15"/>
                <w:color w:val="auto"/>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2/28/2020</w:t>
            </w:r>
          </w:p>
        </w:tc>
      </w:tr>
      <w:tr>
        <w:trPr>
          <w:trHeight w:val="263"/>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declared in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r>
      <w:tr>
        <w:trPr>
          <w:trHeight w:val="21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11/5/2019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11/29/2019</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8/5/2019</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8/29/2019</w:t>
            </w: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3/20/2019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4/26/2019</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12/12/2018</w:t>
            </w:r>
            <w:r>
              <w:rPr>
                <w:rFonts w:ascii="Arial" w:cs="Arial" w:eastAsia="Arial" w:hAnsi="Arial"/>
                <w:sz w:val="15"/>
                <w:szCs w:val="15"/>
                <w:color w:val="auto"/>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1/31/2019</w:t>
            </w:r>
          </w:p>
        </w:tc>
      </w:tr>
      <w:tr>
        <w:trPr>
          <w:trHeight w:val="263"/>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declared in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r>
      <w:tr>
        <w:trPr>
          <w:trHeight w:val="21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9/18/2018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10/9/2018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10/29/2018</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6/19/2018</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7/27/2018</w:t>
            </w: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3/20/2018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4/6/2018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4/27/2018</w:t>
            </w: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 quarter</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12/13/2017</w:t>
            </w:r>
            <w:r>
              <w:rPr>
                <w:rFonts w:ascii="Arial" w:cs="Arial" w:eastAsia="Arial" w:hAnsi="Arial"/>
                <w:sz w:val="15"/>
                <w:szCs w:val="15"/>
                <w:color w:val="auto"/>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1/25/2018</w:t>
            </w: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declared in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Since the record date of this distribution is subsequent to year-end, it is a subsequent year tax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December 31, 2020 and December 31, 2019, the Company had approximately $32.9 million and $31.9 million in commitments to fund investments, respectively. As of December 31, 2020, included in such amount was $20.0 million in unfunded commitments to the BCP Great Lakes Partnership, however, as of that date, our funding commitment was limited to approximately $15.0 million pursuant to certain limitations (including that we are not obligated to fund capital calls if such funding would cause the Company to be out of compliance with certain provisions of the 1940 Act). We may also enter into derivative contracts with off-balance sheet risk in connection with our investing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8"/>
                <w:szCs w:val="18"/>
                <w:b w:val="1"/>
                <w:bCs w:val="1"/>
                <w:color w:val="auto"/>
                <w:w w:val="89"/>
              </w:rPr>
              <w:t>Payments Due by Period</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8"/>
              </w:rPr>
              <w:t>Less than</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one year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2 - 3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4 - 5 years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5 years</w:t>
            </w:r>
          </w:p>
        </w:tc>
        <w:tc>
          <w:tcPr>
            <w:tcW w:w="20" w:type="dxa"/>
            <w:vAlign w:val="bottom"/>
          </w:tcPr>
          <w:p>
            <w:pPr>
              <w:spacing w:after="0"/>
              <w:rPr>
                <w:sz w:val="20"/>
                <w:szCs w:val="20"/>
                <w:color w:val="auto"/>
              </w:rPr>
            </w:pP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$377,909,572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$126,046,874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$251,862,698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21"/>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62"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84"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79"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62"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64"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right="660" w:firstLine="374"/>
        <w:spacing w:after="0" w:line="311"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the Company holds a large position and a sale could reasonably affect the quoted price.</w:t>
      </w:r>
    </w:p>
    <w:p>
      <w:pPr>
        <w:spacing w:after="0" w:line="41" w:lineRule="exact"/>
        <w:rPr>
          <w:sz w:val="20"/>
          <w:szCs w:val="20"/>
          <w:color w:val="auto"/>
        </w:rPr>
      </w:pPr>
    </w:p>
    <w:p>
      <w:pPr>
        <w:ind w:right="20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68"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right="2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3" w:lineRule="exact"/>
        <w:rPr>
          <w:sz w:val="20"/>
          <w:szCs w:val="20"/>
          <w:color w:val="auto"/>
        </w:rPr>
      </w:pPr>
    </w:p>
    <w:p>
      <w:pPr>
        <w:ind w:right="380" w:firstLine="374"/>
        <w:spacing w:after="0" w:line="311" w:lineRule="auto"/>
        <w:rPr>
          <w:sz w:val="20"/>
          <w:szCs w:val="20"/>
          <w:color w:val="auto"/>
        </w:rPr>
      </w:pPr>
      <w:r>
        <w:rPr>
          <w:rFonts w:ascii="Arial" w:cs="Arial" w:eastAsia="Arial" w:hAnsi="Arial"/>
          <w:sz w:val="16"/>
          <w:szCs w:val="16"/>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41"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64"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Our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117"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3"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8"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8" w:name="page69"/>
    <w:bookmarkEnd w:id="68"/>
    <w:p>
      <w:pPr>
        <w:ind w:right="140" w:firstLine="37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Board may consider other methods of valuation to determine the fair value of investments as appropriate in conformity with GAAP.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2020, eight of our debt investments were on non-accrual status.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on CLO Fund Securities</w:t>
      </w:r>
    </w:p>
    <w:p>
      <w:pPr>
        <w:spacing w:after="0" w:line="121"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73"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Asset Manager Affiliates</w:t>
      </w:r>
    </w:p>
    <w:p>
      <w:pPr>
        <w:spacing w:after="0" w:line="121"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We record distributions from the Asset Manager Affiliates on the declaration date, which represents the ex-dividend date. Distributions in excess of tax-basis earnings and profits are recorded as tax-basis return of capital.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in Kind Interest</w:t>
      </w:r>
    </w:p>
    <w:p>
      <w:pPr>
        <w:spacing w:after="0" w:line="121"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Fee Income</w:t>
      </w:r>
    </w:p>
    <w:p>
      <w:pPr>
        <w:spacing w:after="0" w:line="121"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w:t>
      </w:r>
    </w:p>
    <w:p>
      <w:pPr>
        <w:spacing w:after="0" w:line="121" w:lineRule="exact"/>
        <w:rPr>
          <w:sz w:val="20"/>
          <w:szCs w:val="20"/>
          <w:color w:val="auto"/>
        </w:rPr>
      </w:pPr>
    </w:p>
    <w:p>
      <w:pPr>
        <w:ind w:right="240" w:firstLine="374"/>
        <w:spacing w:after="0" w:line="255" w:lineRule="auto"/>
        <w:rPr>
          <w:sz w:val="20"/>
          <w:szCs w:val="20"/>
          <w:color w:val="auto"/>
        </w:rPr>
      </w:pPr>
      <w:r>
        <w:rPr>
          <w:rFonts w:ascii="Arial" w:cs="Arial" w:eastAsia="Arial" w:hAnsi="Arial"/>
          <w:sz w:val="18"/>
          <w:szCs w:val="18"/>
          <w:color w:val="auto"/>
        </w:rPr>
        <w:t>As a result of the Closing we no longer issue stock options or restricted stock under the Company’s Equity Incentive Plan or the Company’s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2008 Non-Employee Director Plan that was outstanding immediately prior to the Externalization (each, a “Company Stock Option”) was cancelled in exchange for the payment in cash to the holder thereof.</w:t>
      </w:r>
    </w:p>
    <w:p>
      <w:pPr>
        <w:spacing w:after="0" w:line="84"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due to stockholders in connection with the Externalization.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United States Federal Income Taxes</w:t>
      </w:r>
    </w:p>
    <w:p>
      <w:pPr>
        <w:spacing w:after="0" w:line="12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We have elected to be treated as a RIC and intend to continue to qualify for the tax treatment applicable to RICs under Subchapter M of the Code and, among other things, intend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Shareholders</w:t>
      </w:r>
    </w:p>
    <w:p>
      <w:pPr>
        <w:spacing w:after="0" w:line="121"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2 to the financial statements included in this annual report, for a description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On February 12, 2021 our Board declared a distribution to shareholders of $0.06 per share for a total of $4.5 million. The record date was February 22, 2021and the distribution was paid on March 2, 2021.</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7A.</w:t>
      </w:r>
      <w:r>
        <w:rPr>
          <w:sz w:val="20"/>
          <w:szCs w:val="20"/>
          <w:color w:val="auto"/>
        </w:rPr>
        <w:tab/>
      </w:r>
      <w:r>
        <w:rPr>
          <w:rFonts w:ascii="Arial" w:cs="Arial" w:eastAsia="Arial" w:hAnsi="Arial"/>
          <w:sz w:val="15"/>
          <w:szCs w:val="15"/>
          <w:b w:val="1"/>
          <w:bCs w:val="1"/>
          <w:i w:val="1"/>
          <w:iCs w:val="1"/>
          <w:color w:val="231F20"/>
        </w:rPr>
        <w:t>Quantitative and Qualitative Disclosures about Market Risk</w:t>
      </w:r>
    </w:p>
    <w:p>
      <w:pPr>
        <w:spacing w:after="0" w:line="121"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231F20"/>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Interest Rate Risk</w:t>
      </w:r>
    </w:p>
    <w:p>
      <w:pPr>
        <w:spacing w:after="0" w:line="121"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0" w:name="page71"/>
    <w:bookmarkEnd w:id="70"/>
    <w:p>
      <w:pPr>
        <w:ind w:right="180" w:firstLine="374"/>
        <w:spacing w:after="0" w:line="275"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December 31, 2020, approximately 78% of our Debt Securities Portfolio were either floating rate with a spread to an interest rate index such as LIBOR or the prime rate. 74% of these floating rate loans contain LIBOR floors ranging between 1.00% and 2.00%. We generally expect that future portfolio investments will predominately be floating rate investments. As of December 31, 2020, we had approximately $377.9 million (par value) of borrowings outstanding at a current weighted average rate of 3.0%, of which $76.7 million par value had a fixed rate and $301.2 million par value has a floating rate.</w:t>
      </w:r>
    </w:p>
    <w:p>
      <w:pPr>
        <w:spacing w:after="0" w:line="68"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Revolving Credit Facility would fluctuate with changes in interest rates.</w:t>
      </w:r>
    </w:p>
    <w:p>
      <w:pPr>
        <w:spacing w:after="0" w:line="79"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76" w:lineRule="exact"/>
        <w:rPr>
          <w:sz w:val="20"/>
          <w:szCs w:val="20"/>
          <w:color w:val="auto"/>
        </w:rPr>
      </w:pPr>
    </w:p>
    <w:p>
      <w:pPr>
        <w:ind w:right="160" w:firstLine="374"/>
        <w:spacing w:after="0" w:line="286" w:lineRule="auto"/>
        <w:rPr>
          <w:sz w:val="20"/>
          <w:szCs w:val="20"/>
          <w:color w:val="auto"/>
        </w:rPr>
      </w:pPr>
      <w:r>
        <w:rPr>
          <w:rFonts w:ascii="Arial" w:cs="Arial" w:eastAsia="Arial" w:hAnsi="Arial"/>
          <w:sz w:val="17"/>
          <w:szCs w:val="17"/>
          <w:color w:val="auto"/>
        </w:rPr>
        <w:t>We have analyzed the potential impact of changes in interest rates on interest income net of interest expense. Assuming that our balance sheet at December 31, 2020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0"/>
              </w:rPr>
              <w:t>Impact on net investment income from</w:t>
            </w:r>
          </w:p>
        </w:tc>
      </w:tr>
      <w:tr>
        <w:trPr>
          <w:trHeight w:val="234"/>
        </w:trPr>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89"/>
              </w:rPr>
              <w:t>a change in interest rates at:</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8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Increase in interest rate</w:t>
            </w:r>
          </w:p>
        </w:tc>
        <w:tc>
          <w:tcPr>
            <w:tcW w:w="2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(1,524,391)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(682,436)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290,495</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2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419,444</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407,733</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407,733</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As shown above, net investment income assuming a 1% increase in interest rates would decrease by approximately $1.5 million on an annualized basis. If the increase in rates was more significant, such as 2% or 3%, the net effect on net investment income would be an decrease of approximately $0.7 million and an increase of $0.3 million, respectively.</w:t>
      </w:r>
    </w:p>
    <w:p>
      <w:pPr>
        <w:spacing w:after="0" w:line="76" w:lineRule="exact"/>
        <w:rPr>
          <w:sz w:val="20"/>
          <w:szCs w:val="20"/>
          <w:color w:val="auto"/>
        </w:rPr>
      </w:pPr>
    </w:p>
    <w:p>
      <w:pPr>
        <w:ind w:right="220" w:firstLine="374"/>
        <w:spacing w:after="0" w:line="311" w:lineRule="auto"/>
        <w:rPr>
          <w:sz w:val="20"/>
          <w:szCs w:val="20"/>
          <w:color w:val="auto"/>
        </w:rPr>
      </w:pPr>
      <w:r>
        <w:rPr>
          <w:rFonts w:ascii="Arial" w:cs="Arial" w:eastAsia="Arial" w:hAnsi="Arial"/>
          <w:sz w:val="16"/>
          <w:szCs w:val="16"/>
          <w:color w:val="auto"/>
        </w:rPr>
        <w:t>On an annualized basis, a decrease in interest rates of 1%, 2% and 3% would result in an increase in net investment income of approximately $0.4 million, $0.4 million and $0.4 million, respectively. The effect on net investment income from declines in interest rates is impacted by interest rate floors on certain of our floating rate investments. There is no floor on our floating rate debt facility and the 2018-2 Secured Notes.</w:t>
      </w:r>
    </w:p>
    <w:p>
      <w:pPr>
        <w:spacing w:after="0" w:line="41"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231F20"/>
        </w:rPr>
        <w:t>Portfolio Valuation</w:t>
      </w:r>
    </w:p>
    <w:p>
      <w:pPr>
        <w:spacing w:after="0" w:line="121"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231F20"/>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77" w:lineRule="exact"/>
        <w:rPr>
          <w:sz w:val="20"/>
          <w:szCs w:val="20"/>
          <w:color w:val="auto"/>
        </w:rPr>
      </w:pPr>
    </w:p>
    <w:p>
      <w:pPr>
        <w:ind w:right="200" w:firstLine="374"/>
        <w:spacing w:after="0" w:line="275"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1" w:name="page72"/>
    <w:bookmarkEnd w:id="71"/>
    <w:p>
      <w:pPr>
        <w:spacing w:after="0"/>
        <w:tabs>
          <w:tab w:leader="none" w:pos="1120" w:val="left"/>
        </w:tabs>
        <w:rPr>
          <w:sz w:val="20"/>
          <w:szCs w:val="20"/>
          <w:color w:val="auto"/>
        </w:rPr>
      </w:pPr>
      <w:r>
        <w:rPr>
          <w:rFonts w:ascii="Arial" w:cs="Arial" w:eastAsia="Arial" w:hAnsi="Arial"/>
          <w:sz w:val="18"/>
          <w:szCs w:val="18"/>
          <w:b w:val="1"/>
          <w:bCs w:val="1"/>
          <w:color w:val="231F20"/>
        </w:rPr>
        <w:t>Item 8.</w:t>
      </w:r>
      <w:r>
        <w:rPr>
          <w:sz w:val="20"/>
          <w:szCs w:val="20"/>
          <w:color w:val="auto"/>
        </w:rPr>
        <w:tab/>
      </w:r>
      <w:r>
        <w:rPr>
          <w:rFonts w:ascii="Arial" w:cs="Arial" w:eastAsia="Arial" w:hAnsi="Arial"/>
          <w:sz w:val="15"/>
          <w:szCs w:val="15"/>
          <w:b w:val="1"/>
          <w:bCs w:val="1"/>
          <w:i w:val="1"/>
          <w:iCs w:val="1"/>
          <w:color w:val="231F20"/>
        </w:rPr>
        <w:t>Financial Statements and Supplementary Data</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Our financial statements are annexed to this Annual Report beginning on page F-1.</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9.</w:t>
      </w:r>
      <w:r>
        <w:rPr>
          <w:sz w:val="20"/>
          <w:szCs w:val="20"/>
          <w:color w:val="auto"/>
        </w:rPr>
        <w:tab/>
      </w:r>
      <w:r>
        <w:rPr>
          <w:rFonts w:ascii="Arial" w:cs="Arial" w:eastAsia="Arial" w:hAnsi="Arial"/>
          <w:sz w:val="15"/>
          <w:szCs w:val="15"/>
          <w:b w:val="1"/>
          <w:bCs w:val="1"/>
          <w:i w:val="1"/>
          <w:iCs w:val="1"/>
          <w:color w:val="231F20"/>
        </w:rPr>
        <w:t>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9A.</w:t>
      </w:r>
      <w:r>
        <w:rPr>
          <w:sz w:val="20"/>
          <w:szCs w:val="20"/>
          <w:color w:val="auto"/>
        </w:rPr>
        <w:tab/>
      </w:r>
      <w:r>
        <w:rPr>
          <w:rFonts w:ascii="Arial" w:cs="Arial" w:eastAsia="Arial" w:hAnsi="Arial"/>
          <w:sz w:val="15"/>
          <w:szCs w:val="15"/>
          <w:b w:val="1"/>
          <w:bCs w:val="1"/>
          <w:i w:val="1"/>
          <w:iCs w:val="1"/>
          <w:color w:val="231F20"/>
        </w:rPr>
        <w:t>Controls and Procedures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17" w:lineRule="exact"/>
        <w:rPr>
          <w:sz w:val="20"/>
          <w:szCs w:val="20"/>
          <w:color w:val="auto"/>
        </w:rPr>
      </w:pPr>
    </w:p>
    <w:p>
      <w:pPr>
        <w:ind w:right="80" w:firstLine="374"/>
        <w:spacing w:after="0" w:line="271"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Securities Exchange Act of 1934, as amended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Management’s Report on Internal Control Over Financial Reporting.</w:t>
      </w:r>
    </w:p>
    <w:p>
      <w:pPr>
        <w:spacing w:after="0" w:line="117" w:lineRule="exact"/>
        <w:rPr>
          <w:sz w:val="20"/>
          <w:szCs w:val="20"/>
          <w:color w:val="auto"/>
        </w:rPr>
      </w:pPr>
    </w:p>
    <w:p>
      <w:pPr>
        <w:ind w:right="300" w:firstLine="374"/>
        <w:spacing w:after="0" w:line="259" w:lineRule="auto"/>
        <w:rPr>
          <w:sz w:val="20"/>
          <w:szCs w:val="20"/>
          <w:color w:val="auto"/>
        </w:rPr>
      </w:pPr>
      <w:r>
        <w:rPr>
          <w:rFonts w:ascii="Arial" w:cs="Arial" w:eastAsia="Arial" w:hAnsi="Arial"/>
          <w:sz w:val="18"/>
          <w:szCs w:val="18"/>
          <w:i w:val="1"/>
          <w:iCs w:val="1"/>
          <w:color w:val="231F20"/>
        </w:rPr>
        <w:t xml:space="preserve">General. </w:t>
      </w:r>
      <w:r>
        <w:rPr>
          <w:rFonts w:ascii="Arial" w:cs="Arial" w:eastAsia="Arial" w:hAnsi="Arial"/>
          <w:sz w:val="18"/>
          <w:szCs w:val="18"/>
          <w:color w:val="231F20"/>
        </w:rPr>
        <w:t>The Company’s management is responsible for establishing and maintaining adequate internal control over financial reporting as</w:t>
      </w:r>
      <w:r>
        <w:rPr>
          <w:rFonts w:ascii="Arial" w:cs="Arial" w:eastAsia="Arial" w:hAnsi="Arial"/>
          <w:sz w:val="18"/>
          <w:szCs w:val="18"/>
          <w:i w:val="1"/>
          <w:iCs w:val="1"/>
          <w:color w:val="231F20"/>
        </w:rPr>
        <w:t xml:space="preserve"> </w:t>
      </w:r>
      <w:r>
        <w:rPr>
          <w:rFonts w:ascii="Arial" w:cs="Arial" w:eastAsia="Arial" w:hAnsi="Arial"/>
          <w:sz w:val="18"/>
          <w:szCs w:val="18"/>
          <w:color w:val="231F20"/>
        </w:rPr>
        <w:t>defined in Rules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i w:val="1"/>
          <w:iCs w:val="1"/>
          <w:color w:val="231F20"/>
        </w:rPr>
        <w:t xml:space="preserve">Scope of Management’s Report on Internal Control Over Financial Reporting. </w:t>
      </w:r>
      <w:r>
        <w:rPr>
          <w:rFonts w:ascii="Arial" w:cs="Arial" w:eastAsia="Arial" w:hAnsi="Arial"/>
          <w:sz w:val="18"/>
          <w:szCs w:val="18"/>
          <w:color w:val="231F20"/>
        </w:rPr>
        <w:t>The Company’s internal control over financial reporting includes those</w:t>
      </w:r>
      <w:r>
        <w:rPr>
          <w:rFonts w:ascii="Arial" w:cs="Arial" w:eastAsia="Arial" w:hAnsi="Arial"/>
          <w:sz w:val="18"/>
          <w:szCs w:val="18"/>
          <w:i w:val="1"/>
          <w:iCs w:val="1"/>
          <w:color w:val="231F20"/>
        </w:rPr>
        <w:t xml:space="preserve"> </w:t>
      </w:r>
      <w:r>
        <w:rPr>
          <w:rFonts w:ascii="Arial" w:cs="Arial" w:eastAsia="Arial" w:hAnsi="Arial"/>
          <w:sz w:val="18"/>
          <w:szCs w:val="18"/>
          <w:color w:val="231F20"/>
        </w:rPr>
        <w:t>policies and procedures that:</w:t>
      </w:r>
    </w:p>
    <w:p>
      <w:pPr>
        <w:spacing w:after="0" w:line="62" w:lineRule="exact"/>
        <w:rPr>
          <w:sz w:val="20"/>
          <w:szCs w:val="20"/>
          <w:color w:val="auto"/>
        </w:rPr>
      </w:pPr>
    </w:p>
    <w:p>
      <w:pPr>
        <w:ind w:left="740" w:right="28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740" w:right="140" w:hanging="368"/>
        <w:spacing w:after="0" w:line="263"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Provide reasonable assurance that transactions are recorded as necessary to permit preparation of the consolidated financial statements in accordance with generally accepted accounting principles, and that the Company’s receipts and expenditures are being made only in accordance with authorizations of the Company’s management and directors; and</w:t>
      </w:r>
    </w:p>
    <w:p>
      <w:pPr>
        <w:spacing w:after="0" w:line="75"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Provide reasonable assurance regarding prevention or timely detection of unauthorized acquisition, use or disposition of the Company’s assets that could have a material effect on the Company’s consolidated financial statements.</w:t>
      </w:r>
    </w:p>
    <w:p>
      <w:pPr>
        <w:spacing w:after="0" w:line="62"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i w:val="1"/>
          <w:iCs w:val="1"/>
          <w:color w:val="231F20"/>
        </w:rPr>
        <w:t xml:space="preserve">Conclusion. </w:t>
      </w:r>
      <w:r>
        <w:rPr>
          <w:rFonts w:ascii="Arial" w:cs="Arial" w:eastAsia="Arial" w:hAnsi="Arial"/>
          <w:sz w:val="17"/>
          <w:szCs w:val="17"/>
          <w:color w:val="231F20"/>
        </w:rPr>
        <w:t>Management, including the Company’s CEO and CFO, assessed the effectiveness of the Company’s internal control over</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financial reporting as </w:t>
      </w:r>
      <w:r>
        <w:rPr>
          <w:rFonts w:ascii="Arial" w:cs="Arial" w:eastAsia="Arial" w:hAnsi="Arial"/>
          <w:sz w:val="17"/>
          <w:szCs w:val="17"/>
          <w:color w:val="000000"/>
        </w:rPr>
        <w:t>December 31, 2020</w:t>
      </w:r>
      <w:r>
        <w:rPr>
          <w:rFonts w:ascii="Arial" w:cs="Arial" w:eastAsia="Arial" w:hAnsi="Arial"/>
          <w:sz w:val="17"/>
          <w:szCs w:val="17"/>
          <w:color w:val="231F20"/>
        </w:rPr>
        <w:t xml:space="preserve">. In making this assessment, management used the criteria established in the 2013 Internal Control-Integrated Framework issued by the Committee of Sponsoring Organizations of the Treadway Commission (COSO). Based on management’s assessment, management concluded, subject to the limitations described under “Scope of Management’s Report on Internal Control Over Financial Reporting” above, that the Company maintained effective internal control over financial reporting as of </w:t>
      </w:r>
      <w:r>
        <w:rPr>
          <w:rFonts w:ascii="Arial" w:cs="Arial" w:eastAsia="Arial" w:hAnsi="Arial"/>
          <w:sz w:val="17"/>
          <w:szCs w:val="17"/>
          <w:color w:val="000000"/>
        </w:rPr>
        <w:t>December 31, 2020</w:t>
      </w:r>
      <w:r>
        <w:rPr>
          <w:rFonts w:ascii="Arial" w:cs="Arial" w:eastAsia="Arial" w:hAnsi="Arial"/>
          <w:sz w:val="17"/>
          <w:szCs w:val="17"/>
          <w:color w:val="231F20"/>
        </w:rPr>
        <w:t>.</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Attestation Report of the Independent Registered Public Accounting Firm.</w:t>
      </w:r>
    </w:p>
    <w:p>
      <w:pPr>
        <w:spacing w:after="0" w:line="117" w:lineRule="exact"/>
        <w:rPr>
          <w:sz w:val="20"/>
          <w:szCs w:val="20"/>
          <w:color w:val="auto"/>
        </w:rPr>
      </w:pPr>
    </w:p>
    <w:p>
      <w:pPr>
        <w:jc w:val="both"/>
        <w:ind w:right="40" w:firstLine="374"/>
        <w:spacing w:after="0" w:line="259" w:lineRule="auto"/>
        <w:rPr>
          <w:sz w:val="20"/>
          <w:szCs w:val="20"/>
          <w:color w:val="auto"/>
        </w:rPr>
      </w:pPr>
      <w:r>
        <w:rPr>
          <w:rFonts w:ascii="Arial" w:cs="Arial" w:eastAsia="Arial" w:hAnsi="Arial"/>
          <w:sz w:val="18"/>
          <w:szCs w:val="18"/>
          <w:color w:val="231F20"/>
        </w:rPr>
        <w:t xml:space="preserve">This annual report on </w:t>
      </w:r>
      <w:r>
        <w:rPr>
          <w:rFonts w:ascii="Arial" w:cs="Arial" w:eastAsia="Arial" w:hAnsi="Arial"/>
          <w:sz w:val="18"/>
          <w:szCs w:val="18"/>
          <w:color w:val="000000"/>
        </w:rPr>
        <w:t>Form 10-K does not include an attestation report of our independent registered public accounting firm regarding internal control</w:t>
      </w:r>
      <w:r>
        <w:rPr>
          <w:rFonts w:ascii="Arial" w:cs="Arial" w:eastAsia="Arial" w:hAnsi="Arial"/>
          <w:sz w:val="18"/>
          <w:szCs w:val="18"/>
          <w:color w:val="231F20"/>
        </w:rPr>
        <w:t xml:space="preserve"> </w:t>
      </w:r>
      <w:r>
        <w:rPr>
          <w:rFonts w:ascii="Arial" w:cs="Arial" w:eastAsia="Arial" w:hAnsi="Arial"/>
          <w:sz w:val="18"/>
          <w:szCs w:val="18"/>
          <w:color w:val="000000"/>
        </w:rPr>
        <w:t>over financial reporting. We were not required to have, nor have we, engaged our independent registered public accounting firm to perform an audit of the Company’s internal control over financial reporting as of December 31, 2020 pursuant to the rules of the SEC that permit us to provide only management's report in this annual report on Form 10-K.</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17"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231F20"/>
        </w:rPr>
        <w:t>There have been no changes in our internal control over financial reporting during the fourth quarter of 2020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9B.</w:t>
      </w:r>
      <w:r>
        <w:rPr>
          <w:sz w:val="20"/>
          <w:szCs w:val="20"/>
          <w:color w:val="auto"/>
        </w:rPr>
        <w:tab/>
      </w:r>
      <w:r>
        <w:rPr>
          <w:rFonts w:ascii="Arial" w:cs="Arial" w:eastAsia="Arial" w:hAnsi="Arial"/>
          <w:sz w:val="16"/>
          <w:szCs w:val="16"/>
          <w:b w:val="1"/>
          <w:bCs w:val="1"/>
          <w:i w:val="1"/>
          <w:iCs w:val="1"/>
          <w:color w:val="231F20"/>
        </w:rPr>
        <w:t>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231F20"/>
        </w:rPr>
        <w:t>PART III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10.</w:t>
      </w:r>
      <w:r>
        <w:rPr>
          <w:sz w:val="20"/>
          <w:szCs w:val="20"/>
          <w:color w:val="auto"/>
        </w:rPr>
        <w:tab/>
      </w:r>
      <w:r>
        <w:rPr>
          <w:rFonts w:ascii="Arial" w:cs="Arial" w:eastAsia="Arial" w:hAnsi="Arial"/>
          <w:sz w:val="15"/>
          <w:szCs w:val="15"/>
          <w:b w:val="1"/>
          <w:bCs w:val="1"/>
          <w:i w:val="1"/>
          <w:iCs w:val="1"/>
          <w:color w:val="231F20"/>
        </w:rPr>
        <w:t>Directors, Executive Officers and Corporate Governance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Executive Officer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16"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Certain information with respect to the directors of the Company is set forth below, including their names, ages, a brief description of their recent business experience, including present occupations and employment, certain directorships that each person holds, and the year in which each person became a director.</w:t>
      </w:r>
    </w:p>
    <w:p>
      <w:pPr>
        <w:spacing w:after="0" w:line="89" w:lineRule="exact"/>
        <w:rPr>
          <w:sz w:val="20"/>
          <w:szCs w:val="20"/>
          <w:color w:val="auto"/>
        </w:rPr>
      </w:pPr>
    </w:p>
    <w:p>
      <w:pPr>
        <w:jc w:val="both"/>
        <w:ind w:right="280" w:firstLine="749"/>
        <w:spacing w:after="0" w:line="263" w:lineRule="auto"/>
        <w:rPr>
          <w:sz w:val="20"/>
          <w:szCs w:val="20"/>
          <w:color w:val="auto"/>
        </w:rPr>
      </w:pPr>
      <w:r>
        <w:rPr>
          <w:rFonts w:ascii="Arial" w:cs="Arial" w:eastAsia="Arial" w:hAnsi="Arial"/>
          <w:sz w:val="18"/>
          <w:szCs w:val="18"/>
          <w:color w:val="auto"/>
        </w:rPr>
        <w:t>For purposes of this presentation, our directors have been divided into two groups – independent directors and interested directors. Interested directors are “interested persons” as defined in the 1940 Act. Graeme Dell and Ted Goldthorpe are interested directors of the Company because they are officers of the Company and/or the Adviser.</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60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Length of Time Served; Term of</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Occupation(s) During</w:t>
            </w:r>
          </w:p>
        </w:tc>
        <w:tc>
          <w:tcPr>
            <w:tcW w:w="330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Other Directorships Held by Director or Nominee</w:t>
            </w:r>
          </w:p>
        </w:tc>
        <w:tc>
          <w:tcPr>
            <w:tcW w:w="0" w:type="dxa"/>
            <w:vAlign w:val="bottom"/>
          </w:tcPr>
          <w:p>
            <w:pPr>
              <w:spacing w:after="0"/>
              <w:rPr>
                <w:sz w:val="1"/>
                <w:szCs w:val="1"/>
                <w:color w:val="auto"/>
              </w:rPr>
            </w:pPr>
          </w:p>
        </w:tc>
      </w:tr>
      <w:tr>
        <w:trPr>
          <w:trHeight w:val="186"/>
        </w:trPr>
        <w:tc>
          <w:tcPr>
            <w:tcW w:w="2040" w:type="dxa"/>
            <w:vAlign w:val="bottom"/>
            <w:vMerge w:val="continue"/>
          </w:tcPr>
          <w:p>
            <w:pPr>
              <w:spacing w:after="0"/>
              <w:rPr>
                <w:sz w:val="16"/>
                <w:szCs w:val="16"/>
                <w:color w:val="auto"/>
              </w:rPr>
            </w:pPr>
          </w:p>
        </w:tc>
        <w:tc>
          <w:tcPr>
            <w:tcW w:w="2600" w:type="dxa"/>
            <w:vAlign w:val="bottom"/>
          </w:tcPr>
          <w:p>
            <w:pPr>
              <w:jc w:val="center"/>
              <w:ind w:left="88"/>
              <w:spacing w:after="0"/>
              <w:rPr>
                <w:sz w:val="20"/>
                <w:szCs w:val="20"/>
                <w:color w:val="auto"/>
              </w:rPr>
            </w:pPr>
            <w:r>
              <w:rPr>
                <w:rFonts w:ascii="Arial" w:cs="Arial" w:eastAsia="Arial" w:hAnsi="Arial"/>
                <w:sz w:val="14"/>
                <w:szCs w:val="14"/>
                <w:b w:val="1"/>
                <w:bCs w:val="1"/>
                <w:color w:val="auto"/>
                <w:w w:val="90"/>
              </w:rPr>
              <w:t>Office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the Past Five Years</w:t>
            </w:r>
          </w:p>
        </w:tc>
        <w:tc>
          <w:tcPr>
            <w:tcW w:w="330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for Director During the Past Five Years</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-8890</wp:posOffset>
            </wp:positionV>
            <wp:extent cx="52889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p>
      <w:pPr>
        <w:spacing w:after="0"/>
        <w:rPr>
          <w:sz w:val="20"/>
          <w:szCs w:val="20"/>
          <w:color w:val="auto"/>
        </w:rPr>
      </w:pPr>
      <w:r>
        <w:rPr>
          <w:rFonts w:ascii="Arial" w:cs="Arial" w:eastAsia="Arial" w:hAnsi="Arial"/>
          <w:sz w:val="16"/>
          <w:szCs w:val="16"/>
          <w:b w:val="1"/>
          <w:bCs w:val="1"/>
          <w:color w:val="auto"/>
        </w:rPr>
        <w:t>Interested Directors</w:t>
      </w:r>
    </w:p>
    <w:p>
      <w:pPr>
        <w:spacing w:after="0" w:line="34"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auto"/>
        </w:rPr>
        <w:t>Graeme Dell (55)</w:t>
      </w:r>
      <w:r>
        <w:rPr>
          <w:sz w:val="20"/>
          <w:szCs w:val="20"/>
          <w:color w:val="auto"/>
        </w:rPr>
        <w:tab/>
      </w:r>
      <w:r>
        <w:rPr>
          <w:rFonts w:ascii="Arial" w:cs="Arial" w:eastAsia="Arial" w:hAnsi="Arial"/>
          <w:sz w:val="15"/>
          <w:szCs w:val="15"/>
          <w:color w:val="auto"/>
        </w:rPr>
        <w:t>Director since April 2019; term</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expires in 2023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Managing Partner and Chief Operating A member of the board of directors of Mount Logan Officer of BC Partners LLP since May Capital Inc. since October 2018.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2014. Previously, Mr. Dell was Group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Finance Director at Ashmore Group plc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from 2008 to 2014.</w:t>
      </w:r>
    </w:p>
    <w:p>
      <w:pPr>
        <w:spacing w:after="0" w:line="200" w:lineRule="exact"/>
        <w:rPr>
          <w:sz w:val="20"/>
          <w:szCs w:val="20"/>
          <w:color w:val="auto"/>
        </w:rPr>
      </w:pPr>
    </w:p>
    <w:p>
      <w:pPr>
        <w:sectPr>
          <w:pgSz w:w="11900" w:h="16838" w:orient="portrait"/>
          <w:cols w:equalWidth="0" w:num="2">
            <w:col w:w="4960" w:space="200"/>
            <w:col w:w="6080"/>
          </w:cols>
          <w:pgMar w:left="320" w:top="297" w:right="339" w:bottom="1440" w:gutter="0" w:footer="0" w:header="0"/>
          <w:type w:val="continuous"/>
        </w:sectPr>
      </w:pPr>
    </w:p>
    <w:p>
      <w:pPr>
        <w:spacing w:after="0" w:line="31"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auto"/>
        </w:rPr>
        <w:t>Ted Goldthorpe (44)</w:t>
      </w:r>
      <w:r>
        <w:rPr>
          <w:sz w:val="20"/>
          <w:szCs w:val="20"/>
          <w:color w:val="auto"/>
        </w:rPr>
        <w:tab/>
      </w:r>
      <w:r>
        <w:rPr>
          <w:rFonts w:ascii="Arial" w:cs="Arial" w:eastAsia="Arial" w:hAnsi="Arial"/>
          <w:sz w:val="15"/>
          <w:szCs w:val="15"/>
          <w:color w:val="auto"/>
        </w:rPr>
        <w:t>Director since April 2019; term</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expires in 2021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President and CEO of the Company since April 2019 and BC Partners Lending Corporation since April 2018. Executive Officer of Sierra Crest Investment Management LLC and Managing Partner of BC Partners Credit since 2017. Mr. Goldthorpe was President of Apollo Investment Corporation and Chief Investment Officer of Apollo Investment Management from 2012 to 2016.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 member of the board of directors of Mount Logan Capital Inc. since October 2018; a member of the board of directors of BC Partners Lending Corporation since 2018; a member of the board of trustees of the Alternative Credit Income Fund since 2020.</w:t>
      </w:r>
    </w:p>
    <w:p>
      <w:pPr>
        <w:spacing w:after="0" w:line="1202" w:lineRule="exact"/>
        <w:rPr>
          <w:sz w:val="20"/>
          <w:szCs w:val="20"/>
          <w:color w:val="auto"/>
        </w:rPr>
      </w:pPr>
    </w:p>
    <w:p>
      <w:pPr>
        <w:sectPr>
          <w:pgSz w:w="11900" w:h="16838" w:orient="portrait"/>
          <w:cols w:equalWidth="0" w:num="3">
            <w:col w:w="4960" w:space="200"/>
            <w:col w:w="2520" w:space="100"/>
            <w:col w:w="3460"/>
          </w:cols>
          <w:pgMar w:left="320" w:top="29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Independent Directors</w:t>
      </w:r>
    </w:p>
    <w:p>
      <w:pPr>
        <w:spacing w:after="0" w:line="50"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auto"/>
        </w:rPr>
        <w:t>Alexander Duka (54)</w:t>
      </w:r>
      <w:r>
        <w:rPr>
          <w:sz w:val="20"/>
          <w:szCs w:val="20"/>
          <w:color w:val="auto"/>
        </w:rPr>
        <w:tab/>
      </w:r>
      <w:r>
        <w:rPr>
          <w:rFonts w:ascii="Arial" w:cs="Arial" w:eastAsia="Arial" w:hAnsi="Arial"/>
          <w:sz w:val="15"/>
          <w:szCs w:val="15"/>
          <w:color w:val="auto"/>
        </w:rPr>
        <w:t>Director since April 2019; term</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expires in 2021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right="180"/>
        <w:spacing w:after="0" w:line="303" w:lineRule="auto"/>
        <w:rPr>
          <w:sz w:val="20"/>
          <w:szCs w:val="20"/>
          <w:color w:val="auto"/>
        </w:rPr>
      </w:pPr>
      <w:r>
        <w:rPr>
          <w:rFonts w:ascii="Arial" w:cs="Arial" w:eastAsia="Arial" w:hAnsi="Arial"/>
          <w:sz w:val="14"/>
          <w:szCs w:val="14"/>
          <w:color w:val="auto"/>
        </w:rPr>
        <w:t>Executive Vice President of Corporate A member of the board of directors of BC Partners Development of Acceleration Bay, LLCLending Corporation since 2018; a member of the from September 2017 to September board of trustees of Bondhouse Investment Trust</w:t>
      </w:r>
    </w:p>
    <w:p>
      <w:pPr>
        <w:spacing w:after="0" w:line="2" w:lineRule="exact"/>
        <w:rPr>
          <w:sz w:val="20"/>
          <w:szCs w:val="20"/>
          <w:color w:val="auto"/>
        </w:rPr>
      </w:pPr>
    </w:p>
    <w:p>
      <w:pPr>
        <w:spacing w:after="0"/>
        <w:tabs>
          <w:tab w:leader="none" w:pos="2600" w:val="left"/>
        </w:tabs>
        <w:rPr>
          <w:sz w:val="20"/>
          <w:szCs w:val="20"/>
          <w:color w:val="auto"/>
        </w:rPr>
      </w:pPr>
      <w:r>
        <w:rPr>
          <w:rFonts w:ascii="Arial" w:cs="Arial" w:eastAsia="Arial" w:hAnsi="Arial"/>
          <w:sz w:val="16"/>
          <w:szCs w:val="16"/>
          <w:color w:val="auto"/>
        </w:rPr>
        <w:t>2019. Mr. Duka also held various</w:t>
      </w:r>
      <w:r>
        <w:rPr>
          <w:sz w:val="20"/>
          <w:szCs w:val="20"/>
          <w:color w:val="auto"/>
        </w:rPr>
        <w:tab/>
      </w:r>
      <w:r>
        <w:rPr>
          <w:rFonts w:ascii="Arial" w:cs="Arial" w:eastAsia="Arial" w:hAnsi="Arial"/>
          <w:sz w:val="14"/>
          <w:szCs w:val="14"/>
          <w:color w:val="auto"/>
        </w:rPr>
        <w:t>since 2019; a member of the board of trustees of the</w:t>
      </w:r>
    </w:p>
    <w:p>
      <w:pPr>
        <w:spacing w:after="0" w:line="19" w:lineRule="exact"/>
        <w:rPr>
          <w:sz w:val="20"/>
          <w:szCs w:val="20"/>
          <w:color w:val="auto"/>
        </w:rPr>
      </w:pPr>
    </w:p>
    <w:p>
      <w:pPr>
        <w:spacing w:after="0"/>
        <w:tabs>
          <w:tab w:leader="none" w:pos="2600" w:val="left"/>
        </w:tabs>
        <w:rPr>
          <w:sz w:val="20"/>
          <w:szCs w:val="20"/>
          <w:color w:val="auto"/>
        </w:rPr>
      </w:pPr>
      <w:r>
        <w:rPr>
          <w:rFonts w:ascii="Arial" w:cs="Arial" w:eastAsia="Arial" w:hAnsi="Arial"/>
          <w:sz w:val="16"/>
          <w:szCs w:val="16"/>
          <w:color w:val="auto"/>
        </w:rPr>
        <w:t>positions at Citigroup, Inc. from 1992</w:t>
      </w:r>
      <w:r>
        <w:rPr>
          <w:sz w:val="20"/>
          <w:szCs w:val="20"/>
          <w:color w:val="auto"/>
        </w:rPr>
        <w:tab/>
      </w:r>
      <w:r>
        <w:rPr>
          <w:rFonts w:ascii="Arial" w:cs="Arial" w:eastAsia="Arial" w:hAnsi="Arial"/>
          <w:sz w:val="14"/>
          <w:szCs w:val="14"/>
          <w:color w:val="auto"/>
        </w:rPr>
        <w:t>Alternative Credit Income Fund since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2017.</w:t>
      </w:r>
    </w:p>
    <w:p>
      <w:pPr>
        <w:spacing w:after="0" w:line="200" w:lineRule="exact"/>
        <w:rPr>
          <w:sz w:val="20"/>
          <w:szCs w:val="20"/>
          <w:color w:val="auto"/>
        </w:rPr>
      </w:pPr>
    </w:p>
    <w:p>
      <w:pPr>
        <w:sectPr>
          <w:pgSz w:w="11900" w:h="16838" w:orient="portrait"/>
          <w:cols w:equalWidth="0" w:num="2">
            <w:col w:w="4960" w:space="200"/>
            <w:col w:w="6080"/>
          </w:cols>
          <w:pgMar w:left="320" w:top="297" w:right="339" w:bottom="1440" w:gutter="0" w:footer="0" w:header="0"/>
          <w:type w:val="continuous"/>
        </w:sectPr>
      </w:pPr>
    </w:p>
    <w:p>
      <w:pPr>
        <w:spacing w:after="0" w:line="31"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auto"/>
        </w:rPr>
        <w:t>George Grunebaum (58)</w:t>
      </w:r>
      <w:r>
        <w:rPr>
          <w:sz w:val="20"/>
          <w:szCs w:val="20"/>
          <w:color w:val="auto"/>
        </w:rPr>
        <w:tab/>
      </w:r>
      <w:r>
        <w:rPr>
          <w:rFonts w:ascii="Arial" w:cs="Arial" w:eastAsia="Arial" w:hAnsi="Arial"/>
          <w:sz w:val="15"/>
          <w:szCs w:val="15"/>
          <w:color w:val="auto"/>
        </w:rPr>
        <w:t>Director since April 2019; term</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expires in 2022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2600" w:val="left"/>
        </w:tabs>
        <w:rPr>
          <w:sz w:val="20"/>
          <w:szCs w:val="20"/>
          <w:color w:val="auto"/>
        </w:rPr>
      </w:pPr>
      <w:r>
        <w:rPr>
          <w:rFonts w:ascii="Arial" w:cs="Arial" w:eastAsia="Arial" w:hAnsi="Arial"/>
          <w:sz w:val="16"/>
          <w:szCs w:val="16"/>
          <w:color w:val="auto"/>
        </w:rPr>
        <w:t>Mr. Grunebaum joined Ashmore in</w:t>
      </w:r>
      <w:r>
        <w:rPr>
          <w:sz w:val="20"/>
          <w:szCs w:val="20"/>
          <w:color w:val="auto"/>
        </w:rPr>
        <w:tab/>
      </w:r>
      <w:r>
        <w:rPr>
          <w:rFonts w:ascii="Arial" w:cs="Arial" w:eastAsia="Arial" w:hAnsi="Arial"/>
          <w:sz w:val="14"/>
          <w:szCs w:val="14"/>
          <w:color w:val="auto"/>
        </w:rPr>
        <w:t>A member of the board of trustees of Ashmore Funds</w:t>
      </w:r>
    </w:p>
    <w:p>
      <w:pPr>
        <w:spacing w:after="0" w:line="22"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2008. He is Chief Executive Officer of since December 2010; a member of the board of Ashmore Investment Management (US)directors of BC Partners Lending Corporation since Corp and President of Ashmore Funds, 2018; a member of the board of trustees of the a series of U.S. registered mutual funds.Alternative Credit Income Fund since 2020.</w:t>
      </w:r>
    </w:p>
    <w:p>
      <w:pPr>
        <w:spacing w:after="0" w:line="200" w:lineRule="exact"/>
        <w:rPr>
          <w:sz w:val="20"/>
          <w:szCs w:val="20"/>
          <w:color w:val="auto"/>
        </w:rPr>
      </w:pPr>
    </w:p>
    <w:p>
      <w:pPr>
        <w:sectPr>
          <w:pgSz w:w="11900" w:h="16838" w:orient="portrait"/>
          <w:cols w:equalWidth="0" w:num="2">
            <w:col w:w="4960" w:space="200"/>
            <w:col w:w="6080"/>
          </w:cols>
          <w:pgMar w:left="320" w:top="297" w:right="3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Dean C. Kehler (64)</w:t>
            </w:r>
          </w:p>
        </w:tc>
        <w:tc>
          <w:tcPr>
            <w:tcW w:w="2800" w:type="dxa"/>
            <w:vAlign w:val="bottom"/>
          </w:tcPr>
          <w:p>
            <w:pPr>
              <w:ind w:left="660"/>
              <w:spacing w:after="0"/>
              <w:rPr>
                <w:sz w:val="20"/>
                <w:szCs w:val="20"/>
                <w:color w:val="auto"/>
              </w:rPr>
            </w:pPr>
            <w:r>
              <w:rPr>
                <w:rFonts w:ascii="Arial" w:cs="Arial" w:eastAsia="Arial" w:hAnsi="Arial"/>
                <w:sz w:val="16"/>
                <w:szCs w:val="16"/>
                <w:color w:val="auto"/>
              </w:rPr>
              <w:t>Director since February 2012;</w:t>
            </w:r>
          </w:p>
        </w:tc>
        <w:tc>
          <w:tcPr>
            <w:tcW w:w="2600" w:type="dxa"/>
            <w:vAlign w:val="bottom"/>
          </w:tcPr>
          <w:p>
            <w:pPr>
              <w:ind w:left="80"/>
              <w:spacing w:after="0"/>
              <w:rPr>
                <w:sz w:val="20"/>
                <w:szCs w:val="20"/>
                <w:color w:val="auto"/>
              </w:rPr>
            </w:pPr>
            <w:r>
              <w:rPr>
                <w:rFonts w:ascii="Arial" w:cs="Arial" w:eastAsia="Arial" w:hAnsi="Arial"/>
                <w:sz w:val="16"/>
                <w:szCs w:val="16"/>
                <w:color w:val="auto"/>
                <w:w w:val="93"/>
              </w:rPr>
              <w:t>Managing Partner of Trimaran Capital</w:t>
            </w:r>
          </w:p>
        </w:tc>
        <w:tc>
          <w:tcPr>
            <w:tcW w:w="3380" w:type="dxa"/>
            <w:vAlign w:val="bottom"/>
          </w:tcPr>
          <w:p>
            <w:pPr>
              <w:ind w:left="40"/>
              <w:spacing w:after="0"/>
              <w:rPr>
                <w:sz w:val="20"/>
                <w:szCs w:val="20"/>
                <w:color w:val="auto"/>
              </w:rPr>
            </w:pPr>
            <w:r>
              <w:rPr>
                <w:rFonts w:ascii="Arial" w:cs="Arial" w:eastAsia="Arial" w:hAnsi="Arial"/>
                <w:sz w:val="16"/>
                <w:szCs w:val="16"/>
                <w:color w:val="auto"/>
              </w:rPr>
              <w:t>A member of the board of directors of GX</w:t>
            </w:r>
          </w:p>
        </w:tc>
      </w:tr>
      <w:tr>
        <w:trPr>
          <w:trHeight w:val="203"/>
        </w:trPr>
        <w:tc>
          <w:tcPr>
            <w:tcW w:w="2380" w:type="dxa"/>
            <w:vAlign w:val="bottom"/>
          </w:tcPr>
          <w:p>
            <w:pPr>
              <w:spacing w:after="0"/>
              <w:rPr>
                <w:sz w:val="17"/>
                <w:szCs w:val="17"/>
                <w:color w:val="auto"/>
              </w:rPr>
            </w:pPr>
          </w:p>
        </w:tc>
        <w:tc>
          <w:tcPr>
            <w:tcW w:w="2800" w:type="dxa"/>
            <w:vAlign w:val="bottom"/>
          </w:tcPr>
          <w:p>
            <w:pPr>
              <w:ind w:left="660"/>
              <w:spacing w:after="0"/>
              <w:rPr>
                <w:sz w:val="20"/>
                <w:szCs w:val="20"/>
                <w:color w:val="auto"/>
              </w:rPr>
            </w:pPr>
            <w:r>
              <w:rPr>
                <w:rFonts w:ascii="Arial" w:cs="Arial" w:eastAsia="Arial" w:hAnsi="Arial"/>
                <w:sz w:val="16"/>
                <w:szCs w:val="16"/>
                <w:color w:val="auto"/>
              </w:rPr>
              <w:t>term expires in 2022</w:t>
            </w:r>
          </w:p>
        </w:tc>
        <w:tc>
          <w:tcPr>
            <w:tcW w:w="2600" w:type="dxa"/>
            <w:vAlign w:val="bottom"/>
          </w:tcPr>
          <w:p>
            <w:pPr>
              <w:ind w:left="80"/>
              <w:spacing w:after="0"/>
              <w:rPr>
                <w:sz w:val="20"/>
                <w:szCs w:val="20"/>
                <w:color w:val="auto"/>
              </w:rPr>
            </w:pPr>
            <w:r>
              <w:rPr>
                <w:rFonts w:ascii="Arial" w:cs="Arial" w:eastAsia="Arial" w:hAnsi="Arial"/>
                <w:sz w:val="16"/>
                <w:szCs w:val="16"/>
                <w:color w:val="auto"/>
                <w:w w:val="91"/>
              </w:rPr>
              <w:t>Partners since 1993 and Co-Chairman</w:t>
            </w:r>
          </w:p>
        </w:tc>
        <w:tc>
          <w:tcPr>
            <w:tcW w:w="3380" w:type="dxa"/>
            <w:vAlign w:val="bottom"/>
          </w:tcPr>
          <w:p>
            <w:pPr>
              <w:ind w:left="40"/>
              <w:spacing w:after="0"/>
              <w:rPr>
                <w:sz w:val="20"/>
                <w:szCs w:val="20"/>
                <w:color w:val="auto"/>
              </w:rPr>
            </w:pPr>
            <w:r>
              <w:rPr>
                <w:rFonts w:ascii="Arial" w:cs="Arial" w:eastAsia="Arial" w:hAnsi="Arial"/>
                <w:sz w:val="16"/>
                <w:szCs w:val="16"/>
                <w:color w:val="auto"/>
                <w:w w:val="94"/>
              </w:rPr>
              <w:t>Acquisition Corp. and El Pollo Loco Holdings, Inc.</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w w:val="96"/>
              </w:rPr>
              <w:t>and Co-CEO of GX Acquisition Corp</w:t>
            </w:r>
          </w:p>
        </w:tc>
        <w:tc>
          <w:tcPr>
            <w:tcW w:w="338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since August 2018.</w:t>
            </w:r>
          </w:p>
        </w:tc>
        <w:tc>
          <w:tcPr>
            <w:tcW w:w="3380" w:type="dxa"/>
            <w:vAlign w:val="bottom"/>
          </w:tcPr>
          <w:p>
            <w:pPr>
              <w:spacing w:after="0"/>
              <w:rPr>
                <w:sz w:val="17"/>
                <w:szCs w:val="17"/>
                <w:color w:val="auto"/>
              </w:rPr>
            </w:pPr>
          </w:p>
        </w:tc>
      </w:tr>
      <w:tr>
        <w:trPr>
          <w:trHeight w:val="415"/>
        </w:trPr>
        <w:tc>
          <w:tcPr>
            <w:tcW w:w="2380" w:type="dxa"/>
            <w:vAlign w:val="bottom"/>
          </w:tcPr>
          <w:p>
            <w:pPr>
              <w:spacing w:after="0"/>
              <w:rPr>
                <w:sz w:val="20"/>
                <w:szCs w:val="20"/>
                <w:color w:val="auto"/>
              </w:rPr>
            </w:pPr>
            <w:r>
              <w:rPr>
                <w:rFonts w:ascii="Arial" w:cs="Arial" w:eastAsia="Arial" w:hAnsi="Arial"/>
                <w:sz w:val="16"/>
                <w:szCs w:val="16"/>
                <w:color w:val="auto"/>
              </w:rPr>
              <w:t>Christopher Lacovara (56)</w:t>
            </w:r>
          </w:p>
        </w:tc>
        <w:tc>
          <w:tcPr>
            <w:tcW w:w="2800" w:type="dxa"/>
            <w:vAlign w:val="bottom"/>
          </w:tcPr>
          <w:p>
            <w:pPr>
              <w:ind w:left="660"/>
              <w:spacing w:after="0"/>
              <w:rPr>
                <w:sz w:val="20"/>
                <w:szCs w:val="20"/>
                <w:color w:val="auto"/>
              </w:rPr>
            </w:pPr>
            <w:r>
              <w:rPr>
                <w:rFonts w:ascii="Arial" w:cs="Arial" w:eastAsia="Arial" w:hAnsi="Arial"/>
                <w:sz w:val="16"/>
                <w:szCs w:val="16"/>
                <w:color w:val="auto"/>
                <w:w w:val="96"/>
              </w:rPr>
              <w:t>Director since December 2006;</w:t>
            </w:r>
          </w:p>
        </w:tc>
        <w:tc>
          <w:tcPr>
            <w:tcW w:w="2600" w:type="dxa"/>
            <w:vAlign w:val="bottom"/>
          </w:tcPr>
          <w:p>
            <w:pPr>
              <w:ind w:left="80"/>
              <w:spacing w:after="0"/>
              <w:rPr>
                <w:sz w:val="20"/>
                <w:szCs w:val="20"/>
                <w:color w:val="auto"/>
              </w:rPr>
            </w:pPr>
            <w:r>
              <w:rPr>
                <w:rFonts w:ascii="Arial" w:cs="Arial" w:eastAsia="Arial" w:hAnsi="Arial"/>
                <w:sz w:val="16"/>
                <w:szCs w:val="16"/>
                <w:color w:val="auto"/>
                <w:w w:val="96"/>
              </w:rPr>
              <w:t>Director of Finance and Legal Affairs</w:t>
            </w:r>
          </w:p>
        </w:tc>
        <w:tc>
          <w:tcPr>
            <w:tcW w:w="338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2800" w:type="dxa"/>
            <w:vAlign w:val="bottom"/>
          </w:tcPr>
          <w:p>
            <w:pPr>
              <w:ind w:left="660"/>
              <w:spacing w:after="0"/>
              <w:rPr>
                <w:sz w:val="20"/>
                <w:szCs w:val="20"/>
                <w:color w:val="auto"/>
              </w:rPr>
            </w:pPr>
            <w:r>
              <w:rPr>
                <w:rFonts w:ascii="Arial" w:cs="Arial" w:eastAsia="Arial" w:hAnsi="Arial"/>
                <w:sz w:val="16"/>
                <w:szCs w:val="16"/>
                <w:color w:val="auto"/>
              </w:rPr>
              <w:t>term expires in 2021</w:t>
            </w:r>
          </w:p>
        </w:tc>
        <w:tc>
          <w:tcPr>
            <w:tcW w:w="2600" w:type="dxa"/>
            <w:vAlign w:val="bottom"/>
          </w:tcPr>
          <w:p>
            <w:pPr>
              <w:ind w:left="80"/>
              <w:spacing w:after="0"/>
              <w:rPr>
                <w:sz w:val="20"/>
                <w:szCs w:val="20"/>
                <w:color w:val="auto"/>
              </w:rPr>
            </w:pPr>
            <w:r>
              <w:rPr>
                <w:rFonts w:ascii="Arial" w:cs="Arial" w:eastAsia="Arial" w:hAnsi="Arial"/>
                <w:sz w:val="16"/>
                <w:szCs w:val="16"/>
                <w:color w:val="auto"/>
              </w:rPr>
              <w:t>of Community Access, Inc. since</w:t>
            </w:r>
          </w:p>
        </w:tc>
        <w:tc>
          <w:tcPr>
            <w:tcW w:w="33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August 2015. Prior to that,</w:t>
            </w:r>
          </w:p>
        </w:tc>
        <w:tc>
          <w:tcPr>
            <w:tcW w:w="33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Mr. Lacovara was held several</w:t>
            </w:r>
          </w:p>
        </w:tc>
        <w:tc>
          <w:tcPr>
            <w:tcW w:w="33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w w:val="94"/>
              </w:rPr>
              <w:t>positions, most recently co-managing</w:t>
            </w:r>
          </w:p>
        </w:tc>
        <w:tc>
          <w:tcPr>
            <w:tcW w:w="33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partner of Kohlberg &amp; Co., L.L.C.</w:t>
            </w:r>
          </w:p>
        </w:tc>
        <w:tc>
          <w:tcPr>
            <w:tcW w:w="338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from 1988 to February 2015.</w:t>
            </w:r>
          </w:p>
        </w:tc>
        <w:tc>
          <w:tcPr>
            <w:tcW w:w="3380" w:type="dxa"/>
            <w:vAlign w:val="bottom"/>
          </w:tcPr>
          <w:p>
            <w:pPr>
              <w:spacing w:after="0"/>
              <w:rPr>
                <w:sz w:val="17"/>
                <w:szCs w:val="17"/>
                <w:color w:val="auto"/>
              </w:rPr>
            </w:pPr>
          </w:p>
        </w:tc>
      </w:tr>
      <w:tr>
        <w:trPr>
          <w:trHeight w:val="415"/>
        </w:trPr>
        <w:tc>
          <w:tcPr>
            <w:tcW w:w="2380" w:type="dxa"/>
            <w:vAlign w:val="bottom"/>
          </w:tcPr>
          <w:p>
            <w:pPr>
              <w:spacing w:after="0"/>
              <w:rPr>
                <w:sz w:val="20"/>
                <w:szCs w:val="20"/>
                <w:color w:val="auto"/>
              </w:rPr>
            </w:pPr>
            <w:r>
              <w:rPr>
                <w:rFonts w:ascii="Arial" w:cs="Arial" w:eastAsia="Arial" w:hAnsi="Arial"/>
                <w:sz w:val="16"/>
                <w:szCs w:val="16"/>
                <w:color w:val="auto"/>
              </w:rPr>
              <w:t>Robert Warshauer (63)</w:t>
            </w:r>
          </w:p>
        </w:tc>
        <w:tc>
          <w:tcPr>
            <w:tcW w:w="2800" w:type="dxa"/>
            <w:vAlign w:val="bottom"/>
          </w:tcPr>
          <w:p>
            <w:pPr>
              <w:ind w:left="660"/>
              <w:spacing w:after="0"/>
              <w:rPr>
                <w:sz w:val="20"/>
                <w:szCs w:val="20"/>
                <w:color w:val="auto"/>
              </w:rPr>
            </w:pPr>
            <w:r>
              <w:rPr>
                <w:rFonts w:ascii="Arial" w:cs="Arial" w:eastAsia="Arial" w:hAnsi="Arial"/>
                <w:sz w:val="16"/>
                <w:szCs w:val="16"/>
                <w:color w:val="auto"/>
                <w:w w:val="98"/>
              </w:rPr>
              <w:t>Director since April 2019; term</w:t>
            </w:r>
          </w:p>
        </w:tc>
        <w:tc>
          <w:tcPr>
            <w:tcW w:w="5980" w:type="dxa"/>
            <w:vAlign w:val="bottom"/>
            <w:gridSpan w:val="2"/>
          </w:tcPr>
          <w:p>
            <w:pPr>
              <w:ind w:left="80"/>
              <w:spacing w:after="0"/>
              <w:rPr>
                <w:sz w:val="20"/>
                <w:szCs w:val="20"/>
                <w:color w:val="auto"/>
              </w:rPr>
            </w:pPr>
            <w:r>
              <w:rPr>
                <w:rFonts w:ascii="Arial" w:cs="Arial" w:eastAsia="Arial" w:hAnsi="Arial"/>
                <w:sz w:val="16"/>
                <w:szCs w:val="16"/>
                <w:color w:val="auto"/>
                <w:w w:val="92"/>
              </w:rPr>
              <w:t>Head of the Investment Banking GroupA member of the board of directors of BC Partners</w:t>
            </w:r>
          </w:p>
        </w:tc>
      </w:tr>
      <w:tr>
        <w:trPr>
          <w:trHeight w:val="203"/>
        </w:trPr>
        <w:tc>
          <w:tcPr>
            <w:tcW w:w="2380" w:type="dxa"/>
            <w:vAlign w:val="bottom"/>
          </w:tcPr>
          <w:p>
            <w:pPr>
              <w:spacing w:after="0"/>
              <w:rPr>
                <w:sz w:val="17"/>
                <w:szCs w:val="17"/>
                <w:color w:val="auto"/>
              </w:rPr>
            </w:pPr>
          </w:p>
        </w:tc>
        <w:tc>
          <w:tcPr>
            <w:tcW w:w="2800" w:type="dxa"/>
            <w:vAlign w:val="bottom"/>
          </w:tcPr>
          <w:p>
            <w:pPr>
              <w:ind w:left="660"/>
              <w:spacing w:after="0"/>
              <w:rPr>
                <w:sz w:val="20"/>
                <w:szCs w:val="20"/>
                <w:color w:val="auto"/>
              </w:rPr>
            </w:pPr>
            <w:r>
              <w:rPr>
                <w:rFonts w:ascii="Arial" w:cs="Arial" w:eastAsia="Arial" w:hAnsi="Arial"/>
                <w:sz w:val="16"/>
                <w:szCs w:val="16"/>
                <w:color w:val="auto"/>
              </w:rPr>
              <w:t>expires in 2023</w:t>
            </w:r>
          </w:p>
        </w:tc>
        <w:tc>
          <w:tcPr>
            <w:tcW w:w="2600" w:type="dxa"/>
            <w:vAlign w:val="bottom"/>
          </w:tcPr>
          <w:p>
            <w:pPr>
              <w:ind w:left="80"/>
              <w:spacing w:after="0"/>
              <w:rPr>
                <w:sz w:val="20"/>
                <w:szCs w:val="20"/>
                <w:color w:val="auto"/>
              </w:rPr>
            </w:pPr>
            <w:r>
              <w:rPr>
                <w:rFonts w:ascii="Arial" w:cs="Arial" w:eastAsia="Arial" w:hAnsi="Arial"/>
                <w:sz w:val="16"/>
                <w:szCs w:val="16"/>
                <w:color w:val="auto"/>
              </w:rPr>
              <w:t>– New York and Co-Head of the</w:t>
            </w:r>
          </w:p>
        </w:tc>
        <w:tc>
          <w:tcPr>
            <w:tcW w:w="3380" w:type="dxa"/>
            <w:vAlign w:val="bottom"/>
          </w:tcPr>
          <w:p>
            <w:pPr>
              <w:ind w:left="40"/>
              <w:spacing w:after="0"/>
              <w:rPr>
                <w:sz w:val="20"/>
                <w:szCs w:val="20"/>
                <w:color w:val="auto"/>
              </w:rPr>
            </w:pPr>
            <w:r>
              <w:rPr>
                <w:rFonts w:ascii="Arial" w:cs="Arial" w:eastAsia="Arial" w:hAnsi="Arial"/>
                <w:sz w:val="16"/>
                <w:szCs w:val="16"/>
                <w:color w:val="auto"/>
                <w:w w:val="94"/>
              </w:rPr>
              <w:t>Lending Corporation since 2018; a member of the</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Restructuring Practice in Imperial</w:t>
            </w:r>
          </w:p>
        </w:tc>
        <w:tc>
          <w:tcPr>
            <w:tcW w:w="3380" w:type="dxa"/>
            <w:vAlign w:val="bottom"/>
          </w:tcPr>
          <w:p>
            <w:pPr>
              <w:ind w:left="40"/>
              <w:spacing w:after="0"/>
              <w:rPr>
                <w:sz w:val="20"/>
                <w:szCs w:val="20"/>
                <w:color w:val="auto"/>
              </w:rPr>
            </w:pPr>
            <w:r>
              <w:rPr>
                <w:rFonts w:ascii="Arial" w:cs="Arial" w:eastAsia="Arial" w:hAnsi="Arial"/>
                <w:sz w:val="16"/>
                <w:szCs w:val="16"/>
                <w:color w:val="auto"/>
                <w:w w:val="95"/>
              </w:rPr>
              <w:t>board of trustees of the Alternative Credit Income</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Capital’s New York Investment</w:t>
            </w:r>
          </w:p>
        </w:tc>
        <w:tc>
          <w:tcPr>
            <w:tcW w:w="3380" w:type="dxa"/>
            <w:vAlign w:val="bottom"/>
          </w:tcPr>
          <w:p>
            <w:pPr>
              <w:ind w:left="40"/>
              <w:spacing w:after="0"/>
              <w:rPr>
                <w:sz w:val="20"/>
                <w:szCs w:val="20"/>
                <w:color w:val="auto"/>
              </w:rPr>
            </w:pPr>
            <w:r>
              <w:rPr>
                <w:rFonts w:ascii="Arial" w:cs="Arial" w:eastAsia="Arial" w:hAnsi="Arial"/>
                <w:sz w:val="16"/>
                <w:szCs w:val="16"/>
                <w:color w:val="auto"/>
              </w:rPr>
              <w:t>Fund since 2020.</w:t>
            </w:r>
          </w:p>
        </w:tc>
      </w:tr>
      <w:tr>
        <w:trPr>
          <w:trHeight w:val="206"/>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Banking Group since April 2006.</w:t>
            </w:r>
          </w:p>
        </w:tc>
        <w:tc>
          <w:tcPr>
            <w:tcW w:w="3380" w:type="dxa"/>
            <w:vAlign w:val="bottom"/>
          </w:tcPr>
          <w:p>
            <w:pPr>
              <w:spacing w:after="0"/>
              <w:rPr>
                <w:sz w:val="17"/>
                <w:szCs w:val="17"/>
                <w:color w:val="auto"/>
              </w:rPr>
            </w:pPr>
          </w:p>
        </w:tc>
      </w:tr>
      <w:tr>
        <w:trPr>
          <w:trHeight w:val="415"/>
        </w:trPr>
        <w:tc>
          <w:tcPr>
            <w:tcW w:w="2380" w:type="dxa"/>
            <w:vAlign w:val="bottom"/>
          </w:tcPr>
          <w:p>
            <w:pPr>
              <w:spacing w:after="0"/>
              <w:rPr>
                <w:sz w:val="20"/>
                <w:szCs w:val="20"/>
                <w:color w:val="auto"/>
              </w:rPr>
            </w:pPr>
            <w:r>
              <w:rPr>
                <w:rFonts w:ascii="Arial" w:cs="Arial" w:eastAsia="Arial" w:hAnsi="Arial"/>
                <w:sz w:val="16"/>
                <w:szCs w:val="16"/>
                <w:color w:val="auto"/>
              </w:rPr>
              <w:t>Joseph Morea (65)</w:t>
            </w:r>
          </w:p>
        </w:tc>
        <w:tc>
          <w:tcPr>
            <w:tcW w:w="2800" w:type="dxa"/>
            <w:vAlign w:val="bottom"/>
          </w:tcPr>
          <w:p>
            <w:pPr>
              <w:ind w:left="660"/>
              <w:spacing w:after="0"/>
              <w:rPr>
                <w:sz w:val="20"/>
                <w:szCs w:val="20"/>
                <w:color w:val="auto"/>
              </w:rPr>
            </w:pPr>
            <w:r>
              <w:rPr>
                <w:rFonts w:ascii="Arial" w:cs="Arial" w:eastAsia="Arial" w:hAnsi="Arial"/>
                <w:sz w:val="16"/>
                <w:szCs w:val="16"/>
                <w:color w:val="auto"/>
              </w:rPr>
              <w:t>Director since October 2020;</w:t>
            </w:r>
          </w:p>
        </w:tc>
        <w:tc>
          <w:tcPr>
            <w:tcW w:w="2600" w:type="dxa"/>
            <w:vAlign w:val="bottom"/>
          </w:tcPr>
          <w:p>
            <w:pPr>
              <w:ind w:left="80"/>
              <w:spacing w:after="0"/>
              <w:rPr>
                <w:sz w:val="20"/>
                <w:szCs w:val="20"/>
                <w:color w:val="auto"/>
              </w:rPr>
            </w:pPr>
            <w:r>
              <w:rPr>
                <w:rFonts w:ascii="Arial" w:cs="Arial" w:eastAsia="Arial" w:hAnsi="Arial"/>
                <w:sz w:val="16"/>
                <w:szCs w:val="16"/>
                <w:color w:val="auto"/>
                <w:w w:val="97"/>
              </w:rPr>
              <w:t>Former Principal for Berkeley Realty</w:t>
            </w:r>
          </w:p>
        </w:tc>
        <w:tc>
          <w:tcPr>
            <w:tcW w:w="3380" w:type="dxa"/>
            <w:vAlign w:val="bottom"/>
          </w:tcPr>
          <w:p>
            <w:pPr>
              <w:ind w:left="40"/>
              <w:spacing w:after="0"/>
              <w:rPr>
                <w:sz w:val="20"/>
                <w:szCs w:val="20"/>
                <w:color w:val="auto"/>
              </w:rPr>
            </w:pPr>
            <w:r>
              <w:rPr>
                <w:rFonts w:ascii="Arial" w:cs="Arial" w:eastAsia="Arial" w:hAnsi="Arial"/>
                <w:sz w:val="16"/>
                <w:szCs w:val="16"/>
                <w:color w:val="auto"/>
              </w:rPr>
              <w:t>A member of the board of directors / board of</w:t>
            </w:r>
          </w:p>
        </w:tc>
      </w:tr>
      <w:tr>
        <w:trPr>
          <w:trHeight w:val="203"/>
        </w:trPr>
        <w:tc>
          <w:tcPr>
            <w:tcW w:w="2380" w:type="dxa"/>
            <w:vAlign w:val="bottom"/>
          </w:tcPr>
          <w:p>
            <w:pPr>
              <w:spacing w:after="0"/>
              <w:rPr>
                <w:sz w:val="17"/>
                <w:szCs w:val="17"/>
                <w:color w:val="auto"/>
              </w:rPr>
            </w:pPr>
          </w:p>
        </w:tc>
        <w:tc>
          <w:tcPr>
            <w:tcW w:w="2800" w:type="dxa"/>
            <w:vAlign w:val="bottom"/>
          </w:tcPr>
          <w:p>
            <w:pPr>
              <w:ind w:left="660"/>
              <w:spacing w:after="0"/>
              <w:rPr>
                <w:sz w:val="20"/>
                <w:szCs w:val="20"/>
                <w:color w:val="auto"/>
              </w:rPr>
            </w:pPr>
            <w:r>
              <w:rPr>
                <w:rFonts w:ascii="Arial" w:cs="Arial" w:eastAsia="Arial" w:hAnsi="Arial"/>
                <w:sz w:val="16"/>
                <w:szCs w:val="16"/>
                <w:color w:val="auto"/>
              </w:rPr>
              <w:t>term expires 2023</w:t>
            </w:r>
          </w:p>
        </w:tc>
        <w:tc>
          <w:tcPr>
            <w:tcW w:w="2600" w:type="dxa"/>
            <w:vAlign w:val="bottom"/>
          </w:tcPr>
          <w:p>
            <w:pPr>
              <w:ind w:left="80"/>
              <w:spacing w:after="0"/>
              <w:rPr>
                <w:sz w:val="20"/>
                <w:szCs w:val="20"/>
                <w:color w:val="auto"/>
              </w:rPr>
            </w:pPr>
            <w:r>
              <w:rPr>
                <w:rFonts w:ascii="Arial" w:cs="Arial" w:eastAsia="Arial" w:hAnsi="Arial"/>
                <w:sz w:val="16"/>
                <w:szCs w:val="16"/>
                <w:color w:val="auto"/>
              </w:rPr>
              <w:t>Ventures, LLC</w:t>
            </w:r>
          </w:p>
        </w:tc>
        <w:tc>
          <w:tcPr>
            <w:tcW w:w="3380" w:type="dxa"/>
            <w:vAlign w:val="bottom"/>
          </w:tcPr>
          <w:p>
            <w:pPr>
              <w:ind w:left="40"/>
              <w:spacing w:after="0"/>
              <w:rPr>
                <w:sz w:val="20"/>
                <w:szCs w:val="20"/>
                <w:color w:val="auto"/>
              </w:rPr>
            </w:pPr>
            <w:r>
              <w:rPr>
                <w:rFonts w:ascii="Arial" w:cs="Arial" w:eastAsia="Arial" w:hAnsi="Arial"/>
                <w:sz w:val="16"/>
                <w:szCs w:val="16"/>
                <w:color w:val="auto"/>
                <w:w w:val="99"/>
              </w:rPr>
              <w:t>trustees of: Industrial Logistics Properties Trust</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ind w:left="40"/>
              <w:spacing w:after="0"/>
              <w:rPr>
                <w:sz w:val="20"/>
                <w:szCs w:val="20"/>
                <w:color w:val="auto"/>
              </w:rPr>
            </w:pPr>
            <w:r>
              <w:rPr>
                <w:rFonts w:ascii="Arial" w:cs="Arial" w:eastAsia="Arial" w:hAnsi="Arial"/>
                <w:sz w:val="16"/>
                <w:szCs w:val="16"/>
                <w:color w:val="auto"/>
                <w:w w:val="96"/>
              </w:rPr>
              <w:t>since 2018, Tremont Mortgage Trust since 2017,</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ind w:left="40"/>
              <w:spacing w:after="0"/>
              <w:rPr>
                <w:sz w:val="20"/>
                <w:szCs w:val="20"/>
                <w:color w:val="auto"/>
              </w:rPr>
            </w:pPr>
            <w:r>
              <w:rPr>
                <w:rFonts w:ascii="Arial" w:cs="Arial" w:eastAsia="Arial" w:hAnsi="Arial"/>
                <w:sz w:val="16"/>
                <w:szCs w:val="16"/>
                <w:color w:val="auto"/>
                <w:w w:val="98"/>
              </w:rPr>
              <w:t>TravelCenters of America LLC since 2015, First</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ind w:left="40"/>
              <w:spacing w:after="0"/>
              <w:rPr>
                <w:sz w:val="20"/>
                <w:szCs w:val="20"/>
                <w:color w:val="auto"/>
              </w:rPr>
            </w:pPr>
            <w:r>
              <w:rPr>
                <w:rFonts w:ascii="Arial" w:cs="Arial" w:eastAsia="Arial" w:hAnsi="Arial"/>
                <w:sz w:val="16"/>
                <w:szCs w:val="16"/>
                <w:color w:val="auto"/>
                <w:w w:val="96"/>
              </w:rPr>
              <w:t>Eagle Senior Loan Fund (f/k/a THL Credit Senior</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ind w:left="40"/>
              <w:spacing w:after="0"/>
              <w:rPr>
                <w:sz w:val="20"/>
                <w:szCs w:val="20"/>
                <w:color w:val="auto"/>
              </w:rPr>
            </w:pPr>
            <w:r>
              <w:rPr>
                <w:rFonts w:ascii="Arial" w:cs="Arial" w:eastAsia="Arial" w:hAnsi="Arial"/>
                <w:sz w:val="16"/>
                <w:szCs w:val="16"/>
                <w:color w:val="auto"/>
                <w:w w:val="92"/>
              </w:rPr>
              <w:t>Loan Fund) since 2013, Eagle Growth and Income</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ind w:left="40"/>
              <w:spacing w:after="0"/>
              <w:rPr>
                <w:sz w:val="20"/>
                <w:szCs w:val="20"/>
                <w:color w:val="auto"/>
              </w:rPr>
            </w:pPr>
            <w:r>
              <w:rPr>
                <w:rFonts w:ascii="Arial" w:cs="Arial" w:eastAsia="Arial" w:hAnsi="Arial"/>
                <w:sz w:val="16"/>
                <w:szCs w:val="16"/>
                <w:color w:val="auto"/>
                <w:w w:val="94"/>
              </w:rPr>
              <w:t>Opportunities Fund from 2015 to 2020, RMR Real</w:t>
            </w:r>
          </w:p>
        </w:tc>
      </w:tr>
      <w:tr>
        <w:trPr>
          <w:trHeight w:val="203"/>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ind w:left="40"/>
              <w:spacing w:after="0"/>
              <w:rPr>
                <w:sz w:val="20"/>
                <w:szCs w:val="20"/>
                <w:color w:val="auto"/>
              </w:rPr>
            </w:pPr>
            <w:r>
              <w:rPr>
                <w:rFonts w:ascii="Arial" w:cs="Arial" w:eastAsia="Arial" w:hAnsi="Arial"/>
                <w:sz w:val="16"/>
                <w:szCs w:val="16"/>
                <w:color w:val="auto"/>
              </w:rPr>
              <w:t>Estate Income Fund from 2016 to 2020, and</w:t>
            </w:r>
          </w:p>
        </w:tc>
      </w:tr>
      <w:tr>
        <w:trPr>
          <w:trHeight w:val="206"/>
        </w:trPr>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380" w:type="dxa"/>
            <w:vAlign w:val="bottom"/>
          </w:tcPr>
          <w:p>
            <w:pPr>
              <w:ind w:left="40"/>
              <w:spacing w:after="0"/>
              <w:rPr>
                <w:sz w:val="20"/>
                <w:szCs w:val="20"/>
                <w:color w:val="auto"/>
              </w:rPr>
            </w:pPr>
            <w:r>
              <w:rPr>
                <w:rFonts w:ascii="Arial" w:cs="Arial" w:eastAsia="Arial" w:hAnsi="Arial"/>
                <w:sz w:val="16"/>
                <w:szCs w:val="16"/>
                <w:color w:val="auto"/>
                <w:w w:val="95"/>
              </w:rPr>
              <w:t>Garrison Capital Inc. from 2015 to October 2020.</w:t>
            </w:r>
          </w:p>
        </w:tc>
      </w:tr>
    </w:tbl>
    <w:p>
      <w:pPr>
        <w:spacing w:after="0" w:line="200" w:lineRule="exact"/>
        <w:rPr>
          <w:sz w:val="20"/>
          <w:szCs w:val="20"/>
          <w:color w:val="auto"/>
        </w:rPr>
      </w:pPr>
    </w:p>
    <w:p>
      <w:pPr>
        <w:sectPr>
          <w:pgSz w:w="11900" w:h="16838" w:orient="portrait"/>
          <w:cols w:equalWidth="0" w:num="1">
            <w:col w:w="11220"/>
          </w:cols>
          <w:pgMar w:left="320" w:top="305" w:right="359" w:bottom="1440" w:gutter="0" w:footer="0" w:header="0"/>
        </w:sectPr>
      </w:pPr>
    </w:p>
    <w:p>
      <w:pPr>
        <w:spacing w:after="0" w:line="12" w:lineRule="exact"/>
        <w:rPr>
          <w:sz w:val="20"/>
          <w:szCs w:val="20"/>
          <w:color w:val="auto"/>
        </w:rPr>
      </w:pPr>
    </w:p>
    <w:p>
      <w:pPr>
        <w:spacing w:after="0"/>
        <w:tabs>
          <w:tab w:leader="none" w:pos="3020" w:val="left"/>
          <w:tab w:leader="none" w:pos="5240" w:val="left"/>
        </w:tabs>
        <w:rPr>
          <w:sz w:val="20"/>
          <w:szCs w:val="20"/>
          <w:color w:val="auto"/>
        </w:rPr>
      </w:pPr>
      <w:r>
        <w:rPr>
          <w:rFonts w:ascii="Arial" w:cs="Arial" w:eastAsia="Arial" w:hAnsi="Arial"/>
          <w:sz w:val="16"/>
          <w:szCs w:val="16"/>
          <w:color w:val="auto"/>
        </w:rPr>
        <w:t>Matthew Westwood (50)</w:t>
      </w:r>
      <w:r>
        <w:rPr>
          <w:sz w:val="20"/>
          <w:szCs w:val="20"/>
          <w:color w:val="auto"/>
        </w:rPr>
        <w:tab/>
      </w:r>
      <w:r>
        <w:rPr>
          <w:rFonts w:ascii="Arial" w:cs="Arial" w:eastAsia="Arial" w:hAnsi="Arial"/>
          <w:sz w:val="16"/>
          <w:szCs w:val="16"/>
          <w:color w:val="auto"/>
        </w:rPr>
        <w:t>Director since October 2020;</w:t>
      </w:r>
      <w:r>
        <w:rPr>
          <w:sz w:val="20"/>
          <w:szCs w:val="20"/>
          <w:color w:val="auto"/>
        </w:rPr>
        <w:tab/>
      </w:r>
      <w:r>
        <w:rPr>
          <w:rFonts w:ascii="Arial" w:cs="Arial" w:eastAsia="Arial" w:hAnsi="Arial"/>
          <w:sz w:val="14"/>
          <w:szCs w:val="14"/>
          <w:color w:val="auto"/>
        </w:rPr>
        <w:t>Former Managing Director and</w:t>
      </w:r>
    </w:p>
    <w:p>
      <w:pPr>
        <w:spacing w:after="0" w:line="22" w:lineRule="exact"/>
        <w:rPr>
          <w:sz w:val="20"/>
          <w:szCs w:val="20"/>
          <w:color w:val="auto"/>
        </w:rPr>
      </w:pPr>
    </w:p>
    <w:p>
      <w:pPr>
        <w:jc w:val="right"/>
        <w:spacing w:after="0"/>
        <w:tabs>
          <w:tab w:leader="none" w:pos="2060" w:val="left"/>
        </w:tabs>
        <w:rPr>
          <w:sz w:val="20"/>
          <w:szCs w:val="20"/>
          <w:color w:val="auto"/>
        </w:rPr>
      </w:pPr>
      <w:r>
        <w:rPr>
          <w:rFonts w:ascii="Arial" w:cs="Arial" w:eastAsia="Arial" w:hAnsi="Arial"/>
          <w:sz w:val="16"/>
          <w:szCs w:val="16"/>
          <w:color w:val="auto"/>
        </w:rPr>
        <w:t>term expires in 2022</w:t>
      </w:r>
      <w:r>
        <w:rPr>
          <w:sz w:val="20"/>
          <w:szCs w:val="20"/>
          <w:color w:val="auto"/>
        </w:rPr>
        <w:tab/>
      </w:r>
      <w:r>
        <w:rPr>
          <w:rFonts w:ascii="Arial" w:cs="Arial" w:eastAsia="Arial" w:hAnsi="Arial"/>
          <w:sz w:val="15"/>
          <w:szCs w:val="15"/>
          <w:color w:val="auto"/>
        </w:rPr>
        <w:t>principal of Wilshire Associates</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Incorporated</w:t>
      </w:r>
    </w:p>
    <w:p>
      <w:pPr>
        <w:spacing w:after="0" w:line="20" w:lineRule="exact"/>
        <w:rPr>
          <w:sz w:val="20"/>
          <w:szCs w:val="20"/>
          <w:color w:val="auto"/>
        </w:rPr>
      </w:pPr>
      <w:r>
        <w:rPr>
          <w:sz w:val="20"/>
          <w:szCs w:val="20"/>
          <w:color w:val="auto"/>
        </w:rPr>
        <w:br w:type="column"/>
      </w:r>
    </w:p>
    <w:p>
      <w:pPr>
        <w:ind w:right="320"/>
        <w:spacing w:after="0" w:line="369" w:lineRule="auto"/>
        <w:rPr>
          <w:sz w:val="20"/>
          <w:szCs w:val="20"/>
          <w:color w:val="auto"/>
        </w:rPr>
      </w:pPr>
      <w:r>
        <w:rPr>
          <w:rFonts w:ascii="Arial" w:cs="Arial" w:eastAsia="Arial" w:hAnsi="Arial"/>
          <w:sz w:val="14"/>
          <w:szCs w:val="14"/>
          <w:color w:val="auto"/>
        </w:rPr>
        <w:t>A member of the board of directors of Garrison Capital Inc. from May 2011 to October 2020.</w:t>
      </w:r>
    </w:p>
    <w:p>
      <w:pPr>
        <w:spacing w:after="0" w:line="297" w:lineRule="exact"/>
        <w:rPr>
          <w:sz w:val="20"/>
          <w:szCs w:val="20"/>
          <w:color w:val="auto"/>
        </w:rPr>
      </w:pPr>
    </w:p>
    <w:p>
      <w:pPr>
        <w:sectPr>
          <w:pgSz w:w="11900" w:h="16838" w:orient="portrait"/>
          <w:cols w:equalWidth="0" w:num="2">
            <w:col w:w="7340" w:space="480"/>
            <w:col w:w="3400"/>
          </w:cols>
          <w:pgMar w:left="320" w:top="305" w:right="359" w:bottom="1440" w:gutter="0" w:footer="0" w:header="0"/>
          <w:type w:val="continuous"/>
        </w:sectPr>
      </w:pPr>
    </w:p>
    <w:p>
      <w:pPr>
        <w:spacing w:after="0" w:line="2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address of all directors is c/o Portman Ridge Finance Corporation, 650 Madison Avenue, New York, NY 10022.</w:t>
      </w:r>
    </w:p>
    <w:p>
      <w:pPr>
        <w:spacing w:after="0" w:line="130" w:lineRule="exact"/>
        <w:rPr>
          <w:rFonts w:ascii="Arial" w:cs="Arial" w:eastAsia="Arial" w:hAnsi="Arial"/>
          <w:sz w:val="18"/>
          <w:szCs w:val="18"/>
          <w:color w:val="auto"/>
        </w:rPr>
      </w:pPr>
    </w:p>
    <w:p>
      <w:pPr>
        <w:ind w:left="460" w:right="140" w:hanging="452"/>
        <w:spacing w:after="0" w:line="263"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set forth in this table, no current director of the Company otherwise serves, or has served during the past five years, as a director of an investment company registered under the 1940 Act or of a company with a class of securities registered pursuant to Section 12 of the Exchange Act or subject to the requirements of Section 15(d)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biographical information regarding the Company’s current directors is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Directors</w:t>
      </w:r>
    </w:p>
    <w:p>
      <w:pPr>
        <w:spacing w:after="0" w:line="117"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i w:val="1"/>
          <w:iCs w:val="1"/>
          <w:color w:val="auto"/>
        </w:rPr>
        <w:t xml:space="preserve">Graeme Dell. </w:t>
      </w:r>
      <w:r>
        <w:rPr>
          <w:rFonts w:ascii="Arial" w:cs="Arial" w:eastAsia="Arial" w:hAnsi="Arial"/>
          <w:sz w:val="18"/>
          <w:szCs w:val="18"/>
          <w:color w:val="auto"/>
        </w:rPr>
        <w:t>Mr. Dell is a Partner and Chief Operating Officer Director of BC Partners. Mr. Dell joined BC Partners in London in 2014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the support functions within the organization including fund administration, compliance, finance, information technology, human resources and risk. Previously, Mr. Dell spent six years at Ashmore Group plc, a UK listed asset management firm, principally investing in emerging markets debt, where he was Group Finance Director. Prior to this, he was Group Finance Director for six years at Evolution Group plc, another UK listed financial services organization. He initially qualified as a chartered accountant at Coopers &amp; Lybrand before performing roles in operations and finance at Goldman Sachs and Deutsche Bank.</w:t>
      </w:r>
    </w:p>
    <w:p>
      <w:pPr>
        <w:spacing w:after="0" w:line="84"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Through his board experience as an officer of several listed companies, in addition to skills acquired with firms engaged in financial services, Mr. Dell brings extensive business and financial expertise to his Board service. The foregoing qualifications led to the Board’s conclusion that Mr. Dell should serve as a member of the Board.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5" w:right="359" w:bottom="1440" w:gutter="0" w:footer="0" w:header="0"/>
          <w:type w:val="continuous"/>
        </w:sectPr>
      </w:pPr>
    </w:p>
    <w:bookmarkStart w:id="74" w:name="page75"/>
    <w:bookmarkEnd w:id="74"/>
    <w:p>
      <w:pPr>
        <w:ind w:right="180" w:firstLine="374"/>
        <w:spacing w:after="0" w:line="290" w:lineRule="auto"/>
        <w:rPr>
          <w:sz w:val="20"/>
          <w:szCs w:val="20"/>
          <w:color w:val="auto"/>
        </w:rPr>
      </w:pPr>
      <w:r>
        <w:rPr>
          <w:rFonts w:ascii="Arial" w:cs="Arial" w:eastAsia="Arial" w:hAnsi="Arial"/>
          <w:sz w:val="16"/>
          <w:szCs w:val="16"/>
          <w:i w:val="1"/>
          <w:iCs w:val="1"/>
          <w:color w:val="auto"/>
        </w:rPr>
        <w:t>Ted Goldthorpe</w:t>
      </w:r>
      <w:r>
        <w:rPr>
          <w:rFonts w:ascii="Arial" w:cs="Arial" w:eastAsia="Arial" w:hAnsi="Arial"/>
          <w:sz w:val="16"/>
          <w:szCs w:val="16"/>
          <w:color w:val="auto"/>
        </w:rPr>
        <w:t>. Mr. Goldthorpe is the President and Chief Executive Officer of the Company. Mr. Goldthorpe is an executive officer of the Adviser</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Managing Partner of BC Partners Credit (“BCP Credit”), an integrated credit platform operating within the BC Partners organization. He joined BC Partners to open BCP Credit in 2017. He was previously President of Apollo Investment Corporation and the Chief Investment Officer of Apollo Investment Management where he was the head of its U.S. Opportunistic Platform and also oversaw the Private Origination business from 2012 to 2016. He was also a member of Apollo’s firm-wide Senior Management Committee. Prior to Apollo, Mr. Goldthorpe worked at Goldman Sachs for 13 years where he most recently ran the bank loan distressed investing desk. He was previously the head of Principal Capital Investing for the Special Situations Group. Mr. Goldthorpe launched BC Partners’ credit business in 2017 and oversees a team of experienced credit professionals. As a Managing Partner of BC Partners, Mr. Goldthorpe is also a member of the Investment Committee of the private equity business.</w:t>
      </w:r>
    </w:p>
    <w:p>
      <w:pPr>
        <w:spacing w:after="0" w:line="57"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Mr. Goldthorpe’s prior credit and investment experience, including his experience as an officer of a publicly-traded business development company, led to the Board’s conclusion that Mr. Goldthorpe should serve as a member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w:t>
      </w:r>
    </w:p>
    <w:p>
      <w:pPr>
        <w:spacing w:after="0" w:line="117" w:lineRule="exact"/>
        <w:rPr>
          <w:sz w:val="20"/>
          <w:szCs w:val="20"/>
          <w:color w:val="auto"/>
        </w:rPr>
      </w:pPr>
    </w:p>
    <w:p>
      <w:pPr>
        <w:ind w:right="180" w:firstLine="374"/>
        <w:spacing w:after="0" w:line="269" w:lineRule="auto"/>
        <w:rPr>
          <w:sz w:val="20"/>
          <w:szCs w:val="20"/>
          <w:color w:val="auto"/>
        </w:rPr>
      </w:pPr>
      <w:r>
        <w:rPr>
          <w:rFonts w:ascii="Arial" w:cs="Arial" w:eastAsia="Arial" w:hAnsi="Arial"/>
          <w:sz w:val="17"/>
          <w:szCs w:val="17"/>
          <w:i w:val="1"/>
          <w:iCs w:val="1"/>
          <w:color w:val="auto"/>
        </w:rPr>
        <w:t>Alexander Duka</w:t>
      </w:r>
      <w:r>
        <w:rPr>
          <w:rFonts w:ascii="Arial" w:cs="Arial" w:eastAsia="Arial" w:hAnsi="Arial"/>
          <w:sz w:val="17"/>
          <w:szCs w:val="17"/>
          <w:color w:val="auto"/>
        </w:rPr>
        <w:t>. Mr. Duka is the chairman of the Compensation Committee of the Board. Mr. Duka also serves on the Audit Committee and</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Nominating and Corporate Governance Committee of the Board. Mr. Duka was the Executive Vice President of Corporate Development for Acceleration Bay LLC, a patent investment and technology acceleration business headquartered in San Mateo, CA until December 2019, and remains a senior advisor for the firm. Mr. Duka was responsible for Finance, Investor Relations, Strategic Relationships, New Ventures and Acquisitions. He joined the firm in September 2017. Mr. Duka previously spent 20 years at Citigroup, a global banking institution, and was a Managing Director in the Financial Institutions group in Global Banking, retiring in February 2017. Mr. Duka was the senior banker responsible for managing Citibank’s banking relationships with a number of high profile traditional and alternative asset management companies. Mr. Duka oversaw all financings, capital markets activity, M&amp;A and the provision of other banking services and advice for this client base. Mr. Duka also worked with these asset managers to develop a new generation of permanent capital vehicles, including Business Development Companies, REITs, Closed End Funds, and European Listed Vehicles. Prior to Citibank, Mr. Duka worked at Bank of New York and United Jersey Bank. Mr. Duka received his B.A. from Rutgers College and his MBA from Rutgers Graduate School of Management.</w:t>
      </w:r>
    </w:p>
    <w:p>
      <w:pPr>
        <w:spacing w:after="0" w:line="74"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Through his prior experiences as an executive vice president and managing director at several companies, Mr. Duka brings business expertise and finance and industry skills to his Board service. The foregoing qualifications led to the Board’s conclusion that Mr. Duka should serve as a member of the Board.</w:t>
      </w:r>
    </w:p>
    <w:p>
      <w:pPr>
        <w:spacing w:after="0" w:line="76"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i w:val="1"/>
          <w:iCs w:val="1"/>
          <w:color w:val="auto"/>
        </w:rPr>
        <w:t>George Grunebaum</w:t>
      </w:r>
      <w:r>
        <w:rPr>
          <w:rFonts w:ascii="Arial" w:cs="Arial" w:eastAsia="Arial" w:hAnsi="Arial"/>
          <w:sz w:val="17"/>
          <w:szCs w:val="17"/>
          <w:color w:val="auto"/>
        </w:rPr>
        <w:t>. Mr. Grunebaum is the chairman of the Nominating and Corporate Governance Committee of the Board. Mr. Grunebaum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serves on the Audit Committee and Compensation Committee of the Board of the Company. Mr. Grunebaum is Chief Executive Officer of Ashmore Investment Management (US) Corp, which he joined in 2008. He is President of Ashmore Funds, a series of U.S. registered mutual funds. Prior to that, he was co-Managing Partner of Dolomite Capital Management and one of the founding partners of the firm. He began his career in finance in 1986, joining Chase Investment Banks’ Latin America corporate finance division. In 1987, he was asked to join the newly formed Debt Arbitrage Group and from 1988 to 1995, worked in various capacities as an Emerging Markets trader. In 1995, he was asked to run global client trading for the Emerging Markets group and in 1998, was given additional responsibility for global principal risk taking in Emerging Market credit, and for local interest rates and Emerging Market equities in 2001. Mr. Grunebaum continued to work at the firm and its successor institutions and was elected co-chairman of the Emerging Markets Traders Association (EMTA) in 2001, until his retirement from JPMorgan Chase in May 2005. He received his BA from Hamilton College. He is licensed as a Series 7, Series 24, and Series 63 Registered Representative.</w:t>
      </w:r>
    </w:p>
    <w:p>
      <w:pPr>
        <w:spacing w:after="0" w:line="91" w:lineRule="exact"/>
        <w:rPr>
          <w:sz w:val="20"/>
          <w:szCs w:val="20"/>
          <w:color w:val="auto"/>
        </w:rPr>
      </w:pPr>
    </w:p>
    <w:p>
      <w:pPr>
        <w:jc w:val="both"/>
        <w:ind w:right="280" w:firstLine="374"/>
        <w:spacing w:after="0" w:line="311" w:lineRule="auto"/>
        <w:rPr>
          <w:sz w:val="20"/>
          <w:szCs w:val="20"/>
          <w:color w:val="auto"/>
        </w:rPr>
      </w:pPr>
      <w:r>
        <w:rPr>
          <w:rFonts w:ascii="Arial" w:cs="Arial" w:eastAsia="Arial" w:hAnsi="Arial"/>
          <w:sz w:val="16"/>
          <w:szCs w:val="16"/>
          <w:color w:val="auto"/>
        </w:rPr>
        <w:t>Mr. Grunebaum’s executive experience brings extensive business and financial expertise to his Board service. Moreover, due to Mr. Grunebaum’s knowledge of, and experience in, finance and accounting, the Board determined that Mr. Grunebaum is an “audit committee financial expert” as defined under SEC rules. The foregoing qualifications led to the Board’s conclusion that Mr. Grunebaum should serve as a member of the Board.</w:t>
      </w:r>
    </w:p>
    <w:p>
      <w:pPr>
        <w:spacing w:after="0" w:line="4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i w:val="1"/>
          <w:iCs w:val="1"/>
          <w:color w:val="auto"/>
        </w:rPr>
        <w:t>Dean C. Kehler</w:t>
      </w:r>
      <w:r>
        <w:rPr>
          <w:rFonts w:ascii="Arial" w:cs="Arial" w:eastAsia="Arial" w:hAnsi="Arial"/>
          <w:sz w:val="18"/>
          <w:szCs w:val="18"/>
          <w:color w:val="auto"/>
        </w:rPr>
        <w:t>. Mr. Kehler also serves on the Compensation Committee of the Board. Mr. Kehler is a Managing Partner of Trimaran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a manager of private investment funds, and is Co-Chairman and Co-CEO of GX Acquisition Corp. Prior to co-founding Trimaran, Mr. Kehler was a vice chairman of CIBC World Markets Corp. and co-head of the CIBC Argosy Merchant Banking Funds. Prior to joining CIBC World Markets Corp. in 1995, Mr. Kehler was a founder and Managing Director of The Argosy Group L.P. Before Argosy, Mr. Kehler was a Managing Director at Drexel Burnham Lambert Incorporated and also worked at Lehman Brothers Kuhn Loeb Incorporated. Mr. Kehler currently serves on the Board of Directors of El Pollo Loco Holdings, Inc. Mr. Kehler previously served as a director of various public and private companies, including Security First Corporation. Mr. Kehler also serves as a member of the Board of Overseers of the University of Pennsylvania School of Nursing. Mr. Kehler earned his B.S. from The Wharton School of the University of Pennsylvania.</w:t>
      </w:r>
    </w:p>
    <w:p>
      <w:pPr>
        <w:spacing w:after="0" w:line="84"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Mr. Kehler possesses particular knowledge and experience in corporate finance, investment management, financial analysis and corporate governance that strengthen the Board’s collective qualifications, skills and experience. The foregoing qualifications led to the Board’s conclusion that Mr. Kehler should serve as a member of the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5" w:name="page76"/>
    <w:bookmarkEnd w:id="75"/>
    <w:p>
      <w:pPr>
        <w:ind w:right="20" w:firstLine="374"/>
        <w:spacing w:after="0" w:line="268" w:lineRule="auto"/>
        <w:rPr>
          <w:sz w:val="20"/>
          <w:szCs w:val="20"/>
          <w:color w:val="auto"/>
        </w:rPr>
      </w:pPr>
      <w:r>
        <w:rPr>
          <w:rFonts w:ascii="Arial" w:cs="Arial" w:eastAsia="Arial" w:hAnsi="Arial"/>
          <w:sz w:val="17"/>
          <w:szCs w:val="17"/>
          <w:i w:val="1"/>
          <w:iCs w:val="1"/>
          <w:color w:val="auto"/>
        </w:rPr>
        <w:t>Joseph Morea</w:t>
      </w:r>
      <w:r>
        <w:rPr>
          <w:rFonts w:ascii="Arial" w:cs="Arial" w:eastAsia="Arial" w:hAnsi="Arial"/>
          <w:sz w:val="17"/>
          <w:szCs w:val="17"/>
          <w:color w:val="auto"/>
        </w:rPr>
        <w:t>. Mr. Morea serves on the Compensation Committee and Nominating and Corporate Governance Committee of the Board. Mr. Morea</w:t>
      </w:r>
      <w:r>
        <w:rPr>
          <w:rFonts w:ascii="Arial" w:cs="Arial" w:eastAsia="Arial" w:hAnsi="Arial"/>
          <w:sz w:val="17"/>
          <w:szCs w:val="17"/>
          <w:i w:val="1"/>
          <w:iCs w:val="1"/>
          <w:color w:val="auto"/>
        </w:rPr>
        <w:t xml:space="preserve"> </w:t>
      </w:r>
      <w:r>
        <w:rPr>
          <w:rFonts w:ascii="Arial" w:cs="Arial" w:eastAsia="Arial" w:hAnsi="Arial"/>
          <w:sz w:val="17"/>
          <w:szCs w:val="17"/>
          <w:color w:val="auto"/>
        </w:rPr>
        <w:t>had served as a director of GARS from 2015 to 2020. Mr. Morea has also served as a director for Industrial Logistics Properties Trust, a REIT primarily investing in industrial and logistics properties, since January 2018, for Tremont Mortgage Trust, a real estate finance company primarily investing in first mortgage loans secured by middle market and transitional commercial real estate, since June 2017, for TravelCenters of America LLC, a company that operates full-service facilities along highways, since February 2015 and for First Eagle Senior Loan Fund, an investment company primarily investing in bank loans, since June 2013. Additionally, he served as a director for Eagle Growth and Income Opportunities Fund, an investment company primarily investing in equity and fixed income securities, from 2015 to 2020 and RMR Real Estate Income Fund, an investment company primarily investing in common and preferred securities issued by REITs and other real estate companies, from 2016 to 2020. Mr. Morea previously served as a Principal for Berkeley Realty Ventures, LLC. Prior to joining Berkeley Realty Ventures in August 2012, Mr. Morea served as the Vice Chairman and Managing Director of RBC Capital Markets from 2003 through June 2012. In this position, Mr. Morea led the U.S. Equity Capital Markets Division, the U.S. Investment Banking Division and the U.S. Commitment Committee. Earlier in his career, Mr. Morea held positions in equity capital markets at UBS, Inc., PaineWebber, Inc. and Smith Barney, Inc. Mr. Morea received a B.S. from Albany State University and a M.B.A. from The Peter J. Tobin College of Business at St. John’s University. Mr. Morea is also an inactive Certified Public Accountant.</w:t>
      </w:r>
    </w:p>
    <w:p>
      <w:pPr>
        <w:spacing w:after="0" w:line="78"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Mr. Morea’s extensive knowledge of capital markets and his experience as a director with other investment companies led the Nominating and Corporate Governance Committee and Board to conclude that Mr. Morea is qualified to serve as a director.</w:t>
      </w:r>
    </w:p>
    <w:p>
      <w:pPr>
        <w:spacing w:after="0" w:line="62"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i w:val="1"/>
          <w:iCs w:val="1"/>
          <w:color w:val="auto"/>
        </w:rPr>
        <w:t>Christopher Lacovara, Esq</w:t>
      </w:r>
      <w:r>
        <w:rPr>
          <w:rFonts w:ascii="Arial" w:cs="Arial" w:eastAsia="Arial" w:hAnsi="Arial"/>
          <w:sz w:val="18"/>
          <w:szCs w:val="18"/>
          <w:color w:val="auto"/>
        </w:rPr>
        <w:t>. Mr. Lacovara serves on the Audit Committee of the Board. Mr. Lacovara is the Chief Financial Officer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of Community Access, Inc., a non-profit organization that develops, builds and operates rental housing for formerly homeless individuals and low-income families in New York City. Prior to joining Community Access, Mr. Lacovara was an associate at the law firm of Patterson Belknap Webb &amp; Tyler LLP, and worked for the United States Court of Appeals for the Third Circuit and for the New York State Court of Appeals. Prior to becoming an attorney, Mr. Lacovara was a co-managing partner of Kohlberg &amp; Co., L.L.C., a leading middle market private equity firm, which he joined in 1988. Mr. Lacovara received an A.B. from Harvard College, an M.S. in Civil Engineering from the Columbia University School of Engineering and Applied Sciences, and a J.D. from the Columbia University School of Law. Mr. Lacovara has served on the boards of directors of more than 20 privately-held and publicly-listed companies.</w:t>
      </w:r>
    </w:p>
    <w:p>
      <w:pPr>
        <w:spacing w:after="0" w:line="84" w:lineRule="exact"/>
        <w:rPr>
          <w:sz w:val="20"/>
          <w:szCs w:val="20"/>
          <w:color w:val="auto"/>
        </w:rPr>
      </w:pPr>
    </w:p>
    <w:p>
      <w:pPr>
        <w:ind w:right="180" w:firstLine="374"/>
        <w:spacing w:after="0" w:line="311" w:lineRule="auto"/>
        <w:rPr>
          <w:sz w:val="20"/>
          <w:szCs w:val="20"/>
          <w:color w:val="auto"/>
        </w:rPr>
      </w:pPr>
      <w:r>
        <w:rPr>
          <w:rFonts w:ascii="Arial" w:cs="Arial" w:eastAsia="Arial" w:hAnsi="Arial"/>
          <w:sz w:val="16"/>
          <w:szCs w:val="16"/>
          <w:color w:val="auto"/>
        </w:rPr>
        <w:t>As a result of these and other professional experiences, Mr. Lacovara possesses particular knowledge and experience in corporate finance, corporate governance, strategic planning, business evaluation and oversight and financial analysis that strengthen the Board’s collective qualifications, skills and experience. The foregoing qualifications led to the Board’s conclusion that Mr. Lacovara should serve as a member of the Board.</w:t>
      </w:r>
    </w:p>
    <w:p>
      <w:pPr>
        <w:spacing w:after="0" w:line="41"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i w:val="1"/>
          <w:iCs w:val="1"/>
          <w:color w:val="auto"/>
        </w:rPr>
        <w:t>Robert Warshauer</w:t>
      </w:r>
      <w:r>
        <w:rPr>
          <w:rFonts w:ascii="Arial" w:cs="Arial" w:eastAsia="Arial" w:hAnsi="Arial"/>
          <w:sz w:val="16"/>
          <w:szCs w:val="16"/>
          <w:color w:val="auto"/>
        </w:rPr>
        <w:t>. Mr. Warshauer is the chairman of the Audit Committee of the Board. Mr. Warshauer also serves on the Nominating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and Compensation Committee of the Board. Warshauer is Head of the Investment Banking Group – New York and Co-Head of the Restructuring Practice in Imperial Capital’s New York Investment Banking Group. He has over 25 years of experience in financings, mergers and acquisitions, and restructurings. Prior to joining Imperial Capital, he was a Managing Director at Kroll Zolfo Cooper, where he advised clients on operational issues, acquisitions and recapitalizations. He was a Managing Director and member of the Board of Directors and the Commitment Committee of Giuliani Capital Advisors LLC, and its predecessor firm, Ernst &amp; Young Corporate Finance LLC. He has also held the position of CEO and President of a branded retail business with over 500 locations and 5,000 employees, been the CEO of an international business services and manufacturing company with operations in 16 countries, and served as President and a member of the Board of Directors of a publicly traded technology company. He is a former member of the board of directors of the American Bankruptcy Institute and currently serves on several corporate and charitable boards of directors. Mr. Warshauer received his M.B.A. from New York University and his B.S.B.A. from Bucknell University.</w:t>
      </w:r>
    </w:p>
    <w:p>
      <w:pPr>
        <w:spacing w:after="0" w:line="74"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Through his broad experience as an officer and director of several companies, in addition to skills acquired with firms engaged in investment banking and financial services, Mr. Warshauer brings extensive business and financial expertise to his Board service. Moreover, due to Mr. Warshauer’s knowledge of, and experience in, finance and accounting, the Board determined that Mr. Warshauer is an “audit committee financial expert” as defined under SEC rules, and that he is qualified to serve as chairman of the Audit Committee of the Board. The foregoing qualifications led to the Board’s conclusion that Mr. Warshauer should serve as a member of the Board.</w:t>
      </w:r>
    </w:p>
    <w:p>
      <w:pPr>
        <w:spacing w:after="0" w:line="93"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i w:val="1"/>
          <w:iCs w:val="1"/>
          <w:color w:val="auto"/>
        </w:rPr>
        <w:t xml:space="preserve">Matthew Westwood. </w:t>
      </w:r>
      <w:r>
        <w:rPr>
          <w:rFonts w:ascii="Arial" w:cs="Arial" w:eastAsia="Arial" w:hAnsi="Arial"/>
          <w:sz w:val="17"/>
          <w:szCs w:val="17"/>
          <w:color w:val="auto"/>
        </w:rPr>
        <w:t>Mr. Westwood serves on the Audit Committee, Compensation Committee and Nominating and Corporate Governance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Mr. Westwood had served as a director of GARS from 2011 to 2020. Mr. Westwood formerly served as a managing director and principal of Wilshire Associates Incorporated. While at Wilshire Associates Incorporated, Mr. Westwood was a senior investment professional for Wilshire Private Markets, a global private equity fund of funds. Prior to joining Wilshire Associates Incorporated, Mr. Westwood worked at Ernst &amp; Young LLP where he managed audit and consulting engagements for both public and private clients. During his career, Mr. Westwood has served on numerous private equity limited partner advisory boards. He also formerly served as a member of the board of the Pittsburgh Venture Capital Association and as a member of Wilshire Associates Incorporated’s 401k Committee. Mr. Westwood received a B.S. from Villanova University and an M.B.A. from the University of Pittsburgh. Mr. Westwood is currently an inactive Certified Public Accountant.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76" w:name="page77"/>
    <w:bookmarkEnd w:id="76"/>
    <w:p>
      <w:pPr>
        <w:ind w:right="320" w:firstLine="374"/>
        <w:spacing w:after="0" w:line="277" w:lineRule="auto"/>
        <w:rPr>
          <w:sz w:val="20"/>
          <w:szCs w:val="20"/>
          <w:color w:val="auto"/>
        </w:rPr>
      </w:pPr>
      <w:r>
        <w:rPr>
          <w:rFonts w:ascii="Arial" w:cs="Arial" w:eastAsia="Arial" w:hAnsi="Arial"/>
          <w:sz w:val="18"/>
          <w:szCs w:val="18"/>
          <w:color w:val="auto"/>
        </w:rPr>
        <w:t>Mr. Westwood’s experience at a senior level in the asset management industry and as an accountant led the Company’s Nominating and Corporate Governance Committee and Board to conclude that Mr. Westwood is qualified to serve as a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auto"/>
        </w:rPr>
        <w:t>The following table sets forth the name, age, and position held by our executive officers who are not also directors, followed by a brief biography, including the business experience during the past five years.</w:t>
      </w:r>
    </w:p>
    <w:p>
      <w:pPr>
        <w:spacing w:after="0" w:line="166"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70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b w:val="1"/>
                <w:bCs w:val="1"/>
                <w:color w:val="auto"/>
                <w:w w:val="88"/>
              </w:rPr>
              <w:t>Age</w:t>
            </w:r>
          </w:p>
        </w:tc>
        <w:tc>
          <w:tcPr>
            <w:tcW w:w="444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440" w:type="dxa"/>
            <w:vAlign w:val="bottom"/>
          </w:tcPr>
          <w:p>
            <w:pPr>
              <w:spacing w:after="0" w:line="195" w:lineRule="exact"/>
              <w:rPr>
                <w:sz w:val="20"/>
                <w:szCs w:val="20"/>
                <w:color w:val="auto"/>
              </w:rPr>
            </w:pPr>
            <w:r>
              <w:rPr>
                <w:rFonts w:ascii="Arial" w:cs="Arial" w:eastAsia="Arial" w:hAnsi="Arial"/>
                <w:sz w:val="18"/>
                <w:szCs w:val="18"/>
                <w:color w:val="auto"/>
              </w:rPr>
              <w:t>Jason T. Roos</w:t>
            </w:r>
          </w:p>
        </w:tc>
        <w:tc>
          <w:tcPr>
            <w:tcW w:w="1700" w:type="dxa"/>
            <w:vAlign w:val="bottom"/>
          </w:tcPr>
          <w:p>
            <w:pPr>
              <w:jc w:val="center"/>
              <w:ind w:left="1070"/>
              <w:spacing w:after="0" w:line="195" w:lineRule="exact"/>
              <w:rPr>
                <w:sz w:val="20"/>
                <w:szCs w:val="20"/>
                <w:color w:val="auto"/>
              </w:rPr>
            </w:pPr>
            <w:r>
              <w:rPr>
                <w:rFonts w:ascii="Arial" w:cs="Arial" w:eastAsia="Arial" w:hAnsi="Arial"/>
                <w:sz w:val="18"/>
                <w:szCs w:val="18"/>
                <w:color w:val="auto"/>
                <w:w w:val="89"/>
              </w:rPr>
              <w:t>42</w:t>
            </w:r>
          </w:p>
        </w:tc>
        <w:tc>
          <w:tcPr>
            <w:tcW w:w="4440" w:type="dxa"/>
            <w:vAlign w:val="bottom"/>
          </w:tcPr>
          <w:p>
            <w:pPr>
              <w:ind w:left="120"/>
              <w:spacing w:after="0" w:line="195" w:lineRule="exact"/>
              <w:rPr>
                <w:sz w:val="20"/>
                <w:szCs w:val="20"/>
                <w:color w:val="auto"/>
              </w:rPr>
            </w:pPr>
            <w:r>
              <w:rPr>
                <w:rFonts w:ascii="Arial" w:cs="Arial" w:eastAsia="Arial" w:hAnsi="Arial"/>
                <w:sz w:val="18"/>
                <w:szCs w:val="18"/>
                <w:color w:val="auto"/>
              </w:rPr>
              <w:t>Chief Financial Officer, Secretary and Treasurer</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Andrew Devine</w:t>
            </w:r>
          </w:p>
        </w:tc>
        <w:tc>
          <w:tcPr>
            <w:tcW w:w="1700" w:type="dxa"/>
            <w:vAlign w:val="bottom"/>
          </w:tcPr>
          <w:p>
            <w:pPr>
              <w:jc w:val="center"/>
              <w:ind w:left="1070"/>
              <w:spacing w:after="0"/>
              <w:rPr>
                <w:sz w:val="20"/>
                <w:szCs w:val="20"/>
                <w:color w:val="auto"/>
              </w:rPr>
            </w:pPr>
            <w:r>
              <w:rPr>
                <w:rFonts w:ascii="Arial" w:cs="Arial" w:eastAsia="Arial" w:hAnsi="Arial"/>
                <w:sz w:val="18"/>
                <w:szCs w:val="18"/>
                <w:color w:val="auto"/>
                <w:w w:val="89"/>
              </w:rPr>
              <w:t>43</w:t>
            </w:r>
          </w:p>
        </w:tc>
        <w:tc>
          <w:tcPr>
            <w:tcW w:w="4440" w:type="dxa"/>
            <w:vAlign w:val="bottom"/>
          </w:tcPr>
          <w:p>
            <w:pPr>
              <w:ind w:left="120"/>
              <w:spacing w:after="0"/>
              <w:rPr>
                <w:sz w:val="20"/>
                <w:szCs w:val="20"/>
                <w:color w:val="auto"/>
              </w:rPr>
            </w:pPr>
            <w:r>
              <w:rPr>
                <w:rFonts w:ascii="Arial" w:cs="Arial" w:eastAsia="Arial" w:hAnsi="Arial"/>
                <w:sz w:val="18"/>
                <w:szCs w:val="18"/>
                <w:color w:val="auto"/>
              </w:rPr>
              <w:t>Chief Compliance Officer</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Patrick Schafer</w:t>
            </w:r>
          </w:p>
        </w:tc>
        <w:tc>
          <w:tcPr>
            <w:tcW w:w="1700" w:type="dxa"/>
            <w:vAlign w:val="bottom"/>
          </w:tcPr>
          <w:p>
            <w:pPr>
              <w:jc w:val="center"/>
              <w:ind w:left="1070"/>
              <w:spacing w:after="0"/>
              <w:rPr>
                <w:sz w:val="20"/>
                <w:szCs w:val="20"/>
                <w:color w:val="auto"/>
              </w:rPr>
            </w:pPr>
            <w:r>
              <w:rPr>
                <w:rFonts w:ascii="Arial" w:cs="Arial" w:eastAsia="Arial" w:hAnsi="Arial"/>
                <w:sz w:val="18"/>
                <w:szCs w:val="18"/>
                <w:color w:val="auto"/>
                <w:w w:val="89"/>
              </w:rPr>
              <w:t>36</w:t>
            </w:r>
          </w:p>
        </w:tc>
        <w:tc>
          <w:tcPr>
            <w:tcW w:w="4440" w:type="dxa"/>
            <w:vAlign w:val="bottom"/>
          </w:tcPr>
          <w:p>
            <w:pPr>
              <w:ind w:left="120"/>
              <w:spacing w:after="0"/>
              <w:rPr>
                <w:sz w:val="20"/>
                <w:szCs w:val="20"/>
                <w:color w:val="auto"/>
              </w:rPr>
            </w:pPr>
            <w:r>
              <w:rPr>
                <w:rFonts w:ascii="Arial" w:cs="Arial" w:eastAsia="Arial" w:hAnsi="Arial"/>
                <w:sz w:val="18"/>
                <w:szCs w:val="18"/>
                <w:color w:val="auto"/>
              </w:rPr>
              <w:t>Chief Investment Officer</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business address of each of the officers is c/o Portman Ridge Finance Corporation, 650 Madison Avenue, New York, NY 10022.</w:t>
      </w:r>
    </w:p>
    <w:p>
      <w:pPr>
        <w:spacing w:after="0" w:line="131"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i w:val="1"/>
          <w:iCs w:val="1"/>
          <w:color w:val="auto"/>
        </w:rPr>
        <w:t>Andrew Devine</w:t>
      </w:r>
      <w:r>
        <w:rPr>
          <w:rFonts w:ascii="Arial" w:cs="Arial" w:eastAsia="Arial" w:hAnsi="Arial"/>
          <w:sz w:val="17"/>
          <w:szCs w:val="17"/>
          <w:color w:val="auto"/>
        </w:rPr>
        <w:t>. Mr. Devine joined the Company as Chief Compliance Officer in May 2019. Since 2015, he has been the Head of Compliance for BC</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in London and has served as Chief Compliance Officer of BC Partners Lending Corporation since April 2018. Mr. Devine started his career at the UK Financial Conduct Authority in their Enforcement Division, where he spent five years from 2001 to 2007. Mr. Devine then worked at Standard and Poor’s from 2007 to 2008, PwC Legal from 2008 to 2009, Apax Partners 2010 to 2013 and Partners Capital from 2014 to 2015, before joining BC Partners. Mr. Devine holds a degree in law from Lancaster University and is a qualified UK regulatory lawyer.</w:t>
      </w:r>
    </w:p>
    <w:p>
      <w:pPr>
        <w:spacing w:after="0" w:line="68"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i w:val="1"/>
          <w:iCs w:val="1"/>
          <w:color w:val="auto"/>
        </w:rPr>
        <w:t xml:space="preserve">Jason T. Roos. </w:t>
      </w:r>
      <w:r>
        <w:rPr>
          <w:rFonts w:ascii="Arial" w:cs="Arial" w:eastAsia="Arial" w:hAnsi="Arial"/>
          <w:sz w:val="18"/>
          <w:szCs w:val="18"/>
          <w:color w:val="auto"/>
        </w:rPr>
        <w:t>Mr. Roos has served as Chief Financial Officer, Secretary and Treasurer of the Company since March 2021. Mr. Roos joined BC</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 May 2020 and brings nearly 20 years of experience in financial roles, most recently as Credit Product CFO, where he is responsible for the integrity and accuracy of financial reporting and the overall control environment of the credit business. Prior to joining BC Partners, Mr. Roos served in various roles with Wells Fargo &amp; Company from 2011 to 2020, including serving as Controller for Wells Fargo’s investment bank and institutional broker dealer, Wells Fargo Securities. Prior to that, from 2002 to 2011, Mr. Roos provided audit and advisory services to financial institutions at PricewaterhouseCoopers LLP. Mr. Roos earned his B.A. in accounting and finance from the University of Northern Iowa and is a Certified Public Accountant registered in New York, Iowa, and Minnesota.</w:t>
      </w:r>
    </w:p>
    <w:p>
      <w:pPr>
        <w:spacing w:after="0" w:line="8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i w:val="1"/>
          <w:iCs w:val="1"/>
          <w:color w:val="auto"/>
        </w:rPr>
        <w:t>Patrick Schafer</w:t>
      </w:r>
      <w:r>
        <w:rPr>
          <w:rFonts w:ascii="Arial" w:cs="Arial" w:eastAsia="Arial" w:hAnsi="Arial"/>
          <w:sz w:val="18"/>
          <w:szCs w:val="18"/>
          <w:color w:val="auto"/>
        </w:rPr>
        <w:t>. Mr. Schafer has served as Chief Investment Officer of the Company since April 2019. He joined BCP Credit in May 2018, having</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worked at Apollo Global Management. Mr. Schafer spent seven years at Apollo in the Opportunistic Credit group, most recently as a Managing Director in Direct Originations. Prior to Apollo, he spent three years at Deutsche Bank Securities in the Investment Banking Division. Mr. Schafer holds a BBA from the University of Notre Dame.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Documents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maintains a corporate governance webpage under the “Corporate Governance” link at www.PortmanRidge.com.</w:t>
      </w:r>
    </w:p>
    <w:p>
      <w:pPr>
        <w:spacing w:after="0" w:line="11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Company’s Corporate Governance Policy, 1940 Act Code of Ethics, Sarbanes-Oxley Code of Ethics, Insider Trading Policy, Whistleblower Policy, Audit Committee Charter, Nominating and Corporate Governance Committee Charter and Compensation Committee Charter are available at www.PortmanRidge.com and are available to any stockholder who requests them by writing to Portman Ridge Finance Corporation, 650 Madison Avenue, New York, New York 10022, Attention: Secretary.</w:t>
      </w:r>
    </w:p>
    <w:p>
      <w:pPr>
        <w:spacing w:after="0" w:line="79"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We have adopted a Sarbanes-Oxley Code of Ethics which applies to, among others, every officer and director of the Company. Requests for copies should be sent in writing to Portman Ridge Finance Corporation, 650 Madison Avenue, New York, New York 10022, Attention: Secretary. The Company’s Sarbanes-Oxley Code of Ethics is also available on our website at www.PortmanRidge.com. If we make any substantive amendment to, or grant a waiver from, a provision of our Sarbanes-Oxley Code of Ethics, we will promptly disclose the nature of the amendment or waiver on our website at www.PortmanRidge.com.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12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There have been no material changes to the procedures by which stockholders may recommend nominees to our Board since the filing of our Proxy Statement for our 2020 Joint Annual Meeting of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20" w:firstLine="374"/>
        <w:spacing w:after="0" w:line="301" w:lineRule="auto"/>
        <w:rPr>
          <w:sz w:val="20"/>
          <w:szCs w:val="20"/>
          <w:color w:val="auto"/>
        </w:rPr>
      </w:pPr>
      <w:r>
        <w:rPr>
          <w:rFonts w:ascii="Arial" w:cs="Arial" w:eastAsia="Arial" w:hAnsi="Arial"/>
          <w:sz w:val="16"/>
          <w:szCs w:val="16"/>
          <w:color w:val="auto"/>
        </w:rPr>
        <w:t>The Company’s Audit Committee is responsible for selecting, engaging and discharging the Company’s independent accountants, reviewing the plans, scope and results of the audit engagement with its independent accountants, approving professional services provided by its independent accountants (including compensation thereof), reviewing the independence of its independent accountants and reviewing the adequacy of its internal control over financial reporting, as well as establishing guidelines and making recommendations to its Board regarding the valuation of its loans and investments.</w:t>
      </w:r>
    </w:p>
    <w:p>
      <w:pPr>
        <w:spacing w:after="0" w:line="63" w:lineRule="exact"/>
        <w:rPr>
          <w:sz w:val="20"/>
          <w:szCs w:val="20"/>
          <w:color w:val="auto"/>
        </w:rPr>
      </w:pPr>
    </w:p>
    <w:p>
      <w:pPr>
        <w:jc w:val="both"/>
        <w:ind w:right="180" w:firstLine="374"/>
        <w:spacing w:after="0" w:line="311" w:lineRule="auto"/>
        <w:rPr>
          <w:sz w:val="20"/>
          <w:szCs w:val="20"/>
          <w:color w:val="auto"/>
        </w:rPr>
      </w:pPr>
      <w:r>
        <w:rPr>
          <w:rFonts w:ascii="Arial" w:cs="Arial" w:eastAsia="Arial" w:hAnsi="Arial"/>
          <w:sz w:val="16"/>
          <w:szCs w:val="16"/>
          <w:color w:val="auto"/>
        </w:rPr>
        <w:t>The current members of the Company’s Audit Committee are Messrs. Duka, Grunebaum, Lacovara, Warshauer and Westwood, each of whom is not an interested person of the Company as defined in the 1940 Act and is independent for purposes of the Nasdaq listing rules. Mr. Warshauer serves as the Chairman of the Audit Committee. The Board has determined that Mr. Warshauer is an “audit committee financial expert” as defined under SEC rules.</w:t>
      </w:r>
    </w:p>
    <w:p>
      <w:pPr>
        <w:spacing w:after="0" w:line="1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11.</w:t>
      </w:r>
      <w:r>
        <w:rPr>
          <w:sz w:val="20"/>
          <w:szCs w:val="20"/>
          <w:color w:val="auto"/>
        </w:rPr>
        <w:tab/>
      </w:r>
      <w:r>
        <w:rPr>
          <w:rFonts w:ascii="Arial" w:cs="Arial" w:eastAsia="Arial" w:hAnsi="Arial"/>
          <w:sz w:val="15"/>
          <w:szCs w:val="15"/>
          <w:b w:val="1"/>
          <w:bCs w:val="1"/>
          <w:i w:val="1"/>
          <w:iCs w:val="1"/>
          <w:color w:val="231F20"/>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Compensation of Executive Officers</w:t>
      </w:r>
    </w:p>
    <w:p>
      <w:pPr>
        <w:spacing w:after="0" w:line="121"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Generally, the executive officers of the Company do not receive direct compensation from the Company. The compensation of the principals and other investment professionals of the Adviser are paid by the Adviser or one of its affiliates. Further, the Company is prohibited under the 1940 Act from issuing equity incentive compensation, including stock options, stock appreciation rights, restricted stock and stock, to its officers or directors, or any employees it may have in the future. Compensation paid to the Company’s chief financial officer and chief compliance officer and their respective staffs and other non-investment professionals at the Adviser that perform duties for the Company is set by the Administrator and is subject to reimbursement by the Company of an allocable portion of such compensation for services rendered to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 following table sets forth compensation of the Company’s directors for the fiscal year ended December 31, 2020. No compensation is paid by us to any interested director or executive officer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720" w:type="dxa"/>
            <w:vAlign w:val="bottom"/>
          </w:tcPr>
          <w:p>
            <w:pPr>
              <w:jc w:val="right"/>
              <w:ind w:right="233"/>
              <w:spacing w:after="0"/>
              <w:rPr>
                <w:sz w:val="20"/>
                <w:szCs w:val="20"/>
                <w:color w:val="auto"/>
              </w:rPr>
            </w:pPr>
            <w:r>
              <w:rPr>
                <w:rFonts w:ascii="Arial" w:cs="Arial" w:eastAsia="Arial" w:hAnsi="Arial"/>
                <w:sz w:val="14"/>
                <w:szCs w:val="14"/>
                <w:b w:val="1"/>
                <w:bCs w:val="1"/>
                <w:color w:val="auto"/>
              </w:rPr>
              <w:t>Fees Earned or Paid in Cash</w:t>
            </w:r>
            <w:r>
              <w:rPr>
                <w:rFonts w:ascii="Arial" w:cs="Arial" w:eastAsia="Arial" w:hAnsi="Arial"/>
                <w:sz w:val="12"/>
                <w:szCs w:val="12"/>
                <w:b w:val="1"/>
                <w:bCs w:val="1"/>
                <w:color w:val="auto"/>
              </w:rPr>
              <w:t>(1)(2)</w:t>
            </w:r>
          </w:p>
        </w:tc>
        <w:tc>
          <w:tcPr>
            <w:tcW w:w="43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4"/>
              </w:rPr>
              <w:t>Total Compensation from the Company and Fund Complex Paid to</w:t>
            </w:r>
          </w:p>
        </w:tc>
        <w:tc>
          <w:tcPr>
            <w:tcW w:w="0" w:type="dxa"/>
            <w:vAlign w:val="bottom"/>
          </w:tcPr>
          <w:p>
            <w:pPr>
              <w:spacing w:after="0"/>
              <w:rPr>
                <w:sz w:val="1"/>
                <w:szCs w:val="1"/>
                <w:color w:val="auto"/>
              </w:rPr>
            </w:pPr>
          </w:p>
        </w:tc>
      </w:tr>
      <w:tr>
        <w:trPr>
          <w:trHeight w:val="148"/>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720" w:type="dxa"/>
            <w:vAlign w:val="bottom"/>
            <w:vMerge w:val="restart"/>
          </w:tcPr>
          <w:p>
            <w:pPr>
              <w:jc w:val="right"/>
              <w:ind w:right="953"/>
              <w:spacing w:after="0"/>
              <w:rPr>
                <w:sz w:val="20"/>
                <w:szCs w:val="20"/>
                <w:color w:val="auto"/>
              </w:rPr>
            </w:pPr>
            <w:r>
              <w:rPr>
                <w:rFonts w:ascii="Arial" w:cs="Arial" w:eastAsia="Arial" w:hAnsi="Arial"/>
                <w:sz w:val="14"/>
                <w:szCs w:val="14"/>
                <w:b w:val="1"/>
                <w:bCs w:val="1"/>
                <w:color w:val="auto"/>
              </w:rPr>
              <w:t>Company</w:t>
            </w:r>
          </w:p>
        </w:tc>
        <w:tc>
          <w:tcPr>
            <w:tcW w:w="258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Directors</w:t>
            </w:r>
          </w:p>
        </w:tc>
        <w:tc>
          <w:tcPr>
            <w:tcW w:w="18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Fund Complex</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53"/>
        </w:trPr>
        <w:tc>
          <w:tcPr>
            <w:tcW w:w="3140" w:type="dxa"/>
            <w:vAlign w:val="bottom"/>
            <w:vMerge w:val="continue"/>
          </w:tcPr>
          <w:p>
            <w:pPr>
              <w:spacing w:after="0"/>
              <w:rPr>
                <w:sz w:val="13"/>
                <w:szCs w:val="13"/>
                <w:color w:val="auto"/>
              </w:rPr>
            </w:pPr>
          </w:p>
        </w:tc>
        <w:tc>
          <w:tcPr>
            <w:tcW w:w="3720" w:type="dxa"/>
            <w:vAlign w:val="bottom"/>
            <w:vMerge w:val="continue"/>
          </w:tcPr>
          <w:p>
            <w:pPr>
              <w:spacing w:after="0"/>
              <w:rPr>
                <w:sz w:val="13"/>
                <w:szCs w:val="13"/>
                <w:color w:val="auto"/>
              </w:rPr>
            </w:pPr>
          </w:p>
        </w:tc>
        <w:tc>
          <w:tcPr>
            <w:tcW w:w="2580" w:type="dxa"/>
            <w:vAlign w:val="bottom"/>
          </w:tcPr>
          <w:p>
            <w:pPr>
              <w:jc w:val="right"/>
              <w:ind w:right="1154"/>
              <w:spacing w:after="0" w:line="153" w:lineRule="exact"/>
              <w:rPr>
                <w:sz w:val="20"/>
                <w:szCs w:val="20"/>
                <w:color w:val="auto"/>
              </w:rPr>
            </w:pPr>
            <w:r>
              <w:rPr>
                <w:rFonts w:ascii="Arial" w:cs="Arial" w:eastAsia="Arial" w:hAnsi="Arial"/>
                <w:sz w:val="14"/>
                <w:szCs w:val="14"/>
                <w:b w:val="1"/>
                <w:bCs w:val="1"/>
                <w:color w:val="auto"/>
              </w:rPr>
              <w:t>Company</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37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Graeme Dell</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Ted Goldthorpe</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Arial" w:cs="Arial" w:eastAsia="Arial" w:hAnsi="Arial"/>
                <w:sz w:val="18"/>
                <w:szCs w:val="18"/>
                <w:color w:val="auto"/>
              </w:rPr>
              <w:t>David Moffit</w:t>
            </w:r>
            <w:r>
              <w:rPr>
                <w:rFonts w:ascii="Arial" w:cs="Arial" w:eastAsia="Arial" w:hAnsi="Arial"/>
                <w:sz w:val="15"/>
                <w:szCs w:val="15"/>
                <w:color w:val="auto"/>
              </w:rPr>
              <w:t>(5)</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3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Alexander Duka</w:t>
            </w:r>
          </w:p>
        </w:tc>
        <w:tc>
          <w:tcPr>
            <w:tcW w:w="3720" w:type="dxa"/>
            <w:vAlign w:val="bottom"/>
          </w:tcPr>
          <w:p>
            <w:pPr>
              <w:jc w:val="right"/>
              <w:spacing w:after="0"/>
              <w:rPr>
                <w:sz w:val="20"/>
                <w:szCs w:val="20"/>
                <w:color w:val="auto"/>
              </w:rPr>
            </w:pPr>
            <w:r>
              <w:rPr>
                <w:rFonts w:ascii="Arial" w:cs="Arial" w:eastAsia="Arial" w:hAnsi="Arial"/>
                <w:sz w:val="18"/>
                <w:szCs w:val="18"/>
                <w:color w:val="auto"/>
              </w:rPr>
              <w:t>$85,000</w:t>
            </w:r>
          </w:p>
        </w:tc>
        <w:tc>
          <w:tcPr>
            <w:tcW w:w="2580" w:type="dxa"/>
            <w:vAlign w:val="bottom"/>
          </w:tcPr>
          <w:p>
            <w:pPr>
              <w:jc w:val="right"/>
              <w:ind w:right="354"/>
              <w:spacing w:after="0"/>
              <w:rPr>
                <w:sz w:val="20"/>
                <w:szCs w:val="20"/>
                <w:color w:val="auto"/>
              </w:rPr>
            </w:pPr>
            <w:r>
              <w:rPr>
                <w:rFonts w:ascii="Arial" w:cs="Arial" w:eastAsia="Arial" w:hAnsi="Arial"/>
                <w:sz w:val="18"/>
                <w:szCs w:val="18"/>
                <w:color w:val="auto"/>
              </w:rPr>
              <w:t>$85,000</w:t>
            </w:r>
          </w:p>
        </w:tc>
        <w:tc>
          <w:tcPr>
            <w:tcW w:w="1800" w:type="dxa"/>
            <w:vAlign w:val="bottom"/>
          </w:tcPr>
          <w:p>
            <w:pPr>
              <w:jc w:val="right"/>
              <w:spacing w:after="0"/>
              <w:rPr>
                <w:sz w:val="20"/>
                <w:szCs w:val="20"/>
                <w:color w:val="auto"/>
              </w:rPr>
            </w:pPr>
            <w:r>
              <w:rPr>
                <w:rFonts w:ascii="Arial" w:cs="Arial" w:eastAsia="Arial" w:hAnsi="Arial"/>
                <w:sz w:val="18"/>
                <w:szCs w:val="18"/>
                <w:color w:val="auto"/>
              </w:rPr>
              <w:t>$139,000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George Grunebaum</w:t>
            </w:r>
          </w:p>
        </w:tc>
        <w:tc>
          <w:tcPr>
            <w:tcW w:w="3720" w:type="dxa"/>
            <w:vAlign w:val="bottom"/>
          </w:tcPr>
          <w:p>
            <w:pPr>
              <w:jc w:val="right"/>
              <w:spacing w:after="0"/>
              <w:rPr>
                <w:sz w:val="20"/>
                <w:szCs w:val="20"/>
                <w:color w:val="auto"/>
              </w:rPr>
            </w:pPr>
            <w:r>
              <w:rPr>
                <w:rFonts w:ascii="Arial" w:cs="Arial" w:eastAsia="Arial" w:hAnsi="Arial"/>
                <w:sz w:val="18"/>
                <w:szCs w:val="18"/>
                <w:color w:val="auto"/>
              </w:rPr>
              <w:t>$80,000</w:t>
            </w:r>
          </w:p>
        </w:tc>
        <w:tc>
          <w:tcPr>
            <w:tcW w:w="2580" w:type="dxa"/>
            <w:vAlign w:val="bottom"/>
          </w:tcPr>
          <w:p>
            <w:pPr>
              <w:jc w:val="right"/>
              <w:ind w:right="354"/>
              <w:spacing w:after="0"/>
              <w:rPr>
                <w:sz w:val="20"/>
                <w:szCs w:val="20"/>
                <w:color w:val="auto"/>
              </w:rPr>
            </w:pPr>
            <w:r>
              <w:rPr>
                <w:rFonts w:ascii="Arial" w:cs="Arial" w:eastAsia="Arial" w:hAnsi="Arial"/>
                <w:sz w:val="18"/>
                <w:szCs w:val="18"/>
                <w:color w:val="auto"/>
              </w:rPr>
              <w:t>$80,000</w:t>
            </w:r>
          </w:p>
        </w:tc>
        <w:tc>
          <w:tcPr>
            <w:tcW w:w="1800" w:type="dxa"/>
            <w:vAlign w:val="bottom"/>
          </w:tcPr>
          <w:p>
            <w:pPr>
              <w:jc w:val="right"/>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Dean C. Kehler</w:t>
            </w:r>
          </w:p>
        </w:tc>
        <w:tc>
          <w:tcPr>
            <w:tcW w:w="3720" w:type="dxa"/>
            <w:vAlign w:val="bottom"/>
          </w:tcPr>
          <w:p>
            <w:pPr>
              <w:jc w:val="right"/>
              <w:spacing w:after="0"/>
              <w:rPr>
                <w:sz w:val="20"/>
                <w:szCs w:val="20"/>
                <w:color w:val="auto"/>
              </w:rPr>
            </w:pPr>
            <w:r>
              <w:rPr>
                <w:rFonts w:ascii="Arial" w:cs="Arial" w:eastAsia="Arial" w:hAnsi="Arial"/>
                <w:sz w:val="18"/>
                <w:szCs w:val="18"/>
                <w:color w:val="auto"/>
              </w:rPr>
              <w:t>$70,000</w:t>
            </w:r>
          </w:p>
        </w:tc>
        <w:tc>
          <w:tcPr>
            <w:tcW w:w="2580" w:type="dxa"/>
            <w:vAlign w:val="bottom"/>
          </w:tcPr>
          <w:p>
            <w:pPr>
              <w:jc w:val="right"/>
              <w:ind w:right="354"/>
              <w:spacing w:after="0"/>
              <w:rPr>
                <w:sz w:val="20"/>
                <w:szCs w:val="20"/>
                <w:color w:val="auto"/>
              </w:rPr>
            </w:pPr>
            <w:r>
              <w:rPr>
                <w:rFonts w:ascii="Arial" w:cs="Arial" w:eastAsia="Arial" w:hAnsi="Arial"/>
                <w:sz w:val="18"/>
                <w:szCs w:val="18"/>
                <w:color w:val="auto"/>
              </w:rPr>
              <w:t>$70,000</w:t>
            </w:r>
          </w:p>
        </w:tc>
        <w:tc>
          <w:tcPr>
            <w:tcW w:w="1800" w:type="dxa"/>
            <w:vAlign w:val="bottom"/>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Christopher Lacovara</w:t>
            </w:r>
          </w:p>
        </w:tc>
        <w:tc>
          <w:tcPr>
            <w:tcW w:w="3720" w:type="dxa"/>
            <w:vAlign w:val="bottom"/>
          </w:tcPr>
          <w:p>
            <w:pPr>
              <w:jc w:val="right"/>
              <w:ind w:right="73"/>
              <w:spacing w:after="0"/>
              <w:rPr>
                <w:sz w:val="20"/>
                <w:szCs w:val="20"/>
                <w:color w:val="auto"/>
              </w:rPr>
            </w:pPr>
            <w:r>
              <w:rPr>
                <w:rFonts w:ascii="Arial" w:cs="Arial" w:eastAsia="Arial" w:hAnsi="Arial"/>
                <w:sz w:val="18"/>
                <w:szCs w:val="18"/>
                <w:color w:val="auto"/>
              </w:rPr>
              <w:t>$70,000</w:t>
            </w:r>
          </w:p>
        </w:tc>
        <w:tc>
          <w:tcPr>
            <w:tcW w:w="2580" w:type="dxa"/>
            <w:vAlign w:val="bottom"/>
          </w:tcPr>
          <w:p>
            <w:pPr>
              <w:jc w:val="right"/>
              <w:ind w:right="454"/>
              <w:spacing w:after="0"/>
              <w:rPr>
                <w:sz w:val="20"/>
                <w:szCs w:val="20"/>
                <w:color w:val="auto"/>
              </w:rPr>
            </w:pPr>
            <w:r>
              <w:rPr>
                <w:rFonts w:ascii="Arial" w:cs="Arial" w:eastAsia="Arial" w:hAnsi="Arial"/>
                <w:sz w:val="18"/>
                <w:szCs w:val="18"/>
                <w:color w:val="auto"/>
              </w:rPr>
              <w:t>$70,000</w:t>
            </w:r>
          </w:p>
        </w:tc>
        <w:tc>
          <w:tcPr>
            <w:tcW w:w="1800" w:type="dxa"/>
            <w:vAlign w:val="bottom"/>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Robert Warshauer</w:t>
            </w:r>
          </w:p>
        </w:tc>
        <w:tc>
          <w:tcPr>
            <w:tcW w:w="3720" w:type="dxa"/>
            <w:vAlign w:val="bottom"/>
          </w:tcPr>
          <w:p>
            <w:pPr>
              <w:jc w:val="right"/>
              <w:ind w:right="73"/>
              <w:spacing w:after="0"/>
              <w:rPr>
                <w:sz w:val="20"/>
                <w:szCs w:val="20"/>
                <w:color w:val="auto"/>
              </w:rPr>
            </w:pPr>
            <w:r>
              <w:rPr>
                <w:rFonts w:ascii="Arial" w:cs="Arial" w:eastAsia="Arial" w:hAnsi="Arial"/>
                <w:sz w:val="18"/>
                <w:szCs w:val="18"/>
                <w:color w:val="auto"/>
              </w:rPr>
              <w:t>$80,000</w:t>
            </w:r>
          </w:p>
        </w:tc>
        <w:tc>
          <w:tcPr>
            <w:tcW w:w="2580" w:type="dxa"/>
            <w:vAlign w:val="bottom"/>
          </w:tcPr>
          <w:p>
            <w:pPr>
              <w:jc w:val="right"/>
              <w:ind w:right="454"/>
              <w:spacing w:after="0"/>
              <w:rPr>
                <w:sz w:val="20"/>
                <w:szCs w:val="20"/>
                <w:color w:val="auto"/>
              </w:rPr>
            </w:pPr>
            <w:r>
              <w:rPr>
                <w:rFonts w:ascii="Arial" w:cs="Arial" w:eastAsia="Arial" w:hAnsi="Arial"/>
                <w:sz w:val="18"/>
                <w:szCs w:val="18"/>
                <w:color w:val="auto"/>
              </w:rPr>
              <w:t>$80,000</w:t>
            </w:r>
          </w:p>
        </w:tc>
        <w:tc>
          <w:tcPr>
            <w:tcW w:w="1800" w:type="dxa"/>
            <w:vAlign w:val="bottom"/>
          </w:tcPr>
          <w:p>
            <w:pPr>
              <w:jc w:val="right"/>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xml:space="preserve">Matthew Westwood </w:t>
            </w:r>
            <w:r>
              <w:rPr>
                <w:rFonts w:ascii="Arial" w:cs="Arial" w:eastAsia="Arial" w:hAnsi="Arial"/>
                <w:sz w:val="15"/>
                <w:szCs w:val="15"/>
                <w:color w:val="auto"/>
              </w:rPr>
              <w:t>(3)</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 xml:space="preserve">Joseph Morea </w:t>
            </w:r>
            <w:r>
              <w:rPr>
                <w:rFonts w:ascii="Arial" w:cs="Arial" w:eastAsia="Arial" w:hAnsi="Arial"/>
                <w:sz w:val="15"/>
                <w:szCs w:val="15"/>
                <w:color w:val="auto"/>
              </w:rPr>
              <w:t>(3)</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314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 discussion of the Company’s independent directors’ compensation, see below.</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does not maintain a stock or option plan, non-equity incentive plan or pension plan for its directors.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Joined the Board on October 26, 2020.</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Complex” includes the Company, BC Partners Lending Corporation and Alternative Credit Income Fund.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Resigned from the Board on September 18, 2020.</w:t>
      </w:r>
    </w:p>
    <w:p>
      <w:pPr>
        <w:spacing w:after="0" w:line="117"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Each independent director of the Board is paid an annual board retainer of $70,000. In addition, the lead independent director will receive $10,000, the Chair of the Company’s Audit Committee will receive $10,000, the Chair of the Company’s Nominating and Corporate Governance Committee will receive $5,000 and the Chair of the Company’s Compensation Committee will receive $5,000. In addition, the Company reimburses independent directors for any out-of-pocket expenses related to their service as members of the Board of Directors. The independent directors of the Board do not receive any stock-based compensation for their service as members of the Board. The Company’s directors who are employed by the Adviser or its affiliates do not receive any compensation for their service as members of the Board.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The Board has established a Compensation Committee. The Compensation Committee is currently composed of Messrs. Duka, Grunebaum, Kehler, Morea, Warshauer, and Westwood. Mr. Duka serves as Chairman of the Compensation Committee. Each member of the Compensation Committee is an independent director. Prior to April 1, 2019, the Compensation Committee determined compensation for the Company’s named executive officers, in addition to administering the Company’s equity compensation plans. Currently none of the Company’s executive officers is compensated by the Company and, as a result, the Compensation Committee will no longer produce and/or review a report on executive compensation practices. The Compensation Committee Charter, as approved by the Board, can be found in the Corporate Governance section of the Company’s website at www.PortmanRidge.com.</w:t>
      </w:r>
    </w:p>
    <w:p>
      <w:pPr>
        <w:spacing w:after="0" w:line="56" w:lineRule="exact"/>
        <w:rPr>
          <w:sz w:val="20"/>
          <w:szCs w:val="20"/>
          <w:color w:val="auto"/>
        </w:rPr>
      </w:pPr>
    </w:p>
    <w:p>
      <w:pPr>
        <w:jc w:val="both"/>
        <w:ind w:right="100" w:firstLine="374"/>
        <w:spacing w:after="0" w:line="263" w:lineRule="auto"/>
        <w:rPr>
          <w:sz w:val="20"/>
          <w:szCs w:val="20"/>
          <w:color w:val="auto"/>
        </w:rPr>
      </w:pPr>
      <w:r>
        <w:rPr>
          <w:rFonts w:ascii="Arial" w:cs="Arial" w:eastAsia="Arial" w:hAnsi="Arial"/>
          <w:sz w:val="18"/>
          <w:szCs w:val="18"/>
          <w:color w:val="auto"/>
        </w:rPr>
        <w:t>The Company’s Compensation Committee is currently responsible for reviewing and approving the reimbursement by the Company of the allocable portion of the compensation of its chief financial officer and chief compliance officer and their respective staffs and other non-investment professionals at the Adviser that perform duties for the Company.</w:t>
      </w:r>
    </w:p>
    <w:p>
      <w:pPr>
        <w:spacing w:after="0" w:line="76" w:lineRule="exact"/>
        <w:rPr>
          <w:sz w:val="20"/>
          <w:szCs w:val="20"/>
          <w:color w:val="auto"/>
        </w:rPr>
      </w:pPr>
    </w:p>
    <w:p>
      <w:pPr>
        <w:ind w:right="140" w:firstLine="374"/>
        <w:spacing w:after="0" w:line="308" w:lineRule="auto"/>
        <w:rPr>
          <w:sz w:val="20"/>
          <w:szCs w:val="20"/>
          <w:color w:val="auto"/>
        </w:rPr>
      </w:pPr>
      <w:r>
        <w:rPr>
          <w:rFonts w:ascii="Arial" w:cs="Arial" w:eastAsia="Arial" w:hAnsi="Arial"/>
          <w:sz w:val="17"/>
          <w:szCs w:val="17"/>
          <w:color w:val="auto"/>
        </w:rPr>
        <w:t>No member of the Compensation Committee: (i) has had any relationship with the Company requiring disclosure under Item 404 of Regulation S-K under the Exchange Act; or (ii) is an executive officer of another entity, at which one of our executive officers serves on the board.</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12.</w:t>
      </w:r>
      <w:r>
        <w:rPr>
          <w:sz w:val="20"/>
          <w:szCs w:val="20"/>
          <w:color w:val="auto"/>
        </w:rPr>
        <w:tab/>
      </w:r>
      <w:r>
        <w:rPr>
          <w:rFonts w:ascii="Arial" w:cs="Arial" w:eastAsia="Arial" w:hAnsi="Arial"/>
          <w:sz w:val="15"/>
          <w:szCs w:val="15"/>
          <w:b w:val="1"/>
          <w:bCs w:val="1"/>
          <w:i w:val="1"/>
          <w:iCs w:val="1"/>
          <w:color w:val="231F20"/>
        </w:rPr>
        <w:t>Security Ownership of Certain Beneficial Owners and Management and Related Stockholder Matters</w:t>
      </w:r>
    </w:p>
    <w:p>
      <w:pPr>
        <w:spacing w:after="0" w:line="121"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following table sets forth, as of March 5, 2021, the beneficial ownership information of each current director, including the nominees for director, as well as the Company’s executive officers, each person known to it to beneficially own 5% or more of the outstanding shares of its common stock, and the executive officers and directors as a group. Percentage of beneficial ownership is based on 75,195,141 shares of the Company’s common stock and outstanding as of March 5, 2021.</w:t>
      </w:r>
    </w:p>
    <w:p>
      <w:pPr>
        <w:spacing w:after="0" w:line="79" w:lineRule="exact"/>
        <w:rPr>
          <w:sz w:val="20"/>
          <w:szCs w:val="20"/>
          <w:color w:val="auto"/>
        </w:rPr>
      </w:pPr>
    </w:p>
    <w:p>
      <w:pPr>
        <w:jc w:val="both"/>
        <w:ind w:right="200" w:firstLine="374"/>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the Company’s common stock is based upon filings by such persons with the SEC and other information obtained from such persons, if available.</w:t>
      </w:r>
    </w:p>
    <w:p>
      <w:pPr>
        <w:spacing w:after="0" w:line="76" w:lineRule="exact"/>
        <w:rPr>
          <w:sz w:val="20"/>
          <w:szCs w:val="20"/>
          <w:color w:val="auto"/>
        </w:rPr>
      </w:pPr>
    </w:p>
    <w:p>
      <w:pPr>
        <w:ind w:right="140" w:firstLine="374"/>
        <w:spacing w:after="0" w:line="279"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over the shares beneficially owned by such beneficial owner. The directors are divided into two groups — interested directors and independent directors. Each interested director is an “interested person” (as defined in Section 2(a)(19) of the 1940 Act) of the Company. The address of all executive officers and directors is c/o Portman Ridge Finance Corporation at 650 Madison Avenue, New York, New York 10022.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w:t>
            </w:r>
          </w:p>
        </w:tc>
        <w:tc>
          <w:tcPr>
            <w:tcW w:w="4240" w:type="dxa"/>
            <w:vAlign w:val="bottom"/>
          </w:tcPr>
          <w:p>
            <w:pPr>
              <w:jc w:val="right"/>
              <w:ind w:right="751"/>
              <w:spacing w:after="0"/>
              <w:rPr>
                <w:sz w:val="20"/>
                <w:szCs w:val="20"/>
                <w:color w:val="auto"/>
              </w:rPr>
            </w:pPr>
            <w:r>
              <w:rPr>
                <w:rFonts w:ascii="Arial" w:cs="Arial" w:eastAsia="Arial" w:hAnsi="Arial"/>
                <w:sz w:val="14"/>
                <w:szCs w:val="14"/>
                <w:b w:val="1"/>
                <w:bCs w:val="1"/>
                <w:color w:val="auto"/>
              </w:rPr>
              <w:t>Number of Shares</w:t>
            </w:r>
            <w:r>
              <w:rPr>
                <w:rFonts w:ascii="Arial" w:cs="Arial" w:eastAsia="Arial" w:hAnsi="Arial"/>
                <w:sz w:val="12"/>
                <w:szCs w:val="12"/>
                <w:b w:val="1"/>
                <w:bCs w:val="1"/>
                <w:color w:val="auto"/>
              </w:rPr>
              <w:t>(1)</w:t>
            </w:r>
          </w:p>
        </w:tc>
        <w:tc>
          <w:tcPr>
            <w:tcW w:w="1400" w:type="dxa"/>
            <w:vAlign w:val="bottom"/>
          </w:tcPr>
          <w:p>
            <w:pPr>
              <w:ind w:left="180"/>
              <w:spacing w:after="0"/>
              <w:rPr>
                <w:sz w:val="20"/>
                <w:szCs w:val="20"/>
                <w:color w:val="auto"/>
              </w:rPr>
            </w:pPr>
            <w:r>
              <w:rPr>
                <w:rFonts w:ascii="Arial" w:cs="Arial" w:eastAsia="Arial" w:hAnsi="Arial"/>
                <w:sz w:val="14"/>
                <w:szCs w:val="14"/>
                <w:b w:val="1"/>
                <w:bCs w:val="1"/>
                <w:color w:val="auto"/>
                <w:w w:val="89"/>
              </w:rPr>
              <w:t>Percentage of Class</w:t>
            </w:r>
          </w:p>
        </w:tc>
        <w:tc>
          <w:tcPr>
            <w:tcW w:w="0" w:type="dxa"/>
            <w:vAlign w:val="bottom"/>
          </w:tcPr>
          <w:p>
            <w:pPr>
              <w:spacing w:after="0"/>
              <w:rPr>
                <w:sz w:val="1"/>
                <w:szCs w:val="1"/>
                <w:color w:val="auto"/>
              </w:rPr>
            </w:pPr>
          </w:p>
        </w:tc>
      </w:tr>
      <w:tr>
        <w:trPr>
          <w:trHeight w:val="187"/>
        </w:trPr>
        <w:tc>
          <w:tcPr>
            <w:tcW w:w="5340" w:type="dxa"/>
            <w:vAlign w:val="bottom"/>
            <w:vMerge w:val="continue"/>
          </w:tcPr>
          <w:p>
            <w:pPr>
              <w:spacing w:after="0"/>
              <w:rPr>
                <w:sz w:val="16"/>
                <w:szCs w:val="16"/>
                <w:color w:val="auto"/>
              </w:rPr>
            </w:pPr>
          </w:p>
        </w:tc>
        <w:tc>
          <w:tcPr>
            <w:tcW w:w="4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4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Alexander Duka</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10,000</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George Grunebaum</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Christopher Lacovara</w:t>
            </w:r>
            <w:r>
              <w:rPr>
                <w:rFonts w:ascii="Arial" w:cs="Arial" w:eastAsia="Arial" w:hAnsi="Arial"/>
                <w:sz w:val="25"/>
                <w:szCs w:val="25"/>
                <w:color w:val="auto"/>
                <w:vertAlign w:val="superscript"/>
              </w:rPr>
              <w:t>(2)</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212,634</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7"/>
                <w:szCs w:val="17"/>
                <w:color w:val="auto"/>
              </w:rPr>
              <w:t>Dean C. Kehler</w:t>
            </w:r>
            <w:r>
              <w:rPr>
                <w:rFonts w:ascii="Arial" w:cs="Arial" w:eastAsia="Arial" w:hAnsi="Arial"/>
                <w:sz w:val="25"/>
                <w:szCs w:val="25"/>
                <w:color w:val="auto"/>
                <w:vertAlign w:val="superscript"/>
              </w:rPr>
              <w:t>(3)</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1,674,000</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90"/>
              </w:rPr>
              <w:t>2.23%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Robert Warshauer</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20,000</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Matthew Westwood</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43,263</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Joseph Morea</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18,210</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i w:val="1"/>
                <w:iCs w:val="1"/>
                <w:color w:val="auto"/>
              </w:rPr>
              <w:t>Interested Directors</w:t>
            </w:r>
          </w:p>
        </w:tc>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Graeme Dell</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Ted Goldthorpe</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97,651</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i w:val="1"/>
                <w:iCs w:val="1"/>
                <w:color w:val="auto"/>
              </w:rPr>
              <w:t>Executive Officers</w:t>
            </w:r>
          </w:p>
        </w:tc>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Jason T. Roos</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Andrew Devine</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Patrick Schafer</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49,500</w:t>
            </w:r>
          </w:p>
        </w:tc>
        <w:tc>
          <w:tcPr>
            <w:tcW w:w="140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Directors and Executive Officers as a Group</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2,125,258</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90"/>
              </w:rPr>
              <w:t>2.83%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i w:val="1"/>
                <w:iCs w:val="1"/>
                <w:color w:val="auto"/>
              </w:rPr>
              <w:t>5% Holders</w:t>
            </w:r>
          </w:p>
        </w:tc>
        <w:tc>
          <w:tcPr>
            <w:tcW w:w="4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line="228" w:lineRule="exact"/>
              <w:rPr>
                <w:sz w:val="20"/>
                <w:szCs w:val="20"/>
                <w:color w:val="auto"/>
              </w:rPr>
            </w:pPr>
            <w:r>
              <w:rPr>
                <w:rFonts w:ascii="Arial" w:cs="Arial" w:eastAsia="Arial" w:hAnsi="Arial"/>
                <w:sz w:val="18"/>
                <w:szCs w:val="18"/>
                <w:color w:val="auto"/>
              </w:rPr>
              <w:t>Sarpa Holdings LLC</w:t>
            </w:r>
            <w:r>
              <w:rPr>
                <w:rFonts w:ascii="Arial" w:cs="Arial" w:eastAsia="Arial" w:hAnsi="Arial"/>
                <w:sz w:val="26"/>
                <w:szCs w:val="26"/>
                <w:color w:val="auto"/>
                <w:vertAlign w:val="superscript"/>
              </w:rPr>
              <w:t>(4)</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5,598,681</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90"/>
              </w:rPr>
              <w:t>7.45%</w:t>
            </w:r>
          </w:p>
        </w:tc>
        <w:tc>
          <w:tcPr>
            <w:tcW w:w="0" w:type="dxa"/>
            <w:vAlign w:val="bottom"/>
          </w:tcPr>
          <w:p>
            <w:pPr>
              <w:spacing w:after="0"/>
              <w:rPr>
                <w:sz w:val="1"/>
                <w:szCs w:val="1"/>
                <w:color w:val="auto"/>
              </w:rPr>
            </w:pPr>
          </w:p>
        </w:tc>
      </w:tr>
      <w:tr>
        <w:trPr>
          <w:trHeight w:val="348"/>
        </w:trPr>
        <w:tc>
          <w:tcPr>
            <w:tcW w:w="5340" w:type="dxa"/>
            <w:vAlign w:val="bottom"/>
          </w:tcPr>
          <w:p>
            <w:pPr>
              <w:spacing w:after="0"/>
              <w:rPr>
                <w:sz w:val="20"/>
                <w:szCs w:val="20"/>
                <w:color w:val="auto"/>
              </w:rPr>
            </w:pPr>
            <w:r>
              <w:rPr>
                <w:rFonts w:ascii="Arial" w:cs="Arial" w:eastAsia="Arial" w:hAnsi="Arial"/>
                <w:sz w:val="18"/>
                <w:szCs w:val="18"/>
                <w:color w:val="auto"/>
              </w:rPr>
              <w:t>Silver Creek Capital Management</w:t>
            </w:r>
            <w:r>
              <w:rPr>
                <w:rFonts w:ascii="Arial" w:cs="Arial" w:eastAsia="Arial" w:hAnsi="Arial"/>
                <w:sz w:val="26"/>
                <w:szCs w:val="26"/>
                <w:color w:val="auto"/>
                <w:vertAlign w:val="superscript"/>
              </w:rPr>
              <w:t>(5)</w:t>
            </w:r>
          </w:p>
        </w:tc>
        <w:tc>
          <w:tcPr>
            <w:tcW w:w="4240" w:type="dxa"/>
            <w:vAlign w:val="bottom"/>
          </w:tcPr>
          <w:p>
            <w:pPr>
              <w:jc w:val="right"/>
              <w:ind w:right="111"/>
              <w:spacing w:after="0"/>
              <w:rPr>
                <w:sz w:val="20"/>
                <w:szCs w:val="20"/>
                <w:color w:val="auto"/>
              </w:rPr>
            </w:pPr>
            <w:r>
              <w:rPr>
                <w:rFonts w:ascii="Arial" w:cs="Arial" w:eastAsia="Arial" w:hAnsi="Arial"/>
                <w:sz w:val="18"/>
                <w:szCs w:val="18"/>
                <w:color w:val="auto"/>
              </w:rPr>
              <w:t>3,846,872</w:t>
            </w:r>
          </w:p>
        </w:tc>
        <w:tc>
          <w:tcPr>
            <w:tcW w:w="1400" w:type="dxa"/>
            <w:vAlign w:val="bottom"/>
          </w:tcPr>
          <w:p>
            <w:pPr>
              <w:jc w:val="center"/>
              <w:ind w:left="91"/>
              <w:spacing w:after="0"/>
              <w:rPr>
                <w:sz w:val="20"/>
                <w:szCs w:val="20"/>
                <w:color w:val="auto"/>
              </w:rPr>
            </w:pPr>
            <w:r>
              <w:rPr>
                <w:rFonts w:ascii="Arial" w:cs="Arial" w:eastAsia="Arial" w:hAnsi="Arial"/>
                <w:sz w:val="18"/>
                <w:szCs w:val="18"/>
                <w:color w:val="auto"/>
                <w:w w:val="90"/>
              </w:rPr>
              <w:t>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117" w:lineRule="exact"/>
        <w:rPr>
          <w:sz w:val="20"/>
          <w:szCs w:val="20"/>
          <w:color w:val="auto"/>
        </w:rPr>
      </w:pPr>
    </w:p>
    <w:p>
      <w:pPr>
        <w:ind w:left="5540" w:right="3460" w:hanging="5532"/>
        <w:spacing w:after="0" w:line="527" w:lineRule="auto"/>
        <w:tabs>
          <w:tab w:leader="none" w:pos="4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16a-1(a)(2) of the Exchange Act.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79" w:name="page80"/>
    <w:bookmarkEnd w:id="79"/>
    <w:p>
      <w:pPr>
        <w:ind w:left="460" w:hanging="452"/>
        <w:spacing w:after="0" w:line="279"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Excludes shares of common stock held by KKAT Acquisition Company III, LLC, KKAT Acquisition Company IV, LLC, KKAT Acquisition Company V, LLC, KKAT Acquisition Company VII, LLC and KKAT Acquisition Company VIII, LLC (the “KKAT Entities”). Mr. Lacovara is a member of the KKAT Entities and therefore may have a pecuniary interest in certain of the shares held by the KKAT Entities. Mr. Lacovara disclaims beneficial ownership of the shares held by the KKAT Entities except to the extent of their respective pecuniary interests therein.</w:t>
      </w:r>
    </w:p>
    <w:p>
      <w:pPr>
        <w:spacing w:after="0" w:line="63" w:lineRule="exact"/>
        <w:rPr>
          <w:rFonts w:ascii="Arial" w:cs="Arial" w:eastAsia="Arial" w:hAnsi="Arial"/>
          <w:sz w:val="17"/>
          <w:szCs w:val="17"/>
          <w:color w:val="auto"/>
        </w:rPr>
      </w:pPr>
    </w:p>
    <w:p>
      <w:pPr>
        <w:ind w:left="460" w:right="20" w:hanging="452"/>
        <w:spacing w:after="0" w:line="263"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1,800,000 shares acquired by Mr. Kehler as consideration for his indirect sale of certain property and limited liability company interests in Trimaran Advisors, L.L.C. to the Company on February 29, 2012. Mr. Kehler indicated that he has sole dispositive and voting power over 725,000 of such shares which were delivered at the closing of the transaction.</w:t>
      </w:r>
    </w:p>
    <w:p>
      <w:pPr>
        <w:spacing w:after="0" w:line="75" w:lineRule="exact"/>
        <w:rPr>
          <w:rFonts w:ascii="Arial" w:cs="Arial" w:eastAsia="Arial" w:hAnsi="Arial"/>
          <w:sz w:val="18"/>
          <w:szCs w:val="18"/>
          <w:color w:val="auto"/>
        </w:rPr>
      </w:pPr>
    </w:p>
    <w:p>
      <w:pPr>
        <w:ind w:left="460" w:right="20" w:hanging="452"/>
        <w:spacing w:after="0" w:line="263"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reported on a Schedule 13G filed by Sarpa Holdings LLC (“Sarpa”) on February 17, 2021 of the 5,598,681 shares of the Company’s common stock over which Sarpa has the shared power to dispose or to direct the disposition of and the shared power to vote or to direct the vote. The principal address of Sarpa is 1870 Ogden Drive, Burlingame, CA 94010.</w:t>
      </w:r>
    </w:p>
    <w:p>
      <w:pPr>
        <w:spacing w:after="0" w:line="75" w:lineRule="exact"/>
        <w:rPr>
          <w:rFonts w:ascii="Arial" w:cs="Arial" w:eastAsia="Arial" w:hAnsi="Arial"/>
          <w:sz w:val="18"/>
          <w:szCs w:val="18"/>
          <w:color w:val="auto"/>
        </w:rPr>
      </w:pPr>
    </w:p>
    <w:p>
      <w:pPr>
        <w:ind w:left="460" w:hanging="452"/>
        <w:spacing w:after="0" w:line="286"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reported on a Schedule 13G filed by Silver Creek Capital Management LLC (“Silver Creekt”) on February 18, 2021 of the 3,846,872 shares of the Company’s common stock over which Silver Creek has the shared power to dispose or to direct the disposition of and the Shared power to vote or to direct the vote. The principal address of Haymarket is 1303 Fifth Avenue, 40</w:t>
      </w:r>
      <w:r>
        <w:rPr>
          <w:rFonts w:ascii="Arial" w:cs="Arial" w:eastAsia="Arial" w:hAnsi="Arial"/>
          <w:sz w:val="14"/>
          <w:szCs w:val="14"/>
          <w:color w:val="auto"/>
        </w:rPr>
        <w:t>th</w:t>
      </w:r>
      <w:r>
        <w:rPr>
          <w:rFonts w:ascii="Arial" w:cs="Arial" w:eastAsia="Arial" w:hAnsi="Arial"/>
          <w:sz w:val="17"/>
          <w:szCs w:val="17"/>
          <w:color w:val="auto"/>
        </w:rPr>
        <w:t xml:space="preserve"> Floor, Seattle, Washington 98101.</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231F20"/>
        </w:rPr>
        <w:t>Item 13.</w:t>
      </w:r>
      <w:r>
        <w:rPr>
          <w:sz w:val="20"/>
          <w:szCs w:val="20"/>
          <w:color w:val="auto"/>
        </w:rPr>
        <w:tab/>
      </w:r>
      <w:r>
        <w:rPr>
          <w:rFonts w:ascii="Arial" w:cs="Arial" w:eastAsia="Arial" w:hAnsi="Arial"/>
          <w:sz w:val="15"/>
          <w:szCs w:val="15"/>
          <w:b w:val="1"/>
          <w:bCs w:val="1"/>
          <w:i w:val="1"/>
          <w:iCs w:val="1"/>
          <w:color w:val="231F20"/>
        </w:rPr>
        <w:t>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and Administrative Agreement</w:t>
      </w:r>
    </w:p>
    <w:p>
      <w:pPr>
        <w:spacing w:after="0" w:line="117" w:lineRule="exact"/>
        <w:rPr>
          <w:sz w:val="20"/>
          <w:szCs w:val="20"/>
          <w:color w:val="auto"/>
        </w:rPr>
      </w:pPr>
    </w:p>
    <w:p>
      <w:pPr>
        <w:jc w:val="both"/>
        <w:ind w:right="220" w:firstLine="374"/>
        <w:spacing w:after="0" w:line="311" w:lineRule="auto"/>
        <w:rPr>
          <w:sz w:val="20"/>
          <w:szCs w:val="20"/>
          <w:color w:val="auto"/>
        </w:rPr>
      </w:pPr>
      <w:r>
        <w:rPr>
          <w:rFonts w:ascii="Arial" w:cs="Arial" w:eastAsia="Arial" w:hAnsi="Arial"/>
          <w:sz w:val="16"/>
          <w:szCs w:val="16"/>
          <w:color w:val="auto"/>
        </w:rPr>
        <w:t>The Company is externally managed by the Adviser, an affiliate of BC Partners, pursuant to the Advisory Agreement. Each of Mr. Goldthorpe and Mr. Dell, interested members of the Board, has a direct or indirect pecuniary interest in the Adviser. The Adviser is a registered investment adviser under the Advisers Act. The Adviser is an affiliate of BC Partners Advisors L.P. BC Partners Holdings Limited is the ultimate control person of the Adviser.</w:t>
      </w:r>
    </w:p>
    <w:p>
      <w:pPr>
        <w:spacing w:after="0" w:line="41" w:lineRule="exact"/>
        <w:rPr>
          <w:sz w:val="20"/>
          <w:szCs w:val="20"/>
          <w:color w:val="auto"/>
        </w:rPr>
      </w:pPr>
    </w:p>
    <w:p>
      <w:pPr>
        <w:ind w:right="200" w:firstLine="374"/>
        <w:spacing w:after="0" w:line="257" w:lineRule="auto"/>
        <w:rPr>
          <w:sz w:val="20"/>
          <w:szCs w:val="20"/>
          <w:color w:val="auto"/>
        </w:rPr>
      </w:pPr>
      <w:r>
        <w:rPr>
          <w:rFonts w:ascii="Arial" w:cs="Arial" w:eastAsia="Arial" w:hAnsi="Arial"/>
          <w:sz w:val="18"/>
          <w:szCs w:val="18"/>
          <w:color w:val="auto"/>
        </w:rPr>
        <w:t>Under the Advisory Agreement, fees payable to the Adviser equal (i) the Base Management Fee and (ii) the Incentive Fee. For the year ended December 31, 2020, Base Management Fees were approximately $4.6 million, and Incentive Fees were approximately $4.9 million, of which approximately $557 thousand were waived.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80" w:lineRule="exact"/>
        <w:rPr>
          <w:sz w:val="20"/>
          <w:szCs w:val="20"/>
          <w:color w:val="auto"/>
        </w:rPr>
      </w:pPr>
    </w:p>
    <w:p>
      <w:pPr>
        <w:ind w:right="120" w:firstLine="374"/>
        <w:spacing w:after="0" w:line="296" w:lineRule="auto"/>
        <w:rPr>
          <w:sz w:val="20"/>
          <w:szCs w:val="20"/>
          <w:color w:val="auto"/>
        </w:rPr>
      </w:pPr>
      <w:r>
        <w:rPr>
          <w:rFonts w:ascii="Arial" w:cs="Arial" w:eastAsia="Arial" w:hAnsi="Arial"/>
          <w:sz w:val="16"/>
          <w:szCs w:val="16"/>
          <w:color w:val="auto"/>
        </w:rPr>
        <w:t>In addition, the Adviser (or its affiliate) will use up to $10 million of the Incentive Fee actually paid to the Adviser prior to the second anniversary of the effective date of the Advisory Agreement to buy newly issued shares of our common stock at the most recently determined net asset value per share of our common stock at the time of such purchase. In December 2020, the Company entered into the Securities Purchase Agreement with an affiliate of the Adviser and an affiliate of LibreMax for the sale of 204,708 shares of our common stock. The Company received proceeds in cash of approximately $572 thousand from the sale, and the transaction was approved by the Company’s Board, including the independent directors.</w:t>
      </w:r>
    </w:p>
    <w:p>
      <w:pPr>
        <w:spacing w:after="0" w:line="53"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84" w:lineRule="exact"/>
        <w:rPr>
          <w:sz w:val="20"/>
          <w:szCs w:val="20"/>
          <w:color w:val="auto"/>
        </w:rPr>
      </w:pPr>
    </w:p>
    <w:p>
      <w:pPr>
        <w:jc w:val="both"/>
        <w:ind w:right="20" w:firstLine="374"/>
        <w:spacing w:after="0" w:line="286" w:lineRule="auto"/>
        <w:rPr>
          <w:sz w:val="20"/>
          <w:szCs w:val="20"/>
          <w:color w:val="auto"/>
        </w:rPr>
      </w:pPr>
      <w:r>
        <w:rPr>
          <w:rFonts w:ascii="Arial" w:cs="Arial" w:eastAsia="Arial" w:hAnsi="Arial"/>
          <w:sz w:val="17"/>
          <w:szCs w:val="17"/>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57"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Such reimbursement is at cost, with no profit to, or markup by, the Administrator. For the fiscal year ended December 31, 2020, the Company incurred approximately $1.9 million of administration services expenses under the Administration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independent directors of the Company are required to review, approve or ratify any transactions with related persons (as such term is defined in Item 404 of Regulation 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In accordance with rules of Nasdaq and Section 2(a)(19) of the 1940 Act,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Company’s Nominating and Corporate Governance Committee and through a questionnaire to be completed by each director no less frequently than annually, with updates periodically if information provided in the most recent questionnaire has materially changed.</w:t>
      </w:r>
    </w:p>
    <w:p>
      <w:pPr>
        <w:spacing w:after="0" w:line="80"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order to evaluate the materiality of any such relationship, the Board uses the definition of director independence set forth in the Nasdaq listing rules. Section 5605 provides that a director of a business development company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49" w:lineRule="exact"/>
        <w:rPr>
          <w:sz w:val="20"/>
          <w:szCs w:val="20"/>
          <w:color w:val="auto"/>
        </w:rPr>
      </w:pPr>
    </w:p>
    <w:p>
      <w:pPr>
        <w:ind w:right="440" w:firstLine="374"/>
        <w:spacing w:after="0" w:line="342" w:lineRule="auto"/>
        <w:rPr>
          <w:sz w:val="20"/>
          <w:szCs w:val="20"/>
          <w:color w:val="auto"/>
        </w:rPr>
      </w:pPr>
      <w:r>
        <w:rPr>
          <w:rFonts w:ascii="Arial" w:cs="Arial" w:eastAsia="Arial" w:hAnsi="Arial"/>
          <w:sz w:val="16"/>
          <w:szCs w:val="16"/>
          <w:color w:val="auto"/>
        </w:rPr>
        <w:t>The Board has determined that each of the current directors is, and each director that served during fiscal year 2020, was independent and has no relationship with the Company, except as a director and stockholder of the Company, with the exception of Messrs. Goldthorpe and Dell.</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14.</w:t>
      </w:r>
      <w:r>
        <w:rPr>
          <w:sz w:val="20"/>
          <w:szCs w:val="20"/>
          <w:color w:val="auto"/>
        </w:rPr>
        <w:tab/>
      </w:r>
      <w:r>
        <w:rPr>
          <w:rFonts w:ascii="Arial" w:cs="Arial" w:eastAsia="Arial" w:hAnsi="Arial"/>
          <w:sz w:val="15"/>
          <w:szCs w:val="15"/>
          <w:b w:val="1"/>
          <w:bCs w:val="1"/>
          <w:i w:val="1"/>
          <w:iCs w:val="1"/>
          <w:color w:val="231F20"/>
        </w:rPr>
        <w:t>Principal Accountant Fees and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Auditor’s Fees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fees for professional services rendered by KPMG for the fiscal years ended December 31, 2020 and 2019.</w:t>
      </w:r>
    </w:p>
    <w:p>
      <w:pPr>
        <w:spacing w:after="0" w:line="235" w:lineRule="exact"/>
        <w:rPr>
          <w:sz w:val="20"/>
          <w:szCs w:val="20"/>
          <w:color w:val="auto"/>
        </w:rPr>
      </w:pPr>
    </w:p>
    <w:tbl>
      <w:tblPr>
        <w:tblLayout w:type="fixed"/>
        <w:tblInd w:w="2600" w:type="dxa"/>
        <w:tblCellMar>
          <w:top w:w="0" w:type="dxa"/>
          <w:left w:w="0" w:type="dxa"/>
          <w:bottom w:w="0" w:type="dxa"/>
          <w:right w:w="0" w:type="dxa"/>
        </w:tblCellMar>
      </w:tblPr>
      <w:tr>
        <w:trPr>
          <w:trHeight w:val="234"/>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Audit Fees</w:t>
            </w: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191"/>
        </w:trPr>
        <w:tc>
          <w:tcPr>
            <w:tcW w:w="3760" w:type="dxa"/>
            <w:vAlign w:val="bottom"/>
            <w:vMerge w:val="continue"/>
          </w:tcPr>
          <w:p>
            <w:pPr>
              <w:spacing w:after="0"/>
              <w:rPr>
                <w:sz w:val="16"/>
                <w:szCs w:val="16"/>
                <w:color w:val="auto"/>
              </w:rPr>
            </w:pPr>
          </w:p>
        </w:tc>
        <w:tc>
          <w:tcPr>
            <w:tcW w:w="2300" w:type="dxa"/>
            <w:vAlign w:val="bottom"/>
            <w:gridSpan w:val="2"/>
          </w:tcPr>
          <w:p>
            <w:pPr>
              <w:ind w:left="480"/>
              <w:spacing w:after="0" w:line="191" w:lineRule="exact"/>
              <w:rPr>
                <w:sz w:val="20"/>
                <w:szCs w:val="20"/>
                <w:color w:val="auto"/>
              </w:rPr>
            </w:pPr>
            <w:r>
              <w:rPr>
                <w:rFonts w:ascii="Arial" w:cs="Arial" w:eastAsia="Arial" w:hAnsi="Arial"/>
                <w:sz w:val="18"/>
                <w:szCs w:val="18"/>
                <w:color w:val="auto"/>
              </w:rPr>
              <w:t>$730,000$755,000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$148,000$92,000</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Arial" w:cs="Arial" w:eastAsia="Arial" w:hAnsi="Arial"/>
                <w:sz w:val="18"/>
                <w:szCs w:val="18"/>
                <w:b w:val="1"/>
                <w:bCs w:val="1"/>
                <w:color w:val="auto"/>
              </w:rPr>
              <w:t>Aggregate Non-Audit Fees:</w:t>
            </w:r>
          </w:p>
        </w:tc>
        <w:tc>
          <w:tcPr>
            <w:tcW w:w="1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Tax Fees</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tcPr>
          <w:p>
            <w:pPr>
              <w:spacing w:after="0"/>
              <w:rPr>
                <w:sz w:val="20"/>
                <w:szCs w:val="20"/>
                <w:color w:val="auto"/>
              </w:rPr>
            </w:pPr>
            <w:r>
              <w:rPr>
                <w:rFonts w:ascii="Arial" w:cs="Arial" w:eastAsia="Arial" w:hAnsi="Arial"/>
                <w:sz w:val="18"/>
                <w:szCs w:val="18"/>
                <w:color w:val="auto"/>
              </w:rPr>
              <w:t>All Other Fees</w:t>
            </w:r>
          </w:p>
        </w:tc>
        <w:tc>
          <w:tcPr>
            <w:tcW w:w="1480" w:type="dxa"/>
            <w:vAlign w:val="bottom"/>
          </w:tcPr>
          <w:p>
            <w:pPr>
              <w:jc w:val="right"/>
              <w:spacing w:after="0"/>
              <w:rPr>
                <w:sz w:val="20"/>
                <w:szCs w:val="20"/>
                <w:color w:val="auto"/>
              </w:rPr>
            </w:pPr>
            <w:r>
              <w:rPr>
                <w:rFonts w:ascii="Arial" w:cs="Arial" w:eastAsia="Arial" w:hAnsi="Arial"/>
                <w:sz w:val="18"/>
                <w:szCs w:val="18"/>
                <w:color w:val="auto"/>
              </w:rPr>
              <w:t>$12,000$—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Aggregate Non-Audit Fees</w:t>
            </w:r>
          </w:p>
        </w:tc>
        <w:tc>
          <w:tcPr>
            <w:tcW w:w="1480" w:type="dxa"/>
            <w:vAlign w:val="bottom"/>
          </w:tcPr>
          <w:p>
            <w:pPr>
              <w:jc w:val="right"/>
              <w:spacing w:after="0"/>
              <w:rPr>
                <w:sz w:val="20"/>
                <w:szCs w:val="20"/>
                <w:color w:val="auto"/>
              </w:rPr>
            </w:pPr>
            <w:r>
              <w:rPr>
                <w:rFonts w:ascii="Arial" w:cs="Arial" w:eastAsia="Arial" w:hAnsi="Arial"/>
                <w:sz w:val="18"/>
                <w:szCs w:val="18"/>
                <w:color w:val="auto"/>
              </w:rPr>
              <w:t>$12,000$—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Total Fees</w:t>
            </w:r>
          </w:p>
        </w:tc>
        <w:tc>
          <w:tcPr>
            <w:tcW w:w="23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60" w:type="dxa"/>
            <w:vAlign w:val="bottom"/>
            <w:vMerge w:val="continue"/>
          </w:tcPr>
          <w:p>
            <w:pPr>
              <w:spacing w:after="0"/>
              <w:rPr>
                <w:sz w:val="19"/>
                <w:szCs w:val="19"/>
                <w:color w:val="auto"/>
              </w:rPr>
            </w:pP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$890,000$847,000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540" w:firstLine="374"/>
        <w:spacing w:after="0" w:line="34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consist of fees billed for professional services rendered for the audit of the Company’s year-end financial statements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that are normally provided by the independent registered public accounting firm in connection with statutory and regulatory filings.</w:t>
      </w:r>
    </w:p>
    <w:p>
      <w:pPr>
        <w:spacing w:after="0" w:line="56"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the Company’s financial statements and are not reported under “Audit Fees.” These services include attest services that are not required by statute or regulation and consultations concerning financial accounting and reporting standards.</w:t>
      </w:r>
    </w:p>
    <w:p>
      <w:pPr>
        <w:spacing w:after="0" w:line="76"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The Audit Committee has established a pre-approval policy that describes the permitted audit, audit-related, tax and other services to be provided by the Company’s independent registered public accounting firm. The policy requires that the Audit Committee pre-approve the audit and non-audit services performed by the independent registered public accountant(s) in order to assure that the provision of such service does not impair the accountant’s independence.</w:t>
      </w:r>
    </w:p>
    <w:p>
      <w:pPr>
        <w:spacing w:after="0" w:line="79"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231F20"/>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231F20"/>
        </w:rPr>
        <w:t>Item 15.</w:t>
      </w:r>
      <w:r>
        <w:rPr>
          <w:sz w:val="20"/>
          <w:szCs w:val="20"/>
          <w:color w:val="auto"/>
        </w:rPr>
        <w:tab/>
      </w:r>
      <w:r>
        <w:rPr>
          <w:rFonts w:ascii="Arial" w:cs="Arial" w:eastAsia="Arial" w:hAnsi="Arial"/>
          <w:sz w:val="15"/>
          <w:szCs w:val="15"/>
          <w:b w:val="1"/>
          <w:bCs w:val="1"/>
          <w:i w:val="1"/>
          <w:iCs w:val="1"/>
          <w:color w:val="231F20"/>
        </w:rPr>
        <w:t>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i w:val="1"/>
          <w:iCs w:val="1"/>
          <w:color w:val="231F20"/>
        </w:rPr>
      </w:pPr>
      <w:r>
        <w:rPr>
          <w:rFonts w:ascii="Arial" w:cs="Arial" w:eastAsia="Arial" w:hAnsi="Arial"/>
          <w:sz w:val="18"/>
          <w:szCs w:val="18"/>
          <w:i w:val="1"/>
          <w:iCs w:val="1"/>
          <w:color w:val="231F20"/>
        </w:rPr>
        <w:t>Documents filed as part of this report:</w:t>
      </w:r>
    </w:p>
    <w:p>
      <w:pPr>
        <w:spacing w:after="0" w:line="117" w:lineRule="exact"/>
        <w:rPr>
          <w:rFonts w:ascii="Arial" w:cs="Arial" w:eastAsia="Arial" w:hAnsi="Arial"/>
          <w:sz w:val="18"/>
          <w:szCs w:val="18"/>
          <w:i w:val="1"/>
          <w:iCs w:val="1"/>
          <w:color w:val="231F20"/>
        </w:rPr>
      </w:pPr>
    </w:p>
    <w:p>
      <w:pPr>
        <w:ind w:left="940" w:hanging="183"/>
        <w:spacing w:after="0"/>
        <w:tabs>
          <w:tab w:leader="none" w:pos="940" w:val="left"/>
        </w:tabs>
        <w:numPr>
          <w:ilvl w:val="1"/>
          <w:numId w:val="53"/>
        </w:numPr>
        <w:rPr>
          <w:rFonts w:ascii="Arial" w:cs="Arial" w:eastAsia="Arial" w:hAnsi="Arial"/>
          <w:sz w:val="17"/>
          <w:szCs w:val="17"/>
          <w:color w:val="231F20"/>
        </w:rPr>
      </w:pPr>
      <w:r>
        <w:rPr>
          <w:rFonts w:ascii="Arial" w:cs="Arial" w:eastAsia="Arial" w:hAnsi="Arial"/>
          <w:sz w:val="17"/>
          <w:szCs w:val="17"/>
          <w:color w:val="231F20"/>
        </w:rPr>
        <w:t>For a list of the consolidated financial information included herein, see Index to the Consolidated Financial Statements on page F-1.</w:t>
      </w:r>
    </w:p>
    <w:p>
      <w:pPr>
        <w:spacing w:after="0" w:line="128" w:lineRule="exact"/>
        <w:rPr>
          <w:rFonts w:ascii="Arial" w:cs="Arial" w:eastAsia="Arial" w:hAnsi="Arial"/>
          <w:sz w:val="17"/>
          <w:szCs w:val="17"/>
          <w:color w:val="231F20"/>
        </w:rPr>
      </w:pPr>
    </w:p>
    <w:p>
      <w:pPr>
        <w:ind w:left="940" w:hanging="183"/>
        <w:spacing w:after="0"/>
        <w:tabs>
          <w:tab w:leader="none" w:pos="940" w:val="left"/>
        </w:tabs>
        <w:numPr>
          <w:ilvl w:val="1"/>
          <w:numId w:val="53"/>
        </w:numPr>
        <w:rPr>
          <w:rFonts w:ascii="Arial" w:cs="Arial" w:eastAsia="Arial" w:hAnsi="Arial"/>
          <w:sz w:val="18"/>
          <w:szCs w:val="18"/>
          <w:color w:val="231F20"/>
        </w:rPr>
      </w:pPr>
      <w:r>
        <w:rPr>
          <w:rFonts w:ascii="Arial" w:cs="Arial" w:eastAsia="Arial" w:hAnsi="Arial"/>
          <w:sz w:val="18"/>
          <w:szCs w:val="18"/>
          <w:color w:val="231F20"/>
        </w:rPr>
        <w:t>For a list of other exhibits included herein, see Exhibit List on page E-1.</w:t>
      </w:r>
    </w:p>
    <w:p>
      <w:pPr>
        <w:spacing w:after="0" w:line="117" w:lineRule="exact"/>
        <w:rPr>
          <w:rFonts w:ascii="Arial" w:cs="Arial" w:eastAsia="Arial" w:hAnsi="Arial"/>
          <w:sz w:val="18"/>
          <w:szCs w:val="18"/>
          <w:color w:val="231F20"/>
        </w:rPr>
      </w:pPr>
    </w:p>
    <w:p>
      <w:pPr>
        <w:ind w:firstLine="8"/>
        <w:spacing w:after="0" w:line="277" w:lineRule="auto"/>
        <w:tabs>
          <w:tab w:leader="none" w:pos="255" w:val="left"/>
        </w:tabs>
        <w:numPr>
          <w:ilvl w:val="0"/>
          <w:numId w:val="53"/>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Exhibits required by Item 601 of Regulation S-K. </w:t>
      </w:r>
      <w:r>
        <w:rPr>
          <w:rFonts w:ascii="Arial" w:cs="Arial" w:eastAsia="Arial" w:hAnsi="Arial"/>
          <w:sz w:val="18"/>
          <w:szCs w:val="18"/>
          <w:color w:val="231F20"/>
        </w:rPr>
        <w:t>Reference is made to the Exhibit List filed as a part of this report beginning on page E-1. Each of such</w:t>
      </w:r>
      <w:r>
        <w:rPr>
          <w:rFonts w:ascii="Arial" w:cs="Arial" w:eastAsia="Arial" w:hAnsi="Arial"/>
          <w:sz w:val="18"/>
          <w:szCs w:val="18"/>
          <w:i w:val="1"/>
          <w:iCs w:val="1"/>
          <w:color w:val="231F20"/>
        </w:rPr>
        <w:t xml:space="preserve"> </w:t>
      </w:r>
      <w:r>
        <w:rPr>
          <w:rFonts w:ascii="Arial" w:cs="Arial" w:eastAsia="Arial" w:hAnsi="Arial"/>
          <w:sz w:val="18"/>
          <w:szCs w:val="18"/>
          <w:color w:val="231F20"/>
        </w:rPr>
        <w:t>exhibits is incorporated by reference herein.</w:t>
      </w:r>
    </w:p>
    <w:p>
      <w:pPr>
        <w:spacing w:after="0" w:line="62" w:lineRule="exact"/>
        <w:rPr>
          <w:rFonts w:ascii="Arial" w:cs="Arial" w:eastAsia="Arial" w:hAnsi="Arial"/>
          <w:sz w:val="18"/>
          <w:szCs w:val="18"/>
          <w:i w:val="1"/>
          <w:iCs w:val="1"/>
          <w:color w:val="231F20"/>
        </w:rPr>
      </w:pPr>
    </w:p>
    <w:p>
      <w:pPr>
        <w:ind w:right="300" w:firstLine="8"/>
        <w:spacing w:after="0" w:line="277" w:lineRule="auto"/>
        <w:tabs>
          <w:tab w:leader="none" w:pos="245" w:val="left"/>
        </w:tabs>
        <w:numPr>
          <w:ilvl w:val="0"/>
          <w:numId w:val="53"/>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Other financial statements and financial statement schedules. </w:t>
      </w:r>
      <w:r>
        <w:rPr>
          <w:rFonts w:ascii="Arial" w:cs="Arial" w:eastAsia="Arial" w:hAnsi="Arial"/>
          <w:sz w:val="18"/>
          <w:szCs w:val="18"/>
          <w:color w:val="231F20"/>
        </w:rPr>
        <w:t>Reference is made to the Index to Other Financial Statements and Financial Statement</w:t>
      </w:r>
      <w:r>
        <w:rPr>
          <w:rFonts w:ascii="Arial" w:cs="Arial" w:eastAsia="Arial" w:hAnsi="Arial"/>
          <w:sz w:val="18"/>
          <w:szCs w:val="18"/>
          <w:i w:val="1"/>
          <w:iCs w:val="1"/>
          <w:color w:val="231F20"/>
        </w:rPr>
        <w:t xml:space="preserve"> </w:t>
      </w:r>
      <w:r>
        <w:rPr>
          <w:rFonts w:ascii="Arial" w:cs="Arial" w:eastAsia="Arial" w:hAnsi="Arial"/>
          <w:sz w:val="18"/>
          <w:szCs w:val="18"/>
          <w:color w:val="231F20"/>
        </w:rPr>
        <w:t>Schedules on page S-1. Each of such documents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9300" w:type="dxa"/>
            <w:vAlign w:val="bottom"/>
          </w:tcPr>
          <w:p>
            <w:pPr>
              <w:ind w:left="4020"/>
              <w:spacing w:after="0"/>
              <w:rPr>
                <w:sz w:val="20"/>
                <w:szCs w:val="20"/>
                <w:color w:val="auto"/>
              </w:rPr>
            </w:pPr>
            <w:r>
              <w:rPr>
                <w:rFonts w:ascii="Arial" w:cs="Arial" w:eastAsia="Arial" w:hAnsi="Arial"/>
                <w:sz w:val="18"/>
                <w:szCs w:val="18"/>
                <w:b w:val="1"/>
                <w:bCs w:val="1"/>
                <w:color w:val="231F20"/>
              </w:rPr>
              <w:t>INDEX TO FINANCIAL STATEMENTS</w:t>
            </w:r>
          </w:p>
        </w:tc>
        <w:tc>
          <w:tcPr>
            <w:tcW w:w="1960" w:type="dxa"/>
            <w:vAlign w:val="bottom"/>
          </w:tcPr>
          <w:p>
            <w:pPr>
              <w:spacing w:after="0"/>
              <w:rPr>
                <w:sz w:val="20"/>
                <w:szCs w:val="20"/>
                <w:color w:val="auto"/>
              </w:rPr>
            </w:pPr>
          </w:p>
        </w:tc>
      </w:tr>
      <w:tr>
        <w:trPr>
          <w:trHeight w:val="418"/>
        </w:trPr>
        <w:tc>
          <w:tcPr>
            <w:tcW w:w="930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Reports of Independent Registered Public Accounting Firms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930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Consolidated Balance Sheets as of December 31, 2020 and 2019</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0"/>
        </w:trPr>
        <w:tc>
          <w:tcPr>
            <w:tcW w:w="930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Consolidated Statements of Operations for the years ended December 31, 2020, 2019 and 2018</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930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Consolidated Statements of Changes in Net Assets for the years ended December 31, 2020, 2019 and 2018</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930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Consolidated Statements of Cash Flows for the years ended December 31, 2020</w:t>
              </w:r>
              <w:r>
                <w:rPr>
                  <w:rFonts w:ascii="Arial" w:cs="Arial" w:eastAsia="Arial" w:hAnsi="Arial"/>
                  <w:sz w:val="16"/>
                  <w:szCs w:val="16"/>
                  <w:u w:val="single" w:color="auto"/>
                  <w:color w:val="0000EE"/>
                </w:rPr>
                <w:t>,</w:t>
              </w:r>
              <w:r>
                <w:rPr>
                  <w:rFonts w:ascii="Arial" w:cs="Arial" w:eastAsia="Arial" w:hAnsi="Arial"/>
                  <w:sz w:val="18"/>
                  <w:szCs w:val="18"/>
                  <w:u w:val="single" w:color="auto"/>
                  <w:color w:val="0000EE"/>
                </w:rPr>
                <w:t xml:space="preserve"> 2019 and 2018</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930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Consolidated Schedules of Investments as of December 31, 2020 and 2019</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16"/>
        </w:trPr>
        <w:tc>
          <w:tcPr>
            <w:tcW w:w="930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Financial Highlights for the years ended December 31, 2020, 2019, 2018, 2017, and 2016</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230"/>
        </w:trPr>
        <w:tc>
          <w:tcPr>
            <w:tcW w:w="930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Notes to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648"/>
        </w:trPr>
        <w:tc>
          <w:tcPr>
            <w:tcW w:w="9300" w:type="dxa"/>
            <w:vAlign w:val="bottom"/>
          </w:tcPr>
          <w:p>
            <w:pPr>
              <w:ind w:left="5500"/>
              <w:spacing w:after="0"/>
              <w:rPr>
                <w:sz w:val="20"/>
                <w:szCs w:val="20"/>
                <w:color w:val="auto"/>
              </w:rPr>
            </w:pPr>
            <w:r>
              <w:rPr>
                <w:rFonts w:ascii="Arial" w:cs="Arial" w:eastAsia="Arial" w:hAnsi="Arial"/>
                <w:sz w:val="18"/>
                <w:szCs w:val="18"/>
                <w:color w:val="auto"/>
              </w:rPr>
              <w:t>F-1</w:t>
            </w:r>
          </w:p>
        </w:tc>
        <w:tc>
          <w:tcPr>
            <w:tcW w:w="1960" w:type="dxa"/>
            <w:vAlign w:val="bottom"/>
          </w:tcPr>
          <w:p>
            <w:pPr>
              <w:spacing w:after="0"/>
              <w:rPr>
                <w:sz w:val="24"/>
                <w:szCs w:val="24"/>
                <w:color w:val="auto"/>
              </w:rPr>
            </w:pPr>
          </w:p>
        </w:tc>
      </w:tr>
      <w:tr>
        <w:trPr>
          <w:trHeight w:val="115"/>
        </w:trPr>
        <w:tc>
          <w:tcPr>
            <w:tcW w:w="93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sectPr>
      </w:pPr>
    </w:p>
    <w:bookmarkStart w:id="83" w:name="page84"/>
    <w:bookmarkEnd w:id="83"/>
    <w:p>
      <w:pPr>
        <w:ind w:left="2540"/>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Portman Ridge Finance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 and Consolidated Financial Highlights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audited the accompanying consolidated balance sheets of Portman Ridge Finance Corporation and subsidiaries (the Company), including the consolidated schedules of investments, as of December 31, 2020 and 2019, the related consolidated statements of operations, changes in net assets, and cash flows for each of the years in the two year period ended December 31, 2020, and the related notes, including the senior securities information for each of the years in the two-year period ended December 31, 2020 in Note 7 (collectively, the consolidated financial statements) and the consolidated financial highlights for each of the years in the two-year period ended December 31, 2020. In our opinion, the consolidated financial statements and financial highlights present fairly, in all material respects, the financial position of the Company as of December 31, 2020 and 2019, the results of its operations, changes in net assets and its cash flows for the years then ended, and the financial highlights and senior securities information for each of the years in the two-year period ended December 31, 2020, in conformity with U.S. generally accepted accounting principles.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These consolidated financial statements and financial highlights are the responsibility of the Company’s management. Our responsibility is to express an opinion on these consolidated financial statements and consolidated financial highlights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and consolidated financial highlights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and consolidated financial highlights. Such procedures also included confirmation of investments owned as of December 31, 2020 and 2019, by correspondence with custodians, portfolio companies, or agents, or by other appropriate auditing procedures. Our audits also included evaluating the accounting principles used and significant estimates made by management, as well as evaluating the overall presentation of the consolidated financial statements and consolidated financial highlights.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i w:val="1"/>
          <w:iCs w:val="1"/>
          <w:color w:val="auto"/>
        </w:rPr>
        <w:t>Valuation of investments using significant unobservable inputs and assumptions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discussed in Notes 2 and 4 to the consolidated financial statements, the Company held investments classified as Level 3 in the fair value hierarchy of $385.0 million as of December 31, 2020. The Company’s Level 3 investments as of December 31, 2020 included debt and equity investments that were acquired from the acquisition of Garrison Capital Inc. (GARS investments) which closed on October 28, 2020. The fair value measurement of the investments acquired resulted in the related purchase discount, including the measurement of unrealized appreciation on the acquired assets. The fair value of the majority of Level 3 investments are derived using one or a combination of valuation methodologies, performed internally and by a third-party valuation firm, involving the income approach and market approach, which include significant unobservable inputs and assumptions.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identified the assessment of the valuation of investments derived using significant unobservable inputs and assumptions as of December 31, 2020 and at acquisition date for the GARS investments as a critical audit matter. A high degree of audit effort, including specialized skills and knowledge, and subjective and complex auditor judgment was involved in the assessment of the valuation of investments derived using significant unobservable inputs and assumptions. Changes in these assumptions could have a significant impact on the fair value of such investments. Specifically, judgments and assumptions used in the income approach relate to projections of future cash flows from the investment and discount rates applied thereon, which incorporate market yields and certain financial performance measures of the underlying portfolio company. Judgments and assumptions to the market approach relate to the selection of comparable companies and the price/earnings multiples or transaction multiples of the investment.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of certain controls related to the Company's fair value measurement of investments derived using significant unobservable inputs and assumptions, including controls related to the development of the significant unobservable assumptions. For a selection of investments, we involved valuation professionals with specialized skills and knowledge who evaluated the Company’s estimate of fair value either by developing an independent estimate of fair value or testing management’s process used to develop the fair value. The independent estimate was developed through either an income or market valuation approach using relevant market and portfolio company information to develop a range of comparable financial performance multiples, discount rates and present value assumptions. In testing management’s process, the valuation professionals evaluated whether the methods and assumptions used by the Company’s third-party valuation firm are appropriate and consistent with industry practice and relevant market information. We evaluated the Company’s historical ability to estimate fair value by comparing the transaction price of available transactions occurring subsequent to the prior period valuation date with the fair value estimate determined by the Company in the prior period.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85" w:name="page86"/>
    <w:bookmarkEnd w:id="85"/>
    <w:p>
      <w:pPr>
        <w:ind w:left="2540"/>
        <w:spacing w:after="0"/>
        <w:rPr>
          <w:sz w:val="20"/>
          <w:szCs w:val="20"/>
          <w:color w:val="auto"/>
        </w:rPr>
      </w:pPr>
      <w:r>
        <w:rPr>
          <w:rFonts w:ascii="Arial" w:cs="Arial" w:eastAsia="Arial" w:hAnsi="Arial"/>
          <w:sz w:val="18"/>
          <w:szCs w:val="18"/>
          <w:b w:val="1"/>
          <w:bCs w:val="1"/>
          <w:color w:val="231F20"/>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KCAP Financial,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statements of operations, changes in net assets, and cash flows for the year ended December 31, 2018, the financial highlights for each of the three years in the period ended December 31, 2018 and the related notes collectively referred to as the “financial statements”. In our opinion, the financial statements present fairly, in all material respects, the results of their operations, changes in their net assets, and their cash flows for the year ended December 31, 2018, and their financial highlights for each of the three years in the period ended December 31, 2018 in conformity with U.S. generally accepted accounting principles.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2014 to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Debt securities (amortized cost: 2020 - $392,932,411; 2019 - $194,686,364)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404,860,855</w:t>
            </w:r>
          </w:p>
        </w:tc>
        <w:tc>
          <w:tcPr>
            <w:tcW w:w="160" w:type="dxa"/>
            <w:vAlign w:val="bottom"/>
          </w:tcPr>
          <w:p>
            <w:pPr>
              <w:spacing w:after="0"/>
              <w:rPr>
                <w:sz w:val="20"/>
                <w:szCs w:val="20"/>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186,802,908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 managed by affiliates (amortized cost: 2020 - $0; 2019 - $45,099,076)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29,984,047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CLO Fund Securities managed by non-affiliates (amortized cost: 2020 - $45,727,813; 2019 -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$1,519,641)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1,984,155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(cost: 2020 - $24,593,639; 2019 - $22,160,993)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Asset Manager Affiliates (cost: 2020 - $17,791,230; 2019 - $17,791,230)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Joint Ventures (cost: 2020 - $54,932,458; 2019 - $48,594,539)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(cost: 2020 - $00; 2019 - $4,207,107)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Total Investments at Fair Value, excluding derivatives (cost: 2020 - $535,977,551; 2019 -</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$334,058,950)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487,737,449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277,930,603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6,990,008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75,913,411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4,967,491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2,972,546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1,367,447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Receivable for unsettled trades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25,107,598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24,420,045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Due from affiliates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1,100,241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1,112,150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600,178,421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310,407,700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2020-$1,058,351; 2019 - $1,651,946)</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75,667,624</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75,755,253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2018-2 Secured Notes (net of discount of: 2020-$2,444,512; 2019 - $0)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249,418,186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2020-$1,097,815; 2019 - $1,462,364)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48,223,083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78,108,535</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Derivative liabilities, net (cost: 2020 - $30,609; 2019 - $30,609)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1,108,618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1,788,908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1,386,981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1,089,531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136,486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Due to affiliates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1,374,739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1,711,793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payable</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5,243,869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1,076,645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383,914,558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158,209,130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w w:val="89"/>
              </w:rPr>
              <w:t>Common stock, par value $0.01 per share, 100,000,000 common shares authorized; 76,093,492 issued,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and 75,164,230 outstanding at December 31, 2020, and 45,024,535 issued, and 44,829,676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751,642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448,297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638,459,548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451,353,379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distributable (loss) earnings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(422,947,327)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(299,603,106)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216,263,863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152,198,570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600,178,421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310,407,700</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 VALUE PER COMMON SHARE</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00"/>
              <w:spacing w:after="0"/>
              <w:rPr>
                <w:sz w:val="20"/>
                <w:szCs w:val="20"/>
                <w:color w:val="auto"/>
              </w:rPr>
            </w:pPr>
            <w:r>
              <w:rPr>
                <w:rFonts w:ascii="Arial" w:cs="Arial" w:eastAsia="Arial" w:hAnsi="Arial"/>
                <w:sz w:val="18"/>
                <w:szCs w:val="18"/>
                <w:color w:val="auto"/>
              </w:rPr>
              <w:t>F-5</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1" w:lineRule="exact"/>
        <w:rPr>
          <w:sz w:val="20"/>
          <w:szCs w:val="20"/>
          <w:color w:val="auto"/>
        </w:rPr>
      </w:pPr>
    </w:p>
    <w:p>
      <w:pPr>
        <w:jc w:val="center"/>
        <w:ind w:left="6500"/>
        <w:spacing w:after="0"/>
        <w:rPr>
          <w:sz w:val="20"/>
          <w:szCs w:val="20"/>
          <w:color w:val="auto"/>
        </w:rPr>
      </w:pPr>
      <w:r>
        <w:rPr>
          <w:rFonts w:ascii="Arial" w:cs="Arial" w:eastAsia="Arial" w:hAnsi="Arial"/>
          <w:sz w:val="15"/>
          <w:szCs w:val="15"/>
          <w:b w:val="1"/>
          <w:bCs w:val="1"/>
          <w:color w:val="auto"/>
        </w:rPr>
        <w:t>For the Year</w:t>
      </w:r>
    </w:p>
    <w:p>
      <w:pPr>
        <w:jc w:val="center"/>
        <w:ind w:left="6500"/>
        <w:spacing w:after="0" w:line="234" w:lineRule="auto"/>
        <w:rPr>
          <w:sz w:val="20"/>
          <w:szCs w:val="20"/>
          <w:color w:val="auto"/>
        </w:rPr>
      </w:pPr>
      <w:r>
        <w:rPr>
          <w:rFonts w:ascii="Arial" w:cs="Arial" w:eastAsia="Arial" w:hAnsi="Arial"/>
          <w:sz w:val="15"/>
          <w:szCs w:val="15"/>
          <w:b w:val="1"/>
          <w:bCs w:val="1"/>
          <w:color w:val="auto"/>
        </w:rPr>
        <w:t>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2020</w:t>
            </w:r>
          </w:p>
        </w:tc>
        <w:tc>
          <w:tcPr>
            <w:tcW w:w="14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2019</w:t>
            </w:r>
          </w:p>
        </w:tc>
        <w:tc>
          <w:tcPr>
            <w:tcW w:w="14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Investment Income:</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60"/>
              <w:spacing w:after="0"/>
              <w:rPr>
                <w:sz w:val="20"/>
                <w:szCs w:val="20"/>
                <w:color w:val="auto"/>
              </w:rPr>
            </w:pPr>
            <w:r>
              <w:rPr>
                <w:rFonts w:ascii="Arial" w:cs="Arial" w:eastAsia="Arial" w:hAnsi="Arial"/>
                <w:sz w:val="15"/>
                <w:szCs w:val="15"/>
                <w:color w:val="auto"/>
              </w:rPr>
              <w:t>Interest from investments in debt securities</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28,210,725</w:t>
            </w:r>
          </w:p>
        </w:tc>
        <w:tc>
          <w:tcPr>
            <w:tcW w:w="140" w:type="dxa"/>
            <w:vAlign w:val="bottom"/>
          </w:tcPr>
          <w:p>
            <w:pPr>
              <w:spacing w:after="0"/>
              <w:rPr>
                <w:sz w:val="15"/>
                <w:szCs w:val="15"/>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14,377,460</w:t>
            </w:r>
          </w:p>
        </w:tc>
        <w:tc>
          <w:tcPr>
            <w:tcW w:w="1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14,939,309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Payment-in-kind investment income</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3,217,614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606,234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1,066,354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60"/>
              <w:spacing w:after="0"/>
              <w:rPr>
                <w:sz w:val="20"/>
                <w:szCs w:val="20"/>
                <w:color w:val="auto"/>
              </w:rPr>
            </w:pPr>
            <w:r>
              <w:rPr>
                <w:rFonts w:ascii="Arial" w:cs="Arial" w:eastAsia="Arial" w:hAnsi="Arial"/>
                <w:sz w:val="15"/>
                <w:szCs w:val="15"/>
                <w:color w:val="auto"/>
              </w:rPr>
              <w:t>Interest from short-term investments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15,279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79,065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76,055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on CLO Fund Securities managed by affiliates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3,221,838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4,427,387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6,024,935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60"/>
              <w:spacing w:after="0"/>
              <w:rPr>
                <w:sz w:val="20"/>
                <w:szCs w:val="20"/>
                <w:color w:val="auto"/>
              </w:rPr>
            </w:pPr>
            <w:r>
              <w:rPr>
                <w:rFonts w:ascii="Arial" w:cs="Arial" w:eastAsia="Arial" w:hAnsi="Arial"/>
                <w:sz w:val="15"/>
                <w:szCs w:val="15"/>
                <w:color w:val="auto"/>
              </w:rPr>
              <w:t>Investment income on CLO Fund Securities managed by non-affiliates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319,458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2,008,148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388,237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Dividends from Asset Manager Affiliates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1,246,510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60"/>
              <w:spacing w:after="0"/>
              <w:rPr>
                <w:sz w:val="20"/>
                <w:szCs w:val="20"/>
                <w:color w:val="auto"/>
              </w:rPr>
            </w:pPr>
            <w:r>
              <w:rPr>
                <w:rFonts w:ascii="Arial" w:cs="Arial" w:eastAsia="Arial" w:hAnsi="Arial"/>
                <w:sz w:val="15"/>
                <w:szCs w:val="15"/>
                <w:color w:val="auto"/>
              </w:rPr>
              <w:t>Investment income - Joint Ventures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6,911,418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4,859,780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structuring service fees</w:t>
            </w: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867,853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137,061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245,393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42,764,185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26,495,135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27,086,793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Expenses: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60"/>
              <w:spacing w:after="0"/>
              <w:rPr>
                <w:sz w:val="20"/>
                <w:szCs w:val="20"/>
                <w:color w:val="auto"/>
              </w:rPr>
            </w:pPr>
            <w:r>
              <w:rPr>
                <w:rFonts w:ascii="Arial" w:cs="Arial" w:eastAsia="Arial" w:hAnsi="Arial"/>
                <w:sz w:val="15"/>
                <w:szCs w:val="15"/>
                <w:color w:val="auto"/>
              </w:rPr>
              <w:t>Management fees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4,579,082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3,129,079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Performance-based incentive fees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4,857,563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540" w:type="dxa"/>
            <w:vAlign w:val="bottom"/>
          </w:tcPr>
          <w:p>
            <w:pPr>
              <w:ind w:left="260"/>
              <w:spacing w:after="0"/>
              <w:rPr>
                <w:sz w:val="20"/>
                <w:szCs w:val="20"/>
                <w:color w:val="auto"/>
              </w:rPr>
            </w:pPr>
            <w:r>
              <w:rPr>
                <w:rFonts w:ascii="Arial" w:cs="Arial" w:eastAsia="Arial" w:hAnsi="Arial"/>
                <w:sz w:val="15"/>
                <w:szCs w:val="15"/>
                <w:color w:val="auto"/>
              </w:rPr>
              <w:t>Interest and amortization of debt issuance costs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10,283,996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8,261,445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7,403,436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Compensation</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3,688,578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4,012,743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60"/>
              <w:spacing w:after="0"/>
              <w:rPr>
                <w:sz w:val="20"/>
                <w:szCs w:val="20"/>
                <w:color w:val="auto"/>
              </w:rPr>
            </w:pPr>
            <w:r>
              <w:rPr>
                <w:rFonts w:ascii="Arial" w:cs="Arial" w:eastAsia="Arial" w:hAnsi="Arial"/>
                <w:sz w:val="15"/>
                <w:szCs w:val="15"/>
                <w:color w:val="auto"/>
              </w:rPr>
              <w:t>Professional fees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2,835,947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3,466,877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3,470,269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670,688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704,592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321,268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60"/>
              <w:spacing w:after="0"/>
              <w:rPr>
                <w:sz w:val="20"/>
                <w:szCs w:val="20"/>
                <w:color w:val="auto"/>
              </w:rPr>
            </w:pPr>
            <w:r>
              <w:rPr>
                <w:rFonts w:ascii="Arial" w:cs="Arial" w:eastAsia="Arial" w:hAnsi="Arial"/>
                <w:sz w:val="15"/>
                <w:szCs w:val="15"/>
                <w:color w:val="auto"/>
              </w:rPr>
              <w:t>Administrative services expense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1,941,398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1,243,587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general and administrative expenses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1,152,045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1,496,258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1,874,600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60"/>
              <w:spacing w:after="0"/>
              <w:rPr>
                <w:sz w:val="20"/>
                <w:szCs w:val="20"/>
                <w:color w:val="auto"/>
              </w:rPr>
            </w:pPr>
            <w:r>
              <w:rPr>
                <w:rFonts w:ascii="Arial" w:cs="Arial" w:eastAsia="Arial" w:hAnsi="Arial"/>
                <w:sz w:val="15"/>
                <w:szCs w:val="15"/>
                <w:color w:val="auto"/>
              </w:rPr>
              <w:t>Lease termination costs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1,431,030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26,320,719</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23,421,446</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17,082,316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260"/>
              <w:spacing w:after="0" w:line="169" w:lineRule="exact"/>
              <w:rPr>
                <w:sz w:val="20"/>
                <w:szCs w:val="20"/>
                <w:color w:val="auto"/>
              </w:rPr>
            </w:pPr>
            <w:r>
              <w:rPr>
                <w:rFonts w:ascii="Arial" w:cs="Arial" w:eastAsia="Arial" w:hAnsi="Arial"/>
                <w:sz w:val="15"/>
                <w:szCs w:val="15"/>
                <w:color w:val="auto"/>
              </w:rPr>
              <w:t>Management and performance-based incentive fees waived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(556,880)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Net Expenses</w:t>
            </w: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25,763,839</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23,421,446</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17,082,316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17,000,346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3,073,689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10,004,477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Realized And Unrealized Gains (Losses) On Investments: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60"/>
              <w:spacing w:after="0"/>
              <w:rPr>
                <w:sz w:val="20"/>
                <w:szCs w:val="20"/>
                <w:color w:val="auto"/>
              </w:rPr>
            </w:pPr>
            <w:r>
              <w:rPr>
                <w:rFonts w:ascii="Arial" w:cs="Arial" w:eastAsia="Arial" w:hAnsi="Arial"/>
                <w:sz w:val="15"/>
                <w:szCs w:val="15"/>
                <w:color w:val="auto"/>
              </w:rPr>
              <w:t>Net realized gains (losses) from investment transactions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7,604,698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(15,619,046)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(16,474,939)</w:t>
            </w: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change in unrealized appreciation (depreciation) on:</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500"/>
              <w:spacing w:after="0"/>
              <w:rPr>
                <w:sz w:val="20"/>
                <w:szCs w:val="20"/>
                <w:color w:val="auto"/>
              </w:rPr>
            </w:pPr>
            <w:r>
              <w:rPr>
                <w:rFonts w:ascii="Arial" w:cs="Arial" w:eastAsia="Arial" w:hAnsi="Arial"/>
                <w:sz w:val="15"/>
                <w:szCs w:val="15"/>
                <w:color w:val="auto"/>
              </w:rPr>
              <w:t>Debt securities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19,811,899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6,519,282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(7,420,747)</w:t>
            </w:r>
          </w:p>
        </w:tc>
        <w:tc>
          <w:tcPr>
            <w:tcW w:w="0" w:type="dxa"/>
            <w:vAlign w:val="bottom"/>
          </w:tcPr>
          <w:p>
            <w:pPr>
              <w:spacing w:after="0"/>
              <w:rPr>
                <w:sz w:val="1"/>
                <w:szCs w:val="1"/>
                <w:color w:val="auto"/>
              </w:rPr>
            </w:pPr>
          </w:p>
        </w:tc>
      </w:tr>
      <w:tr>
        <w:trPr>
          <w:trHeight w:val="176"/>
        </w:trPr>
        <w:tc>
          <w:tcPr>
            <w:tcW w:w="6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Equity securities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1,647,812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(4,856,831)</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(1,283,420)</w:t>
            </w:r>
          </w:p>
        </w:tc>
        <w:tc>
          <w:tcPr>
            <w:tcW w:w="0" w:type="dxa"/>
            <w:vAlign w:val="bottom"/>
          </w:tcPr>
          <w:p>
            <w:pPr>
              <w:spacing w:after="0"/>
              <w:rPr>
                <w:sz w:val="1"/>
                <w:szCs w:val="1"/>
                <w:color w:val="auto"/>
              </w:rPr>
            </w:pPr>
          </w:p>
        </w:tc>
      </w:tr>
      <w:tr>
        <w:trPr>
          <w:trHeight w:val="175"/>
        </w:trPr>
        <w:tc>
          <w:tcPr>
            <w:tcW w:w="6540" w:type="dxa"/>
            <w:vAlign w:val="bottom"/>
          </w:tcPr>
          <w:p>
            <w:pPr>
              <w:ind w:left="500"/>
              <w:spacing w:after="0"/>
              <w:rPr>
                <w:sz w:val="20"/>
                <w:szCs w:val="20"/>
                <w:color w:val="auto"/>
              </w:rPr>
            </w:pPr>
            <w:r>
              <w:rPr>
                <w:rFonts w:ascii="Arial" w:cs="Arial" w:eastAsia="Arial" w:hAnsi="Arial"/>
                <w:sz w:val="15"/>
                <w:szCs w:val="15"/>
                <w:color w:val="auto"/>
              </w:rPr>
              <w:t>CLO Fund Securities managed by affiliates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(11,079,828)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(6,875,007)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17,790,480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CLO Fund Securities managed by non-affiliates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(414,915)</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3,380,119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(8,285,747)</w:t>
            </w:r>
          </w:p>
        </w:tc>
        <w:tc>
          <w:tcPr>
            <w:tcW w:w="0" w:type="dxa"/>
            <w:vAlign w:val="bottom"/>
          </w:tcPr>
          <w:p>
            <w:pPr>
              <w:spacing w:after="0"/>
              <w:rPr>
                <w:sz w:val="1"/>
                <w:szCs w:val="1"/>
                <w:color w:val="auto"/>
              </w:rPr>
            </w:pPr>
          </w:p>
        </w:tc>
      </w:tr>
      <w:tr>
        <w:trPr>
          <w:trHeight w:val="175"/>
        </w:trPr>
        <w:tc>
          <w:tcPr>
            <w:tcW w:w="6540" w:type="dxa"/>
            <w:vAlign w:val="bottom"/>
          </w:tcPr>
          <w:p>
            <w:pPr>
              <w:ind w:left="500"/>
              <w:spacing w:after="0"/>
              <w:rPr>
                <w:sz w:val="20"/>
                <w:szCs w:val="20"/>
                <w:color w:val="auto"/>
              </w:rPr>
            </w:pPr>
            <w:r>
              <w:rPr>
                <w:rFonts w:ascii="Arial" w:cs="Arial" w:eastAsia="Arial" w:hAnsi="Arial"/>
                <w:sz w:val="15"/>
                <w:szCs w:val="15"/>
                <w:color w:val="auto"/>
              </w:rPr>
              <w:t>Asset Manager Affiliates investments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(579,000)</w:t>
            </w: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Joint Venture Investments</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(2,076,723)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3,017,847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(3,125,560)</w:t>
            </w:r>
          </w:p>
        </w:tc>
        <w:tc>
          <w:tcPr>
            <w:tcW w:w="0" w:type="dxa"/>
            <w:vAlign w:val="bottom"/>
          </w:tcPr>
          <w:p>
            <w:pPr>
              <w:spacing w:after="0"/>
              <w:rPr>
                <w:sz w:val="1"/>
                <w:szCs w:val="1"/>
                <w:color w:val="auto"/>
              </w:rPr>
            </w:pPr>
          </w:p>
        </w:tc>
      </w:tr>
      <w:tr>
        <w:trPr>
          <w:trHeight w:val="175"/>
        </w:trPr>
        <w:tc>
          <w:tcPr>
            <w:tcW w:w="6540" w:type="dxa"/>
            <w:vAlign w:val="bottom"/>
          </w:tcPr>
          <w:p>
            <w:pPr>
              <w:ind w:left="500"/>
              <w:spacing w:after="0"/>
              <w:rPr>
                <w:sz w:val="20"/>
                <w:szCs w:val="20"/>
                <w:color w:val="auto"/>
              </w:rPr>
            </w:pPr>
            <w:r>
              <w:rPr>
                <w:rFonts w:ascii="Arial" w:cs="Arial" w:eastAsia="Arial" w:hAnsi="Arial"/>
                <w:sz w:val="15"/>
                <w:szCs w:val="15"/>
                <w:color w:val="auto"/>
              </w:rPr>
              <w:t>Derivatives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(1,075,182)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(64,046)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Total net change in unrealized appreciation (depreciation)</w:t>
            </w: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6,813,063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1,121,364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(2,903,994)</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60"/>
              <w:spacing w:after="0"/>
              <w:rPr>
                <w:sz w:val="20"/>
                <w:szCs w:val="20"/>
                <w:color w:val="auto"/>
              </w:rPr>
            </w:pPr>
            <w:r>
              <w:rPr>
                <w:rFonts w:ascii="Arial" w:cs="Arial" w:eastAsia="Arial" w:hAnsi="Arial"/>
                <w:sz w:val="15"/>
                <w:szCs w:val="15"/>
                <w:color w:val="auto"/>
              </w:rPr>
              <w:t>Net realized and unrealized appreciation (depreciation) on investments</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14,417,761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(14,497,682)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(19,378,933)</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Realized gains on extinguishments of Debt</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154,571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(1,075,968)</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(197,090)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Net Increase (Decrease) In Stockholders’ Equity Resulting From Operations</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vMerge w:val="continue"/>
          </w:tcPr>
          <w:p>
            <w:pPr>
              <w:spacing w:after="0"/>
              <w:rPr>
                <w:sz w:val="18"/>
                <w:szCs w:val="18"/>
                <w:color w:val="auto"/>
              </w:rPr>
            </w:pPr>
          </w:p>
        </w:tc>
        <w:tc>
          <w:tcPr>
            <w:tcW w:w="4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31,572,678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(12,499,961)</w:t>
            </w:r>
          </w:p>
        </w:tc>
        <w:tc>
          <w:tcPr>
            <w:tcW w:w="3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(9,571,546)</w:t>
            </w:r>
          </w:p>
        </w:tc>
        <w:tc>
          <w:tcPr>
            <w:tcW w:w="0" w:type="dxa"/>
            <w:vAlign w:val="bottom"/>
          </w:tcPr>
          <w:p>
            <w:pPr>
              <w:spacing w:after="0"/>
              <w:rPr>
                <w:sz w:val="1"/>
                <w:szCs w:val="1"/>
                <w:color w:val="auto"/>
              </w:rPr>
            </w:pPr>
          </w:p>
        </w:tc>
      </w:tr>
      <w:tr>
        <w:trPr>
          <w:trHeight w:val="156"/>
        </w:trPr>
        <w:tc>
          <w:tcPr>
            <w:tcW w:w="6540" w:type="dxa"/>
            <w:vAlign w:val="bottom"/>
            <w:tcBorders>
              <w:top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w w:val="98"/>
              </w:rPr>
              <w:t>Net Increase (Decrease) In Stockholders' Equity Resulting from Operations per Common Share:</w:t>
            </w:r>
          </w:p>
        </w:tc>
        <w:tc>
          <w:tcPr>
            <w:tcW w:w="1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500"/>
              <w:spacing w:after="0"/>
              <w:rPr>
                <w:sz w:val="20"/>
                <w:szCs w:val="20"/>
                <w:color w:val="auto"/>
              </w:rPr>
            </w:pPr>
            <w:r>
              <w:rPr>
                <w:rFonts w:ascii="Arial" w:cs="Arial" w:eastAsia="Arial" w:hAnsi="Arial"/>
                <w:sz w:val="15"/>
                <w:szCs w:val="15"/>
                <w:color w:val="auto"/>
              </w:rPr>
              <w:t>Basic:</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0.63</w:t>
            </w:r>
          </w:p>
        </w:tc>
        <w:tc>
          <w:tcPr>
            <w:tcW w:w="140" w:type="dxa"/>
            <w:vAlign w:val="bottom"/>
          </w:tcPr>
          <w:p>
            <w:pPr>
              <w:spacing w:after="0"/>
              <w:rPr>
                <w:sz w:val="15"/>
                <w:szCs w:val="15"/>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(0.33)</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Diluted:</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0.63</w:t>
            </w:r>
          </w:p>
        </w:tc>
        <w:tc>
          <w:tcPr>
            <w:tcW w:w="1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(0.33)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76"/>
        </w:trPr>
        <w:tc>
          <w:tcPr>
            <w:tcW w:w="6540" w:type="dxa"/>
            <w:vAlign w:val="bottom"/>
          </w:tcPr>
          <w:p>
            <w:pPr>
              <w:ind w:left="260"/>
              <w:spacing w:after="0"/>
              <w:rPr>
                <w:sz w:val="20"/>
                <w:szCs w:val="20"/>
                <w:color w:val="auto"/>
              </w:rPr>
            </w:pPr>
            <w:r>
              <w:rPr>
                <w:rFonts w:ascii="Arial" w:cs="Arial" w:eastAsia="Arial" w:hAnsi="Arial"/>
                <w:sz w:val="15"/>
                <w:szCs w:val="15"/>
                <w:color w:val="auto"/>
              </w:rPr>
              <w:t>Net Investment Income Per Common Share: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Basic:</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0.34</w:t>
            </w:r>
          </w:p>
        </w:tc>
        <w:tc>
          <w:tcPr>
            <w:tcW w:w="1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0.08</w:t>
            </w:r>
          </w:p>
        </w:tc>
        <w:tc>
          <w:tcPr>
            <w:tcW w:w="1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500"/>
              <w:spacing w:after="0"/>
              <w:rPr>
                <w:sz w:val="20"/>
                <w:szCs w:val="20"/>
                <w:color w:val="auto"/>
              </w:rPr>
            </w:pPr>
            <w:r>
              <w:rPr>
                <w:rFonts w:ascii="Arial" w:cs="Arial" w:eastAsia="Arial" w:hAnsi="Arial"/>
                <w:sz w:val="15"/>
                <w:szCs w:val="15"/>
                <w:color w:val="auto"/>
              </w:rPr>
              <w:t>Diluted:</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0.34</w:t>
            </w:r>
          </w:p>
        </w:tc>
        <w:tc>
          <w:tcPr>
            <w:tcW w:w="140" w:type="dxa"/>
            <w:vAlign w:val="bottom"/>
          </w:tcPr>
          <w:p>
            <w:pPr>
              <w:spacing w:after="0"/>
              <w:rPr>
                <w:sz w:val="15"/>
                <w:szCs w:val="15"/>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0.08</w:t>
            </w:r>
          </w:p>
        </w:tc>
        <w:tc>
          <w:tcPr>
            <w:tcW w:w="1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Weighted Average Shares of Common Stock Outstanding—Basic</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49,987,586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37,641,650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37,356,241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540" w:type="dxa"/>
            <w:vAlign w:val="bottom"/>
          </w:tcPr>
          <w:p>
            <w:pPr>
              <w:ind w:left="260"/>
              <w:spacing w:after="0"/>
              <w:rPr>
                <w:sz w:val="20"/>
                <w:szCs w:val="20"/>
                <w:color w:val="auto"/>
              </w:rPr>
            </w:pPr>
            <w:r>
              <w:rPr>
                <w:rFonts w:ascii="Arial" w:cs="Arial" w:eastAsia="Arial" w:hAnsi="Arial"/>
                <w:sz w:val="15"/>
                <w:szCs w:val="15"/>
                <w:color w:val="auto"/>
              </w:rPr>
              <w:t>Weighted Average Shares of Common Stock Outstanding—Diluted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49,987,586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37,641,650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37,356,241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5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17,000,346</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3,073,689</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10,004,477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7,604,698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(15,619,046)</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(16,474,939)</w:t>
            </w:r>
          </w:p>
        </w:tc>
        <w:tc>
          <w:tcPr>
            <w:tcW w:w="2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Realized gains from extinguishments of debt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(1,075,968)</w:t>
            </w: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(197,090)</w:t>
            </w:r>
          </w:p>
        </w:tc>
        <w:tc>
          <w:tcPr>
            <w:tcW w:w="2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6,813,063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1,121,364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(2,903,994)</w:t>
            </w:r>
          </w:p>
        </w:tc>
        <w:tc>
          <w:tcPr>
            <w:tcW w:w="20" w:type="dxa"/>
            <w:vAlign w:val="bottom"/>
          </w:tcPr>
          <w:p>
            <w:pPr>
              <w:spacing w:after="0"/>
              <w:rPr>
                <w:sz w:val="19"/>
                <w:szCs w:val="19"/>
                <w:color w:val="auto"/>
              </w:rPr>
            </w:pPr>
          </w:p>
        </w:tc>
      </w:tr>
      <w:tr>
        <w:trPr>
          <w:trHeight w:val="223"/>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0"/>
              </w:rPr>
              <w:t>Net increase (decrease) in stockholders’ equity resulting from operations</w:t>
            </w:r>
          </w:p>
        </w:tc>
        <w:tc>
          <w:tcPr>
            <w:tcW w:w="1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31,572,678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(12,499,961)</w:t>
            </w:r>
          </w:p>
        </w:tc>
        <w:tc>
          <w:tcPr>
            <w:tcW w:w="24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(9,571,546)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of ordinary income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(10,693,670)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(464,977)</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(9,192,977)</w:t>
            </w:r>
          </w:p>
        </w:tc>
        <w:tc>
          <w:tcPr>
            <w:tcW w:w="20" w:type="dxa"/>
            <w:vAlign w:val="bottom"/>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Return of capital</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(11,485,293)</w:t>
            </w: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(5,688,770)</w:t>
            </w:r>
          </w:p>
        </w:tc>
        <w:tc>
          <w:tcPr>
            <w:tcW w:w="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1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(10,693,670)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(11,950,270)</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(14,881,747)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share transactions: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Issuance of common stock for:</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Dividend reinvestment plan</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205,922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Stock repurchase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(862,871)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w w:val="95"/>
              </w:rPr>
              <w:t>Common stock withheld for payroll taxes upon vesting of restricted stock</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(86,743)</w:t>
            </w:r>
          </w:p>
        </w:tc>
        <w:tc>
          <w:tcPr>
            <w:tcW w:w="2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258,936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Private placement</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GARS purchase (net of offering expenses)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43,332,368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OHAI purchase (net of offering expenses)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18,162,932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500" w:type="dxa"/>
            <w:vAlign w:val="bottom"/>
          </w:tcPr>
          <w:p>
            <w:pPr>
              <w:ind w:left="260"/>
              <w:spacing w:after="0"/>
              <w:rPr>
                <w:sz w:val="20"/>
                <w:szCs w:val="20"/>
                <w:color w:val="auto"/>
              </w:rPr>
            </w:pPr>
            <w:r>
              <w:rPr>
                <w:rFonts w:ascii="Arial" w:cs="Arial" w:eastAsia="Arial" w:hAnsi="Arial"/>
                <w:sz w:val="18"/>
                <w:szCs w:val="18"/>
                <w:color w:val="auto"/>
                <w:w w:val="98"/>
              </w:rPr>
              <w:t>Net increase in net assets resulting from capital share transactions</w:t>
            </w:r>
          </w:p>
        </w:tc>
        <w:tc>
          <w:tcPr>
            <w:tcW w:w="1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43,186,286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18,627,790</w:t>
            </w: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669,728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assets at beginning of year</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152,198,570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158,021,011</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181,804,576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at end of year</w:t>
            </w:r>
          </w:p>
        </w:tc>
        <w:tc>
          <w:tcPr>
            <w:tcW w:w="1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216,263,863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152,198,570</w:t>
            </w:r>
          </w:p>
        </w:tc>
        <w:tc>
          <w:tcPr>
            <w:tcW w:w="24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158,021,011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common share</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Common shares outstanding at end of year</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75,164,230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44,829,676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37,326,846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42"/>
        </w:trPr>
        <w:tc>
          <w:tcPr>
            <w:tcW w:w="5500" w:type="dxa"/>
            <w:vAlign w:val="bottom"/>
          </w:tcPr>
          <w:p>
            <w:pPr>
              <w:spacing w:after="0"/>
              <w:rPr>
                <w:sz w:val="24"/>
                <w:szCs w:val="24"/>
                <w:color w:val="auto"/>
              </w:rPr>
            </w:pPr>
          </w:p>
        </w:tc>
        <w:tc>
          <w:tcPr>
            <w:tcW w:w="1400" w:type="dxa"/>
            <w:vAlign w:val="bottom"/>
            <w:gridSpan w:val="2"/>
          </w:tcPr>
          <w:p>
            <w:pPr>
              <w:jc w:val="right"/>
              <w:ind w:right="1070"/>
              <w:spacing w:after="0"/>
              <w:rPr>
                <w:sz w:val="20"/>
                <w:szCs w:val="20"/>
                <w:color w:val="auto"/>
              </w:rPr>
            </w:pPr>
            <w:r>
              <w:rPr>
                <w:rFonts w:ascii="Arial" w:cs="Arial" w:eastAsia="Arial" w:hAnsi="Arial"/>
                <w:sz w:val="18"/>
                <w:szCs w:val="18"/>
                <w:color w:val="auto"/>
                <w:w w:val="81"/>
              </w:rPr>
              <w:t>F-7</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97"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3"/>
          <w:szCs w:val="13"/>
          <w:b w:val="1"/>
          <w:bCs w:val="1"/>
          <w:color w:val="auto"/>
        </w:rPr>
        <w:t>PORTMAN RIDGE FINANCE CORPORATION</w:t>
      </w: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7"/>
          </w:tcPr>
          <w:p>
            <w:pPr>
              <w:jc w:val="right"/>
              <w:ind w:right="237"/>
              <w:spacing w:after="0"/>
              <w:rPr>
                <w:sz w:val="20"/>
                <w:szCs w:val="20"/>
                <w:color w:val="auto"/>
              </w:rPr>
            </w:pPr>
            <w:r>
              <w:rPr>
                <w:rFonts w:ascii="Arial" w:cs="Arial" w:eastAsia="Arial" w:hAnsi="Arial"/>
                <w:sz w:val="13"/>
                <w:szCs w:val="13"/>
                <w:b w:val="1"/>
                <w:bCs w:val="1"/>
                <w:color w:val="auto"/>
              </w:rPr>
              <w:t>For the Year Ended December 31,</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OPERATING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60"/>
              <w:spacing w:after="0"/>
              <w:rPr>
                <w:sz w:val="20"/>
                <w:szCs w:val="20"/>
                <w:color w:val="auto"/>
              </w:rPr>
            </w:pPr>
            <w:r>
              <w:rPr>
                <w:rFonts w:ascii="Arial" w:cs="Arial" w:eastAsia="Arial" w:hAnsi="Arial"/>
                <w:sz w:val="13"/>
                <w:szCs w:val="13"/>
                <w:color w:val="auto"/>
              </w:rPr>
              <w:t>Net (decrease) increase in stockholders' equity resulting from operations</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31,572,678</w:t>
            </w:r>
          </w:p>
        </w:tc>
        <w:tc>
          <w:tcPr>
            <w:tcW w:w="260" w:type="dxa"/>
            <w:vAlign w:val="bottom"/>
          </w:tcPr>
          <w:p>
            <w:pPr>
              <w:spacing w:after="0"/>
              <w:rPr>
                <w:sz w:val="12"/>
                <w:szCs w:val="12"/>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(12,499,961)</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(9,571,546)</w:t>
            </w:r>
          </w:p>
        </w:tc>
        <w:tc>
          <w:tcPr>
            <w:tcW w:w="0" w:type="dxa"/>
            <w:vAlign w:val="bottom"/>
          </w:tcPr>
          <w:p>
            <w:pPr>
              <w:spacing w:after="0"/>
              <w:rPr>
                <w:sz w:val="1"/>
                <w:szCs w:val="1"/>
                <w:color w:val="auto"/>
              </w:rPr>
            </w:pPr>
          </w:p>
        </w:tc>
      </w:tr>
      <w:tr>
        <w:trPr>
          <w:trHeight w:val="134"/>
        </w:trPr>
        <w:tc>
          <w:tcPr>
            <w:tcW w:w="66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3"/>
              </w:rPr>
              <w:t>Adjustments to reconcile net (decrease) increase in stockholders' equity resulting from operations to net cash (used in)</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provided by in operations: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Net realized (gains) losses on investment transactions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(7,604,698)</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15,619,046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16,474,939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unrealized (depreciation) appreciation from investments</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(6,813,063)</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(1,121,364)</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2,903,994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Purchases of investments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(115,988,795)</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(100,847,747)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(118,159,373)</w:t>
            </w: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sales and redemptions of investments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213,049,934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142,428,478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145,662,223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Net accretion of investments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(11,769,686)</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(6,529,495)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(7,167,772)</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debt issuance costs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991,907</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1,043,584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893,745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Realized gains on extinguishments of debt</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(154,571)</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1,075,968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197,090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amortization of operating lease</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(165,039)</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500"/>
              <w:spacing w:after="0"/>
              <w:rPr>
                <w:sz w:val="20"/>
                <w:szCs w:val="20"/>
                <w:color w:val="auto"/>
              </w:rPr>
            </w:pPr>
            <w:r>
              <w:rPr>
                <w:rFonts w:ascii="Arial" w:cs="Arial" w:eastAsia="Arial" w:hAnsi="Arial"/>
                <w:sz w:val="13"/>
                <w:szCs w:val="13"/>
                <w:color w:val="auto"/>
              </w:rPr>
              <w:t>Net payment-in-kind interest income</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(2,224,864)</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(606,234)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(1,066,354)</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258,936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547,696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Cash consideration net of cash acquired from mergers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16,260,820</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(8,510,688)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(Increase) decrease in operating assets: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Receivable for unsettled trades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(687,553)</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(24,420,045)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2,993,750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and dividends receivable</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(612,250)</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(24,477)</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(291,699)</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Due from affiliates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115,932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534,531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235,862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assets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11,909</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(148,431)</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60"/>
              <w:spacing w:after="0"/>
              <w:rPr>
                <w:sz w:val="20"/>
                <w:szCs w:val="20"/>
                <w:color w:val="auto"/>
              </w:rPr>
            </w:pPr>
            <w:r>
              <w:rPr>
                <w:rFonts w:ascii="Arial" w:cs="Arial" w:eastAsia="Arial" w:hAnsi="Arial"/>
                <w:sz w:val="13"/>
                <w:szCs w:val="13"/>
                <w:color w:val="auto"/>
              </w:rPr>
              <w:t>Increase (decrease) in operating liabilities:</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Payable for unsettled trades</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(23,204,564)</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(11,010,631)</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Accrued interest payable</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953,045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84,735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131,182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Management and incentive fees payable</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4,167,224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1,076,645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Due to affiliates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(337,054)</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1,595,968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90,742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payable and accrued expenses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745,793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(1,703,894)</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1,241,107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FF0FC"/>
            </w:tcBorders>
          </w:tcPr>
          <w:p>
            <w:pPr>
              <w:ind w:left="740"/>
              <w:spacing w:after="0" w:line="142" w:lineRule="exact"/>
              <w:rPr>
                <w:sz w:val="20"/>
                <w:szCs w:val="20"/>
                <w:color w:val="auto"/>
              </w:rPr>
            </w:pPr>
            <w:r>
              <w:rPr>
                <w:rFonts w:ascii="Arial" w:cs="Arial" w:eastAsia="Arial" w:hAnsi="Arial"/>
                <w:sz w:val="13"/>
                <w:szCs w:val="13"/>
                <w:color w:val="auto"/>
              </w:rPr>
              <w:t>Net cash used in operating activities</w:t>
            </w: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121,676,708</w:t>
            </w:r>
          </w:p>
        </w:tc>
        <w:tc>
          <w:tcPr>
            <w:tcW w:w="26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(16,064,047)</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24,153,899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FINANCING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Debt issuance costs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(1,342)</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(1,846,700)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(1,459,899)</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Discount on debt assumed</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Equity issuance costs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(432,339)</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(385,747)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Private placement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571,843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Stock repurchase program</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(862,871)</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Common stock withheld for payroll taxes upon vesting of restricted stock</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(86,743)</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Distributions to stockholders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(10,548,724)</w:t>
            </w:r>
          </w:p>
        </w:tc>
        <w:tc>
          <w:tcPr>
            <w:tcW w:w="30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(11,744,348)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(14,672,972)</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Repayment of 7.125% Notes Due 2019</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(27,000,000)</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Repurchase of 6.125% Notes Due 2022</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(513,383)</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Purchased 2018-2 Secured Notes from GARS acquisition</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Repayment of 2018-2 Secured Notes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(1,840,827)</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Repayment of OHAI debt assumed</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(27,394,083)</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Borrowings from Revolving Credit Facilities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47,250,000</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197,320,899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49,781,592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Repayment of Revolving Credit Facilities</w:t>
            </w:r>
          </w:p>
        </w:tc>
        <w:tc>
          <w:tcPr>
            <w:tcW w:w="3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(77,500,000)</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(144,106,085)</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(23,425,506)</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FF0FC"/>
            </w:tcBorders>
          </w:tcPr>
          <w:p>
            <w:pPr>
              <w:ind w:left="74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(43,877,643)</w:t>
            </w:r>
          </w:p>
        </w:tc>
        <w:tc>
          <w:tcPr>
            <w:tcW w:w="26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11,843,936</w:t>
            </w:r>
          </w:p>
        </w:tc>
        <w:tc>
          <w:tcPr>
            <w:tcW w:w="10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(16,863,528)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CHANGE IN CASH AND RESTRICTED CASH</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77,799,064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(4,220,111)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7,290,371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RESTRICTED CASH, BEGINNING OF YEAR</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5,104,355</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9,324,466</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2,034,095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AND RESTRICTED CASH, END OF YEAR</w:t>
            </w: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82,903,419</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5,104,355</w:t>
            </w: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gridSpan w:val="2"/>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9,324,466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3"/>
                <w:szCs w:val="13"/>
                <w:color w:val="auto"/>
              </w:rPr>
              <w:t>Amounts per balance sheet:</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6,990,008</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136,864</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5,417,125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Restricted cash</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75,913,411</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4,967,491</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3,907,341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Cash and Restricted cash</w:t>
            </w: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82,903,419</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5,104,355</w:t>
            </w: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gridSpan w:val="2"/>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9,324,466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3"/>
                <w:szCs w:val="13"/>
                <w:color w:val="auto"/>
              </w:rPr>
              <w:t>Supplemental Information:</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paid during the period</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8,339,044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7,081,375</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6,509,669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500"/>
              <w:spacing w:after="0"/>
              <w:rPr>
                <w:sz w:val="20"/>
                <w:szCs w:val="20"/>
                <w:color w:val="auto"/>
              </w:rPr>
            </w:pPr>
            <w:r>
              <w:rPr>
                <w:rFonts w:ascii="Arial" w:cs="Arial" w:eastAsia="Arial" w:hAnsi="Arial"/>
                <w:sz w:val="13"/>
                <w:szCs w:val="13"/>
                <w:color w:val="auto"/>
              </w:rPr>
              <w:t>Dividends paid during the period under the dividend reinvestment plan</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144,946</w:t>
            </w:r>
          </w:p>
        </w:tc>
        <w:tc>
          <w:tcPr>
            <w:tcW w:w="260" w:type="dxa"/>
            <w:vAlign w:val="bottom"/>
          </w:tcPr>
          <w:p>
            <w:pPr>
              <w:spacing w:after="0"/>
              <w:rPr>
                <w:sz w:val="12"/>
                <w:szCs w:val="12"/>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205,922</w:t>
            </w:r>
          </w:p>
        </w:tc>
        <w:tc>
          <w:tcPr>
            <w:tcW w:w="100" w:type="dxa"/>
            <w:vAlign w:val="bottom"/>
          </w:tcPr>
          <w:p>
            <w:pPr>
              <w:spacing w:after="0"/>
              <w:rPr>
                <w:sz w:val="12"/>
                <w:szCs w:val="12"/>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208,775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spacing w:after="0"/>
              <w:rPr>
                <w:sz w:val="20"/>
                <w:szCs w:val="20"/>
                <w:color w:val="auto"/>
              </w:rPr>
            </w:pPr>
            <w:r>
              <w:rPr>
                <w:rFonts w:ascii="Arial" w:cs="Arial" w:eastAsia="Arial" w:hAnsi="Arial"/>
                <w:sz w:val="13"/>
                <w:szCs w:val="13"/>
                <w:color w:val="auto"/>
              </w:rPr>
              <w:t>Supplemental non-cash information:</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500"/>
              <w:spacing w:after="0"/>
              <w:rPr>
                <w:sz w:val="20"/>
                <w:szCs w:val="20"/>
                <w:color w:val="auto"/>
              </w:rPr>
            </w:pPr>
            <w:r>
              <w:rPr>
                <w:rFonts w:ascii="Arial" w:cs="Arial" w:eastAsia="Arial" w:hAnsi="Arial"/>
                <w:sz w:val="13"/>
                <w:szCs w:val="13"/>
                <w:color w:val="auto"/>
              </w:rPr>
              <w:t>Non-cash purchase of investments</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3,281,528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Realized loss on Asset Manager Affiliates</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tcPr>
          <w:p>
            <w:pPr>
              <w:ind w:left="500"/>
              <w:spacing w:after="0"/>
              <w:rPr>
                <w:sz w:val="20"/>
                <w:szCs w:val="20"/>
                <w:color w:val="auto"/>
              </w:rPr>
            </w:pPr>
            <w:r>
              <w:rPr>
                <w:rFonts w:ascii="Arial" w:cs="Arial" w:eastAsia="Arial" w:hAnsi="Arial"/>
                <w:sz w:val="13"/>
                <w:szCs w:val="13"/>
                <w:color w:val="auto"/>
              </w:rPr>
              <w:t>Initial recognition of operating lease right-of-use asset</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3,309,131</w:t>
            </w:r>
          </w:p>
        </w:tc>
        <w:tc>
          <w:tcPr>
            <w:tcW w:w="100" w:type="dxa"/>
            <w:vAlign w:val="bottom"/>
          </w:tcPr>
          <w:p>
            <w:pPr>
              <w:spacing w:after="0"/>
              <w:rPr>
                <w:sz w:val="12"/>
                <w:szCs w:val="12"/>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Initial recognition for operating lease liability</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3,684,121</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tcPr>
          <w:p>
            <w:pPr>
              <w:ind w:left="260"/>
              <w:spacing w:after="0"/>
              <w:rPr>
                <w:sz w:val="20"/>
                <w:szCs w:val="20"/>
                <w:color w:val="auto"/>
              </w:rPr>
            </w:pPr>
            <w:r>
              <w:rPr>
                <w:rFonts w:ascii="Arial" w:cs="Arial" w:eastAsia="Arial" w:hAnsi="Arial"/>
                <w:sz w:val="13"/>
                <w:szCs w:val="13"/>
                <w:color w:val="auto"/>
              </w:rPr>
              <w:t>Acquisitions:</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Non-cash assets acquired</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500"/>
              <w:spacing w:after="0"/>
              <w:rPr>
                <w:sz w:val="20"/>
                <w:szCs w:val="20"/>
                <w:color w:val="auto"/>
              </w:rPr>
            </w:pPr>
            <w:r>
              <w:rPr>
                <w:rFonts w:ascii="Arial" w:cs="Arial" w:eastAsia="Arial" w:hAnsi="Arial"/>
                <w:sz w:val="13"/>
                <w:szCs w:val="13"/>
                <w:color w:val="auto"/>
              </w:rPr>
              <w:t>Investments, at cost</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277,380,492</w:t>
            </w:r>
          </w:p>
        </w:tc>
        <w:tc>
          <w:tcPr>
            <w:tcW w:w="260" w:type="dxa"/>
            <w:vAlign w:val="bottom"/>
          </w:tcPr>
          <w:p>
            <w:pPr>
              <w:spacing w:after="0"/>
              <w:rPr>
                <w:sz w:val="12"/>
                <w:szCs w:val="12"/>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54,123,811</w:t>
            </w:r>
          </w:p>
        </w:tc>
        <w:tc>
          <w:tcPr>
            <w:tcW w:w="100" w:type="dxa"/>
            <w:vAlign w:val="bottom"/>
          </w:tcPr>
          <w:p>
            <w:pPr>
              <w:spacing w:after="0"/>
              <w:rPr>
                <w:sz w:val="12"/>
                <w:szCs w:val="12"/>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receivable</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1,871,232</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592,329</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50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2,087,550</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482,454</w:t>
            </w:r>
          </w:p>
        </w:tc>
        <w:tc>
          <w:tcPr>
            <w:tcW w:w="100" w:type="dxa"/>
            <w:vAlign w:val="bottom"/>
          </w:tcPr>
          <w:p>
            <w:pPr>
              <w:spacing w:after="0"/>
              <w:rPr>
                <w:sz w:val="12"/>
                <w:szCs w:val="12"/>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non-cash assets purchased</w:t>
            </w: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281,339,274</w:t>
            </w:r>
          </w:p>
        </w:tc>
        <w:tc>
          <w:tcPr>
            <w:tcW w:w="2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55,198,594</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ind w:left="380"/>
              <w:spacing w:after="0" w:line="142" w:lineRule="exact"/>
              <w:rPr>
                <w:sz w:val="20"/>
                <w:szCs w:val="20"/>
                <w:color w:val="auto"/>
              </w:rPr>
            </w:pPr>
            <w:r>
              <w:rPr>
                <w:rFonts w:ascii="Arial" w:cs="Arial" w:eastAsia="Arial" w:hAnsi="Arial"/>
                <w:sz w:val="13"/>
                <w:szCs w:val="13"/>
                <w:color w:val="auto"/>
              </w:rPr>
              <w:t>Liabilities assumed</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Debt</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251,213,342</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27,394,083</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500"/>
              <w:spacing w:after="0"/>
              <w:rPr>
                <w:sz w:val="20"/>
                <w:szCs w:val="20"/>
                <w:color w:val="auto"/>
              </w:rPr>
            </w:pPr>
            <w:r>
              <w:rPr>
                <w:rFonts w:ascii="Arial" w:cs="Arial" w:eastAsia="Arial" w:hAnsi="Arial"/>
                <w:sz w:val="13"/>
                <w:szCs w:val="13"/>
                <w:color w:val="auto"/>
              </w:rPr>
              <w:t>Accounts payable and accrued expenses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1,454,384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126,046</w:t>
            </w:r>
          </w:p>
        </w:tc>
        <w:tc>
          <w:tcPr>
            <w:tcW w:w="100" w:type="dxa"/>
            <w:vAlign w:val="bottom"/>
          </w:tcPr>
          <w:p>
            <w:pPr>
              <w:spacing w:after="0"/>
              <w:rPr>
                <w:sz w:val="12"/>
                <w:szCs w:val="12"/>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62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 assumed</w:t>
            </w: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252,667,726</w:t>
            </w:r>
          </w:p>
        </w:tc>
        <w:tc>
          <w:tcPr>
            <w:tcW w:w="2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27,520,129</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ind w:left="380"/>
              <w:spacing w:after="0" w:line="142" w:lineRule="exact"/>
              <w:rPr>
                <w:sz w:val="20"/>
                <w:szCs w:val="20"/>
                <w:color w:val="auto"/>
              </w:rPr>
            </w:pPr>
            <w:r>
              <w:rPr>
                <w:rFonts w:ascii="Arial" w:cs="Arial" w:eastAsia="Arial" w:hAnsi="Arial"/>
                <w:sz w:val="13"/>
                <w:szCs w:val="13"/>
                <w:color w:val="auto"/>
              </w:rPr>
              <w:t>Issuance of common stock</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38,764,706</w:t>
            </w:r>
          </w:p>
        </w:tc>
        <w:tc>
          <w:tcPr>
            <w:tcW w:w="260" w:type="dxa"/>
            <w:vAlign w:val="bottom"/>
          </w:tcPr>
          <w:p>
            <w:pPr>
              <w:spacing w:after="0"/>
              <w:rPr>
                <w:sz w:val="12"/>
                <w:szCs w:val="12"/>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15,548,678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177"/>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Deemed capital contribution from affiliates</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6620" w:type="dxa"/>
            <w:vAlign w:val="bottom"/>
          </w:tcPr>
          <w:p>
            <w:pPr>
              <w:ind w:left="380"/>
              <w:spacing w:after="0"/>
              <w:rPr>
                <w:sz w:val="20"/>
                <w:szCs w:val="20"/>
                <w:color w:val="auto"/>
              </w:rPr>
            </w:pPr>
            <w:r>
              <w:rPr>
                <w:rFonts w:ascii="Arial" w:cs="Arial" w:eastAsia="Arial" w:hAnsi="Arial"/>
                <w:sz w:val="13"/>
                <w:szCs w:val="13"/>
                <w:color w:val="auto"/>
              </w:rPr>
              <w:t>Transaction costs</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1,167,661</w:t>
            </w:r>
          </w:p>
        </w:tc>
        <w:tc>
          <w:tcPr>
            <w:tcW w:w="260" w:type="dxa"/>
            <w:vAlign w:val="bottom"/>
          </w:tcPr>
          <w:p>
            <w:pPr>
              <w:spacing w:after="0"/>
              <w:rPr>
                <w:sz w:val="13"/>
                <w:szCs w:val="13"/>
                <w:color w:val="auto"/>
              </w:rPr>
            </w:pP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851,807</w:t>
            </w:r>
          </w:p>
        </w:tc>
        <w:tc>
          <w:tcPr>
            <w:tcW w:w="100" w:type="dxa"/>
            <w:vAlign w:val="bottom"/>
          </w:tcPr>
          <w:p>
            <w:pPr>
              <w:spacing w:after="0"/>
              <w:rPr>
                <w:sz w:val="13"/>
                <w:szCs w:val="13"/>
                <w:color w:val="auto"/>
              </w:rPr>
            </w:pP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color w:val="auto"/>
        </w:rPr>
        <w:t>P</w:t>
      </w:r>
      <w:r>
        <w:rPr>
          <w:rFonts w:ascii="Arial" w:cs="Arial" w:eastAsia="Arial" w:hAnsi="Arial"/>
          <w:sz w:val="17"/>
          <w:szCs w:val="17"/>
          <w:b w:val="1"/>
          <w:bCs w:val="1"/>
          <w:color w:val="231F20"/>
        </w:rPr>
        <w:t>ORTMAN RIDGE FINANCE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As of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20" w:type="dxa"/>
            <w:vAlign w:val="bottom"/>
            <w:gridSpan w:val="2"/>
          </w:tcPr>
          <w:p>
            <w:pPr>
              <w:ind w:left="940"/>
              <w:spacing w:after="0" w:line="135" w:lineRule="exact"/>
              <w:rPr>
                <w:sz w:val="20"/>
                <w:szCs w:val="20"/>
                <w:color w:val="auto"/>
              </w:rPr>
            </w:pPr>
            <w:r>
              <w:rPr>
                <w:rFonts w:ascii="Arial" w:cs="Arial" w:eastAsia="Arial" w:hAnsi="Arial"/>
                <w:sz w:val="13"/>
                <w:szCs w:val="13"/>
                <w:b w:val="1"/>
                <w:bCs w:val="1"/>
                <w:color w:val="auto"/>
              </w:rPr>
              <w:t>Investment</w:t>
            </w: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Fair Value</w:t>
            </w:r>
            <w:r>
              <w:rPr>
                <w:rFonts w:ascii="Arial" w:cs="Arial" w:eastAsia="Arial" w:hAnsi="Arial"/>
                <w:sz w:val="10"/>
                <w:szCs w:val="10"/>
                <w:b w:val="1"/>
                <w:bCs w:val="1"/>
                <w:color w:val="auto"/>
                <w:w w:val="97"/>
              </w:rPr>
              <w:t>2</w:t>
            </w: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1A Smart Start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(8)(14)(21)</w:t>
            </w:r>
          </w:p>
        </w:tc>
        <w:tc>
          <w:tcPr>
            <w:tcW w:w="310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640"/>
              <w:spacing w:after="0" w:line="135" w:lineRule="exact"/>
              <w:rPr>
                <w:sz w:val="20"/>
                <w:szCs w:val="20"/>
                <w:color w:val="auto"/>
              </w:rPr>
            </w:pPr>
            <w:r>
              <w:rPr>
                <w:rFonts w:ascii="Arial" w:cs="Arial" w:eastAsia="Arial" w:hAnsi="Arial"/>
                <w:sz w:val="13"/>
                <w:szCs w:val="13"/>
                <w:color w:val="auto"/>
              </w:rPr>
              <w:t>Consumer goods: Non-durable</w:t>
            </w:r>
          </w:p>
        </w:tc>
        <w:tc>
          <w:tcPr>
            <w:tcW w:w="6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94"/>
              </w:rPr>
              <w:t>5.8%</w:t>
            </w:r>
          </w:p>
        </w:tc>
        <w:tc>
          <w:tcPr>
            <w:tcW w:w="29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8/27</w:t>
            </w:r>
          </w:p>
        </w:tc>
        <w:tc>
          <w:tcPr>
            <w:tcW w:w="14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10/28/2020   $</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2,094,750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1,837,151</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2,102,176</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6"/>
              </w:rPr>
              <w:t>Junior Secured Loan — Second Lien Notes, 10.0% PIK, 3</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Month Libor (1.00%) + 7.00%; Libor Floor 1.00% , Due</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85"/>
              </w:rPr>
              <w:t>10/23</w:t>
            </w:r>
          </w:p>
        </w:tc>
        <w:tc>
          <w:tcPr>
            <w:tcW w:w="2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1,464,432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951,271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7"/>
        </w:trPr>
        <w:tc>
          <w:tcPr>
            <w:tcW w:w="2620" w:type="dxa"/>
            <w:vAlign w:val="bottom"/>
            <w:shd w:val="clear" w:color="auto" w:fill="CFF0FC"/>
          </w:tcPr>
          <w:p>
            <w:pPr>
              <w:ind w:left="320"/>
              <w:spacing w:after="0"/>
              <w:rPr>
                <w:sz w:val="20"/>
                <w:szCs w:val="20"/>
                <w:color w:val="auto"/>
              </w:rPr>
            </w:pPr>
            <w:r>
              <w:rPr>
                <w:rFonts w:ascii="Arial" w:cs="Arial" w:eastAsia="Arial" w:hAnsi="Arial"/>
                <w:sz w:val="13"/>
                <w:szCs w:val="13"/>
                <w:color w:val="auto"/>
                <w:w w:val="91"/>
              </w:rPr>
              <w:t>Banking, Finance, Insurance &amp; Real Estate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94"/>
              </w:rPr>
              <w:t>5.0%</w:t>
            </w:r>
          </w:p>
        </w:tc>
        <w:tc>
          <w:tcPr>
            <w:tcW w:w="2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8.0% PIK,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2,422,152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2,422,152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2,425,301</w:t>
            </w:r>
          </w:p>
        </w:tc>
        <w:tc>
          <w:tcPr>
            <w:tcW w:w="100" w:type="dxa"/>
            <w:vAlign w:val="bottom"/>
            <w:shd w:val="clear" w:color="auto" w:fill="CFF0FC"/>
          </w:tcPr>
          <w:p>
            <w:pPr>
              <w:spacing w:after="0"/>
              <w:rPr>
                <w:sz w:val="13"/>
                <w:szCs w:val="13"/>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6"/>
              </w:rPr>
              <w:t>Banking, Finance, Insurance &amp; Real Estate</w:t>
            </w: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94"/>
              </w:rPr>
              <w:t>5.0%</w:t>
            </w:r>
          </w:p>
        </w:tc>
        <w:tc>
          <w:tcPr>
            <w:tcW w:w="2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8.0% PIK,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1,735,880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1,735,880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1,738,137</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6"/>
              </w:rPr>
              <w:t>Banking, Finance, Insurance &amp; Real Estate</w:t>
            </w: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94"/>
              </w:rPr>
              <w:t>5.0%</w:t>
            </w:r>
          </w:p>
        </w:tc>
        <w:tc>
          <w:tcPr>
            <w:tcW w:w="2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8.0% PIK,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1,353</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AIS Holdco,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6"/>
              </w:rPr>
              <w:t>Banking, Finance, Insurance &amp; Real Estate</w:t>
            </w: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94"/>
              </w:rPr>
              <w:t>5.2%</w:t>
            </w:r>
          </w:p>
        </w:tc>
        <w:tc>
          <w:tcPr>
            <w:tcW w:w="2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3 Month Libor (0.21%) + 5.00% , Due 8/25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2,562,205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2,054,605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2,341,855</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Allied Universal Holdco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94"/>
              </w:rPr>
              <w:t>4.4%</w:t>
            </w:r>
          </w:p>
        </w:tc>
        <w:tc>
          <w:tcPr>
            <w:tcW w:w="2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1 Month Libor (0.15%) + 4.25% , Due 7/26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5,156,518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4,229,619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5,142,312</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AMCP Pet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7"/>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94"/>
              </w:rPr>
              <w:t>1.0%</w:t>
            </w:r>
          </w:p>
        </w:tc>
        <w:tc>
          <w:tcPr>
            <w:tcW w:w="2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10/26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(19,849)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(20,000)</w:t>
            </w: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AMCP Pet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94"/>
              </w:rPr>
              <w:t>7.3%</w:t>
            </w:r>
          </w:p>
        </w:tc>
        <w:tc>
          <w:tcPr>
            <w:tcW w:w="29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rPr>
              <w:t>Cash, 3 Month Libor (1.00%) + 6.25%;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10/26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4,900,755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4,900,000</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3"/>
                <w:szCs w:val="13"/>
                <w:color w:val="auto"/>
                <w:w w:val="94"/>
              </w:rPr>
              <w:t>0.5%</w:t>
            </w:r>
          </w:p>
        </w:tc>
        <w:tc>
          <w:tcPr>
            <w:tcW w:w="2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10/26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(19,972)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r>
      <w:tr>
        <w:trPr>
          <w:trHeight w:val="195"/>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Analogic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Senior Secured Loan — Revolver</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Electronics</w:t>
            </w:r>
          </w:p>
        </w:tc>
        <w:tc>
          <w:tcPr>
            <w:tcW w:w="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87"/>
              </w:rPr>
              <w:t>0.5%</w:t>
            </w:r>
          </w:p>
        </w:tc>
        <w:tc>
          <w:tcPr>
            <w:tcW w:w="2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Cash, Due 6/23</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(3,033)</w:t>
            </w: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Analogic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6.3%</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6/24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3,555,811</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3,103,457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3,502,474</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7.8%</w:t>
            </w:r>
          </w:p>
        </w:tc>
        <w:tc>
          <w:tcPr>
            <w:tcW w:w="294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rPr>
              <w:t>Cash, 2.8% PIK, 3 Month Libor (1.00%) + 6.75%;</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3,592,120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3,495,363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3,486,871</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10.5% Cash, 3 Month Libor (1.00%) + 9.50%;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385,912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384,925</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Ascensus Specialties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Chemicals, Plastics &amp; Rubber</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4.9%</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(0.15%) + 4.75% , Due 9/26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1,703,780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1,435,922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1,697,135</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Athos Merger Sub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5.1%</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(0.15%) + 5.00% , Due 7/26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1,329,088</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1,142,784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1,312,474</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BJ Services,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Out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8.5%</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+ 7.00%;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1.50% , Due 1/23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3,573,631</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3,094,158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3,540,397</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6.3%</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+ 5.25%;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2,909,020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2,878,863</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Bristol Hospice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1.0%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(8,182)</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(8,219)</w:t>
            </w: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Bristol Hospice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Unitranche</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6.5%</w:t>
            </w:r>
          </w:p>
        </w:tc>
        <w:tc>
          <w:tcPr>
            <w:tcW w:w="294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rPr>
              <w:t>Cash, 3 Month Libor (1.00%) + 5.50%;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2,178,082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2,134,719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2,134,521</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C.P. Converters,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6"/>
              </w:rPr>
              <w:t>Senior Secured Loan — Seventh Amendment Acquisition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Chemicals, Plastics &amp; Rubber</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9"/>
              </w:rPr>
              <w:t>Loan</w:t>
            </w: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7.5%</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6/23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2,962,500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2,901,315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2,918,063</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2"/>
              </w:rPr>
              <w:t>Junior Secured Loan — 2023 Extended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9"/>
              </w:rPr>
              <w:t>Lien)</w:t>
            </w: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5.5%</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8.0% PIK, 6 month Libor (1.00%) + 4.50%;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Floor 1.00% , Due 8/23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1,629,516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1,454,610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1,394,866</w:t>
            </w:r>
          </w:p>
        </w:tc>
        <w:tc>
          <w:tcPr>
            <w:tcW w:w="10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Centric Brands Inc.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Revolver</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Machinery (Non-Agrclt/Constr/Electr)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6.5% Cash, 3 Month Libor (1.00%) + 5.50%;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10/24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403,134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333,931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367,420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Centric Brands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First Lien Last Out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Machinery (Non-Agrclt/Constr/Electr)</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PIK, Due 10/25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7,989,577</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6,378,529</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6,825,496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5.3% Cash, 3 Month Libor (1.00%) + 4.25%;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4,246,226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4,241,127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4,198,243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Chloe Ox Parent,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5.5% Cash, 3 Month Libor (1.00%) + 4.50%;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1,837,439</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1,552,347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1,752,917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Circustrix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4"/>
              </w:rPr>
              <w:t>Senior Secured Loan — First Lien Term Loan B, 7.8% PIK,</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w w:val="96"/>
              </w:rPr>
              <w:t>Banking, Finance, Insurance &amp; Real Estate</w:t>
            </w:r>
          </w:p>
        </w:tc>
        <w:tc>
          <w:tcPr>
            <w:tcW w:w="600" w:type="dxa"/>
            <w:vAlign w:val="bottom"/>
            <w:tcBorders>
              <w:bottom w:val="single" w:sz="8" w:color="CFF0FC"/>
            </w:tcBorders>
            <w:shd w:val="clear" w:color="auto" w:fill="CFF0FC"/>
          </w:tcPr>
          <w:p>
            <w:pPr>
              <w:spacing w:after="0"/>
              <w:rPr>
                <w:sz w:val="17"/>
                <w:szCs w:val="17"/>
                <w:color w:val="auto"/>
              </w:rPr>
            </w:pPr>
          </w:p>
        </w:tc>
        <w:tc>
          <w:tcPr>
            <w:tcW w:w="3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Due 1/22</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6,319,500</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4,455,164</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4,194,884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(3)(13)(14)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1"/>
              </w:rPr>
              <w:t>Junior Secured Loan — Initial Canadian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8.0% Cash, 1 Month Libor (1.00%) + 7.00%;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467,075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Last out DDTL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(20)(21)</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9"/>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927,022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Last Out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(20)(21)</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9"/>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5,995,440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6"/>
              </w:rPr>
              <w:t>Senior Secured Loan — Last Out Second Amendment 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(20)(21)</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9"/>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685,996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Convergeone Holdings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5.1% Cash, 1 Month Libor (0.15%) + 5.00% , Due 1/26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2,168,026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1,740,712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7.3% Cash, 3 Month Libor (1.00%) + 6.25%;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1,265,625</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1,248,537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1,251,577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Junior Secured Loan — Term Loan (Second Lien)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line="148" w:lineRule="exact"/>
              <w:rPr>
                <w:sz w:val="20"/>
                <w:szCs w:val="20"/>
                <w:color w:val="auto"/>
              </w:rPr>
            </w:pPr>
            <w:r>
              <w:rPr>
                <w:rFonts w:ascii="Arial" w:cs="Arial" w:eastAsia="Arial" w:hAnsi="Arial"/>
                <w:sz w:val="13"/>
                <w:szCs w:val="13"/>
                <w:color w:val="auto"/>
                <w:w w:val="99"/>
              </w:rPr>
              <w:t>8.8% Cash, 3 Month Libor (1.00%) + 7.75%;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2/22</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3,083,490</w:t>
            </w:r>
          </w:p>
        </w:tc>
        <w:tc>
          <w:tcPr>
            <w:tcW w:w="24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3,086,814</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2,988,519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620" w:type="dxa"/>
            <w:vAlign w:val="bottom"/>
            <w:vMerge w:val="continue"/>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310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93" w:name="page94"/>
    <w:bookmarkEnd w:id="93"/>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3"/>
                <w:szCs w:val="13"/>
                <w:color w:val="auto"/>
              </w:rPr>
            </w:pPr>
          </w:p>
        </w:tc>
        <w:tc>
          <w:tcPr>
            <w:tcW w:w="3100" w:type="dxa"/>
            <w:vAlign w:val="bottom"/>
          </w:tcPr>
          <w:p>
            <w:pPr>
              <w:ind w:left="1240"/>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53"/>
        </w:trPr>
        <w:tc>
          <w:tcPr>
            <w:tcW w:w="2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10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Arial" w:cs="Arial" w:eastAsia="Arial" w:hAnsi="Arial"/>
                <w:sz w:val="13"/>
                <w:szCs w:val="13"/>
                <w:color w:val="auto"/>
              </w:rPr>
              <w:t>Datalink, LLC</w:t>
            </w:r>
          </w:p>
        </w:tc>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100" w:type="dxa"/>
            <w:vAlign w:val="bottom"/>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w w:val="96"/>
              </w:rPr>
              <w:t>7.3% Cash, 3 Month Libor (1.00%) + 6.25%; Libor Floor</w:t>
            </w:r>
          </w:p>
        </w:tc>
        <w:tc>
          <w:tcPr>
            <w:tcW w:w="0" w:type="dxa"/>
            <w:vAlign w:val="bottom"/>
          </w:tcPr>
          <w:p>
            <w:pPr>
              <w:spacing w:after="0"/>
              <w:rPr>
                <w:sz w:val="1"/>
                <w:szCs w:val="1"/>
                <w:color w:val="auto"/>
              </w:rPr>
            </w:pPr>
          </w:p>
        </w:tc>
      </w:tr>
      <w:tr>
        <w:trPr>
          <w:trHeight w:val="160"/>
        </w:trPr>
        <w:tc>
          <w:tcPr>
            <w:tcW w:w="2620" w:type="dxa"/>
            <w:vAlign w:val="bottom"/>
          </w:tcPr>
          <w:p>
            <w:pPr>
              <w:ind w:left="200"/>
              <w:spacing w:after="0"/>
              <w:rPr>
                <w:sz w:val="20"/>
                <w:szCs w:val="20"/>
                <w:color w:val="auto"/>
              </w:rPr>
            </w:pPr>
            <w:r>
              <w:rPr>
                <w:rFonts w:ascii="Arial" w:cs="Arial" w:eastAsia="Arial" w:hAnsi="Arial"/>
                <w:sz w:val="13"/>
                <w:szCs w:val="13"/>
                <w:color w:val="auto"/>
              </w:rPr>
              <w:t>Healthcare &amp; Pharmaceuticals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1.00% , Due 11/26</w:t>
            </w: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rPr>
              <w:t>Datalink, LLC</w:t>
            </w:r>
          </w:p>
        </w:tc>
        <w:tc>
          <w:tcPr>
            <w:tcW w:w="600" w:type="dxa"/>
            <w:vAlign w:val="bottom"/>
          </w:tcPr>
          <w:p>
            <w:pPr>
              <w:spacing w:after="0"/>
              <w:rPr>
                <w:sz w:val="20"/>
                <w:szCs w:val="20"/>
                <w:color w:val="auto"/>
              </w:rPr>
            </w:pPr>
            <w:r>
              <w:rPr>
                <w:rFonts w:ascii="Arial" w:cs="Arial" w:eastAsia="Arial" w:hAnsi="Arial"/>
                <w:sz w:val="11"/>
                <w:szCs w:val="11"/>
                <w:color w:val="auto"/>
              </w:rPr>
              <w:t>(8)(13)</w:t>
            </w:r>
          </w:p>
        </w:tc>
        <w:tc>
          <w:tcPr>
            <w:tcW w:w="3100" w:type="dxa"/>
            <w:vAlign w:val="bottom"/>
          </w:tcPr>
          <w:p>
            <w:pPr>
              <w:spacing w:after="0"/>
              <w:rPr>
                <w:sz w:val="20"/>
                <w:szCs w:val="20"/>
                <w:color w:val="auto"/>
              </w:rPr>
            </w:pPr>
            <w:r>
              <w:rPr>
                <w:rFonts w:ascii="Arial" w:cs="Arial" w:eastAsia="Arial" w:hAnsi="Arial"/>
                <w:sz w:val="13"/>
                <w:szCs w:val="13"/>
                <w:color w:val="auto"/>
                <w:w w:val="95"/>
              </w:rPr>
              <w:t>Senior Secured Loan — Delayed Draw Term Loan (First</w:t>
            </w:r>
          </w:p>
        </w:tc>
        <w:tc>
          <w:tcPr>
            <w:tcW w:w="0" w:type="dxa"/>
            <w:vAlign w:val="bottom"/>
          </w:tcPr>
          <w:p>
            <w:pPr>
              <w:spacing w:after="0"/>
              <w:rPr>
                <w:sz w:val="1"/>
                <w:szCs w:val="1"/>
                <w:color w:val="auto"/>
              </w:rPr>
            </w:pPr>
          </w:p>
        </w:tc>
      </w:tr>
      <w:tr>
        <w:trPr>
          <w:trHeight w:val="135"/>
        </w:trPr>
        <w:tc>
          <w:tcPr>
            <w:tcW w:w="2620" w:type="dxa"/>
            <w:vAlign w:val="bottom"/>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Lien)</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1.0% Cash, Due 11/26</w:t>
            </w: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rPr>
              <w:t>Deliver Buyer, Inc.</w:t>
            </w:r>
          </w:p>
        </w:tc>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100" w:type="dxa"/>
            <w:vAlign w:val="bottom"/>
          </w:tcPr>
          <w:p>
            <w:pPr>
              <w:spacing w:after="0"/>
              <w:rPr>
                <w:sz w:val="20"/>
                <w:szCs w:val="20"/>
                <w:color w:val="auto"/>
              </w:rPr>
            </w:pPr>
            <w:r>
              <w:rPr>
                <w:rFonts w:ascii="Arial" w:cs="Arial" w:eastAsia="Arial" w:hAnsi="Arial"/>
                <w:sz w:val="13"/>
                <w:szCs w:val="13"/>
                <w:color w:val="auto"/>
                <w:w w:val="89"/>
              </w:rPr>
              <w:t>Senior Secured Loan — Incremental Term Loan (First Lien)</w:t>
            </w:r>
          </w:p>
        </w:tc>
        <w:tc>
          <w:tcPr>
            <w:tcW w:w="0" w:type="dxa"/>
            <w:vAlign w:val="bottom"/>
          </w:tcPr>
          <w:p>
            <w:pPr>
              <w:spacing w:after="0"/>
              <w:rPr>
                <w:sz w:val="1"/>
                <w:szCs w:val="1"/>
                <w:color w:val="auto"/>
              </w:rPr>
            </w:pPr>
          </w:p>
        </w:tc>
      </w:tr>
      <w:tr>
        <w:trPr>
          <w:trHeight w:val="135"/>
        </w:trPr>
        <w:tc>
          <w:tcPr>
            <w:tcW w:w="2620" w:type="dxa"/>
            <w:vAlign w:val="bottom"/>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w w:val="96"/>
              </w:rPr>
              <w:t>7.3% Cash, 3 Month Libor (1.00%) + 6.25%; Libor Floor</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1.00% , Due 5/24</w:t>
            </w: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tcPr>
          <w:p>
            <w:pPr>
              <w:spacing w:after="0"/>
              <w:rPr>
                <w:sz w:val="20"/>
                <w:szCs w:val="20"/>
                <w:color w:val="auto"/>
              </w:rPr>
            </w:pPr>
            <w:r>
              <w:rPr>
                <w:rFonts w:ascii="Arial" w:cs="Arial" w:eastAsia="Arial" w:hAnsi="Arial"/>
                <w:sz w:val="11"/>
                <w:szCs w:val="11"/>
                <w:color w:val="auto"/>
              </w:rPr>
              <w:t>(5)(8)(13)</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w w:val="95"/>
              </w:rPr>
              <w:t>Senior Secured Loan — Senior Term Loan B, 7.0% PIK,</w:t>
            </w:r>
          </w:p>
        </w:tc>
        <w:tc>
          <w:tcPr>
            <w:tcW w:w="0" w:type="dxa"/>
            <w:vAlign w:val="bottom"/>
          </w:tcPr>
          <w:p>
            <w:pPr>
              <w:spacing w:after="0"/>
              <w:rPr>
                <w:sz w:val="1"/>
                <w:szCs w:val="1"/>
                <w:color w:val="auto"/>
              </w:rPr>
            </w:pPr>
          </w:p>
        </w:tc>
      </w:tr>
      <w:tr>
        <w:trPr>
          <w:trHeight w:val="160"/>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Due 5/25</w:t>
            </w:r>
          </w:p>
        </w:tc>
        <w:tc>
          <w:tcPr>
            <w:tcW w:w="0" w:type="dxa"/>
            <w:vAlign w:val="bottom"/>
          </w:tcPr>
          <w:p>
            <w:pPr>
              <w:spacing w:after="0"/>
              <w:rPr>
                <w:sz w:val="1"/>
                <w:szCs w:val="1"/>
                <w:color w:val="auto"/>
              </w:rPr>
            </w:pPr>
          </w:p>
        </w:tc>
      </w:tr>
      <w:tr>
        <w:trPr>
          <w:trHeight w:val="135"/>
        </w:trPr>
        <w:tc>
          <w:tcPr>
            <w:tcW w:w="2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tcPr>
          <w:p>
            <w:pPr>
              <w:spacing w:after="0"/>
              <w:rPr>
                <w:sz w:val="20"/>
                <w:szCs w:val="20"/>
                <w:color w:val="auto"/>
              </w:rPr>
            </w:pPr>
            <w:r>
              <w:rPr>
                <w:rFonts w:ascii="Arial" w:cs="Arial" w:eastAsia="Arial" w:hAnsi="Arial"/>
                <w:sz w:val="11"/>
                <w:szCs w:val="11"/>
                <w:color w:val="auto"/>
              </w:rPr>
              <w:t>(8)(13)</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Senior Secured Loan — Super Senior Term Loan B</w:t>
            </w:r>
          </w:p>
        </w:tc>
        <w:tc>
          <w:tcPr>
            <w:tcW w:w="0" w:type="dxa"/>
            <w:vAlign w:val="bottom"/>
          </w:tcPr>
          <w:p>
            <w:pPr>
              <w:spacing w:after="0"/>
              <w:rPr>
                <w:sz w:val="1"/>
                <w:szCs w:val="1"/>
                <w:color w:val="auto"/>
              </w:rPr>
            </w:pPr>
          </w:p>
        </w:tc>
      </w:tr>
      <w:tr>
        <w:trPr>
          <w:trHeight w:val="160"/>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2.0% Cash, 7.0% PIK, Due 5/25</w:t>
            </w:r>
          </w:p>
        </w:tc>
        <w:tc>
          <w:tcPr>
            <w:tcW w:w="0" w:type="dxa"/>
            <w:vAlign w:val="bottom"/>
          </w:tcPr>
          <w:p>
            <w:pPr>
              <w:spacing w:after="0"/>
              <w:rPr>
                <w:sz w:val="1"/>
                <w:szCs w:val="1"/>
                <w:color w:val="auto"/>
              </w:rPr>
            </w:pPr>
          </w:p>
        </w:tc>
      </w:tr>
      <w:tr>
        <w:trPr>
          <w:trHeight w:val="135"/>
        </w:trPr>
        <w:tc>
          <w:tcPr>
            <w:tcW w:w="2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tcPr>
          <w:p>
            <w:pPr>
              <w:spacing w:after="0"/>
              <w:rPr>
                <w:sz w:val="20"/>
                <w:szCs w:val="20"/>
                <w:color w:val="auto"/>
              </w:rPr>
            </w:pPr>
            <w:r>
              <w:rPr>
                <w:rFonts w:ascii="Arial" w:cs="Arial" w:eastAsia="Arial" w:hAnsi="Arial"/>
                <w:sz w:val="11"/>
                <w:szCs w:val="11"/>
                <w:color w:val="auto"/>
              </w:rPr>
              <w:t>(3)(13)</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w w:val="90"/>
              </w:rPr>
              <w:t>Senior Secured Loan — EUR Term Loan A, 5.0% PIK, Due</w:t>
            </w:r>
          </w:p>
        </w:tc>
        <w:tc>
          <w:tcPr>
            <w:tcW w:w="0" w:type="dxa"/>
            <w:vAlign w:val="bottom"/>
          </w:tcPr>
          <w:p>
            <w:pPr>
              <w:spacing w:after="0"/>
              <w:rPr>
                <w:sz w:val="1"/>
                <w:szCs w:val="1"/>
                <w:color w:val="auto"/>
              </w:rPr>
            </w:pPr>
          </w:p>
        </w:tc>
      </w:tr>
      <w:tr>
        <w:trPr>
          <w:trHeight w:val="160"/>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35"/>
        </w:trPr>
        <w:tc>
          <w:tcPr>
            <w:tcW w:w="2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tcPr>
          <w:p>
            <w:pPr>
              <w:spacing w:after="0"/>
              <w:rPr>
                <w:sz w:val="20"/>
                <w:szCs w:val="20"/>
                <w:color w:val="auto"/>
              </w:rPr>
            </w:pPr>
            <w:r>
              <w:rPr>
                <w:rFonts w:ascii="Arial" w:cs="Arial" w:eastAsia="Arial" w:hAnsi="Arial"/>
                <w:sz w:val="11"/>
                <w:szCs w:val="11"/>
                <w:color w:val="auto"/>
              </w:rPr>
              <w:t>(8)(13)</w:t>
            </w: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w w:val="95"/>
              </w:rPr>
              <w:t>Senior Secured Loan — Senior Term Loan A, 5.0% PIK,</w:t>
            </w:r>
          </w:p>
        </w:tc>
        <w:tc>
          <w:tcPr>
            <w:tcW w:w="0" w:type="dxa"/>
            <w:vAlign w:val="bottom"/>
          </w:tcPr>
          <w:p>
            <w:pPr>
              <w:spacing w:after="0"/>
              <w:rPr>
                <w:sz w:val="1"/>
                <w:szCs w:val="1"/>
                <w:color w:val="auto"/>
              </w:rPr>
            </w:pPr>
          </w:p>
        </w:tc>
      </w:tr>
      <w:tr>
        <w:trPr>
          <w:trHeight w:val="160"/>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Due 5/25</w:t>
            </w:r>
          </w:p>
        </w:tc>
        <w:tc>
          <w:tcPr>
            <w:tcW w:w="0" w:type="dxa"/>
            <w:vAlign w:val="bottom"/>
          </w:tcPr>
          <w:p>
            <w:pPr>
              <w:spacing w:after="0"/>
              <w:rPr>
                <w:sz w:val="1"/>
                <w:szCs w:val="1"/>
                <w:color w:val="auto"/>
              </w:rPr>
            </w:pPr>
          </w:p>
        </w:tc>
      </w:tr>
      <w:tr>
        <w:trPr>
          <w:trHeight w:val="135"/>
        </w:trPr>
        <w:tc>
          <w:tcPr>
            <w:tcW w:w="2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2620" w:type="dxa"/>
            <w:vAlign w:val="bottom"/>
          </w:tcPr>
          <w:p>
            <w:pPr>
              <w:spacing w:after="0"/>
              <w:rPr>
                <w:sz w:val="20"/>
                <w:szCs w:val="20"/>
                <w:color w:val="auto"/>
              </w:rPr>
            </w:pPr>
            <w:r>
              <w:rPr>
                <w:rFonts w:ascii="Arial" w:cs="Arial" w:eastAsia="Arial" w:hAnsi="Arial"/>
                <w:sz w:val="13"/>
                <w:szCs w:val="13"/>
                <w:color w:val="auto"/>
              </w:rPr>
              <w:t>DMT Solutions Global Corporation</w:t>
            </w:r>
          </w:p>
        </w:tc>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100" w:type="dxa"/>
            <w:vAlign w:val="bottom"/>
          </w:tcPr>
          <w:p>
            <w:pPr>
              <w:spacing w:after="0"/>
              <w:rPr>
                <w:sz w:val="20"/>
                <w:szCs w:val="20"/>
                <w:color w:val="auto"/>
              </w:rPr>
            </w:pPr>
            <w:r>
              <w:rPr>
                <w:rFonts w:ascii="Arial" w:cs="Arial" w:eastAsia="Arial" w:hAnsi="Arial"/>
                <w:sz w:val="13"/>
                <w:szCs w:val="13"/>
                <w:color w:val="auto"/>
              </w:rPr>
              <w:t>Senior Secured Loan — First Lien Term Loan</w:t>
            </w:r>
          </w:p>
        </w:tc>
        <w:tc>
          <w:tcPr>
            <w:tcW w:w="0" w:type="dxa"/>
            <w:vAlign w:val="bottom"/>
          </w:tcPr>
          <w:p>
            <w:pPr>
              <w:spacing w:after="0"/>
              <w:rPr>
                <w:sz w:val="1"/>
                <w:szCs w:val="1"/>
                <w:color w:val="auto"/>
              </w:rPr>
            </w:pPr>
          </w:p>
        </w:tc>
      </w:tr>
      <w:tr>
        <w:trPr>
          <w:trHeight w:val="160"/>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Electronics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w w:val="97"/>
              </w:rPr>
              <w:t>7.2% Cash, 3 Month Libor (0.24%) + 7.00% , Due 7/24</w:t>
            </w: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rPr>
              <w:t>Drilling Info Holdings, Inc.</w:t>
            </w:r>
          </w:p>
        </w:tc>
        <w:tc>
          <w:tcPr>
            <w:tcW w:w="600" w:type="dxa"/>
            <w:vAlign w:val="bottom"/>
          </w:tcPr>
          <w:p>
            <w:pPr>
              <w:spacing w:after="0"/>
              <w:rPr>
                <w:sz w:val="20"/>
                <w:szCs w:val="20"/>
                <w:color w:val="auto"/>
              </w:rPr>
            </w:pPr>
            <w:r>
              <w:rPr>
                <w:rFonts w:ascii="Arial" w:cs="Arial" w:eastAsia="Arial" w:hAnsi="Arial"/>
                <w:sz w:val="11"/>
                <w:szCs w:val="11"/>
                <w:color w:val="auto"/>
              </w:rPr>
              <w:t>(8)(14)(21)</w:t>
            </w:r>
          </w:p>
        </w:tc>
        <w:tc>
          <w:tcPr>
            <w:tcW w:w="3100" w:type="dxa"/>
            <w:vAlign w:val="bottom"/>
          </w:tcPr>
          <w:p>
            <w:pPr>
              <w:spacing w:after="0"/>
              <w:rPr>
                <w:sz w:val="20"/>
                <w:szCs w:val="20"/>
                <w:color w:val="auto"/>
              </w:rPr>
            </w:pPr>
            <w:r>
              <w:rPr>
                <w:rFonts w:ascii="Arial" w:cs="Arial" w:eastAsia="Arial" w:hAnsi="Arial"/>
                <w:sz w:val="13"/>
                <w:szCs w:val="13"/>
                <w:color w:val="auto"/>
                <w:w w:val="95"/>
              </w:rPr>
              <w:t>Senior Secured Loan — 2019 Delayed Draw Term Loan</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00" w:type="dxa"/>
            <w:vAlign w:val="bottom"/>
          </w:tcPr>
          <w:p>
            <w:pPr>
              <w:spacing w:after="0" w:line="135" w:lineRule="exact"/>
              <w:rPr>
                <w:sz w:val="20"/>
                <w:szCs w:val="20"/>
                <w:color w:val="auto"/>
              </w:rPr>
            </w:pPr>
            <w:r>
              <w:rPr>
                <w:rFonts w:ascii="Arial" w:cs="Arial" w:eastAsia="Arial" w:hAnsi="Arial"/>
                <w:sz w:val="13"/>
                <w:szCs w:val="13"/>
                <w:color w:val="auto"/>
              </w:rPr>
              <w:t>(First Lien)</w:t>
            </w:r>
          </w:p>
        </w:tc>
        <w:tc>
          <w:tcPr>
            <w:tcW w:w="0" w:type="dxa"/>
            <w:vAlign w:val="bottom"/>
          </w:tcPr>
          <w:p>
            <w:pPr>
              <w:spacing w:after="0"/>
              <w:rPr>
                <w:sz w:val="1"/>
                <w:szCs w:val="1"/>
                <w:color w:val="auto"/>
              </w:rPr>
            </w:pPr>
          </w:p>
        </w:tc>
      </w:tr>
      <w:tr>
        <w:trPr>
          <w:trHeight w:val="160"/>
        </w:trPr>
        <w:tc>
          <w:tcPr>
            <w:tcW w:w="262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2.0% Cash, Due 7/25</w:t>
            </w:r>
          </w:p>
        </w:tc>
        <w:tc>
          <w:tcPr>
            <w:tcW w:w="0" w:type="dxa"/>
            <w:vAlign w:val="bottom"/>
          </w:tcPr>
          <w:p>
            <w:pPr>
              <w:spacing w:after="0"/>
              <w:rPr>
                <w:sz w:val="1"/>
                <w:szCs w:val="1"/>
                <w:color w:val="auto"/>
              </w:rPr>
            </w:pPr>
          </w:p>
        </w:tc>
      </w:tr>
      <w:tr>
        <w:trPr>
          <w:trHeight w:val="272"/>
        </w:trPr>
        <w:tc>
          <w:tcPr>
            <w:tcW w:w="2620" w:type="dxa"/>
            <w:vAlign w:val="bottom"/>
          </w:tcPr>
          <w:p>
            <w:pPr>
              <w:spacing w:after="0"/>
              <w:rPr>
                <w:sz w:val="20"/>
                <w:szCs w:val="20"/>
                <w:color w:val="auto"/>
              </w:rPr>
            </w:pPr>
            <w:r>
              <w:rPr>
                <w:rFonts w:ascii="Arial" w:cs="Arial" w:eastAsia="Arial" w:hAnsi="Arial"/>
                <w:sz w:val="13"/>
                <w:szCs w:val="13"/>
                <w:color w:val="auto"/>
              </w:rPr>
              <w:t>Drilling Info Holdings, Inc.</w:t>
            </w:r>
          </w:p>
        </w:tc>
        <w:tc>
          <w:tcPr>
            <w:tcW w:w="600" w:type="dxa"/>
            <w:vAlign w:val="bottom"/>
          </w:tcPr>
          <w:p>
            <w:pPr>
              <w:spacing w:after="0"/>
              <w:rPr>
                <w:sz w:val="20"/>
                <w:szCs w:val="20"/>
                <w:color w:val="auto"/>
              </w:rPr>
            </w:pPr>
            <w:r>
              <w:rPr>
                <w:rFonts w:ascii="Arial" w:cs="Arial" w:eastAsia="Arial" w:hAnsi="Arial"/>
                <w:sz w:val="11"/>
                <w:szCs w:val="11"/>
                <w:color w:val="auto"/>
              </w:rPr>
              <w:t>(8)(14)(21)</w:t>
            </w:r>
          </w:p>
        </w:tc>
        <w:tc>
          <w:tcPr>
            <w:tcW w:w="3100" w:type="dxa"/>
            <w:vAlign w:val="bottom"/>
          </w:tcPr>
          <w:p>
            <w:pPr>
              <w:spacing w:after="0"/>
              <w:rPr>
                <w:sz w:val="20"/>
                <w:szCs w:val="20"/>
                <w:color w:val="auto"/>
              </w:rPr>
            </w:pPr>
            <w:r>
              <w:rPr>
                <w:rFonts w:ascii="Arial" w:cs="Arial" w:eastAsia="Arial" w:hAnsi="Arial"/>
                <w:sz w:val="13"/>
                <w:szCs w:val="13"/>
                <w:color w:val="auto"/>
              </w:rPr>
              <w:t>Senior Secured Loan — Initial Term Loan (First Lien)</w:t>
            </w:r>
          </w:p>
        </w:tc>
        <w:tc>
          <w:tcPr>
            <w:tcW w:w="0" w:type="dxa"/>
            <w:vAlign w:val="bottom"/>
          </w:tcPr>
          <w:p>
            <w:pPr>
              <w:spacing w:after="0"/>
              <w:rPr>
                <w:sz w:val="1"/>
                <w:szCs w:val="1"/>
                <w:color w:val="auto"/>
              </w:rPr>
            </w:pPr>
          </w:p>
        </w:tc>
      </w:tr>
      <w:tr>
        <w:trPr>
          <w:trHeight w:val="160"/>
        </w:trPr>
        <w:tc>
          <w:tcPr>
            <w:tcW w:w="2620" w:type="dxa"/>
            <w:vAlign w:val="bottom"/>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w w:val="97"/>
              </w:rPr>
              <w:t>4.4% Cash, 1 Month Libor (0.15%) + 4.25% , Due 7/25</w:t>
            </w:r>
          </w:p>
        </w:tc>
        <w:tc>
          <w:tcPr>
            <w:tcW w:w="0" w:type="dxa"/>
            <w:vAlign w:val="bottom"/>
          </w:tcPr>
          <w:p>
            <w:pPr>
              <w:spacing w:after="0"/>
              <w:rPr>
                <w:sz w:val="1"/>
                <w:szCs w:val="1"/>
                <w:color w:val="auto"/>
              </w:rPr>
            </w:pPr>
          </w:p>
        </w:tc>
      </w:tr>
      <w:tr>
        <w:trPr>
          <w:trHeight w:val="326"/>
        </w:trPr>
        <w:tc>
          <w:tcPr>
            <w:tcW w:w="2620" w:type="dxa"/>
            <w:vAlign w:val="bottom"/>
          </w:tcPr>
          <w:p>
            <w:pPr>
              <w:spacing w:after="0"/>
              <w:rPr>
                <w:sz w:val="20"/>
                <w:szCs w:val="20"/>
                <w:color w:val="auto"/>
              </w:rPr>
            </w:pPr>
            <w:r>
              <w:rPr>
                <w:rFonts w:ascii="Arial" w:cs="Arial" w:eastAsia="Arial" w:hAnsi="Arial"/>
                <w:sz w:val="13"/>
                <w:szCs w:val="13"/>
                <w:color w:val="auto"/>
              </w:rPr>
              <w:t>Drilling Info Holdings, Inc.</w:t>
            </w:r>
          </w:p>
        </w:tc>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100" w:type="dxa"/>
            <w:vAlign w:val="bottom"/>
          </w:tcPr>
          <w:p>
            <w:pPr>
              <w:spacing w:after="0"/>
              <w:rPr>
                <w:sz w:val="20"/>
                <w:szCs w:val="20"/>
                <w:color w:val="auto"/>
              </w:rPr>
            </w:pPr>
            <w:r>
              <w:rPr>
                <w:rFonts w:ascii="Arial" w:cs="Arial" w:eastAsia="Arial" w:hAnsi="Arial"/>
                <w:sz w:val="13"/>
                <w:szCs w:val="13"/>
                <w:color w:val="auto"/>
              </w:rPr>
              <w:t>Senior Secured Loan — 2020 Term Loan (First Lien)</w:t>
            </w:r>
          </w:p>
        </w:tc>
        <w:tc>
          <w:tcPr>
            <w:tcW w:w="0" w:type="dxa"/>
            <w:vAlign w:val="bottom"/>
          </w:tcPr>
          <w:p>
            <w:pPr>
              <w:spacing w:after="0"/>
              <w:rPr>
                <w:sz w:val="1"/>
                <w:szCs w:val="1"/>
                <w:color w:val="auto"/>
              </w:rPr>
            </w:pPr>
          </w:p>
        </w:tc>
      </w:tr>
      <w:tr>
        <w:trPr>
          <w:trHeight w:val="80"/>
        </w:trPr>
        <w:tc>
          <w:tcPr>
            <w:tcW w:w="2620" w:type="dxa"/>
            <w:vAlign w:val="bottom"/>
          </w:tcPr>
          <w:p>
            <w:pPr>
              <w:spacing w:after="0"/>
              <w:rPr>
                <w:sz w:val="6"/>
                <w:szCs w:val="6"/>
                <w:color w:val="auto"/>
              </w:rPr>
            </w:pPr>
          </w:p>
        </w:tc>
        <w:tc>
          <w:tcPr>
            <w:tcW w:w="600" w:type="dxa"/>
            <w:vAlign w:val="bottom"/>
          </w:tcPr>
          <w:p>
            <w:pPr>
              <w:spacing w:after="0" w:line="81" w:lineRule="exact"/>
              <w:rPr>
                <w:sz w:val="20"/>
                <w:szCs w:val="20"/>
                <w:color w:val="auto"/>
              </w:rPr>
            </w:pPr>
            <w:r>
              <w:rPr>
                <w:rFonts w:ascii="Arial" w:cs="Arial" w:eastAsia="Arial" w:hAnsi="Arial"/>
                <w:sz w:val="9"/>
                <w:szCs w:val="9"/>
                <w:color w:val="auto"/>
              </w:rPr>
              <w:t>(21)</w:t>
            </w:r>
          </w:p>
        </w:tc>
        <w:tc>
          <w:tcPr>
            <w:tcW w:w="3100" w:type="dxa"/>
            <w:vAlign w:val="bottom"/>
            <w:vMerge w:val="restart"/>
          </w:tcPr>
          <w:p>
            <w:pPr>
              <w:spacing w:after="0"/>
              <w:rPr>
                <w:sz w:val="20"/>
                <w:szCs w:val="20"/>
                <w:color w:val="auto"/>
              </w:rPr>
            </w:pPr>
            <w:r>
              <w:rPr>
                <w:rFonts w:ascii="Arial" w:cs="Arial" w:eastAsia="Arial" w:hAnsi="Arial"/>
                <w:sz w:val="13"/>
                <w:szCs w:val="13"/>
                <w:color w:val="auto"/>
                <w:w w:val="97"/>
              </w:rPr>
              <w:t>4.7% Cash, 1 Month Libor (0.15%) + 4.50% , Due 7/25</w:t>
            </w:r>
          </w:p>
        </w:tc>
        <w:tc>
          <w:tcPr>
            <w:tcW w:w="0" w:type="dxa"/>
            <w:vAlign w:val="bottom"/>
          </w:tcPr>
          <w:p>
            <w:pPr>
              <w:spacing w:after="0"/>
              <w:rPr>
                <w:sz w:val="1"/>
                <w:szCs w:val="1"/>
                <w:color w:val="auto"/>
              </w:rPr>
            </w:pPr>
          </w:p>
        </w:tc>
      </w:tr>
      <w:tr>
        <w:trPr>
          <w:trHeight w:val="93"/>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620" w:type="dxa"/>
            <w:vAlign w:val="bottom"/>
          </w:tcPr>
          <w:p>
            <w:pPr>
              <w:spacing w:after="0"/>
              <w:rPr>
                <w:sz w:val="20"/>
                <w:szCs w:val="20"/>
                <w:color w:val="auto"/>
              </w:rPr>
            </w:pPr>
            <w:r>
              <w:rPr>
                <w:rFonts w:ascii="Arial" w:cs="Arial" w:eastAsia="Arial" w:hAnsi="Arial"/>
                <w:sz w:val="13"/>
                <w:szCs w:val="13"/>
                <w:color w:val="auto"/>
              </w:rPr>
              <w:t>Electronics for Imaging, Inc.</w:t>
            </w:r>
          </w:p>
        </w:tc>
        <w:tc>
          <w:tcPr>
            <w:tcW w:w="600" w:type="dxa"/>
            <w:vAlign w:val="bottom"/>
          </w:tcPr>
          <w:p>
            <w:pPr>
              <w:spacing w:after="0"/>
              <w:rPr>
                <w:sz w:val="20"/>
                <w:szCs w:val="20"/>
                <w:color w:val="auto"/>
              </w:rPr>
            </w:pPr>
            <w:r>
              <w:rPr>
                <w:rFonts w:ascii="Arial" w:cs="Arial" w:eastAsia="Arial" w:hAnsi="Arial"/>
                <w:sz w:val="11"/>
                <w:szCs w:val="11"/>
                <w:color w:val="auto"/>
              </w:rPr>
              <w:t>(8)(14)</w:t>
            </w:r>
          </w:p>
        </w:tc>
        <w:tc>
          <w:tcPr>
            <w:tcW w:w="3100" w:type="dxa"/>
            <w:vAlign w:val="bottom"/>
            <w:vMerge w:val="restart"/>
          </w:tcPr>
          <w:p>
            <w:pPr>
              <w:spacing w:after="0"/>
              <w:rPr>
                <w:sz w:val="20"/>
                <w:szCs w:val="20"/>
                <w:color w:val="auto"/>
              </w:rPr>
            </w:pPr>
            <w:r>
              <w:rPr>
                <w:rFonts w:ascii="Arial" w:cs="Arial" w:eastAsia="Arial" w:hAnsi="Arial"/>
                <w:sz w:val="13"/>
                <w:szCs w:val="13"/>
                <w:color w:val="auto"/>
              </w:rPr>
              <w:t>Senior Secured Loan — First Lien Term Loan</w:t>
            </w:r>
          </w:p>
        </w:tc>
        <w:tc>
          <w:tcPr>
            <w:tcW w:w="0" w:type="dxa"/>
            <w:vAlign w:val="bottom"/>
          </w:tcPr>
          <w:p>
            <w:pPr>
              <w:spacing w:after="0"/>
              <w:rPr>
                <w:sz w:val="1"/>
                <w:szCs w:val="1"/>
                <w:color w:val="auto"/>
              </w:rPr>
            </w:pPr>
          </w:p>
        </w:tc>
      </w:tr>
      <w:tr>
        <w:trPr>
          <w:trHeight w:val="42"/>
        </w:trPr>
        <w:tc>
          <w:tcPr>
            <w:tcW w:w="2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Electronics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w w:val="97"/>
              </w:rPr>
              <w:t>5.2% Cash, 1 Month Libor (0.15%) + 5.00% , Due 7/26</w:t>
            </w: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620" w:type="dxa"/>
            <w:vAlign w:val="bottom"/>
          </w:tcPr>
          <w:p>
            <w:pPr>
              <w:spacing w:after="0"/>
              <w:rPr>
                <w:sz w:val="20"/>
                <w:szCs w:val="20"/>
                <w:color w:val="auto"/>
              </w:rPr>
            </w:pPr>
            <w:r>
              <w:rPr>
                <w:rFonts w:ascii="Arial" w:cs="Arial" w:eastAsia="Arial" w:hAnsi="Arial"/>
                <w:sz w:val="13"/>
                <w:szCs w:val="13"/>
                <w:color w:val="auto"/>
              </w:rPr>
              <w:t>ELO Touch Solutions, Inc.</w:t>
            </w:r>
          </w:p>
        </w:tc>
        <w:tc>
          <w:tcPr>
            <w:tcW w:w="600" w:type="dxa"/>
            <w:vAlign w:val="bottom"/>
          </w:tcPr>
          <w:p>
            <w:pPr>
              <w:spacing w:after="0"/>
              <w:rPr>
                <w:sz w:val="20"/>
                <w:szCs w:val="20"/>
                <w:color w:val="auto"/>
              </w:rPr>
            </w:pPr>
            <w:r>
              <w:rPr>
                <w:rFonts w:ascii="Arial" w:cs="Arial" w:eastAsia="Arial" w:hAnsi="Arial"/>
                <w:sz w:val="11"/>
                <w:szCs w:val="11"/>
                <w:color w:val="auto"/>
              </w:rPr>
              <w:t>(8)(13)(14)</w:t>
            </w:r>
          </w:p>
        </w:tc>
        <w:tc>
          <w:tcPr>
            <w:tcW w:w="3100" w:type="dxa"/>
            <w:vAlign w:val="bottom"/>
          </w:tcPr>
          <w:p>
            <w:pPr>
              <w:spacing w:after="0"/>
              <w:rPr>
                <w:sz w:val="20"/>
                <w:szCs w:val="20"/>
                <w:color w:val="auto"/>
              </w:rPr>
            </w:pPr>
            <w:r>
              <w:rPr>
                <w:rFonts w:ascii="Arial" w:cs="Arial" w:eastAsia="Arial" w:hAnsi="Arial"/>
                <w:sz w:val="13"/>
                <w:szCs w:val="13"/>
                <w:color w:val="auto"/>
              </w:rPr>
              <w:t>Senior Secured Loan — First Lien Term Loan</w:t>
            </w:r>
          </w:p>
        </w:tc>
        <w:tc>
          <w:tcPr>
            <w:tcW w:w="0" w:type="dxa"/>
            <w:vAlign w:val="bottom"/>
          </w:tcPr>
          <w:p>
            <w:pPr>
              <w:spacing w:after="0"/>
              <w:rPr>
                <w:sz w:val="1"/>
                <w:szCs w:val="1"/>
                <w:color w:val="auto"/>
              </w:rPr>
            </w:pPr>
          </w:p>
        </w:tc>
      </w:tr>
      <w:tr>
        <w:trPr>
          <w:trHeight w:val="160"/>
        </w:trPr>
        <w:tc>
          <w:tcPr>
            <w:tcW w:w="2620" w:type="dxa"/>
            <w:vAlign w:val="bottom"/>
            <w:vMerge w:val="restart"/>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3"/>
                <w:szCs w:val="13"/>
                <w:color w:val="auto"/>
                <w:w w:val="95"/>
              </w:rPr>
              <w:t>6.6% Cash, 1 Month Libor (0.15%) + 6.50% , Due 12/25</w:t>
            </w: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00" w:type="dxa"/>
            <w:vAlign w:val="bottom"/>
          </w:tcPr>
          <w:p>
            <w:pPr>
              <w:ind w:left="224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-5125720</wp:posOffset>
            </wp:positionV>
            <wp:extent cx="71323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-4756785</wp:posOffset>
            </wp:positionV>
            <wp:extent cx="713232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-4396740</wp:posOffset>
            </wp:positionV>
            <wp:extent cx="7132320" cy="265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-4036695</wp:posOffset>
            </wp:positionV>
            <wp:extent cx="7132320" cy="351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7132320" cy="3511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-3145790</wp:posOffset>
            </wp:positionV>
            <wp:extent cx="7132320"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351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-1894205</wp:posOffset>
            </wp:positionV>
            <wp:extent cx="7132320" cy="266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-1259840</wp:posOffset>
            </wp:positionV>
            <wp:extent cx="7132320" cy="265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266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423"/>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2,975,000</w:t>
            </w:r>
          </w:p>
        </w:tc>
        <w:tc>
          <w:tcPr>
            <w:tcW w:w="24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2,894,347</w:t>
            </w:r>
          </w:p>
        </w:tc>
        <w:tc>
          <w:tcPr>
            <w:tcW w:w="24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2,893,188</w:t>
            </w:r>
          </w:p>
        </w:tc>
        <w:tc>
          <w:tcPr>
            <w:tcW w:w="40" w:type="dxa"/>
            <w:vAlign w:val="bottom"/>
          </w:tcPr>
          <w:p>
            <w:pPr>
              <w:spacing w:after="0"/>
              <w:rPr>
                <w:sz w:val="24"/>
                <w:szCs w:val="24"/>
                <w:color w:val="auto"/>
              </w:rPr>
            </w:pPr>
          </w:p>
        </w:tc>
      </w:tr>
      <w:tr>
        <w:trPr>
          <w:trHeight w:val="567"/>
        </w:trPr>
        <w:tc>
          <w:tcPr>
            <w:tcW w:w="1120" w:type="dxa"/>
            <w:vAlign w:val="bottom"/>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(14,180)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(14,438)</w:t>
            </w:r>
          </w:p>
        </w:tc>
      </w:tr>
      <w:tr>
        <w:trPr>
          <w:trHeight w:val="567"/>
        </w:trPr>
        <w:tc>
          <w:tcPr>
            <w:tcW w:w="1120" w:type="dxa"/>
            <w:vAlign w:val="bottom"/>
          </w:tcPr>
          <w:p>
            <w:pPr>
              <w:jc w:val="right"/>
              <w:spacing w:after="0"/>
              <w:rPr>
                <w:sz w:val="20"/>
                <w:szCs w:val="20"/>
                <w:color w:val="auto"/>
              </w:rPr>
            </w:pPr>
            <w:r>
              <w:rPr>
                <w:rFonts w:ascii="Arial" w:cs="Arial" w:eastAsia="Arial" w:hAnsi="Arial"/>
                <w:sz w:val="13"/>
                <w:szCs w:val="13"/>
                <w:color w:val="auto"/>
              </w:rPr>
              <w:t>7/1/2020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2,892,750</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2,816,722</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2,872,790</w:t>
            </w:r>
          </w:p>
        </w:tc>
        <w:tc>
          <w:tcPr>
            <w:tcW w:w="40" w:type="dxa"/>
            <w:vAlign w:val="bottom"/>
          </w:tcPr>
          <w:p>
            <w:pPr>
              <w:spacing w:after="0"/>
              <w:rPr>
                <w:sz w:val="24"/>
                <w:szCs w:val="24"/>
                <w:color w:val="auto"/>
              </w:rPr>
            </w:pPr>
          </w:p>
        </w:tc>
      </w:tr>
      <w:tr>
        <w:trPr>
          <w:trHeight w:val="702"/>
        </w:trPr>
        <w:tc>
          <w:tcPr>
            <w:tcW w:w="1120" w:type="dxa"/>
            <w:vAlign w:val="bottom"/>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1,484,979</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1,092,213</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748,132</w:t>
            </w:r>
          </w:p>
        </w:tc>
        <w:tc>
          <w:tcPr>
            <w:tcW w:w="40" w:type="dxa"/>
            <w:vAlign w:val="bottom"/>
          </w:tcPr>
          <w:p>
            <w:pPr>
              <w:spacing w:after="0"/>
              <w:rPr>
                <w:sz w:val="24"/>
                <w:szCs w:val="24"/>
                <w:color w:val="auto"/>
              </w:rPr>
            </w:pPr>
          </w:p>
        </w:tc>
      </w:tr>
      <w:tr>
        <w:trPr>
          <w:trHeight w:val="702"/>
        </w:trPr>
        <w:tc>
          <w:tcPr>
            <w:tcW w:w="1120" w:type="dxa"/>
            <w:vAlign w:val="bottom"/>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959,944</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943,862</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940,745</w:t>
            </w:r>
          </w:p>
        </w:tc>
        <w:tc>
          <w:tcPr>
            <w:tcW w:w="40" w:type="dxa"/>
            <w:vAlign w:val="bottom"/>
          </w:tcPr>
          <w:p>
            <w:pPr>
              <w:spacing w:after="0"/>
              <w:rPr>
                <w:sz w:val="24"/>
                <w:szCs w:val="24"/>
                <w:color w:val="auto"/>
              </w:rPr>
            </w:pPr>
          </w:p>
        </w:tc>
      </w:tr>
      <w:tr>
        <w:trPr>
          <w:trHeight w:val="702"/>
        </w:trPr>
        <w:tc>
          <w:tcPr>
            <w:tcW w:w="1120" w:type="dxa"/>
            <w:vAlign w:val="bottom"/>
          </w:tcPr>
          <w:p>
            <w:pPr>
              <w:jc w:val="right"/>
              <w:spacing w:after="0"/>
              <w:rPr>
                <w:sz w:val="20"/>
                <w:szCs w:val="20"/>
                <w:color w:val="auto"/>
              </w:rPr>
            </w:pPr>
            <w:r>
              <w:rPr>
                <w:rFonts w:ascii="Arial" w:cs="Arial" w:eastAsia="Arial" w:hAnsi="Arial"/>
                <w:sz w:val="13"/>
                <w:szCs w:val="13"/>
                <w:color w:val="auto"/>
              </w:rPr>
              <w:t>5/11/2020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324,350</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285,676</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268,222</w:t>
            </w:r>
          </w:p>
        </w:tc>
        <w:tc>
          <w:tcPr>
            <w:tcW w:w="40" w:type="dxa"/>
            <w:vAlign w:val="bottom"/>
          </w:tcPr>
          <w:p>
            <w:pPr>
              <w:spacing w:after="0"/>
              <w:rPr>
                <w:sz w:val="24"/>
                <w:szCs w:val="24"/>
                <w:color w:val="auto"/>
              </w:rPr>
            </w:pPr>
          </w:p>
        </w:tc>
      </w:tr>
      <w:tr>
        <w:trPr>
          <w:trHeight w:val="702"/>
        </w:trPr>
        <w:tc>
          <w:tcPr>
            <w:tcW w:w="1120" w:type="dxa"/>
            <w:vAlign w:val="bottom"/>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1,467,506</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1,074,740</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1,063,942</w:t>
            </w:r>
          </w:p>
        </w:tc>
        <w:tc>
          <w:tcPr>
            <w:tcW w:w="40" w:type="dxa"/>
            <w:vAlign w:val="bottom"/>
          </w:tcPr>
          <w:p>
            <w:pPr>
              <w:spacing w:after="0"/>
              <w:rPr>
                <w:sz w:val="24"/>
                <w:szCs w:val="24"/>
                <w:color w:val="auto"/>
              </w:rPr>
            </w:pPr>
          </w:p>
        </w:tc>
      </w:tr>
      <w:tr>
        <w:trPr>
          <w:trHeight w:val="567"/>
        </w:trPr>
        <w:tc>
          <w:tcPr>
            <w:tcW w:w="11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6,381,442</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5,158,548</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6,142,138</w:t>
            </w:r>
          </w:p>
        </w:tc>
        <w:tc>
          <w:tcPr>
            <w:tcW w:w="40" w:type="dxa"/>
            <w:vAlign w:val="bottom"/>
          </w:tcPr>
          <w:p>
            <w:pPr>
              <w:spacing w:after="0"/>
              <w:rPr>
                <w:sz w:val="24"/>
                <w:szCs w:val="24"/>
                <w:color w:val="auto"/>
              </w:rPr>
            </w:pPr>
          </w:p>
        </w:tc>
      </w:tr>
      <w:tr>
        <w:trPr>
          <w:trHeight w:val="567"/>
        </w:trPr>
        <w:tc>
          <w:tcPr>
            <w:tcW w:w="1120" w:type="dxa"/>
            <w:vAlign w:val="bottom"/>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(1,375)</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(10,621)</w:t>
            </w:r>
          </w:p>
        </w:tc>
      </w:tr>
      <w:tr>
        <w:trPr>
          <w:trHeight w:val="432"/>
        </w:trPr>
        <w:tc>
          <w:tcPr>
            <w:tcW w:w="1120" w:type="dxa"/>
            <w:vAlign w:val="bottom"/>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465,621</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465,621</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452,042</w:t>
            </w:r>
          </w:p>
        </w:tc>
        <w:tc>
          <w:tcPr>
            <w:tcW w:w="40" w:type="dxa"/>
            <w:vAlign w:val="bottom"/>
          </w:tcPr>
          <w:p>
            <w:pPr>
              <w:spacing w:after="0"/>
              <w:rPr>
                <w:sz w:val="24"/>
                <w:szCs w:val="24"/>
                <w:color w:val="auto"/>
              </w:rPr>
            </w:pPr>
          </w:p>
        </w:tc>
      </w:tr>
      <w:tr>
        <w:trPr>
          <w:trHeight w:val="567"/>
        </w:trPr>
        <w:tc>
          <w:tcPr>
            <w:tcW w:w="1120" w:type="dxa"/>
            <w:vAlign w:val="bottom"/>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992,500</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988,340</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947,838</w:t>
            </w:r>
          </w:p>
        </w:tc>
        <w:tc>
          <w:tcPr>
            <w:tcW w:w="40" w:type="dxa"/>
            <w:vAlign w:val="bottom"/>
          </w:tcPr>
          <w:p>
            <w:pPr>
              <w:spacing w:after="0"/>
              <w:rPr>
                <w:sz w:val="24"/>
                <w:szCs w:val="24"/>
                <w:color w:val="auto"/>
              </w:rPr>
            </w:pPr>
          </w:p>
        </w:tc>
      </w:tr>
      <w:tr>
        <w:trPr>
          <w:trHeight w:val="567"/>
        </w:trPr>
        <w:tc>
          <w:tcPr>
            <w:tcW w:w="11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2,181,735</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1,639,163</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1,875,605</w:t>
            </w:r>
          </w:p>
        </w:tc>
        <w:tc>
          <w:tcPr>
            <w:tcW w:w="40" w:type="dxa"/>
            <w:vAlign w:val="bottom"/>
          </w:tcPr>
          <w:p>
            <w:pPr>
              <w:spacing w:after="0"/>
              <w:rPr>
                <w:sz w:val="24"/>
                <w:szCs w:val="24"/>
                <w:color w:val="auto"/>
              </w:rPr>
            </w:pPr>
          </w:p>
        </w:tc>
      </w:tr>
      <w:tr>
        <w:trPr>
          <w:trHeight w:val="567"/>
        </w:trPr>
        <w:tc>
          <w:tcPr>
            <w:tcW w:w="11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2,665,527</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2,267,328</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2,632,741</w:t>
            </w:r>
          </w:p>
        </w:tc>
        <w:tc>
          <w:tcPr>
            <w:tcW w:w="40" w:type="dxa"/>
            <w:vAlign w:val="bottom"/>
          </w:tcPr>
          <w:p>
            <w:pPr>
              <w:spacing w:after="0"/>
              <w:rPr>
                <w:sz w:val="24"/>
                <w:szCs w:val="24"/>
                <w:color w:val="auto"/>
              </w:rPr>
            </w:pPr>
          </w:p>
        </w:tc>
      </w:tr>
    </w:tbl>
    <w:p>
      <w:pPr>
        <w:sectPr>
          <w:pgSz w:w="11900" w:h="16838" w:orient="portrait"/>
          <w:cols w:equalWidth="0" w:num="2">
            <w:col w:w="6320" w:space="120"/>
            <w:col w:w="4740"/>
          </w:cols>
          <w:pgMar w:left="320" w:top="741" w:right="3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8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Emtec, Inc.</w:t>
            </w:r>
          </w:p>
        </w:tc>
        <w:tc>
          <w:tcPr>
            <w:tcW w:w="600" w:type="dxa"/>
            <w:vAlign w:val="bottom"/>
            <w:tcBorders>
              <w:top w:val="single" w:sz="8" w:color="CFF0FC"/>
            </w:tcBorders>
            <w:shd w:val="clear" w:color="auto" w:fill="CFF0FC"/>
          </w:tcPr>
          <w:p>
            <w:pPr>
              <w:jc w:val="right"/>
              <w:ind w:right="226"/>
              <w:spacing w:after="0"/>
              <w:rPr>
                <w:sz w:val="20"/>
                <w:szCs w:val="20"/>
                <w:color w:val="auto"/>
              </w:rPr>
            </w:pPr>
            <w:r>
              <w:rPr>
                <w:rFonts w:ascii="Arial" w:cs="Arial" w:eastAsia="Arial" w:hAnsi="Arial"/>
                <w:sz w:val="11"/>
                <w:szCs w:val="11"/>
                <w:color w:val="auto"/>
                <w:w w:val="90"/>
              </w:rPr>
              <w:t>(8)(13)</w:t>
            </w:r>
          </w:p>
        </w:tc>
        <w:tc>
          <w:tcPr>
            <w:tcW w:w="310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 A</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6"/>
              </w:rPr>
              <w:t>10.0%</w:t>
            </w:r>
          </w:p>
        </w:tc>
        <w:tc>
          <w:tcPr>
            <w:tcW w:w="28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8"/>
              </w:rPr>
              <w:t>Cash, 1 Month Libor (1.50%) + 8.50%;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1.50%</w:t>
            </w:r>
          </w:p>
        </w:tc>
        <w:tc>
          <w:tcPr>
            <w:tcW w:w="28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 Due 8/21</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2,395,175</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2,138,552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2,377,690</w:t>
            </w:r>
          </w:p>
        </w:tc>
        <w:tc>
          <w:tcPr>
            <w:tcW w:w="100" w:type="dxa"/>
            <w:vAlign w:val="bottom"/>
            <w:shd w:val="clear" w:color="auto" w:fill="CFF0FC"/>
          </w:tcPr>
          <w:p>
            <w:pPr>
              <w:spacing w:after="0"/>
              <w:rPr>
                <w:sz w:val="12"/>
                <w:szCs w:val="12"/>
                <w:color w:val="auto"/>
              </w:rPr>
            </w:pPr>
          </w:p>
        </w:tc>
      </w:tr>
    </w:tbl>
    <w:p>
      <w:pPr>
        <w:spacing w:after="0" w:line="148" w:lineRule="exact"/>
        <w:rPr>
          <w:sz w:val="20"/>
          <w:szCs w:val="20"/>
          <w:color w:val="auto"/>
        </w:rPr>
      </w:pPr>
    </w:p>
    <w:p>
      <w:pPr>
        <w:sectPr>
          <w:pgSz w:w="11900" w:h="16838" w:orient="portrait"/>
          <w:cols w:equalWidth="0" w:num="1">
            <w:col w:w="11240"/>
          </w:cols>
          <w:pgMar w:left="320" w:top="741" w:right="339" w:bottom="1440" w:gutter="0" w:footer="0" w:header="0"/>
        </w:sectPr>
      </w:pPr>
    </w:p>
    <w:p>
      <w:pPr>
        <w:spacing w:after="0"/>
        <w:rPr>
          <w:sz w:val="20"/>
          <w:szCs w:val="20"/>
          <w:color w:val="auto"/>
        </w:rPr>
      </w:pPr>
      <w:r>
        <w:rPr>
          <w:rFonts w:ascii="Arial" w:cs="Arial" w:eastAsia="Arial" w:hAnsi="Arial"/>
          <w:sz w:val="13"/>
          <w:szCs w:val="13"/>
          <w:color w:val="auto"/>
        </w:rPr>
        <w:t>Emtec,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Energy Acquisition Lp</w:t>
      </w:r>
    </w:p>
    <w:p>
      <w:pPr>
        <w:ind w:left="160"/>
        <w:spacing w:after="0"/>
        <w:rPr>
          <w:sz w:val="20"/>
          <w:szCs w:val="20"/>
          <w:color w:val="auto"/>
        </w:rPr>
      </w:pPr>
      <w:r>
        <w:rPr>
          <w:rFonts w:ascii="Arial" w:cs="Arial" w:eastAsia="Arial" w:hAnsi="Arial"/>
          <w:sz w:val="13"/>
          <w:szCs w:val="13"/>
          <w:color w:val="auto"/>
        </w:rPr>
        <w:t>Electronics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Ensono, LP</w:t>
      </w:r>
    </w:p>
    <w:p>
      <w:pPr>
        <w:ind w:left="160"/>
        <w:spacing w:after="0"/>
        <w:rPr>
          <w:sz w:val="20"/>
          <w:szCs w:val="20"/>
          <w:color w:val="auto"/>
        </w:rPr>
      </w:pPr>
      <w:r>
        <w:rPr>
          <w:rFonts w:ascii="Arial" w:cs="Arial" w:eastAsia="Arial" w:hAnsi="Arial"/>
          <w:sz w:val="13"/>
          <w:szCs w:val="13"/>
          <w:color w:val="auto"/>
        </w:rPr>
        <w:t>Telecommunications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Evergreen North America Acquisition, LLC</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Environmental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Firstlight Holdco Inc.</w:t>
      </w:r>
    </w:p>
    <w:p>
      <w:pPr>
        <w:ind w:left="160"/>
        <w:spacing w:after="0"/>
        <w:rPr>
          <w:sz w:val="20"/>
          <w:szCs w:val="20"/>
          <w:color w:val="auto"/>
        </w:rPr>
      </w:pPr>
      <w:r>
        <w:rPr>
          <w:rFonts w:ascii="Arial" w:cs="Arial" w:eastAsia="Arial" w:hAnsi="Arial"/>
          <w:sz w:val="13"/>
          <w:szCs w:val="13"/>
          <w:color w:val="auto"/>
        </w:rPr>
        <w:t>Telecommunications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Fusion Connect, Inc.</w:t>
      </w:r>
    </w:p>
    <w:p>
      <w:pPr>
        <w:ind w:left="160"/>
        <w:spacing w:after="0"/>
        <w:rPr>
          <w:sz w:val="20"/>
          <w:szCs w:val="20"/>
          <w:color w:val="auto"/>
        </w:rPr>
      </w:pPr>
      <w:r>
        <w:rPr>
          <w:rFonts w:ascii="Arial" w:cs="Arial" w:eastAsia="Arial" w:hAnsi="Arial"/>
          <w:sz w:val="13"/>
          <w:szCs w:val="13"/>
          <w:color w:val="auto"/>
        </w:rPr>
        <w:t>Telecommunications</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Geo Parent Corporation</w:t>
      </w:r>
    </w:p>
    <w:p>
      <w:pPr>
        <w:ind w:left="160"/>
        <w:spacing w:after="0"/>
        <w:rPr>
          <w:sz w:val="20"/>
          <w:szCs w:val="20"/>
          <w:color w:val="auto"/>
        </w:rPr>
      </w:pPr>
      <w:r>
        <w:rPr>
          <w:rFonts w:ascii="Arial" w:cs="Arial" w:eastAsia="Arial" w:hAnsi="Arial"/>
          <w:sz w:val="10"/>
          <w:szCs w:val="10"/>
          <w:color w:val="auto"/>
        </w:rPr>
        <w:t>Media: Advertising, Printing &amp; Publishing</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GI Revelation Acquisition LLC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ind w:left="160"/>
        <w:spacing w:after="0"/>
        <w:rPr>
          <w:sz w:val="20"/>
          <w:szCs w:val="20"/>
          <w:color w:val="auto"/>
        </w:rPr>
      </w:pPr>
      <w:r>
        <w:rPr>
          <w:rFonts w:ascii="Arial" w:cs="Arial" w:eastAsia="Arial" w:hAnsi="Arial"/>
          <w:sz w:val="13"/>
          <w:szCs w:val="13"/>
          <w:color w:val="auto"/>
        </w:rPr>
        <w:t>Consumer goods: Durable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540" w:type="dxa"/>
            <w:vAlign w:val="bottom"/>
          </w:tcPr>
          <w:p>
            <w:pPr>
              <w:spacing w:after="0"/>
              <w:rPr>
                <w:sz w:val="20"/>
                <w:szCs w:val="20"/>
                <w:color w:val="auto"/>
              </w:rPr>
            </w:pPr>
            <w:r>
              <w:rPr>
                <w:rFonts w:ascii="Arial" w:cs="Arial" w:eastAsia="Arial" w:hAnsi="Arial"/>
                <w:sz w:val="11"/>
                <w:szCs w:val="11"/>
                <w:color w:val="auto"/>
              </w:rPr>
              <w:t>(5)(8)(13)</w:t>
            </w:r>
          </w:p>
        </w:tc>
        <w:tc>
          <w:tcPr>
            <w:tcW w:w="3440" w:type="dxa"/>
            <w:vAlign w:val="bottom"/>
            <w:vMerge w:val="restart"/>
          </w:tcPr>
          <w:p>
            <w:pPr>
              <w:ind w:left="60"/>
              <w:spacing w:after="0"/>
              <w:rPr>
                <w:sz w:val="20"/>
                <w:szCs w:val="20"/>
                <w:color w:val="auto"/>
              </w:rPr>
            </w:pPr>
            <w:r>
              <w:rPr>
                <w:rFonts w:ascii="Arial" w:cs="Arial" w:eastAsia="Arial" w:hAnsi="Arial"/>
                <w:sz w:val="13"/>
                <w:szCs w:val="13"/>
                <w:color w:val="auto"/>
              </w:rPr>
              <w:t>Senior Secured Loan — First Lien Term Loan B, 10.3%</w:t>
            </w: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PIK, Due 8/21</w:t>
            </w:r>
          </w:p>
        </w:tc>
        <w:tc>
          <w:tcPr>
            <w:tcW w:w="1240" w:type="dxa"/>
            <w:vAlign w:val="bottom"/>
            <w:vMerge w:val="restart"/>
          </w:tcPr>
          <w:p>
            <w:pPr>
              <w:jc w:val="right"/>
              <w:ind w:right="237"/>
              <w:spacing w:after="0"/>
              <w:rPr>
                <w:sz w:val="20"/>
                <w:szCs w:val="20"/>
                <w:color w:val="auto"/>
              </w:rPr>
            </w:pPr>
            <w:r>
              <w:rPr>
                <w:rFonts w:ascii="Arial" w:cs="Arial" w:eastAsia="Arial" w:hAnsi="Arial"/>
                <w:sz w:val="13"/>
                <w:szCs w:val="13"/>
                <w:color w:val="auto"/>
              </w:rPr>
              <w:t>10/28/2020</w:t>
            </w:r>
          </w:p>
        </w:tc>
        <w:tc>
          <w:tcPr>
            <w:tcW w:w="1180" w:type="dxa"/>
            <w:vAlign w:val="bottom"/>
            <w:vMerge w:val="restart"/>
          </w:tcPr>
          <w:p>
            <w:pPr>
              <w:jc w:val="right"/>
              <w:ind w:right="297"/>
              <w:spacing w:after="0"/>
              <w:rPr>
                <w:sz w:val="20"/>
                <w:szCs w:val="20"/>
                <w:color w:val="auto"/>
              </w:rPr>
            </w:pPr>
            <w:r>
              <w:rPr>
                <w:rFonts w:ascii="Arial" w:cs="Arial" w:eastAsia="Arial" w:hAnsi="Arial"/>
                <w:sz w:val="13"/>
                <w:szCs w:val="13"/>
                <w:color w:val="auto"/>
              </w:rPr>
              <w:t>1,734,498</w:t>
            </w:r>
          </w:p>
        </w:tc>
        <w:tc>
          <w:tcPr>
            <w:tcW w:w="1260" w:type="dxa"/>
            <w:vAlign w:val="bottom"/>
            <w:vMerge w:val="restart"/>
          </w:tcPr>
          <w:p>
            <w:pPr>
              <w:jc w:val="right"/>
              <w:ind w:right="317"/>
              <w:spacing w:after="0"/>
              <w:rPr>
                <w:sz w:val="20"/>
                <w:szCs w:val="20"/>
                <w:color w:val="auto"/>
              </w:rPr>
            </w:pPr>
            <w:r>
              <w:rPr>
                <w:rFonts w:ascii="Arial" w:cs="Arial" w:eastAsia="Arial" w:hAnsi="Arial"/>
                <w:sz w:val="13"/>
                <w:szCs w:val="13"/>
                <w:color w:val="auto"/>
              </w:rPr>
              <w:t>1,394,239</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1,620,368</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3980" w:type="dxa"/>
            <w:vAlign w:val="bottom"/>
            <w:gridSpan w:val="2"/>
          </w:tcPr>
          <w:p>
            <w:pPr>
              <w:ind w:left="400"/>
              <w:spacing w:after="0"/>
              <w:rPr>
                <w:sz w:val="20"/>
                <w:szCs w:val="20"/>
                <w:color w:val="auto"/>
              </w:rPr>
            </w:pPr>
            <w:r>
              <w:rPr>
                <w:rFonts w:ascii="Arial" w:cs="Arial" w:eastAsia="Arial" w:hAnsi="Arial"/>
                <w:sz w:val="11"/>
                <w:szCs w:val="11"/>
                <w:color w:val="auto"/>
              </w:rPr>
              <w:t xml:space="preserve">(14) </w:t>
            </w:r>
            <w:r>
              <w:rPr>
                <w:rFonts w:ascii="Arial" w:cs="Arial" w:eastAsia="Arial" w:hAnsi="Arial"/>
                <w:sz w:val="12"/>
                <w:szCs w:val="12"/>
                <w:color w:val="auto"/>
              </w:rPr>
              <w:t>Senior Secured Loan — First Lien Term Loan</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4.4% Cash, 1 Month Libor (0.15%) + 4.25% , Due 6/25</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10/28/2020</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4,887,218</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3,940,620</w:t>
            </w:r>
          </w:p>
        </w:tc>
        <w:tc>
          <w:tcPr>
            <w:tcW w:w="900" w:type="dxa"/>
            <w:vAlign w:val="bottom"/>
          </w:tcPr>
          <w:p>
            <w:pPr>
              <w:jc w:val="right"/>
              <w:spacing w:after="0"/>
              <w:rPr>
                <w:sz w:val="20"/>
                <w:szCs w:val="20"/>
                <w:color w:val="auto"/>
              </w:rPr>
            </w:pPr>
            <w:r>
              <w:rPr>
                <w:rFonts w:ascii="Arial" w:cs="Arial" w:eastAsia="Arial" w:hAnsi="Arial"/>
                <w:sz w:val="13"/>
                <w:szCs w:val="13"/>
                <w:color w:val="auto"/>
              </w:rPr>
              <w:t>4,752,820</w:t>
            </w:r>
          </w:p>
        </w:tc>
        <w:tc>
          <w:tcPr>
            <w:tcW w:w="0" w:type="dxa"/>
            <w:vAlign w:val="bottom"/>
          </w:tcPr>
          <w:p>
            <w:pPr>
              <w:spacing w:after="0"/>
              <w:rPr>
                <w:sz w:val="1"/>
                <w:szCs w:val="1"/>
                <w:color w:val="auto"/>
              </w:rPr>
            </w:pPr>
          </w:p>
        </w:tc>
      </w:tr>
      <w:tr>
        <w:trPr>
          <w:trHeight w:val="272"/>
        </w:trPr>
        <w:tc>
          <w:tcPr>
            <w:tcW w:w="540" w:type="dxa"/>
            <w:vAlign w:val="bottom"/>
          </w:tcPr>
          <w:p>
            <w:pPr>
              <w:spacing w:after="0"/>
              <w:rPr>
                <w:sz w:val="20"/>
                <w:szCs w:val="20"/>
                <w:color w:val="auto"/>
              </w:rPr>
            </w:pPr>
            <w:r>
              <w:rPr>
                <w:rFonts w:ascii="Arial" w:cs="Arial" w:eastAsia="Arial" w:hAnsi="Arial"/>
                <w:sz w:val="11"/>
                <w:szCs w:val="11"/>
                <w:color w:val="auto"/>
                <w:w w:val="98"/>
              </w:rPr>
              <w:t>(8)(13)(14)</w:t>
            </w:r>
          </w:p>
        </w:tc>
        <w:tc>
          <w:tcPr>
            <w:tcW w:w="3440" w:type="dxa"/>
            <w:vAlign w:val="bottom"/>
          </w:tcPr>
          <w:p>
            <w:pPr>
              <w:ind w:left="60"/>
              <w:spacing w:after="0"/>
              <w:rPr>
                <w:sz w:val="20"/>
                <w:szCs w:val="20"/>
                <w:color w:val="auto"/>
              </w:rPr>
            </w:pPr>
            <w:r>
              <w:rPr>
                <w:rFonts w:ascii="Arial" w:cs="Arial" w:eastAsia="Arial" w:hAnsi="Arial"/>
                <w:sz w:val="13"/>
                <w:szCs w:val="13"/>
                <w:color w:val="auto"/>
              </w:rPr>
              <w:t>Junior Secured Loan — Term Loan (Second Lien)</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9.4% Cash, 1 Month Libor (0.15%) + 9.25% , Due 6/26</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12/18/2019</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1,700,000</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1,530,845</w:t>
            </w:r>
          </w:p>
        </w:tc>
        <w:tc>
          <w:tcPr>
            <w:tcW w:w="900" w:type="dxa"/>
            <w:vAlign w:val="bottom"/>
          </w:tcPr>
          <w:p>
            <w:pPr>
              <w:jc w:val="right"/>
              <w:spacing w:after="0"/>
              <w:rPr>
                <w:sz w:val="20"/>
                <w:szCs w:val="20"/>
                <w:color w:val="auto"/>
              </w:rPr>
            </w:pPr>
            <w:r>
              <w:rPr>
                <w:rFonts w:ascii="Arial" w:cs="Arial" w:eastAsia="Arial" w:hAnsi="Arial"/>
                <w:sz w:val="13"/>
                <w:szCs w:val="13"/>
                <w:color w:val="auto"/>
              </w:rPr>
              <w:t>1,648,660</w:t>
            </w:r>
          </w:p>
        </w:tc>
        <w:tc>
          <w:tcPr>
            <w:tcW w:w="0" w:type="dxa"/>
            <w:vAlign w:val="bottom"/>
          </w:tcPr>
          <w:p>
            <w:pPr>
              <w:spacing w:after="0"/>
              <w:rPr>
                <w:sz w:val="1"/>
                <w:szCs w:val="1"/>
                <w:color w:val="auto"/>
              </w:rPr>
            </w:pPr>
          </w:p>
        </w:tc>
      </w:tr>
      <w:tr>
        <w:trPr>
          <w:trHeight w:val="272"/>
        </w:trPr>
        <w:tc>
          <w:tcPr>
            <w:tcW w:w="540" w:type="dxa"/>
            <w:vAlign w:val="bottom"/>
          </w:tcPr>
          <w:p>
            <w:pPr>
              <w:spacing w:after="0"/>
              <w:rPr>
                <w:sz w:val="20"/>
                <w:szCs w:val="20"/>
                <w:color w:val="auto"/>
              </w:rPr>
            </w:pPr>
            <w:r>
              <w:rPr>
                <w:rFonts w:ascii="Arial" w:cs="Arial" w:eastAsia="Arial" w:hAnsi="Arial"/>
                <w:sz w:val="11"/>
                <w:szCs w:val="11"/>
                <w:color w:val="auto"/>
                <w:w w:val="98"/>
              </w:rPr>
              <w:t>(8)(13)(14)</w:t>
            </w:r>
          </w:p>
        </w:tc>
        <w:tc>
          <w:tcPr>
            <w:tcW w:w="3440" w:type="dxa"/>
            <w:vAlign w:val="bottom"/>
          </w:tcPr>
          <w:p>
            <w:pPr>
              <w:ind w:left="60"/>
              <w:spacing w:after="0"/>
              <w:rPr>
                <w:sz w:val="20"/>
                <w:szCs w:val="20"/>
                <w:color w:val="auto"/>
              </w:rPr>
            </w:pPr>
            <w:r>
              <w:rPr>
                <w:rFonts w:ascii="Arial" w:cs="Arial" w:eastAsia="Arial" w:hAnsi="Arial"/>
                <w:sz w:val="13"/>
                <w:szCs w:val="13"/>
                <w:color w:val="auto"/>
              </w:rPr>
              <w:t>Senior Secured Loan — Term Loan</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3440" w:type="dxa"/>
            <w:vAlign w:val="bottom"/>
          </w:tcPr>
          <w:p>
            <w:pPr>
              <w:ind w:left="60"/>
              <w:spacing w:after="0" w:line="135" w:lineRule="exact"/>
              <w:rPr>
                <w:sz w:val="20"/>
                <w:szCs w:val="20"/>
                <w:color w:val="auto"/>
              </w:rPr>
            </w:pPr>
            <w:r>
              <w:rPr>
                <w:rFonts w:ascii="Arial" w:cs="Arial" w:eastAsia="Arial" w:hAnsi="Arial"/>
                <w:sz w:val="13"/>
                <w:szCs w:val="13"/>
                <w:color w:val="auto"/>
              </w:rPr>
              <w:t>6.0% Cash, 6 month Libor (1.00%) + 5.00%; Libor Floor</w:t>
            </w: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1.00% , Due 6/22</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6/21/2016</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975,366</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976,863</w:t>
            </w:r>
          </w:p>
        </w:tc>
        <w:tc>
          <w:tcPr>
            <w:tcW w:w="900" w:type="dxa"/>
            <w:vAlign w:val="bottom"/>
          </w:tcPr>
          <w:p>
            <w:pPr>
              <w:jc w:val="right"/>
              <w:spacing w:after="0"/>
              <w:rPr>
                <w:sz w:val="20"/>
                <w:szCs w:val="20"/>
                <w:color w:val="auto"/>
              </w:rPr>
            </w:pPr>
            <w:r>
              <w:rPr>
                <w:rFonts w:ascii="Arial" w:cs="Arial" w:eastAsia="Arial" w:hAnsi="Arial"/>
                <w:sz w:val="13"/>
                <w:szCs w:val="13"/>
                <w:color w:val="auto"/>
              </w:rPr>
              <w:t>963,174</w:t>
            </w:r>
          </w:p>
        </w:tc>
        <w:tc>
          <w:tcPr>
            <w:tcW w:w="0" w:type="dxa"/>
            <w:vAlign w:val="bottom"/>
          </w:tcPr>
          <w:p>
            <w:pPr>
              <w:spacing w:after="0"/>
              <w:rPr>
                <w:sz w:val="1"/>
                <w:szCs w:val="1"/>
                <w:color w:val="auto"/>
              </w:rPr>
            </w:pPr>
          </w:p>
        </w:tc>
      </w:tr>
      <w:tr>
        <w:trPr>
          <w:trHeight w:val="272"/>
        </w:trPr>
        <w:tc>
          <w:tcPr>
            <w:tcW w:w="540" w:type="dxa"/>
            <w:vAlign w:val="bottom"/>
          </w:tcPr>
          <w:p>
            <w:pPr>
              <w:spacing w:after="0"/>
              <w:rPr>
                <w:sz w:val="20"/>
                <w:szCs w:val="20"/>
                <w:color w:val="auto"/>
              </w:rPr>
            </w:pPr>
            <w:r>
              <w:rPr>
                <w:rFonts w:ascii="Arial" w:cs="Arial" w:eastAsia="Arial" w:hAnsi="Arial"/>
                <w:sz w:val="11"/>
                <w:szCs w:val="11"/>
                <w:color w:val="auto"/>
                <w:w w:val="98"/>
              </w:rPr>
              <w:t>(8)(13)(14)</w:t>
            </w:r>
          </w:p>
        </w:tc>
        <w:tc>
          <w:tcPr>
            <w:tcW w:w="3440" w:type="dxa"/>
            <w:vAlign w:val="bottom"/>
          </w:tcPr>
          <w:p>
            <w:pPr>
              <w:ind w:left="60"/>
              <w:spacing w:after="0"/>
              <w:rPr>
                <w:sz w:val="20"/>
                <w:szCs w:val="20"/>
                <w:color w:val="auto"/>
              </w:rPr>
            </w:pPr>
            <w:r>
              <w:rPr>
                <w:rFonts w:ascii="Arial" w:cs="Arial" w:eastAsia="Arial" w:hAnsi="Arial"/>
                <w:sz w:val="13"/>
                <w:szCs w:val="13"/>
                <w:color w:val="auto"/>
              </w:rPr>
              <w:t>Junior Secured Loan — Initial Term Loan (Second Lien)</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7.7% Cash, 1 Month Libor (0.15%) + 7.50% , Due 7/26</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12/18/2019</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400,000</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362,000</w:t>
            </w:r>
          </w:p>
        </w:tc>
        <w:tc>
          <w:tcPr>
            <w:tcW w:w="900" w:type="dxa"/>
            <w:vAlign w:val="bottom"/>
          </w:tcPr>
          <w:p>
            <w:pPr>
              <w:jc w:val="right"/>
              <w:spacing w:after="0"/>
              <w:rPr>
                <w:sz w:val="20"/>
                <w:szCs w:val="20"/>
                <w:color w:val="auto"/>
              </w:rPr>
            </w:pPr>
            <w:r>
              <w:rPr>
                <w:rFonts w:ascii="Arial" w:cs="Arial" w:eastAsia="Arial" w:hAnsi="Arial"/>
                <w:sz w:val="13"/>
                <w:szCs w:val="13"/>
                <w:color w:val="auto"/>
              </w:rPr>
              <w:t>383,000</w:t>
            </w:r>
          </w:p>
        </w:tc>
        <w:tc>
          <w:tcPr>
            <w:tcW w:w="0" w:type="dxa"/>
            <w:vAlign w:val="bottom"/>
          </w:tcPr>
          <w:p>
            <w:pPr>
              <w:spacing w:after="0"/>
              <w:rPr>
                <w:sz w:val="1"/>
                <w:szCs w:val="1"/>
                <w:color w:val="auto"/>
              </w:rPr>
            </w:pPr>
          </w:p>
        </w:tc>
      </w:tr>
      <w:tr>
        <w:trPr>
          <w:trHeight w:val="272"/>
        </w:trPr>
        <w:tc>
          <w:tcPr>
            <w:tcW w:w="540" w:type="dxa"/>
            <w:vAlign w:val="bottom"/>
          </w:tcPr>
          <w:p>
            <w:pPr>
              <w:spacing w:after="0"/>
              <w:rPr>
                <w:sz w:val="20"/>
                <w:szCs w:val="20"/>
                <w:color w:val="auto"/>
              </w:rPr>
            </w:pPr>
            <w:r>
              <w:rPr>
                <w:rFonts w:ascii="Arial" w:cs="Arial" w:eastAsia="Arial" w:hAnsi="Arial"/>
                <w:sz w:val="11"/>
                <w:szCs w:val="11"/>
                <w:color w:val="auto"/>
                <w:w w:val="98"/>
              </w:rPr>
              <w:t>(8)(13)(14)</w:t>
            </w:r>
          </w:p>
        </w:tc>
        <w:tc>
          <w:tcPr>
            <w:tcW w:w="3440" w:type="dxa"/>
            <w:vAlign w:val="bottom"/>
          </w:tcPr>
          <w:p>
            <w:pPr>
              <w:ind w:left="60"/>
              <w:spacing w:after="0"/>
              <w:rPr>
                <w:sz w:val="20"/>
                <w:szCs w:val="20"/>
                <w:color w:val="auto"/>
              </w:rPr>
            </w:pPr>
            <w:r>
              <w:rPr>
                <w:rFonts w:ascii="Arial" w:cs="Arial" w:eastAsia="Arial" w:hAnsi="Arial"/>
                <w:sz w:val="13"/>
                <w:szCs w:val="13"/>
                <w:color w:val="auto"/>
              </w:rPr>
              <w:t>Senior Secured Loan — First Lien Term Loan B</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3440" w:type="dxa"/>
            <w:vAlign w:val="bottom"/>
          </w:tcPr>
          <w:p>
            <w:pPr>
              <w:ind w:left="60"/>
              <w:spacing w:after="0" w:line="135" w:lineRule="exact"/>
              <w:rPr>
                <w:sz w:val="20"/>
                <w:szCs w:val="20"/>
                <w:color w:val="auto"/>
              </w:rPr>
            </w:pPr>
            <w:r>
              <w:rPr>
                <w:rFonts w:ascii="Arial" w:cs="Arial" w:eastAsia="Arial" w:hAnsi="Arial"/>
                <w:sz w:val="13"/>
                <w:szCs w:val="13"/>
                <w:color w:val="auto"/>
              </w:rPr>
              <w:t>10.0% Cash, 6 month Libor (2.00%) + 8.00%; Libor Floor</w:t>
            </w: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2.00% , Due 7/25</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10/28/2020</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2,964,925</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1,730,558</w:t>
            </w:r>
          </w:p>
        </w:tc>
        <w:tc>
          <w:tcPr>
            <w:tcW w:w="900" w:type="dxa"/>
            <w:vAlign w:val="bottom"/>
          </w:tcPr>
          <w:p>
            <w:pPr>
              <w:jc w:val="right"/>
              <w:spacing w:after="0"/>
              <w:rPr>
                <w:sz w:val="20"/>
                <w:szCs w:val="20"/>
                <w:color w:val="auto"/>
              </w:rPr>
            </w:pPr>
            <w:r>
              <w:rPr>
                <w:rFonts w:ascii="Arial" w:cs="Arial" w:eastAsia="Arial" w:hAnsi="Arial"/>
                <w:sz w:val="13"/>
                <w:szCs w:val="13"/>
                <w:color w:val="auto"/>
              </w:rPr>
              <w:t>1,885,989</w:t>
            </w:r>
          </w:p>
        </w:tc>
        <w:tc>
          <w:tcPr>
            <w:tcW w:w="0" w:type="dxa"/>
            <w:vAlign w:val="bottom"/>
          </w:tcPr>
          <w:p>
            <w:pPr>
              <w:spacing w:after="0"/>
              <w:rPr>
                <w:sz w:val="1"/>
                <w:szCs w:val="1"/>
                <w:color w:val="auto"/>
              </w:rPr>
            </w:pPr>
          </w:p>
        </w:tc>
      </w:tr>
      <w:tr>
        <w:trPr>
          <w:trHeight w:val="272"/>
        </w:trPr>
        <w:tc>
          <w:tcPr>
            <w:tcW w:w="540" w:type="dxa"/>
            <w:vAlign w:val="bottom"/>
          </w:tcPr>
          <w:p>
            <w:pPr>
              <w:spacing w:after="0"/>
              <w:rPr>
                <w:sz w:val="20"/>
                <w:szCs w:val="20"/>
                <w:color w:val="auto"/>
              </w:rPr>
            </w:pPr>
            <w:r>
              <w:rPr>
                <w:rFonts w:ascii="Arial" w:cs="Arial" w:eastAsia="Arial" w:hAnsi="Arial"/>
                <w:sz w:val="11"/>
                <w:szCs w:val="11"/>
                <w:color w:val="auto"/>
                <w:w w:val="98"/>
              </w:rPr>
              <w:t>(8)(13)(14)</w:t>
            </w:r>
          </w:p>
        </w:tc>
        <w:tc>
          <w:tcPr>
            <w:tcW w:w="3440" w:type="dxa"/>
            <w:vAlign w:val="bottom"/>
          </w:tcPr>
          <w:p>
            <w:pPr>
              <w:ind w:left="60"/>
              <w:spacing w:after="0"/>
              <w:rPr>
                <w:sz w:val="20"/>
                <w:szCs w:val="20"/>
                <w:color w:val="auto"/>
              </w:rPr>
            </w:pPr>
            <w:r>
              <w:rPr>
                <w:rFonts w:ascii="Arial" w:cs="Arial" w:eastAsia="Arial" w:hAnsi="Arial"/>
                <w:sz w:val="13"/>
                <w:szCs w:val="13"/>
                <w:color w:val="auto"/>
              </w:rPr>
              <w:t>Senior Secured Loan — First Lien Term Loan</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5.4% Cash, 1 Month Libor (0.15%) + 5.25% , Due 12/25</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10/28/2020</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3,290,011</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2,830,592</w:t>
            </w:r>
          </w:p>
        </w:tc>
        <w:tc>
          <w:tcPr>
            <w:tcW w:w="900" w:type="dxa"/>
            <w:vAlign w:val="bottom"/>
          </w:tcPr>
          <w:p>
            <w:pPr>
              <w:jc w:val="right"/>
              <w:spacing w:after="0"/>
              <w:rPr>
                <w:sz w:val="20"/>
                <w:szCs w:val="20"/>
                <w:color w:val="auto"/>
              </w:rPr>
            </w:pPr>
            <w:r>
              <w:rPr>
                <w:rFonts w:ascii="Arial" w:cs="Arial" w:eastAsia="Arial" w:hAnsi="Arial"/>
                <w:sz w:val="13"/>
                <w:szCs w:val="13"/>
                <w:color w:val="auto"/>
              </w:rPr>
              <w:t>3,170,254</w:t>
            </w:r>
          </w:p>
        </w:tc>
        <w:tc>
          <w:tcPr>
            <w:tcW w:w="0" w:type="dxa"/>
            <w:vAlign w:val="bottom"/>
          </w:tcPr>
          <w:p>
            <w:pPr>
              <w:spacing w:after="0"/>
              <w:rPr>
                <w:sz w:val="1"/>
                <w:szCs w:val="1"/>
                <w:color w:val="auto"/>
              </w:rPr>
            </w:pPr>
          </w:p>
        </w:tc>
      </w:tr>
      <w:tr>
        <w:trPr>
          <w:trHeight w:val="326"/>
        </w:trPr>
        <w:tc>
          <w:tcPr>
            <w:tcW w:w="540" w:type="dxa"/>
            <w:vAlign w:val="bottom"/>
          </w:tcPr>
          <w:p>
            <w:pPr>
              <w:spacing w:after="0"/>
              <w:rPr>
                <w:sz w:val="20"/>
                <w:szCs w:val="20"/>
                <w:color w:val="auto"/>
              </w:rPr>
            </w:pPr>
            <w:r>
              <w:rPr>
                <w:rFonts w:ascii="Arial" w:cs="Arial" w:eastAsia="Arial" w:hAnsi="Arial"/>
                <w:sz w:val="11"/>
                <w:szCs w:val="11"/>
                <w:color w:val="auto"/>
                <w:w w:val="98"/>
              </w:rPr>
              <w:t>(8)(13)(14)</w:t>
            </w:r>
          </w:p>
        </w:tc>
        <w:tc>
          <w:tcPr>
            <w:tcW w:w="3440" w:type="dxa"/>
            <w:vAlign w:val="bottom"/>
          </w:tcPr>
          <w:p>
            <w:pPr>
              <w:ind w:left="60"/>
              <w:spacing w:after="0"/>
              <w:rPr>
                <w:sz w:val="20"/>
                <w:szCs w:val="20"/>
                <w:color w:val="auto"/>
              </w:rPr>
            </w:pPr>
            <w:r>
              <w:rPr>
                <w:rFonts w:ascii="Arial" w:cs="Arial" w:eastAsia="Arial" w:hAnsi="Arial"/>
                <w:sz w:val="13"/>
                <w:szCs w:val="13"/>
                <w:color w:val="auto"/>
              </w:rPr>
              <w:t>Senior Secured Loan — Initial Term Loan (First Lien)</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40" w:type="dxa"/>
            <w:vAlign w:val="bottom"/>
          </w:tcPr>
          <w:p>
            <w:pPr>
              <w:spacing w:after="0" w:line="81" w:lineRule="exact"/>
              <w:rPr>
                <w:sz w:val="20"/>
                <w:szCs w:val="20"/>
                <w:color w:val="auto"/>
              </w:rPr>
            </w:pPr>
            <w:r>
              <w:rPr>
                <w:rFonts w:ascii="Arial" w:cs="Arial" w:eastAsia="Arial" w:hAnsi="Arial"/>
                <w:sz w:val="9"/>
                <w:szCs w:val="9"/>
                <w:color w:val="auto"/>
              </w:rPr>
              <w:t>(21)</w:t>
            </w:r>
          </w:p>
        </w:tc>
        <w:tc>
          <w:tcPr>
            <w:tcW w:w="3440" w:type="dxa"/>
            <w:vAlign w:val="bottom"/>
            <w:vMerge w:val="restart"/>
          </w:tcPr>
          <w:p>
            <w:pPr>
              <w:ind w:left="60"/>
              <w:spacing w:after="0"/>
              <w:rPr>
                <w:sz w:val="20"/>
                <w:szCs w:val="20"/>
                <w:color w:val="auto"/>
              </w:rPr>
            </w:pPr>
            <w:r>
              <w:rPr>
                <w:rFonts w:ascii="Arial" w:cs="Arial" w:eastAsia="Arial" w:hAnsi="Arial"/>
                <w:sz w:val="13"/>
                <w:szCs w:val="13"/>
                <w:color w:val="auto"/>
              </w:rPr>
              <w:t>5.2% Cash, 1 Month Libor (0.15%) + 5.00% , Due 4/25</w:t>
            </w: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3440" w:type="dxa"/>
            <w:vAlign w:val="bottom"/>
            <w:vMerge w:val="continue"/>
          </w:tcPr>
          <w:p>
            <w:pPr>
              <w:spacing w:after="0"/>
              <w:rPr>
                <w:sz w:val="8"/>
                <w:szCs w:val="8"/>
                <w:color w:val="auto"/>
              </w:rPr>
            </w:pPr>
          </w:p>
        </w:tc>
        <w:tc>
          <w:tcPr>
            <w:tcW w:w="1240" w:type="dxa"/>
            <w:vAlign w:val="bottom"/>
            <w:vMerge w:val="restart"/>
          </w:tcPr>
          <w:p>
            <w:pPr>
              <w:jc w:val="right"/>
              <w:ind w:right="237"/>
              <w:spacing w:after="0"/>
              <w:rPr>
                <w:sz w:val="20"/>
                <w:szCs w:val="20"/>
                <w:color w:val="auto"/>
              </w:rPr>
            </w:pPr>
            <w:r>
              <w:rPr>
                <w:rFonts w:ascii="Arial" w:cs="Arial" w:eastAsia="Arial" w:hAnsi="Arial"/>
                <w:sz w:val="13"/>
                <w:szCs w:val="13"/>
                <w:color w:val="auto"/>
              </w:rPr>
              <w:t>5/22/2020</w:t>
            </w:r>
          </w:p>
        </w:tc>
        <w:tc>
          <w:tcPr>
            <w:tcW w:w="1180" w:type="dxa"/>
            <w:vAlign w:val="bottom"/>
            <w:vMerge w:val="restart"/>
          </w:tcPr>
          <w:p>
            <w:pPr>
              <w:jc w:val="right"/>
              <w:ind w:right="297"/>
              <w:spacing w:after="0"/>
              <w:rPr>
                <w:sz w:val="20"/>
                <w:szCs w:val="20"/>
                <w:color w:val="auto"/>
              </w:rPr>
            </w:pPr>
            <w:r>
              <w:rPr>
                <w:rFonts w:ascii="Arial" w:cs="Arial" w:eastAsia="Arial" w:hAnsi="Arial"/>
                <w:sz w:val="13"/>
                <w:szCs w:val="13"/>
                <w:color w:val="auto"/>
              </w:rPr>
              <w:t>3,902,444</w:t>
            </w:r>
          </w:p>
        </w:tc>
        <w:tc>
          <w:tcPr>
            <w:tcW w:w="1260" w:type="dxa"/>
            <w:vAlign w:val="bottom"/>
            <w:vMerge w:val="restart"/>
          </w:tcPr>
          <w:p>
            <w:pPr>
              <w:jc w:val="right"/>
              <w:ind w:right="317"/>
              <w:spacing w:after="0"/>
              <w:rPr>
                <w:sz w:val="20"/>
                <w:szCs w:val="20"/>
                <w:color w:val="auto"/>
              </w:rPr>
            </w:pPr>
            <w:r>
              <w:rPr>
                <w:rFonts w:ascii="Arial" w:cs="Arial" w:eastAsia="Arial" w:hAnsi="Arial"/>
                <w:sz w:val="13"/>
                <w:szCs w:val="13"/>
                <w:color w:val="auto"/>
              </w:rPr>
              <w:t>3,490,451</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3,629,663</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540" w:type="dxa"/>
            <w:vAlign w:val="bottom"/>
          </w:tcPr>
          <w:p>
            <w:pPr>
              <w:spacing w:after="0"/>
              <w:rPr>
                <w:sz w:val="20"/>
                <w:szCs w:val="20"/>
                <w:color w:val="auto"/>
              </w:rPr>
            </w:pPr>
            <w:r>
              <w:rPr>
                <w:rFonts w:ascii="Arial" w:cs="Arial" w:eastAsia="Arial" w:hAnsi="Arial"/>
                <w:sz w:val="11"/>
                <w:szCs w:val="11"/>
                <w:color w:val="auto"/>
              </w:rPr>
              <w:t>(5)(8)(13)</w:t>
            </w:r>
          </w:p>
        </w:tc>
        <w:tc>
          <w:tcPr>
            <w:tcW w:w="3440" w:type="dxa"/>
            <w:vAlign w:val="bottom"/>
          </w:tcPr>
          <w:p>
            <w:pPr>
              <w:ind w:left="60"/>
              <w:spacing w:after="0"/>
              <w:rPr>
                <w:sz w:val="20"/>
                <w:szCs w:val="20"/>
                <w:color w:val="auto"/>
              </w:rPr>
            </w:pPr>
            <w:r>
              <w:rPr>
                <w:rFonts w:ascii="Arial" w:cs="Arial" w:eastAsia="Arial" w:hAnsi="Arial"/>
                <w:sz w:val="13"/>
                <w:szCs w:val="13"/>
                <w:color w:val="auto"/>
              </w:rPr>
              <w:t>Junior Secured Loan — Initial Term Loan (Second Lien)</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3440" w:type="dxa"/>
            <w:vAlign w:val="bottom"/>
          </w:tcPr>
          <w:p>
            <w:pPr>
              <w:ind w:left="60"/>
              <w:spacing w:after="0" w:line="135" w:lineRule="exact"/>
              <w:rPr>
                <w:sz w:val="20"/>
                <w:szCs w:val="20"/>
                <w:color w:val="auto"/>
              </w:rPr>
            </w:pPr>
            <w:r>
              <w:rPr>
                <w:rFonts w:ascii="Arial" w:cs="Arial" w:eastAsia="Arial" w:hAnsi="Arial"/>
                <w:sz w:val="13"/>
                <w:szCs w:val="13"/>
                <w:color w:val="auto"/>
              </w:rPr>
              <w:t>13.3% Cash, 3 Month Libor (1.00%) + 12.25%; Libor Floor</w:t>
            </w: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1.00% , Due 1/22</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1/30/2015</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1,500,000</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1,495,464</w:t>
            </w:r>
          </w:p>
        </w:tc>
        <w:tc>
          <w:tcPr>
            <w:tcW w:w="900" w:type="dxa"/>
            <w:vAlign w:val="bottom"/>
          </w:tcPr>
          <w:p>
            <w:pPr>
              <w:jc w:val="right"/>
              <w:spacing w:after="0"/>
              <w:rPr>
                <w:sz w:val="20"/>
                <w:szCs w:val="20"/>
                <w:color w:val="auto"/>
              </w:rPr>
            </w:pPr>
            <w:r>
              <w:rPr>
                <w:rFonts w:ascii="Arial" w:cs="Arial" w:eastAsia="Arial" w:hAnsi="Arial"/>
                <w:sz w:val="13"/>
                <w:szCs w:val="13"/>
                <w:color w:val="auto"/>
              </w:rPr>
              <w:t>839,100</w:t>
            </w:r>
          </w:p>
        </w:tc>
        <w:tc>
          <w:tcPr>
            <w:tcW w:w="0" w:type="dxa"/>
            <w:vAlign w:val="bottom"/>
          </w:tcPr>
          <w:p>
            <w:pPr>
              <w:spacing w:after="0"/>
              <w:rPr>
                <w:sz w:val="1"/>
                <w:szCs w:val="1"/>
                <w:color w:val="auto"/>
              </w:rPr>
            </w:pPr>
          </w:p>
        </w:tc>
      </w:tr>
      <w:tr>
        <w:trPr>
          <w:trHeight w:val="278"/>
        </w:trPr>
        <w:tc>
          <w:tcPr>
            <w:tcW w:w="540" w:type="dxa"/>
            <w:vAlign w:val="bottom"/>
          </w:tcPr>
          <w:p>
            <w:pPr>
              <w:spacing w:after="0"/>
              <w:rPr>
                <w:sz w:val="20"/>
                <w:szCs w:val="20"/>
                <w:color w:val="auto"/>
              </w:rPr>
            </w:pPr>
            <w:r>
              <w:rPr>
                <w:rFonts w:ascii="Arial" w:cs="Arial" w:eastAsia="Arial" w:hAnsi="Arial"/>
                <w:sz w:val="11"/>
                <w:szCs w:val="11"/>
                <w:color w:val="auto"/>
              </w:rPr>
              <w:t>(8)(13)</w:t>
            </w:r>
          </w:p>
        </w:tc>
        <w:tc>
          <w:tcPr>
            <w:tcW w:w="3440" w:type="dxa"/>
            <w:vAlign w:val="bottom"/>
            <w:vMerge w:val="restart"/>
          </w:tcPr>
          <w:p>
            <w:pPr>
              <w:ind w:left="60"/>
              <w:spacing w:after="0"/>
              <w:rPr>
                <w:sz w:val="20"/>
                <w:szCs w:val="20"/>
                <w:color w:val="auto"/>
              </w:rPr>
            </w:pPr>
            <w:r>
              <w:rPr>
                <w:rFonts w:ascii="Arial" w:cs="Arial" w:eastAsia="Arial" w:hAnsi="Arial"/>
                <w:sz w:val="13"/>
                <w:szCs w:val="13"/>
                <w:color w:val="auto"/>
              </w:rPr>
              <w:t>Senior Secured Loan — Revolver</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54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0.8% Cash, Due 2/23</w:t>
            </w:r>
          </w:p>
        </w:tc>
        <w:tc>
          <w:tcPr>
            <w:tcW w:w="1240" w:type="dxa"/>
            <w:vAlign w:val="bottom"/>
            <w:vMerge w:val="restart"/>
          </w:tcPr>
          <w:p>
            <w:pPr>
              <w:jc w:val="right"/>
              <w:ind w:right="237"/>
              <w:spacing w:after="0"/>
              <w:rPr>
                <w:sz w:val="20"/>
                <w:szCs w:val="20"/>
                <w:color w:val="auto"/>
              </w:rPr>
            </w:pPr>
            <w:r>
              <w:rPr>
                <w:rFonts w:ascii="Arial" w:cs="Arial" w:eastAsia="Arial" w:hAnsi="Arial"/>
                <w:sz w:val="13"/>
                <w:szCs w:val="13"/>
                <w:color w:val="auto"/>
              </w:rPr>
              <w:t>10/28/2020</w:t>
            </w:r>
          </w:p>
        </w:tc>
        <w:tc>
          <w:tcPr>
            <w:tcW w:w="1180" w:type="dxa"/>
            <w:vAlign w:val="bottom"/>
            <w:vMerge w:val="restart"/>
          </w:tcPr>
          <w:p>
            <w:pPr>
              <w:jc w:val="right"/>
              <w:ind w:right="297"/>
              <w:spacing w:after="0"/>
              <w:rPr>
                <w:sz w:val="20"/>
                <w:szCs w:val="20"/>
                <w:color w:val="auto"/>
              </w:rPr>
            </w:pPr>
            <w:r>
              <w:rPr>
                <w:rFonts w:ascii="Arial" w:cs="Arial" w:eastAsia="Arial" w:hAnsi="Arial"/>
                <w:sz w:val="13"/>
                <w:szCs w:val="13"/>
                <w:color w:val="auto"/>
              </w:rPr>
              <w:t>-</w:t>
            </w:r>
          </w:p>
        </w:tc>
        <w:tc>
          <w:tcPr>
            <w:tcW w:w="1260" w:type="dxa"/>
            <w:vAlign w:val="bottom"/>
            <w:vMerge w:val="restart"/>
          </w:tcPr>
          <w:p>
            <w:pPr>
              <w:jc w:val="right"/>
              <w:ind w:right="277"/>
              <w:spacing w:after="0"/>
              <w:rPr>
                <w:sz w:val="20"/>
                <w:szCs w:val="20"/>
                <w:color w:val="auto"/>
              </w:rPr>
            </w:pPr>
            <w:r>
              <w:rPr>
                <w:rFonts w:ascii="Arial" w:cs="Arial" w:eastAsia="Arial" w:hAnsi="Arial"/>
                <w:sz w:val="13"/>
                <w:szCs w:val="13"/>
                <w:color w:val="auto"/>
              </w:rPr>
              <w:t>(0)</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(42,857)</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540" w:type="dxa"/>
            <w:vAlign w:val="bottom"/>
          </w:tcPr>
          <w:p>
            <w:pPr>
              <w:spacing w:after="0"/>
              <w:rPr>
                <w:sz w:val="20"/>
                <w:szCs w:val="20"/>
                <w:color w:val="auto"/>
              </w:rPr>
            </w:pPr>
            <w:r>
              <w:rPr>
                <w:rFonts w:ascii="Arial" w:cs="Arial" w:eastAsia="Arial" w:hAnsi="Arial"/>
                <w:sz w:val="11"/>
                <w:szCs w:val="11"/>
                <w:color w:val="auto"/>
              </w:rPr>
              <w:t>(8)(13)</w:t>
            </w:r>
          </w:p>
        </w:tc>
        <w:tc>
          <w:tcPr>
            <w:tcW w:w="3440" w:type="dxa"/>
            <w:vAlign w:val="bottom"/>
          </w:tcPr>
          <w:p>
            <w:pPr>
              <w:ind w:left="60"/>
              <w:spacing w:after="0"/>
              <w:rPr>
                <w:sz w:val="20"/>
                <w:szCs w:val="20"/>
                <w:color w:val="auto"/>
              </w:rPr>
            </w:pPr>
            <w:r>
              <w:rPr>
                <w:rFonts w:ascii="Arial" w:cs="Arial" w:eastAsia="Arial" w:hAnsi="Arial"/>
                <w:sz w:val="13"/>
                <w:szCs w:val="13"/>
                <w:color w:val="auto"/>
              </w:rPr>
              <w:t>Senior Secured Loan — First Lien Term Loan</w:t>
            </w: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3440" w:type="dxa"/>
            <w:vAlign w:val="bottom"/>
          </w:tcPr>
          <w:p>
            <w:pPr>
              <w:ind w:left="60"/>
              <w:spacing w:after="0" w:line="135" w:lineRule="exact"/>
              <w:rPr>
                <w:sz w:val="20"/>
                <w:szCs w:val="20"/>
                <w:color w:val="auto"/>
              </w:rPr>
            </w:pPr>
            <w:r>
              <w:rPr>
                <w:rFonts w:ascii="Arial" w:cs="Arial" w:eastAsia="Arial" w:hAnsi="Arial"/>
                <w:sz w:val="13"/>
                <w:szCs w:val="13"/>
                <w:color w:val="auto"/>
              </w:rPr>
              <w:t>9.5% Cash, 3 Month Libor (1.25%) + 8.25%; Libor Floor</w:t>
            </w: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3440" w:type="dxa"/>
            <w:vAlign w:val="bottom"/>
          </w:tcPr>
          <w:p>
            <w:pPr>
              <w:ind w:left="60"/>
              <w:spacing w:after="0"/>
              <w:rPr>
                <w:sz w:val="20"/>
                <w:szCs w:val="20"/>
                <w:color w:val="auto"/>
              </w:rPr>
            </w:pPr>
            <w:r>
              <w:rPr>
                <w:rFonts w:ascii="Arial" w:cs="Arial" w:eastAsia="Arial" w:hAnsi="Arial"/>
                <w:sz w:val="13"/>
                <w:szCs w:val="13"/>
                <w:color w:val="auto"/>
              </w:rPr>
              <w:t>1.25% , Due 2/23</w:t>
            </w:r>
          </w:p>
        </w:tc>
        <w:tc>
          <w:tcPr>
            <w:tcW w:w="1240" w:type="dxa"/>
            <w:vAlign w:val="bottom"/>
          </w:tcPr>
          <w:p>
            <w:pPr>
              <w:jc w:val="right"/>
              <w:ind w:right="237"/>
              <w:spacing w:after="0"/>
              <w:rPr>
                <w:sz w:val="20"/>
                <w:szCs w:val="20"/>
                <w:color w:val="auto"/>
              </w:rPr>
            </w:pPr>
            <w:r>
              <w:rPr>
                <w:rFonts w:ascii="Arial" w:cs="Arial" w:eastAsia="Arial" w:hAnsi="Arial"/>
                <w:sz w:val="13"/>
                <w:szCs w:val="13"/>
                <w:color w:val="auto"/>
              </w:rPr>
              <w:t>10/28/2020</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6,412,500</w:t>
            </w:r>
          </w:p>
        </w:tc>
        <w:tc>
          <w:tcPr>
            <w:tcW w:w="1260" w:type="dxa"/>
            <w:vAlign w:val="bottom"/>
          </w:tcPr>
          <w:p>
            <w:pPr>
              <w:jc w:val="right"/>
              <w:ind w:right="317"/>
              <w:spacing w:after="0"/>
              <w:rPr>
                <w:sz w:val="20"/>
                <w:szCs w:val="20"/>
                <w:color w:val="auto"/>
              </w:rPr>
            </w:pPr>
            <w:r>
              <w:rPr>
                <w:rFonts w:ascii="Arial" w:cs="Arial" w:eastAsia="Arial" w:hAnsi="Arial"/>
                <w:sz w:val="13"/>
                <w:szCs w:val="13"/>
                <w:color w:val="auto"/>
              </w:rPr>
              <w:t>4,110,863</w:t>
            </w:r>
          </w:p>
        </w:tc>
        <w:tc>
          <w:tcPr>
            <w:tcW w:w="900" w:type="dxa"/>
            <w:vAlign w:val="bottom"/>
          </w:tcPr>
          <w:p>
            <w:pPr>
              <w:jc w:val="right"/>
              <w:spacing w:after="0"/>
              <w:rPr>
                <w:sz w:val="20"/>
                <w:szCs w:val="20"/>
                <w:color w:val="auto"/>
              </w:rPr>
            </w:pPr>
            <w:r>
              <w:rPr>
                <w:rFonts w:ascii="Arial" w:cs="Arial" w:eastAsia="Arial" w:hAnsi="Arial"/>
                <w:sz w:val="13"/>
                <w:szCs w:val="13"/>
                <w:color w:val="auto"/>
              </w:rPr>
              <w:t>3,851,348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-3529330</wp:posOffset>
            </wp:positionV>
            <wp:extent cx="7132320"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-3169285</wp:posOffset>
            </wp:positionV>
            <wp:extent cx="7132320"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-2894965</wp:posOffset>
            </wp:positionV>
            <wp:extent cx="713232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-2620645</wp:posOffset>
            </wp:positionV>
            <wp:extent cx="7132320" cy="265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-2260600</wp:posOffset>
            </wp:positionV>
            <wp:extent cx="713232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-1986280</wp:posOffset>
            </wp:positionV>
            <wp:extent cx="7132320"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-1626235</wp:posOffset>
            </wp:positionV>
            <wp:extent cx="713232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-1351915</wp:posOffset>
            </wp:positionV>
            <wp:extent cx="7132320" cy="266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-991870</wp:posOffset>
            </wp:positionV>
            <wp:extent cx="7132320" cy="265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-631825</wp:posOffset>
            </wp:positionV>
            <wp:extent cx="7132320" cy="265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-271780</wp:posOffset>
            </wp:positionV>
            <wp:extent cx="7132320" cy="265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2320" w:space="300"/>
            <w:col w:w="8620"/>
          </w:cols>
          <w:pgMar w:left="320" w:top="74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2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8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20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Global Tel*Link Corporation</w:t>
            </w:r>
          </w:p>
        </w:tc>
        <w:tc>
          <w:tcPr>
            <w:tcW w:w="1340" w:type="dxa"/>
            <w:vAlign w:val="bottom"/>
            <w:gridSpan w:val="2"/>
            <w:shd w:val="clear" w:color="auto" w:fill="CFF0FC"/>
          </w:tcPr>
          <w:p>
            <w:pPr>
              <w:ind w:left="740"/>
              <w:spacing w:after="0"/>
              <w:rPr>
                <w:sz w:val="20"/>
                <w:szCs w:val="20"/>
                <w:color w:val="auto"/>
              </w:rPr>
            </w:pPr>
            <w:r>
              <w:rPr>
                <w:rFonts w:ascii="Arial" w:cs="Arial" w:eastAsia="Arial" w:hAnsi="Arial"/>
                <w:sz w:val="11"/>
                <w:szCs w:val="11"/>
                <w:color w:val="auto"/>
              </w:rPr>
              <w:t>(8)(14)</w:t>
            </w:r>
          </w:p>
        </w:tc>
        <w:tc>
          <w:tcPr>
            <w:tcW w:w="1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Loan (Second Lien)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20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Telecommunications</w:t>
            </w:r>
          </w:p>
        </w:tc>
        <w:tc>
          <w:tcPr>
            <w:tcW w:w="7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w w:val="84"/>
              </w:rPr>
              <w:t>8.4% Cash, 1</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(0.15%) + 8.25%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11/26</w:t>
            </w: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1,481,015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1,062,000</w:t>
            </w:r>
          </w:p>
        </w:tc>
        <w:tc>
          <w:tcPr>
            <w:tcW w:w="120" w:type="dxa"/>
            <w:vAlign w:val="bottom"/>
            <w:shd w:val="clear" w:color="auto" w:fill="CFF0FC"/>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Gruden Acquisition, Inc.</w:t>
            </w:r>
          </w:p>
        </w:tc>
        <w:tc>
          <w:tcPr>
            <w:tcW w:w="1340" w:type="dxa"/>
            <w:vAlign w:val="bottom"/>
            <w:gridSpan w:val="2"/>
            <w:shd w:val="clear" w:color="auto" w:fill="CFF0FC"/>
          </w:tcPr>
          <w:p>
            <w:pPr>
              <w:ind w:left="740"/>
              <w:spacing w:after="0"/>
              <w:rPr>
                <w:sz w:val="20"/>
                <w:szCs w:val="20"/>
                <w:color w:val="auto"/>
              </w:rPr>
            </w:pPr>
            <w:r>
              <w:rPr>
                <w:rFonts w:ascii="Arial" w:cs="Arial" w:eastAsia="Arial" w:hAnsi="Arial"/>
                <w:sz w:val="11"/>
                <w:szCs w:val="11"/>
                <w:color w:val="auto"/>
              </w:rPr>
              <w:t>(8)(13)(14)</w:t>
            </w:r>
          </w:p>
        </w:tc>
        <w:tc>
          <w:tcPr>
            <w:tcW w:w="3080" w:type="dxa"/>
            <w:vAlign w:val="bottom"/>
            <w:gridSpan w:val="4"/>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w w:val="84"/>
              </w:rPr>
              <w:t>6.5% Cash, 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Transportation: Cargo</w:t>
            </w: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80" w:type="dxa"/>
            <w:vAlign w:val="bottom"/>
            <w:gridSpan w:val="4"/>
            <w:shd w:val="clear" w:color="auto" w:fill="CFF0FC"/>
          </w:tcPr>
          <w:p>
            <w:pPr>
              <w:ind w:left="120"/>
              <w:spacing w:after="0"/>
              <w:rPr>
                <w:sz w:val="20"/>
                <w:szCs w:val="20"/>
                <w:color w:val="auto"/>
              </w:rPr>
            </w:pPr>
            <w:r>
              <w:rPr>
                <w:rFonts w:ascii="Arial" w:cs="Arial" w:eastAsia="Arial" w:hAnsi="Arial"/>
                <w:sz w:val="13"/>
                <w:szCs w:val="13"/>
                <w:color w:val="auto"/>
              </w:rPr>
              <w:t>Floor 1.00% , Due 8/22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2,414,315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2,071,047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2,404,658</w:t>
            </w:r>
          </w:p>
        </w:tc>
        <w:tc>
          <w:tcPr>
            <w:tcW w:w="120" w:type="dxa"/>
            <w:vAlign w:val="bottom"/>
            <w:shd w:val="clear" w:color="auto" w:fill="CFF0FC"/>
          </w:tcPr>
          <w:p>
            <w:pPr>
              <w:spacing w:after="0"/>
              <w:rPr>
                <w:sz w:val="12"/>
                <w:szCs w:val="12"/>
                <w:color w:val="auto"/>
              </w:rPr>
            </w:pPr>
          </w:p>
        </w:tc>
      </w:tr>
    </w:tbl>
    <w:p>
      <w:pPr>
        <w:spacing w:after="0" w:line="133" w:lineRule="exact"/>
        <w:rPr>
          <w:sz w:val="20"/>
          <w:szCs w:val="20"/>
          <w:color w:val="auto"/>
        </w:rPr>
      </w:pPr>
    </w:p>
    <w:p>
      <w:pPr>
        <w:sectPr>
          <w:pgSz w:w="11900" w:h="16838" w:orient="portrait"/>
          <w:cols w:equalWidth="0" w:num="1">
            <w:col w:w="11240"/>
          </w:cols>
          <w:pgMar w:left="320" w:top="714"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Hayward Industries, Inc.</w:t>
      </w:r>
    </w:p>
    <w:p>
      <w:pPr>
        <w:ind w:left="160"/>
        <w:spacing w:after="0"/>
        <w:rPr>
          <w:sz w:val="20"/>
          <w:szCs w:val="20"/>
          <w:color w:val="auto"/>
        </w:rPr>
      </w:pPr>
      <w:r>
        <w:rPr>
          <w:rFonts w:ascii="Arial" w:cs="Arial" w:eastAsia="Arial" w:hAnsi="Arial"/>
          <w:sz w:val="13"/>
          <w:szCs w:val="13"/>
          <w:color w:val="auto"/>
        </w:rPr>
        <w:t>Consumer goods: Durable</w:t>
      </w:r>
    </w:p>
    <w:p>
      <w:pPr>
        <w:spacing w:after="0" w:line="273" w:lineRule="exact"/>
        <w:rPr>
          <w:sz w:val="20"/>
          <w:szCs w:val="20"/>
          <w:color w:val="auto"/>
        </w:rPr>
      </w:pPr>
    </w:p>
    <w:p>
      <w:pPr>
        <w:ind w:left="160" w:right="360" w:hanging="156"/>
        <w:spacing w:after="0" w:line="236" w:lineRule="auto"/>
        <w:rPr>
          <w:sz w:val="20"/>
          <w:szCs w:val="20"/>
          <w:color w:val="auto"/>
        </w:rPr>
      </w:pPr>
      <w:r>
        <w:rPr>
          <w:rFonts w:ascii="Arial" w:cs="Arial" w:eastAsia="Arial" w:hAnsi="Arial"/>
          <w:sz w:val="13"/>
          <w:szCs w:val="13"/>
          <w:color w:val="auto"/>
        </w:rPr>
        <w:t>HDC/HW Intermediate Holdings, LLC High Tech Industries</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HDC/HW Intermediate Holdings, LLC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Helix Acquisition Holdings, Inc.</w:t>
      </w:r>
    </w:p>
    <w:p>
      <w:pPr>
        <w:ind w:left="160"/>
        <w:spacing w:after="0"/>
        <w:rPr>
          <w:sz w:val="20"/>
          <w:szCs w:val="20"/>
          <w:color w:val="auto"/>
        </w:rPr>
      </w:pPr>
      <w:r>
        <w:rPr>
          <w:rFonts w:ascii="Arial" w:cs="Arial" w:eastAsia="Arial" w:hAnsi="Arial"/>
          <w:sz w:val="13"/>
          <w:szCs w:val="13"/>
          <w:color w:val="auto"/>
        </w:rPr>
        <w:t>Metals &amp; Mining</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Hoffmaster Group,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Forest Products &amp; Paper</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Holley Purchaser, Inc.</w:t>
      </w: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Idera,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Term B Loan (First Lien)</w:t>
            </w: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10.5% Cash, 3 Month Libor (1.50%) + 9.00%;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1.50% , Due 1/18</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1/30/2013</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2,702,232</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2,702,232</w:t>
            </w:r>
          </w:p>
        </w:tc>
        <w:tc>
          <w:tcPr>
            <w:tcW w:w="800" w:type="dxa"/>
            <w:vAlign w:val="bottom"/>
          </w:tcPr>
          <w:p>
            <w:pPr>
              <w:jc w:val="right"/>
              <w:spacing w:after="0"/>
              <w:rPr>
                <w:sz w:val="20"/>
                <w:szCs w:val="20"/>
                <w:color w:val="auto"/>
              </w:rPr>
            </w:pPr>
            <w:r>
              <w:rPr>
                <w:rFonts w:ascii="Arial" w:cs="Arial" w:eastAsia="Arial" w:hAnsi="Arial"/>
                <w:sz w:val="13"/>
                <w:szCs w:val="13"/>
                <w:color w:val="auto"/>
              </w:rPr>
              <w:t>2,418,498</w:t>
            </w:r>
          </w:p>
        </w:tc>
        <w:tc>
          <w:tcPr>
            <w:tcW w:w="0" w:type="dxa"/>
            <w:vAlign w:val="bottom"/>
          </w:tcPr>
          <w:p>
            <w:pPr>
              <w:spacing w:after="0"/>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1"/>
                <w:szCs w:val="11"/>
                <w:color w:val="auto"/>
              </w:rPr>
              <w:t>(5)(8)(13)</w:t>
            </w:r>
          </w:p>
        </w:tc>
        <w:tc>
          <w:tcPr>
            <w:tcW w:w="3120" w:type="dxa"/>
            <w:vAlign w:val="bottom"/>
            <w:vMerge w:val="restart"/>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13.8% Cash, Due 7/18</w:t>
            </w:r>
          </w:p>
        </w:tc>
        <w:tc>
          <w:tcPr>
            <w:tcW w:w="1100" w:type="dxa"/>
            <w:vAlign w:val="bottom"/>
            <w:vMerge w:val="restart"/>
          </w:tcPr>
          <w:p>
            <w:pPr>
              <w:jc w:val="right"/>
              <w:ind w:right="177"/>
              <w:spacing w:after="0"/>
              <w:rPr>
                <w:sz w:val="20"/>
                <w:szCs w:val="20"/>
                <w:color w:val="auto"/>
              </w:rPr>
            </w:pPr>
            <w:r>
              <w:rPr>
                <w:rFonts w:ascii="Arial" w:cs="Arial" w:eastAsia="Arial" w:hAnsi="Arial"/>
                <w:sz w:val="13"/>
                <w:szCs w:val="13"/>
                <w:color w:val="auto"/>
              </w:rPr>
              <w:t>1/30/2013</w:t>
            </w:r>
          </w:p>
        </w:tc>
        <w:tc>
          <w:tcPr>
            <w:tcW w:w="1200" w:type="dxa"/>
            <w:vAlign w:val="bottom"/>
            <w:vMerge w:val="restart"/>
          </w:tcPr>
          <w:p>
            <w:pPr>
              <w:jc w:val="right"/>
              <w:ind w:right="377"/>
              <w:spacing w:after="0"/>
              <w:rPr>
                <w:sz w:val="20"/>
                <w:szCs w:val="20"/>
                <w:color w:val="auto"/>
              </w:rPr>
            </w:pPr>
            <w:r>
              <w:rPr>
                <w:rFonts w:ascii="Arial" w:cs="Arial" w:eastAsia="Arial" w:hAnsi="Arial"/>
                <w:sz w:val="13"/>
                <w:szCs w:val="13"/>
                <w:color w:val="auto"/>
              </w:rPr>
              <w:t>7,191,667</w:t>
            </w:r>
          </w:p>
        </w:tc>
        <w:tc>
          <w:tcPr>
            <w:tcW w:w="1240" w:type="dxa"/>
            <w:vAlign w:val="bottom"/>
            <w:vMerge w:val="restart"/>
          </w:tcPr>
          <w:p>
            <w:pPr>
              <w:jc w:val="right"/>
              <w:ind w:right="257"/>
              <w:spacing w:after="0"/>
              <w:rPr>
                <w:sz w:val="20"/>
                <w:szCs w:val="20"/>
                <w:color w:val="auto"/>
              </w:rPr>
            </w:pPr>
            <w:r>
              <w:rPr>
                <w:rFonts w:ascii="Arial" w:cs="Arial" w:eastAsia="Arial" w:hAnsi="Arial"/>
                <w:sz w:val="13"/>
                <w:szCs w:val="13"/>
                <w:color w:val="auto"/>
              </w:rPr>
              <w:t>7,191,667</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199,209</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Initial Loan (Second Lien)</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8.4% Cash, 1 Month Libor (0.15%) + 8.25%;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0.00% , Due 8/25</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12/18/2019</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2,159,333</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1,893,917</w:t>
            </w:r>
          </w:p>
        </w:tc>
        <w:tc>
          <w:tcPr>
            <w:tcW w:w="800" w:type="dxa"/>
            <w:vAlign w:val="bottom"/>
          </w:tcPr>
          <w:p>
            <w:pPr>
              <w:jc w:val="right"/>
              <w:spacing w:after="0"/>
              <w:rPr>
                <w:sz w:val="20"/>
                <w:szCs w:val="20"/>
                <w:color w:val="auto"/>
              </w:rPr>
            </w:pPr>
            <w:r>
              <w:rPr>
                <w:rFonts w:ascii="Arial" w:cs="Arial" w:eastAsia="Arial" w:hAnsi="Arial"/>
                <w:sz w:val="13"/>
                <w:szCs w:val="13"/>
                <w:color w:val="auto"/>
              </w:rPr>
              <w:t>2,107,077</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Revolver</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8.5% Cash, 3 Month Libor (1.00%) + 7.50%;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12/23</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669,722</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561,785</w:t>
            </w:r>
          </w:p>
        </w:tc>
        <w:tc>
          <w:tcPr>
            <w:tcW w:w="800" w:type="dxa"/>
            <w:vAlign w:val="bottom"/>
          </w:tcPr>
          <w:p>
            <w:pPr>
              <w:jc w:val="right"/>
              <w:spacing w:after="0"/>
              <w:rPr>
                <w:sz w:val="20"/>
                <w:szCs w:val="20"/>
                <w:color w:val="auto"/>
              </w:rPr>
            </w:pPr>
            <w:r>
              <w:rPr>
                <w:rFonts w:ascii="Arial" w:cs="Arial" w:eastAsia="Arial" w:hAnsi="Arial"/>
                <w:sz w:val="13"/>
                <w:szCs w:val="13"/>
                <w:color w:val="auto"/>
              </w:rPr>
              <w:t>632,486</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 A</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8.5% Cash, 3 Month Libor (1.00%) + 7.50%;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12/23</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6,596,764</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5,533,583</w:t>
            </w:r>
          </w:p>
        </w:tc>
        <w:tc>
          <w:tcPr>
            <w:tcW w:w="800" w:type="dxa"/>
            <w:vAlign w:val="bottom"/>
          </w:tcPr>
          <w:p>
            <w:pPr>
              <w:jc w:val="right"/>
              <w:spacing w:after="0"/>
              <w:rPr>
                <w:sz w:val="20"/>
                <w:szCs w:val="20"/>
                <w:color w:val="auto"/>
              </w:rPr>
            </w:pPr>
            <w:r>
              <w:rPr>
                <w:rFonts w:ascii="Arial" w:cs="Arial" w:eastAsia="Arial" w:hAnsi="Arial"/>
                <w:sz w:val="13"/>
                <w:szCs w:val="13"/>
                <w:color w:val="auto"/>
              </w:rPr>
              <w:t>6,229,984</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(8)(14)</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Initial Term Loan (Second</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Lien)</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w w:val="97"/>
              </w:rPr>
              <w:t>8.3% Cash, 3 Month Libor (0.25%) + 8.00% , Due 9/25</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12/18/2019</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1,400,000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1,219,188</w:t>
            </w:r>
          </w:p>
        </w:tc>
        <w:tc>
          <w:tcPr>
            <w:tcW w:w="800" w:type="dxa"/>
            <w:vAlign w:val="bottom"/>
          </w:tcPr>
          <w:p>
            <w:pPr>
              <w:jc w:val="right"/>
              <w:spacing w:after="0"/>
              <w:rPr>
                <w:sz w:val="20"/>
                <w:szCs w:val="20"/>
                <w:color w:val="auto"/>
              </w:rPr>
            </w:pPr>
            <w:r>
              <w:rPr>
                <w:rFonts w:ascii="Arial" w:cs="Arial" w:eastAsia="Arial" w:hAnsi="Arial"/>
                <w:sz w:val="13"/>
                <w:szCs w:val="13"/>
                <w:color w:val="auto"/>
              </w:rPr>
              <w:t>1,326,500</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Initial Term Loan (Second</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Lien)</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10.5% Cash, 3 Month Libor (1.00%) + 9.50%;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11/24</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5/6/2014</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1,600,000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1,576,633</w:t>
            </w:r>
          </w:p>
        </w:tc>
        <w:tc>
          <w:tcPr>
            <w:tcW w:w="800" w:type="dxa"/>
            <w:vAlign w:val="bottom"/>
          </w:tcPr>
          <w:p>
            <w:pPr>
              <w:jc w:val="right"/>
              <w:spacing w:after="0"/>
              <w:rPr>
                <w:sz w:val="20"/>
                <w:szCs w:val="20"/>
                <w:color w:val="auto"/>
              </w:rPr>
            </w:pPr>
            <w:r>
              <w:rPr>
                <w:rFonts w:ascii="Arial" w:cs="Arial" w:eastAsia="Arial" w:hAnsi="Arial"/>
                <w:sz w:val="13"/>
                <w:szCs w:val="13"/>
                <w:color w:val="auto"/>
              </w:rPr>
              <w:t>1,270,880</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 A</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5.2% Cash, 3 Month Libor (0.21%) + 5.00% , Due</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10/25</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6,487,528</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5,528,001</w:t>
            </w:r>
          </w:p>
        </w:tc>
        <w:tc>
          <w:tcPr>
            <w:tcW w:w="800" w:type="dxa"/>
            <w:vAlign w:val="bottom"/>
          </w:tcPr>
          <w:p>
            <w:pPr>
              <w:jc w:val="right"/>
              <w:spacing w:after="0"/>
              <w:rPr>
                <w:sz w:val="20"/>
                <w:szCs w:val="20"/>
                <w:color w:val="auto"/>
              </w:rPr>
            </w:pPr>
            <w:r>
              <w:rPr>
                <w:rFonts w:ascii="Arial" w:cs="Arial" w:eastAsia="Arial" w:hAnsi="Arial"/>
                <w:sz w:val="13"/>
                <w:szCs w:val="13"/>
                <w:color w:val="auto"/>
              </w:rPr>
              <w:t>6,339,547</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w w:val="94"/>
              </w:rPr>
              <w:t>(8)(13)(14)(21)</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Loan (Second Lien)</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10.0% Cash, 6 Month Libor (1.00%) + 9.00%;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6/27</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6/27/2019</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7,500,000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7,408,450</w:t>
            </w:r>
          </w:p>
        </w:tc>
        <w:tc>
          <w:tcPr>
            <w:tcW w:w="800" w:type="dxa"/>
            <w:vAlign w:val="bottom"/>
          </w:tcPr>
          <w:p>
            <w:pPr>
              <w:jc w:val="right"/>
              <w:spacing w:after="0"/>
              <w:rPr>
                <w:sz w:val="20"/>
                <w:szCs w:val="20"/>
                <w:color w:val="auto"/>
              </w:rPr>
            </w:pPr>
            <w:r>
              <w:rPr>
                <w:rFonts w:ascii="Arial" w:cs="Arial" w:eastAsia="Arial" w:hAnsi="Arial"/>
                <w:sz w:val="13"/>
                <w:szCs w:val="13"/>
                <w:color w:val="auto"/>
              </w:rPr>
              <w:t>7,344,000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-3237865</wp:posOffset>
            </wp:positionV>
            <wp:extent cx="7132320"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-2877820</wp:posOffset>
            </wp:positionV>
            <wp:extent cx="7132320"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-2517775</wp:posOffset>
            </wp:positionV>
            <wp:extent cx="7132320"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-2157730</wp:posOffset>
            </wp:positionV>
            <wp:extent cx="7132320"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-1798320</wp:posOffset>
            </wp:positionV>
            <wp:extent cx="7132320"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-1437640</wp:posOffset>
            </wp:positionV>
            <wp:extent cx="7132320" cy="265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-1077595</wp:posOffset>
            </wp:positionV>
            <wp:extent cx="7132320" cy="3511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-632460</wp:posOffset>
            </wp:positionV>
            <wp:extent cx="7132320" cy="266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-272415</wp:posOffset>
            </wp:positionV>
            <wp:extent cx="7132320" cy="266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2340" w:space="600"/>
            <w:col w:w="8300"/>
          </w:cols>
          <w:pgMar w:left="320" w:top="714"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100" w:type="dxa"/>
            <w:vAlign w:val="bottom"/>
            <w:shd w:val="clear" w:color="auto" w:fill="CFF0FC"/>
          </w:tcPr>
          <w:p>
            <w:pPr>
              <w:spacing w:after="0"/>
              <w:rPr>
                <w:sz w:val="20"/>
                <w:szCs w:val="20"/>
                <w:color w:val="auto"/>
              </w:rPr>
            </w:pPr>
            <w:r>
              <w:rPr>
                <w:rFonts w:ascii="Arial" w:cs="Arial" w:eastAsia="Arial" w:hAnsi="Arial"/>
                <w:sz w:val="13"/>
                <w:szCs w:val="13"/>
                <w:color w:val="auto"/>
              </w:rPr>
              <w:t>Infobase Holdings, Inc.</w:t>
            </w:r>
          </w:p>
        </w:tc>
        <w:tc>
          <w:tcPr>
            <w:tcW w:w="14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(8)(13)(14)</w:t>
            </w:r>
          </w:p>
        </w:tc>
        <w:tc>
          <w:tcPr>
            <w:tcW w:w="3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Senior Secured Loan — Term Loan</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35"/>
        </w:trPr>
        <w:tc>
          <w:tcPr>
            <w:tcW w:w="2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31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5.5% Cash, 3 Month Libor (1.00%) + 4.50%; Libor</w:t>
            </w:r>
          </w:p>
        </w:tc>
        <w:tc>
          <w:tcPr>
            <w:tcW w:w="12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9"/>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1440" w:type="dxa"/>
            <w:vAlign w:val="bottom"/>
            <w:shd w:val="clear" w:color="auto" w:fill="CFF0FC"/>
          </w:tcPr>
          <w:p>
            <w:pPr>
              <w:spacing w:after="0"/>
              <w:rPr>
                <w:sz w:val="12"/>
                <w:szCs w:val="12"/>
                <w:color w:val="auto"/>
              </w:rPr>
            </w:pPr>
          </w:p>
        </w:tc>
        <w:tc>
          <w:tcPr>
            <w:tcW w:w="3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Floor 1.00% , Due 12/22</w:t>
            </w:r>
          </w:p>
        </w:tc>
        <w:tc>
          <w:tcPr>
            <w:tcW w:w="12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12/13/2017</w:t>
            </w:r>
          </w:p>
        </w:tc>
        <w:tc>
          <w:tcPr>
            <w:tcW w:w="120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1,850,000</w:t>
            </w:r>
          </w:p>
        </w:tc>
        <w:tc>
          <w:tcPr>
            <w:tcW w:w="1240" w:type="dxa"/>
            <w:vAlign w:val="bottom"/>
            <w:shd w:val="clear" w:color="auto" w:fill="CFF0FC"/>
          </w:tcPr>
          <w:p>
            <w:pPr>
              <w:jc w:val="right"/>
              <w:ind w:right="257"/>
              <w:spacing w:after="0"/>
              <w:rPr>
                <w:sz w:val="20"/>
                <w:szCs w:val="20"/>
                <w:color w:val="auto"/>
              </w:rPr>
            </w:pPr>
            <w:r>
              <w:rPr>
                <w:rFonts w:ascii="Arial" w:cs="Arial" w:eastAsia="Arial" w:hAnsi="Arial"/>
                <w:sz w:val="13"/>
                <w:szCs w:val="13"/>
                <w:color w:val="auto"/>
              </w:rPr>
              <w:t>1,841,858</w:t>
            </w: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1,850,000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60" w:type="dxa"/>
            <w:vAlign w:val="bottom"/>
            <w:gridSpan w:val="2"/>
          </w:tcPr>
          <w:p>
            <w:pPr>
              <w:ind w:left="82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Infobase Holdings, Inc.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 (add on)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5.5%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1,961,372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1,952,741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1,961,373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shd w:val="clear" w:color="auto" w:fill="CFF0FC"/>
          </w:tcPr>
          <w:p>
            <w:pPr>
              <w:spacing w:after="0"/>
              <w:rPr>
                <w:sz w:val="20"/>
                <w:szCs w:val="20"/>
                <w:color w:val="auto"/>
              </w:rPr>
            </w:pPr>
            <w:r>
              <w:rPr>
                <w:rFonts w:ascii="Arial" w:cs="Arial" w:eastAsia="Arial" w:hAnsi="Arial"/>
                <w:sz w:val="13"/>
                <w:szCs w:val="13"/>
                <w:color w:val="auto"/>
              </w:rPr>
              <w:t>Institutional Shareholder Services Inc.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(8)(14)</w:t>
            </w:r>
          </w:p>
        </w:tc>
        <w:tc>
          <w:tcPr>
            <w:tcW w:w="2980" w:type="dxa"/>
            <w:vAlign w:val="bottom"/>
            <w:gridSpan w:val="4"/>
            <w:vMerge w:val="restart"/>
            <w:shd w:val="clear" w:color="auto" w:fill="CFF0FC"/>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66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980" w:type="dxa"/>
            <w:vAlign w:val="bottom"/>
            <w:gridSpan w:val="4"/>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w w:val="98"/>
              </w:rPr>
              <w:t>Banking, Finance, Insurance &amp; Real Estate</w:t>
            </w:r>
          </w:p>
        </w:tc>
        <w:tc>
          <w:tcPr>
            <w:tcW w:w="2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w w:val="94"/>
              </w:rPr>
              <w:t>4.8%</w:t>
            </w:r>
          </w:p>
        </w:tc>
        <w:tc>
          <w:tcPr>
            <w:tcW w:w="2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w w:val="93"/>
              </w:rPr>
              <w:t>Cash, 3 Month Libor (0.25%) + 4.50% , Due 3/26</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4,769,657</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4,022,186</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4,751,771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Intermedia Holdings, Inc.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7.0%</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2,695,439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2,349,230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2,693,336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Janus International Group,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5.5%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2,193,340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1,889,233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2,152,544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Keeco,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9.5%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0.5% PIK, 1 Month Libor (1.75%)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Consumer goods: Durable</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7.75%; Libor Floor 1.75%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5,627,336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4,717,415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5,571,062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Lifescan Global Corporation</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6.2%</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(0.24%) + 6.00%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Healthcare &amp; Pharmaceuticals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5"/>
              </w:rPr>
              <w:t>10/24</w:t>
            </w:r>
          </w:p>
        </w:tc>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3,233,554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2,674,220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3,089,063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Revolving Credit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7.8%</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2,291,667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2,270,203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2,197,917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Construction &amp; Building</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343,473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300,180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326,729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7,134,945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6,235,604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6,903,059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Mag Ds Corp.</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3,327,258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3,803,268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11/23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8,532,796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7,439,057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8,453,441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4"/>
              </w:rPr>
              <w:t>0.5%</w:t>
            </w:r>
          </w:p>
        </w:tc>
        <w:tc>
          <w:tcPr>
            <w:tcW w:w="2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11/22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(5,441)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48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tcPr>
          <w:p>
            <w:pPr>
              <w:ind w:left="52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48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McNally Industries,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w:t>
            </w:r>
          </w:p>
        </w:tc>
        <w:tc>
          <w:tcPr>
            <w:tcW w:w="20" w:type="dxa"/>
            <w:vAlign w:val="bottom"/>
            <w:shd w:val="clear" w:color="auto" w:fill="CFF0FC"/>
          </w:tcPr>
          <w:p>
            <w:pPr>
              <w:spacing w:after="0"/>
              <w:rPr>
                <w:sz w:val="11"/>
                <w:szCs w:val="11"/>
                <w:color w:val="auto"/>
              </w:rPr>
            </w:pPr>
          </w:p>
        </w:tc>
        <w:tc>
          <w:tcPr>
            <w:tcW w:w="2840" w:type="dxa"/>
            <w:vAlign w:val="bottom"/>
            <w:gridSpan w:val="3"/>
            <w:shd w:val="clear" w:color="auto" w:fill="CFF0FC"/>
          </w:tcPr>
          <w:p>
            <w:pPr>
              <w:spacing w:after="0" w:line="128" w:lineRule="exact"/>
              <w:rPr>
                <w:sz w:val="20"/>
                <w:szCs w:val="20"/>
                <w:color w:val="auto"/>
              </w:rPr>
            </w:pPr>
            <w:r>
              <w:rPr>
                <w:rFonts w:ascii="Arial" w:cs="Arial" w:eastAsia="Arial" w:hAnsi="Arial"/>
                <w:sz w:val="13"/>
                <w:szCs w:val="13"/>
                <w:color w:val="auto"/>
                <w:w w:val="97"/>
              </w:rPr>
              <w:t>Senior Secured Loan — Delayed Draw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2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3"/>
              </w:rPr>
              <w:t>(First Lien)</w:t>
            </w:r>
          </w:p>
        </w:tc>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(1.50%)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1.50%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49,147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42,989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49,024</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McNally Industries,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Consumer goods: Durable</w:t>
            </w: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Cash,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(5,507)</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(125)</w:t>
            </w: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McNally Industries,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(1.50%)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1.50%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6,770,625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5,922,332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6,753,698</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Ministry Brands,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Junior Secured Loan — April 2018 Incremental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5"/>
            <w:shd w:val="clear" w:color="auto" w:fill="CFF0FC"/>
          </w:tcPr>
          <w:p>
            <w:pPr>
              <w:ind w:left="20"/>
              <w:spacing w:after="0" w:line="135" w:lineRule="exact"/>
              <w:rPr>
                <w:sz w:val="20"/>
                <w:szCs w:val="20"/>
                <w:color w:val="auto"/>
              </w:rPr>
            </w:pPr>
            <w:r>
              <w:rPr>
                <w:rFonts w:ascii="Arial" w:cs="Arial" w:eastAsia="Arial" w:hAnsi="Arial"/>
                <w:sz w:val="13"/>
                <w:szCs w:val="13"/>
                <w:color w:val="auto"/>
              </w:rPr>
              <w:t>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5,555,131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5,722,800</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Mother's Market &amp; Kitchen,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(1.25%)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1.25% , Due 7/23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6,954,470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6,070,606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6,841,807</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MountainTop Financial,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(1.50%)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1.50%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6,379,954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5,584,923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6,353,158</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2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3"/>
              </w:rPr>
              <w:t>(First Lien)</w:t>
            </w:r>
          </w:p>
        </w:tc>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1.0%</w:t>
            </w:r>
          </w:p>
        </w:tc>
        <w:tc>
          <w:tcPr>
            <w:tcW w:w="26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Cash, Due 6/22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7,339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7,353</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1/26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7,058,824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6,970,629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6,970,588</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Nasco Healthcare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w w:val="94"/>
              </w:rPr>
              <w:t>(8)(13)(14)(21)</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6/21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4,509,119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4,220,080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4,285,015</w:t>
            </w:r>
          </w:p>
        </w:tc>
        <w:tc>
          <w:tcPr>
            <w:tcW w:w="120" w:type="dxa"/>
            <w:vAlign w:val="bottom"/>
            <w:shd w:val="clear" w:color="auto" w:fill="CFF0FC"/>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24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Navex Topco,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w w:val="94"/>
              </w:rPr>
              <w:t>(8)(13)(14)(18)</w:t>
            </w:r>
          </w:p>
        </w:tc>
        <w:tc>
          <w:tcPr>
            <w:tcW w:w="2980" w:type="dxa"/>
            <w:vAlign w:val="bottom"/>
            <w:gridSpan w:val="5"/>
            <w:shd w:val="clear" w:color="auto" w:fill="CFF0FC"/>
          </w:tcPr>
          <w:p>
            <w:pPr>
              <w:ind w:left="20"/>
              <w:spacing w:after="0" w:line="126"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43"/>
        </w:trPr>
        <w:tc>
          <w:tcPr>
            <w:tcW w:w="248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Electronics</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(21)</w:t>
            </w:r>
          </w:p>
        </w:tc>
        <w:tc>
          <w:tcPr>
            <w:tcW w:w="30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w w:val="89"/>
              </w:rPr>
              <w:t>Lien)</w:t>
            </w:r>
          </w:p>
        </w:tc>
        <w:tc>
          <w:tcPr>
            <w:tcW w:w="3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7.2%</w:t>
            </w:r>
          </w:p>
        </w:tc>
        <w:tc>
          <w:tcPr>
            <w:tcW w:w="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5"/>
              </w:rPr>
              <w:t>1 Month Libor (0.15%) + 7.00% , Due 9/26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7,222,712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120" w:type="dxa"/>
            <w:vAlign w:val="bottom"/>
            <w:shd w:val="clear" w:color="auto" w:fill="CFF0FC"/>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461,859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401,461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455,532</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411,227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321,598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401,837</w:t>
            </w:r>
          </w:p>
        </w:tc>
        <w:tc>
          <w:tcPr>
            <w:tcW w:w="12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Naviga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5,050,283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4,389,994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4,981,094</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Novetta Solutions,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1,943,730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1,677,869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1,939,678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7"/>
              </w:rPr>
              <w:t>Senior Secured Loan — Incremental First Lien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1,539,869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1,339,929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1,527,242</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2,548,122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2,211,950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2,527,227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745,098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648,353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738,988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1,100,239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1,179,480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6 month Libor (0.27%) + 6.00% ,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4,845,938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4,620,206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Senior Secured Loan — Second Delayed Draw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(2,326)</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(4,091)</w:t>
            </w: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3,837,015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3,840,975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Delayed Draw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535,398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535,950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Environmental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2,962,901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2,622,495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 Packaging and Glass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2,815,200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2,806,740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2,502,994</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 Holding Company (fka Lex Precision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Chemicals, Plastics &amp; Rubber</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2,379,005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1,917,038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2,234,599</w:t>
            </w:r>
          </w:p>
        </w:tc>
        <w:tc>
          <w:tcPr>
            <w:tcW w:w="12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Qualtek USA,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5,660,358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4,507,974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5,358,491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 Outdoors,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7,206,556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6,272,077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7,139,535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Radiology Partners,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12 Month Libor (1.04%) + 4.25%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7/25</w:t>
            </w: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5,845,451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6,900,845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6,877,500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6,801,385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6,351,371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(5)(8)(13)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Aerospace and Defense</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7/21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1,015,351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225,306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(1,988)</w:t>
            </w: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7,457,779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6,506,876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7,430,185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Riverside Fund V, L.P.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(13)(21)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2,475,000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2,475,000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2,980,618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2,393,100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11.3% 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8,201,777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8,199,552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7,894,210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624,061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616,875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San Vicente Capital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6/25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2,960,051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3,003,900</w:t>
            </w:r>
          </w:p>
        </w:tc>
        <w:tc>
          <w:tcPr>
            <w:tcW w:w="12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SCSG EA Acquisition Company,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w w:val="97"/>
              </w:rPr>
              <w:t>Junior Secured Loan — Initial Term Loan (Second</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5,968,089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5,761,200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Shipston Group, U.S.,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2.4% PIK, 1 Month Libor (1.25%)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8.65%; Libor Floor 1.25%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6,299,241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5,355,206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6,124,122</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Smartronix,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4,962,406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4,742,756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4,815,519</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Sundance Holdings Group,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Retail</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7.2%</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2.0% PIK, 3 Month Libor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6.23%; Libor 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6,768,583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5,790,208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6,597,338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Surgical Specialties Corporation (Us),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(3)(13)(14)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5.2%</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+ 5.00%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4,341,432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3,483,355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3,963,727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4,925,000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4,860,904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4,910,717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(5)(8)(13)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Unsecured Bond — 10.000% - 02/2022 -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TankConvert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10.0% PIK, Due 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481,051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416,170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Textiles and Leather</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10.0% Cash, 1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12,415,194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10,860,696</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Cook &amp; Boardman Group,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1,635,880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1,377,740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1,564,311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Edelman Financial Center,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6.9%</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(0.11%) + 6.75%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272,637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302,250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Theragenics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7,015,358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7,971,052</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5,631,157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5,612,790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5,490,378</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742,874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741,666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724,255</w:t>
            </w:r>
          </w:p>
        </w:tc>
        <w:tc>
          <w:tcPr>
            <w:tcW w:w="12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Initial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5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Triangle Home Fashions LLC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(8)(13)(14)(20)</w:t>
            </w:r>
          </w:p>
        </w:tc>
        <w:tc>
          <w:tcPr>
            <w:tcW w:w="2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7.7% Cash, 1 Month Libor (1.00%) + 6.72%;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3/23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9,222,836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10,447,500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Senior Secured Loan — Initial Term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5.8% Cash, 12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967,172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966,030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838,248</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14.0% Cash, 3 Month Libor (1.00%) + 13.00%;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12/20</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999,999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(5)(8)(13)</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7"/>
              </w:rPr>
              <w:t>Junior Secured Loan — Promissory Note, 1.7% PIK,</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Energy: Oil &amp; Gas</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Chemicals, Plastics &amp; Rubber</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3"/>
              </w:rPr>
              <w:t>7.4% Cash, 1 Month Libor (0.15%) + 7.25%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354,613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380,334</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Vero Parent,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3"/>
              </w:rPr>
              <w:t>6.5% Cash, 3 Month Libor (0.23%) + 6.25%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2,790,055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2,417,526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2,789,009</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4"/>
              </w:rPr>
              <w:t>Junior Secured Loan — Initial US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8.0% Cash, 1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2,978,354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2,666,444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2,781,783</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10.0% Cash, 6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2,978,909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2,458,500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Diversified &amp; Production</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6.0% 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11/24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2,658,914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2,612,250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(8)(13)(14)(18)</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8.5% Cash, 1 Month Libor (1.00%) + 7.50%;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3,485,385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3,291,400</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5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Debt Securities</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5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(187% of net asset value at fair value)</w:t>
            </w:r>
          </w:p>
        </w:tc>
        <w:tc>
          <w:tcPr>
            <w:tcW w:w="4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9"/>
              </w:rPr>
              <w:t>437,751,485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392,932,411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   404,860,855</w:t>
            </w:r>
          </w:p>
        </w:tc>
        <w:tc>
          <w:tcPr>
            <w:tcW w:w="120" w:type="dxa"/>
            <w:vAlign w:val="bottom"/>
            <w:shd w:val="clear" w:color="auto" w:fill="CFF0FC"/>
          </w:tcPr>
          <w:p>
            <w:pPr>
              <w:spacing w:after="0"/>
              <w:rPr>
                <w:sz w:val="13"/>
                <w:szCs w:val="13"/>
                <w:color w:val="auto"/>
              </w:rPr>
            </w:pPr>
          </w:p>
        </w:tc>
      </w:tr>
      <w:tr>
        <w:trPr>
          <w:trHeight w:val="20"/>
        </w:trPr>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231F20"/>
        </w:rPr>
        <w:t>Equity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Quantity/Par</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080" w:type="dxa"/>
            <w:vAlign w:val="bottom"/>
            <w:gridSpan w:val="2"/>
          </w:tcPr>
          <w:p>
            <w:pPr>
              <w:ind w:left="6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/Shares</w:t>
            </w:r>
          </w:p>
        </w:tc>
        <w:tc>
          <w:tcPr>
            <w:tcW w:w="1460" w:type="dxa"/>
            <w:vAlign w:val="bottom"/>
            <w:gridSpan w:val="2"/>
          </w:tcPr>
          <w:p>
            <w:pPr>
              <w:ind w:left="480"/>
              <w:spacing w:after="0"/>
              <w:rPr>
                <w:sz w:val="20"/>
                <w:szCs w:val="20"/>
                <w:color w:val="auto"/>
              </w:rPr>
            </w:pPr>
            <w:r>
              <w:rPr>
                <w:rFonts w:ascii="Arial" w:cs="Arial" w:eastAsia="Arial" w:hAnsi="Arial"/>
                <w:sz w:val="13"/>
                <w:szCs w:val="13"/>
                <w:b w:val="1"/>
                <w:bCs w:val="1"/>
                <w:color w:val="auto"/>
              </w:rPr>
              <w:t>Cost</w:t>
            </w:r>
          </w:p>
        </w:tc>
        <w:tc>
          <w:tcPr>
            <w:tcW w:w="1340" w:type="dxa"/>
            <w:vAlign w:val="bottom"/>
            <w:gridSpan w:val="2"/>
          </w:tcPr>
          <w:p>
            <w:pPr>
              <w:ind w:left="3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3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4L Technologies Inc.</w:t>
            </w:r>
            <w:r>
              <w:rPr>
                <w:rFonts w:ascii="Arial" w:cs="Arial" w:eastAsia="Arial" w:hAnsi="Arial"/>
                <w:sz w:val="10"/>
                <w:szCs w:val="10"/>
                <w:color w:val="auto"/>
              </w:rPr>
              <w:t>(8)(13)(19)</w:t>
            </w:r>
          </w:p>
        </w:tc>
        <w:tc>
          <w:tcPr>
            <w:tcW w:w="140" w:type="dxa"/>
            <w:vAlign w:val="bottom"/>
            <w:tcBorders>
              <w:top w:val="single" w:sz="8" w:color="CFF0FC"/>
            </w:tcBorders>
            <w:shd w:val="clear" w:color="auto" w:fill="CFF0FC"/>
          </w:tcPr>
          <w:p>
            <w:pPr>
              <w:spacing w:after="0"/>
              <w:rPr>
                <w:sz w:val="11"/>
                <w:szCs w:val="11"/>
                <w:color w:val="auto"/>
              </w:rPr>
            </w:pPr>
          </w:p>
        </w:tc>
        <w:tc>
          <w:tcPr>
            <w:tcW w:w="19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w:t>
            </w:r>
          </w:p>
        </w:tc>
        <w:tc>
          <w:tcPr>
            <w:tcW w:w="140" w:type="dxa"/>
            <w:vAlign w:val="bottom"/>
            <w:tcBorders>
              <w:top w:val="single" w:sz="8" w:color="CFF0FC"/>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29,277</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29,275</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(8)(13)(21)(22)</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Preferred Units; 18% PIK;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 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Interests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18,520</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r>
              <w:rPr>
                <w:rFonts w:ascii="Arial" w:cs="Arial" w:eastAsia="Arial" w:hAnsi="Arial"/>
                <w:sz w:val="10"/>
                <w:szCs w:val="10"/>
                <w:color w:val="auto"/>
              </w:rPr>
              <w:t>(8)(13)(19)(22)</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Banking, Finance, Insurance &amp; Real Estate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A,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17,315</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B,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Common Stock, 9/29</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 Term Royalty Interest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2,006,598</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Centric Brands Inc. </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Machinery (Non-Agrclt/Constr/Electr)</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36,342</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34,525</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EJF Investments Ltd.</w:t>
            </w:r>
            <w:r>
              <w:rPr>
                <w:rFonts w:ascii="Arial" w:cs="Arial" w:eastAsia="Arial" w:hAnsi="Arial"/>
                <w:sz w:val="10"/>
                <w:szCs w:val="10"/>
                <w:color w:val="auto"/>
              </w:rPr>
              <w:t>(3)(19)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Preferred Equity, 0%; 6/25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1,366,900</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1,256,485</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1,407,907</w:t>
            </w:r>
          </w:p>
        </w:tc>
        <w:tc>
          <w:tcPr>
            <w:tcW w:w="100" w:type="dxa"/>
            <w:vAlign w:val="bottom"/>
            <w:shd w:val="clear" w:color="auto" w:fill="CFF0FC"/>
          </w:tcPr>
          <w:p>
            <w:pPr>
              <w:spacing w:after="0"/>
              <w:rPr>
                <w:sz w:val="12"/>
                <w:szCs w:val="1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6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Quantity/Par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080" w:type="dxa"/>
            <w:vAlign w:val="bottom"/>
            <w:gridSpan w:val="2"/>
          </w:tcPr>
          <w:p>
            <w:pPr>
              <w:ind w:left="6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Date</w:t>
            </w:r>
          </w:p>
        </w:tc>
        <w:tc>
          <w:tcPr>
            <w:tcW w:w="1060" w:type="dxa"/>
            <w:vAlign w:val="bottom"/>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3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3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Emtec, Inc.</w:t>
            </w:r>
            <w:r>
              <w:rPr>
                <w:rFonts w:ascii="Arial" w:cs="Arial" w:eastAsia="Arial" w:hAnsi="Arial"/>
                <w:sz w:val="10"/>
                <w:szCs w:val="10"/>
                <w:color w:val="auto"/>
              </w:rPr>
              <w:t>(8)(13)(19)</w:t>
            </w:r>
          </w:p>
        </w:tc>
        <w:tc>
          <w:tcPr>
            <w:tcW w:w="140" w:type="dxa"/>
            <w:vAlign w:val="bottom"/>
            <w:tcBorders>
              <w:top w:val="single" w:sz="8" w:color="CFF0FC"/>
            </w:tcBorders>
            <w:shd w:val="clear" w:color="auto" w:fill="CFF0FC"/>
          </w:tcPr>
          <w:p>
            <w:pPr>
              <w:spacing w:after="0"/>
              <w:rPr>
                <w:sz w:val="11"/>
                <w:szCs w:val="11"/>
                <w:color w:val="auto"/>
              </w:rPr>
            </w:pPr>
          </w:p>
        </w:tc>
        <w:tc>
          <w:tcPr>
            <w:tcW w:w="19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Preferred Equity</w:t>
            </w:r>
          </w:p>
        </w:tc>
        <w:tc>
          <w:tcPr>
            <w:tcW w:w="140" w:type="dxa"/>
            <w:vAlign w:val="bottom"/>
            <w:tcBorders>
              <w:top w:val="single" w:sz="8" w:color="CFF0FC"/>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319,357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Oneida Group,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1,085,565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345,834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347,381</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Faraday Holdings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D Shares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2,752</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548,377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865,493</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Shares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480,300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Fusion Connect, Inc. </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Telecommunications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121,871</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865,854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1,039,560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GIG Rooster Holdings I, LLC </w:t>
            </w:r>
            <w:r>
              <w:rPr>
                <w:rFonts w:ascii="Arial" w:cs="Arial" w:eastAsia="Arial" w:hAnsi="Arial"/>
                <w:sz w:val="10"/>
                <w:szCs w:val="10"/>
                <w:color w:val="auto"/>
              </w:rPr>
              <w:t>(8)(13)(18)(19)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123,354</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3440" w:type="dxa"/>
            <w:vAlign w:val="bottom"/>
            <w:gridSpan w:val="2"/>
            <w:shd w:val="clear" w:color="auto" w:fill="CFF0FC"/>
          </w:tcPr>
          <w:p>
            <w:pPr>
              <w:spacing w:after="0" w:line="140" w:lineRule="exact"/>
              <w:rPr>
                <w:sz w:val="20"/>
                <w:szCs w:val="20"/>
                <w:color w:val="auto"/>
              </w:rPr>
            </w:pPr>
            <w:r>
              <w:rPr>
                <w:rFonts w:ascii="Arial" w:cs="Arial" w:eastAsia="Arial" w:hAnsi="Arial"/>
                <w:sz w:val="13"/>
                <w:szCs w:val="13"/>
                <w:color w:val="auto"/>
              </w:rPr>
              <w:t>New Millennium Holdco, Inc. (Millennium Health, LLC)</w:t>
            </w:r>
            <w:r>
              <w:rPr>
                <w:rFonts w:ascii="Arial" w:cs="Arial" w:eastAsia="Arial" w:hAnsi="Arial"/>
                <w:sz w:val="10"/>
                <w:szCs w:val="10"/>
                <w:color w:val="auto"/>
              </w:rPr>
              <w:t>(8)(13)</w:t>
            </w:r>
          </w:p>
        </w:tc>
        <w:tc>
          <w:tcPr>
            <w:tcW w:w="2080" w:type="dxa"/>
            <w:vAlign w:val="bottom"/>
            <w:gridSpan w:val="2"/>
            <w:shd w:val="clear" w:color="auto" w:fill="CFF0FC"/>
          </w:tcPr>
          <w:p>
            <w:pPr>
              <w:spacing w:after="0" w:line="140"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16"/>
        </w:trPr>
        <w:tc>
          <w:tcPr>
            <w:tcW w:w="3300" w:type="dxa"/>
            <w:vAlign w:val="bottom"/>
            <w:shd w:val="clear" w:color="auto" w:fill="CFF0FC"/>
          </w:tcPr>
          <w:p>
            <w:pPr>
              <w:spacing w:after="0" w:line="116" w:lineRule="exact"/>
              <w:rPr>
                <w:sz w:val="20"/>
                <w:szCs w:val="20"/>
                <w:color w:val="auto"/>
              </w:rPr>
            </w:pPr>
            <w:r>
              <w:rPr>
                <w:rFonts w:ascii="Arial" w:cs="Arial" w:eastAsia="Arial" w:hAnsi="Arial"/>
                <w:sz w:val="11"/>
                <w:szCs w:val="11"/>
                <w:color w:val="auto"/>
              </w:rPr>
              <w:t>(19)</w:t>
            </w:r>
          </w:p>
        </w:tc>
        <w:tc>
          <w:tcPr>
            <w:tcW w:w="140" w:type="dxa"/>
            <w:vAlign w:val="bottom"/>
            <w:shd w:val="clear" w:color="auto" w:fill="CFF0FC"/>
          </w:tcPr>
          <w:p>
            <w:pPr>
              <w:spacing w:after="0"/>
              <w:rPr>
                <w:sz w:val="10"/>
                <w:szCs w:val="10"/>
                <w:color w:val="auto"/>
              </w:rPr>
            </w:pPr>
          </w:p>
        </w:tc>
        <w:tc>
          <w:tcPr>
            <w:tcW w:w="19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29,699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1,953,300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Prosper Marketplace </w:t>
            </w:r>
            <w:r>
              <w:rPr>
                <w:rFonts w:ascii="Arial" w:cs="Arial" w:eastAsia="Arial" w:hAnsi="Arial"/>
                <w:sz w:val="10"/>
                <w:szCs w:val="10"/>
                <w:color w:val="auto"/>
              </w:rPr>
              <w:t>(6)(13)(19)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B Preferred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912,865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278,865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365,146</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454,000</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(8)(9)(13)(16)(19)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 Stock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420,289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185,847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981,365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1,144,818</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B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20,650</w:t>
            </w:r>
          </w:p>
        </w:tc>
        <w:tc>
          <w:tcPr>
            <w:tcW w:w="24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109,040</w:t>
            </w: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127,205</w:t>
            </w:r>
          </w:p>
        </w:tc>
        <w:tc>
          <w:tcPr>
            <w:tcW w:w="100" w:type="dxa"/>
            <w:vAlign w:val="bottom"/>
            <w:shd w:val="clear" w:color="auto" w:fill="CFF0FC"/>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(6% of net asset value at fair value)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13,435,508</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24,593,639</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13,944,876</w:t>
            </w:r>
          </w:p>
        </w:tc>
        <w:tc>
          <w:tcPr>
            <w:tcW w:w="100" w:type="dxa"/>
            <w:vAlign w:val="bottom"/>
            <w:shd w:val="clear" w:color="auto" w:fill="CFF0FC"/>
          </w:tcPr>
          <w:p>
            <w:pPr>
              <w:spacing w:after="0"/>
              <w:rPr>
                <w:sz w:val="13"/>
                <w:szCs w:val="13"/>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CLO Fund Securities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340" w:type="dxa"/>
            <w:vAlign w:val="bottom"/>
            <w:gridSpan w:val="3"/>
          </w:tcPr>
          <w:p>
            <w:pPr>
              <w:ind w:left="180"/>
              <w:spacing w:after="0" w:line="135"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7"/>
              </w:rPr>
              <w:t>Amortized</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rPr>
              <w:t>Fair</w:t>
            </w:r>
          </w:p>
        </w:tc>
      </w:tr>
      <w:tr>
        <w:trPr>
          <w:trHeight w:val="153"/>
        </w:trPr>
        <w:tc>
          <w:tcPr>
            <w:tcW w:w="2760" w:type="dxa"/>
            <w:vAlign w:val="bottom"/>
            <w:gridSpan w:val="3"/>
          </w:tcPr>
          <w:p>
            <w:pPr>
              <w:ind w:left="800"/>
              <w:spacing w:after="0"/>
              <w:rPr>
                <w:sz w:val="20"/>
                <w:szCs w:val="20"/>
                <w:color w:val="auto"/>
              </w:rPr>
            </w:pPr>
            <w:r>
              <w:rPr>
                <w:rFonts w:ascii="Arial" w:cs="Arial" w:eastAsia="Arial" w:hAnsi="Arial"/>
                <w:sz w:val="13"/>
                <w:szCs w:val="13"/>
                <w:b w:val="1"/>
                <w:bCs w:val="1"/>
                <w:color w:val="auto"/>
              </w:rPr>
              <w:t>Portfolio Company</w:t>
            </w:r>
          </w:p>
        </w:tc>
        <w:tc>
          <w:tcPr>
            <w:tcW w:w="3600" w:type="dxa"/>
            <w:vAlign w:val="bottom"/>
            <w:gridSpan w:val="2"/>
          </w:tcPr>
          <w:p>
            <w:pPr>
              <w:ind w:left="13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340" w:type="dxa"/>
            <w:vAlign w:val="bottom"/>
            <w:gridSpan w:val="3"/>
          </w:tcPr>
          <w:p>
            <w:pPr>
              <w:ind w:left="180"/>
              <w:spacing w:after="0"/>
              <w:rPr>
                <w:sz w:val="20"/>
                <w:szCs w:val="20"/>
                <w:color w:val="auto"/>
              </w:rPr>
            </w:pPr>
            <w:r>
              <w:rPr>
                <w:rFonts w:ascii="Arial" w:cs="Arial" w:eastAsia="Arial" w:hAnsi="Arial"/>
                <w:sz w:val="13"/>
                <w:szCs w:val="13"/>
                <w:b w:val="1"/>
                <w:bCs w:val="1"/>
                <w:color w:val="auto"/>
              </w:rPr>
              <w:t>Ownership</w:t>
            </w:r>
          </w:p>
        </w:tc>
        <w:tc>
          <w:tcPr>
            <w:tcW w:w="840" w:type="dxa"/>
            <w:vAlign w:val="bottom"/>
          </w:tcPr>
          <w:p>
            <w:pPr>
              <w:jc w:val="right"/>
              <w:ind w:right="290"/>
              <w:spacing w:after="0"/>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Value</w:t>
            </w:r>
            <w:r>
              <w:rPr>
                <w:rFonts w:ascii="Arial" w:cs="Arial" w:eastAsia="Arial" w:hAnsi="Arial"/>
                <w:sz w:val="10"/>
                <w:szCs w:val="10"/>
                <w:b w:val="1"/>
                <w:bCs w:val="1"/>
                <w:color w:val="auto"/>
                <w:w w:val="89"/>
              </w:rPr>
              <w:t>2</w:t>
            </w:r>
          </w:p>
        </w:tc>
      </w:tr>
      <w:tr>
        <w:trPr>
          <w:trHeight w:val="137"/>
        </w:trPr>
        <w:tc>
          <w:tcPr>
            <w:tcW w:w="2620" w:type="dxa"/>
            <w:vAlign w:val="bottom"/>
            <w:tcBorders>
              <w:top w:val="single" w:sz="8" w:color="auto"/>
            </w:tcBorders>
            <w:gridSpan w:val="2"/>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(3)(13)(21)</w:t>
            </w:r>
          </w:p>
        </w:tc>
        <w:tc>
          <w:tcPr>
            <w:tcW w:w="140" w:type="dxa"/>
            <w:vAlign w:val="bottom"/>
            <w:tcBorders>
              <w:top w:val="single" w:sz="8" w:color="CFF0FC"/>
            </w:tcBorders>
            <w:shd w:val="clear" w:color="auto" w:fill="CFF0FC"/>
          </w:tcPr>
          <w:p>
            <w:pPr>
              <w:spacing w:after="0"/>
              <w:rPr>
                <w:sz w:val="11"/>
                <w:szCs w:val="11"/>
                <w:color w:val="auto"/>
              </w:rPr>
            </w:pPr>
          </w:p>
        </w:tc>
        <w:tc>
          <w:tcPr>
            <w:tcW w:w="348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Subordinated Securities, effective interest 10.7%,</w:t>
            </w: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7"/>
        </w:trPr>
        <w:tc>
          <w:tcPr>
            <w:tcW w:w="14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6/4/2013</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6,219,310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2,611,423</w:t>
            </w:r>
          </w:p>
        </w:tc>
        <w:tc>
          <w:tcPr>
            <w:tcW w:w="100" w:type="dxa"/>
            <w:vAlign w:val="bottom"/>
            <w:shd w:val="clear" w:color="auto" w:fill="CFF0FC"/>
          </w:tcPr>
          <w:p>
            <w:pPr>
              <w:spacing w:after="0"/>
              <w:rPr>
                <w:sz w:val="14"/>
                <w:szCs w:val="14"/>
                <w:color w:val="auto"/>
              </w:rPr>
            </w:pPr>
          </w:p>
        </w:tc>
      </w:tr>
      <w:tr>
        <w:trPr>
          <w:trHeight w:val="143"/>
        </w:trPr>
        <w:tc>
          <w:tcPr>
            <w:tcW w:w="2760" w:type="dxa"/>
            <w:vAlign w:val="bottom"/>
            <w:gridSpan w:val="3"/>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(3)(13)</w:t>
            </w:r>
          </w:p>
        </w:tc>
        <w:tc>
          <w:tcPr>
            <w:tcW w:w="3600" w:type="dxa"/>
            <w:vAlign w:val="bottom"/>
            <w:gridSpan w:val="2"/>
          </w:tcPr>
          <w:p>
            <w:pPr>
              <w:spacing w:after="0" w:line="143" w:lineRule="exact"/>
              <w:rPr>
                <w:sz w:val="20"/>
                <w:szCs w:val="20"/>
                <w:color w:val="auto"/>
              </w:rPr>
            </w:pPr>
            <w:r>
              <w:rPr>
                <w:rFonts w:ascii="Arial" w:cs="Arial" w:eastAsia="Arial" w:hAnsi="Arial"/>
                <w:sz w:val="14"/>
                <w:szCs w:val="14"/>
                <w:color w:val="auto"/>
              </w:rPr>
              <w:t>Subordinated Securities, effective interest 2.4%,</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4/30 maturity</w:t>
            </w:r>
          </w:p>
        </w:tc>
        <w:tc>
          <w:tcPr>
            <w:tcW w:w="1080" w:type="dxa"/>
            <w:vAlign w:val="bottom"/>
          </w:tcPr>
          <w:p>
            <w:pPr>
              <w:jc w:val="right"/>
              <w:spacing w:after="0"/>
              <w:rPr>
                <w:sz w:val="20"/>
                <w:szCs w:val="20"/>
                <w:color w:val="auto"/>
              </w:rPr>
            </w:pPr>
            <w:r>
              <w:rPr>
                <w:rFonts w:ascii="Arial" w:cs="Arial" w:eastAsia="Arial" w:hAnsi="Arial"/>
                <w:sz w:val="13"/>
                <w:szCs w:val="13"/>
                <w:color w:val="auto"/>
              </w:rPr>
              <w:t>5/6/2014</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9,998,258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3,835,632</w:t>
            </w:r>
          </w:p>
        </w:tc>
        <w:tc>
          <w:tcPr>
            <w:tcW w:w="100" w:type="dxa"/>
            <w:vAlign w:val="bottom"/>
          </w:tcPr>
          <w:p>
            <w:pPr>
              <w:spacing w:after="0"/>
              <w:rPr>
                <w:sz w:val="14"/>
                <w:szCs w:val="14"/>
                <w:color w:val="auto"/>
              </w:rPr>
            </w:pPr>
          </w:p>
        </w:tc>
      </w:tr>
      <w:tr>
        <w:trPr>
          <w:trHeight w:val="143"/>
        </w:trPr>
        <w:tc>
          <w:tcPr>
            <w:tcW w:w="2760" w:type="dxa"/>
            <w:vAlign w:val="bottom"/>
            <w:gridSpan w:val="3"/>
            <w:shd w:val="clear" w:color="auto" w:fill="CFF0FC"/>
          </w:tcPr>
          <w:p>
            <w:pPr>
              <w:spacing w:after="0" w:line="144" w:lineRule="exact"/>
              <w:rPr>
                <w:sz w:val="20"/>
                <w:szCs w:val="20"/>
                <w:color w:val="auto"/>
              </w:rPr>
            </w:pPr>
            <w:r>
              <w:rPr>
                <w:rFonts w:ascii="Arial" w:cs="Arial" w:eastAsia="Arial" w:hAnsi="Arial"/>
                <w:sz w:val="13"/>
                <w:szCs w:val="13"/>
                <w:color w:val="auto"/>
              </w:rPr>
              <w:t>Dryden 30 Senior Loan Fund</w:t>
            </w:r>
            <w:r>
              <w:rPr>
                <w:rFonts w:ascii="Arial" w:cs="Arial" w:eastAsia="Arial" w:hAnsi="Arial"/>
                <w:sz w:val="10"/>
                <w:szCs w:val="10"/>
                <w:color w:val="auto"/>
              </w:rPr>
              <w:t>(3)(13)</w:t>
            </w:r>
          </w:p>
        </w:tc>
        <w:tc>
          <w:tcPr>
            <w:tcW w:w="36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Subordinated Securities, effective interest 21.2%,</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4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10/10/2013</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1,272,501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1,322,100</w:t>
            </w:r>
          </w:p>
        </w:tc>
        <w:tc>
          <w:tcPr>
            <w:tcW w:w="100" w:type="dxa"/>
            <w:vAlign w:val="bottom"/>
            <w:shd w:val="clear" w:color="auto" w:fill="CFF0FC"/>
          </w:tcPr>
          <w:p>
            <w:pPr>
              <w:spacing w:after="0"/>
              <w:rPr>
                <w:sz w:val="14"/>
                <w:szCs w:val="14"/>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2014-2</w:t>
            </w:r>
          </w:p>
        </w:tc>
        <w:tc>
          <w:tcPr>
            <w:tcW w:w="13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(3)(13)(21)</w:t>
            </w:r>
          </w:p>
        </w:tc>
        <w:tc>
          <w:tcPr>
            <w:tcW w:w="3600" w:type="dxa"/>
            <w:vAlign w:val="bottom"/>
            <w:gridSpan w:val="2"/>
          </w:tcPr>
          <w:p>
            <w:pPr>
              <w:spacing w:after="0" w:line="143" w:lineRule="exact"/>
              <w:rPr>
                <w:sz w:val="20"/>
                <w:szCs w:val="20"/>
                <w:color w:val="auto"/>
              </w:rPr>
            </w:pPr>
            <w:r>
              <w:rPr>
                <w:rFonts w:ascii="Arial" w:cs="Arial" w:eastAsia="Arial" w:hAnsi="Arial"/>
                <w:sz w:val="14"/>
                <w:szCs w:val="14"/>
                <w:color w:val="auto"/>
              </w:rPr>
              <w:t>Subordinated Securities, effective interest 0.0%,</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10/26 maturity</w:t>
            </w:r>
          </w:p>
        </w:tc>
        <w:tc>
          <w:tcPr>
            <w:tcW w:w="1080" w:type="dxa"/>
            <w:vAlign w:val="bottom"/>
          </w:tcPr>
          <w:p>
            <w:pPr>
              <w:jc w:val="right"/>
              <w:spacing w:after="0"/>
              <w:rPr>
                <w:sz w:val="20"/>
                <w:szCs w:val="20"/>
                <w:color w:val="auto"/>
              </w:rPr>
            </w:pPr>
            <w:r>
              <w:rPr>
                <w:rFonts w:ascii="Arial" w:cs="Arial" w:eastAsia="Arial" w:hAnsi="Arial"/>
                <w:sz w:val="13"/>
                <w:szCs w:val="13"/>
                <w:color w:val="auto"/>
              </w:rPr>
              <w:t>8/15/2014</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6,065,598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43"/>
        </w:trPr>
        <w:tc>
          <w:tcPr>
            <w:tcW w:w="1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3"/>
              </w:rPr>
              <w:t>Catamaran CLO 2015-1</w:t>
            </w:r>
          </w:p>
        </w:tc>
        <w:tc>
          <w:tcPr>
            <w:tcW w:w="134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(3)(6)(13)(21)</w:t>
            </w:r>
          </w:p>
        </w:tc>
        <w:tc>
          <w:tcPr>
            <w:tcW w:w="36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Subordinated Securities, effective interest 9.0%,</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4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4/27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5/5/2015</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4,141,981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1,609,400</w:t>
            </w:r>
          </w:p>
        </w:tc>
        <w:tc>
          <w:tcPr>
            <w:tcW w:w="100" w:type="dxa"/>
            <w:vAlign w:val="bottom"/>
            <w:shd w:val="clear" w:color="auto" w:fill="CFF0FC"/>
          </w:tcPr>
          <w:p>
            <w:pPr>
              <w:spacing w:after="0"/>
              <w:rPr>
                <w:sz w:val="14"/>
                <w:szCs w:val="14"/>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2016-1</w:t>
            </w:r>
          </w:p>
        </w:tc>
        <w:tc>
          <w:tcPr>
            <w:tcW w:w="13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3600" w:type="dxa"/>
            <w:vAlign w:val="bottom"/>
            <w:gridSpan w:val="2"/>
          </w:tcPr>
          <w:p>
            <w:pPr>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1/29 maturity</w:t>
            </w:r>
          </w:p>
        </w:tc>
        <w:tc>
          <w:tcPr>
            <w:tcW w:w="1080" w:type="dxa"/>
            <w:vAlign w:val="bottom"/>
          </w:tcPr>
          <w:p>
            <w:pPr>
              <w:jc w:val="right"/>
              <w:spacing w:after="0"/>
              <w:rPr>
                <w:sz w:val="20"/>
                <w:szCs w:val="20"/>
                <w:color w:val="auto"/>
              </w:rPr>
            </w:pPr>
            <w:r>
              <w:rPr>
                <w:rFonts w:ascii="Arial" w:cs="Arial" w:eastAsia="Arial" w:hAnsi="Arial"/>
                <w:sz w:val="13"/>
                <w:szCs w:val="13"/>
                <w:color w:val="auto"/>
              </w:rPr>
              <w:t>12/21/2016</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8,872,484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3,549,000</w:t>
            </w:r>
          </w:p>
        </w:tc>
        <w:tc>
          <w:tcPr>
            <w:tcW w:w="100" w:type="dxa"/>
            <w:vAlign w:val="bottom"/>
          </w:tcPr>
          <w:p>
            <w:pPr>
              <w:spacing w:after="0"/>
              <w:rPr>
                <w:sz w:val="14"/>
                <w:szCs w:val="14"/>
                <w:color w:val="auto"/>
              </w:rPr>
            </w:pPr>
          </w:p>
        </w:tc>
      </w:tr>
      <w:tr>
        <w:trPr>
          <w:trHeight w:val="143"/>
        </w:trPr>
        <w:tc>
          <w:tcPr>
            <w:tcW w:w="1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3"/>
              </w:rPr>
              <w:t>Catamaran CLO 2018-1</w:t>
            </w:r>
          </w:p>
        </w:tc>
        <w:tc>
          <w:tcPr>
            <w:tcW w:w="134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36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Subordinated Securities, effective interest 10.0%,</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4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10/31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9/27/2018</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24.8%</w:t>
            </w: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9,157,681</w:t>
            </w:r>
          </w:p>
        </w:tc>
        <w:tc>
          <w:tcPr>
            <w:tcW w:w="26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6,655,000</w:t>
            </w:r>
          </w:p>
        </w:tc>
        <w:tc>
          <w:tcPr>
            <w:tcW w:w="100" w:type="dxa"/>
            <w:vAlign w:val="bottom"/>
            <w:shd w:val="clear" w:color="auto" w:fill="CFF0FC"/>
          </w:tcPr>
          <w:p>
            <w:pPr>
              <w:spacing w:after="0"/>
              <w:rPr>
                <w:sz w:val="14"/>
                <w:szCs w:val="14"/>
                <w:color w:val="auto"/>
              </w:rPr>
            </w:pPr>
          </w:p>
        </w:tc>
      </w:tr>
      <w:tr>
        <w:trPr>
          <w:trHeight w:val="142"/>
        </w:trPr>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60" w:type="dxa"/>
            <w:vAlign w:val="bottom"/>
            <w:gridSpan w:val="3"/>
            <w:shd w:val="clear" w:color="auto" w:fill="CFF0FC"/>
          </w:tcPr>
          <w:p>
            <w:pPr>
              <w:spacing w:after="0"/>
              <w:rPr>
                <w:sz w:val="20"/>
                <w:szCs w:val="20"/>
                <w:color w:val="auto"/>
              </w:rPr>
            </w:pPr>
            <w:r>
              <w:rPr>
                <w:rFonts w:ascii="Arial" w:cs="Arial" w:eastAsia="Arial" w:hAnsi="Arial"/>
                <w:sz w:val="13"/>
                <w:szCs w:val="13"/>
                <w:b w:val="1"/>
                <w:bCs w:val="1"/>
                <w:color w:val="auto"/>
              </w:rPr>
              <w:t>Total Investment in CLO Fund</w:t>
            </w:r>
          </w:p>
        </w:tc>
        <w:tc>
          <w:tcPr>
            <w:tcW w:w="3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1"/>
        </w:trPr>
        <w:tc>
          <w:tcPr>
            <w:tcW w:w="2760" w:type="dxa"/>
            <w:vAlign w:val="bottom"/>
            <w:gridSpan w:val="3"/>
            <w:shd w:val="clear" w:color="auto" w:fill="CFF0FC"/>
          </w:tcPr>
          <w:p>
            <w:pPr>
              <w:ind w:left="100"/>
              <w:spacing w:after="0"/>
              <w:rPr>
                <w:sz w:val="20"/>
                <w:szCs w:val="20"/>
                <w:color w:val="auto"/>
              </w:rPr>
            </w:pPr>
            <w:r>
              <w:rPr>
                <w:rFonts w:ascii="Arial" w:cs="Arial" w:eastAsia="Arial" w:hAnsi="Arial"/>
                <w:sz w:val="13"/>
                <w:szCs w:val="13"/>
                <w:b w:val="1"/>
                <w:bCs w:val="1"/>
                <w:color w:val="auto"/>
                <w:w w:val="93"/>
              </w:rPr>
              <w:t>Securities (9% of net asset value at fair value)</w:t>
            </w:r>
          </w:p>
        </w:tc>
        <w:tc>
          <w:tcPr>
            <w:tcW w:w="3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45,727,813</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19,582,555</w:t>
            </w:r>
          </w:p>
        </w:tc>
        <w:tc>
          <w:tcPr>
            <w:tcW w:w="100" w:type="dxa"/>
            <w:vAlign w:val="bottom"/>
            <w:shd w:val="clear" w:color="auto" w:fill="CFF0FC"/>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231F20"/>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3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4"/>
                <w:szCs w:val="14"/>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12/11/2006</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Affiliates (0% of net asset value at fair value)</w:t>
            </w:r>
          </w:p>
        </w:tc>
        <w:tc>
          <w:tcPr>
            <w:tcW w:w="140" w:type="dxa"/>
            <w:vAlign w:val="bottom"/>
            <w:shd w:val="clear" w:color="auto" w:fill="CFF0FC"/>
          </w:tcPr>
          <w:p>
            <w:pPr>
              <w:spacing w:after="0"/>
              <w:rPr>
                <w:sz w:val="13"/>
                <w:szCs w:val="13"/>
                <w:color w:val="auto"/>
              </w:rPr>
            </w:pPr>
          </w:p>
        </w:tc>
        <w:tc>
          <w:tcPr>
            <w:tcW w:w="3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Derivatives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center"/>
              <w:ind w:right="133"/>
              <w:spacing w:after="0"/>
              <w:rPr>
                <w:sz w:val="20"/>
                <w:szCs w:val="20"/>
                <w:color w:val="auto"/>
              </w:rPr>
            </w:pPr>
            <w:r>
              <w:rPr>
                <w:rFonts w:ascii="Arial" w:cs="Arial" w:eastAsia="Arial" w:hAnsi="Arial"/>
                <w:sz w:val="14"/>
                <w:szCs w:val="14"/>
                <w:b w:val="1"/>
                <w:bCs w:val="1"/>
                <w:color w:val="auto"/>
              </w:rPr>
              <w:t>Fair</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Pr>
          <w:p>
            <w:pPr>
              <w:spacing w:after="0"/>
              <w:rPr>
                <w:sz w:val="14"/>
                <w:szCs w:val="14"/>
                <w:color w:val="auto"/>
              </w:rPr>
            </w:pPr>
          </w:p>
        </w:tc>
        <w:tc>
          <w:tcPr>
            <w:tcW w:w="3200" w:type="dxa"/>
            <w:vAlign w:val="bottom"/>
            <w:gridSpan w:val="2"/>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28"/>
        </w:trPr>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(13)(21)(22)</w:t>
            </w:r>
          </w:p>
        </w:tc>
        <w:tc>
          <w:tcPr>
            <w:tcW w:w="140" w:type="dxa"/>
            <w:vAlign w:val="bottom"/>
            <w:tcBorders>
              <w:top w:val="single" w:sz="8" w:color="CFF0FC"/>
            </w:tcBorders>
            <w:shd w:val="clear" w:color="auto" w:fill="CFF0FC"/>
          </w:tcPr>
          <w:p>
            <w:pPr>
              <w:spacing w:after="0"/>
              <w:rPr>
                <w:sz w:val="11"/>
                <w:szCs w:val="11"/>
                <w:color w:val="auto"/>
              </w:rPr>
            </w:pPr>
          </w:p>
        </w:tc>
        <w:tc>
          <w:tcPr>
            <w:tcW w:w="3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Banking, Finance, Insurance &amp; Real Estate</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(1,120,695)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(13)(21)(22)</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5"/>
              </w:rPr>
              <w:t>Total Derivatives (0% of net asset value at fair value)</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2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(1,108,618)</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Joint Ventures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center"/>
              <w:ind w:right="133"/>
              <w:spacing w:after="0"/>
              <w:rPr>
                <w:sz w:val="20"/>
                <w:szCs w:val="20"/>
                <w:color w:val="auto"/>
              </w:rPr>
            </w:pPr>
            <w:r>
              <w:rPr>
                <w:rFonts w:ascii="Arial" w:cs="Arial" w:eastAsia="Arial" w:hAnsi="Arial"/>
                <w:sz w:val="14"/>
                <w:szCs w:val="14"/>
                <w:b w:val="1"/>
                <w:bCs w:val="1"/>
                <w:color w:val="auto"/>
              </w:rPr>
              <w:t>Fair</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4"/>
                <w:szCs w:val="14"/>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60%</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94"/>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19,748,808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Limited Partnership</w:t>
            </w:r>
          </w:p>
        </w:tc>
        <w:tc>
          <w:tcPr>
            <w:tcW w:w="334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Joint Venture</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3"/>
                <w:szCs w:val="13"/>
                <w:color w:val="auto"/>
              </w:rPr>
              <w:t>27%</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30,017,600</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29,600,355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line="131"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(23% of net asset value at fair value)</w:t>
            </w: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54,932,458</w:t>
            </w:r>
          </w:p>
        </w:tc>
        <w:tc>
          <w:tcPr>
            <w:tcW w:w="240" w:type="dxa"/>
            <w:vAlign w:val="bottom"/>
          </w:tcPr>
          <w:p>
            <w:pPr>
              <w:spacing w:after="0"/>
              <w:rPr>
                <w:sz w:val="13"/>
                <w:szCs w:val="13"/>
                <w:color w:val="auto"/>
              </w:rPr>
            </w:pPr>
          </w:p>
        </w:tc>
        <w:tc>
          <w:tcPr>
            <w:tcW w:w="1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49,349,163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536,008,160</w:t>
            </w:r>
          </w:p>
        </w:tc>
        <w:tc>
          <w:tcPr>
            <w:tcW w:w="24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486,628,831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9" w:lineRule="exact"/>
        <w:rPr>
          <w:sz w:val="20"/>
          <w:szCs w:val="20"/>
          <w:color w:val="auto"/>
        </w:rPr>
      </w:pPr>
    </w:p>
    <w:p>
      <w:pPr>
        <w:ind w:left="380" w:right="100" w:hanging="372"/>
        <w:spacing w:after="0" w:line="304" w:lineRule="auto"/>
        <w:tabs>
          <w:tab w:leader="none" w:pos="380" w:val="left"/>
        </w:tabs>
        <w:numPr>
          <w:ilvl w:val="0"/>
          <w:numId w:val="54"/>
        </w:numPr>
        <w:rPr>
          <w:rFonts w:ascii="Arial" w:cs="Arial" w:eastAsia="Arial" w:hAnsi="Arial"/>
          <w:sz w:val="13"/>
          <w:szCs w:val="13"/>
          <w:color w:val="auto"/>
        </w:rPr>
      </w:pPr>
      <w:r>
        <w:rPr>
          <w:rFonts w:ascii="Arial" w:cs="Arial" w:eastAsia="Arial" w:hAnsi="Arial"/>
          <w:sz w:val="14"/>
          <w:szCs w:val="14"/>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w:t>
      </w:r>
    </w:p>
    <w:p>
      <w:pPr>
        <w:spacing w:after="0" w:line="1" w:lineRule="exact"/>
        <w:rPr>
          <w:sz w:val="20"/>
          <w:szCs w:val="20"/>
          <w:color w:val="auto"/>
        </w:rPr>
      </w:pPr>
    </w:p>
    <w:p>
      <w:pPr>
        <w:jc w:val="both"/>
        <w:ind w:left="380" w:right="20"/>
        <w:spacing w:after="0" w:line="264" w:lineRule="auto"/>
        <w:rPr>
          <w:sz w:val="20"/>
          <w:szCs w:val="20"/>
          <w:color w:val="auto"/>
        </w:rPr>
      </w:pPr>
      <w:r>
        <w:rPr>
          <w:rFonts w:ascii="Arial" w:cs="Arial" w:eastAsia="Arial" w:hAnsi="Arial"/>
          <w:sz w:val="16"/>
          <w:szCs w:val="16"/>
          <w:color w:val="auto"/>
        </w:rPr>
        <w:t>Borrower may also elect to have multiple interest reset periods for each December 31, 2020 loan. For each such loan, the Company has provided the weighted average annual stated interest rate in effect at December 31, 2020. As noted in the table above, 74% (based on par) of debt securities contain floors which range between 1.00% and 2.00%.</w:t>
      </w:r>
    </w:p>
    <w:p>
      <w:pPr>
        <w:ind w:left="380" w:hanging="372"/>
        <w:spacing w:after="0"/>
        <w:tabs>
          <w:tab w:leader="none" w:pos="380" w:val="left"/>
        </w:tabs>
        <w:numPr>
          <w:ilvl w:val="0"/>
          <w:numId w:val="55"/>
        </w:numPr>
        <w:rPr>
          <w:rFonts w:ascii="Arial" w:cs="Arial" w:eastAsia="Arial" w:hAnsi="Arial"/>
          <w:sz w:val="15"/>
          <w:szCs w:val="15"/>
          <w:color w:val="auto"/>
        </w:rPr>
      </w:pPr>
      <w:r>
        <w:rPr>
          <w:rFonts w:ascii="Arial" w:cs="Arial" w:eastAsia="Arial" w:hAnsi="Arial"/>
          <w:sz w:val="16"/>
          <w:szCs w:val="16"/>
          <w:color w:val="auto"/>
        </w:rPr>
        <w:t>Reflects the fair market value of all investments as of December 31, 2020 as determined by the Company’s Board of Directors.</w:t>
      </w:r>
    </w:p>
    <w:p>
      <w:pPr>
        <w:spacing w:after="0" w:line="1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30" w:lineRule="exact"/>
        <w:rPr>
          <w:rFonts w:ascii="Arial" w:cs="Arial" w:eastAsia="Arial" w:hAnsi="Arial"/>
          <w:sz w:val="15"/>
          <w:szCs w:val="15"/>
          <w:color w:val="auto"/>
        </w:rPr>
      </w:pPr>
    </w:p>
    <w:p>
      <w:pPr>
        <w:ind w:left="380" w:right="100" w:hanging="364"/>
        <w:spacing w:after="0" w:line="281" w:lineRule="auto"/>
        <w:rPr>
          <w:rFonts w:ascii="Arial" w:cs="Arial" w:eastAsia="Arial" w:hAnsi="Arial"/>
          <w:sz w:val="15"/>
          <w:szCs w:val="15"/>
          <w:color w:val="auto"/>
        </w:rPr>
      </w:pPr>
      <w:r>
        <w:rPr>
          <w:rFonts w:ascii="Arial" w:cs="Arial" w:eastAsia="Arial" w:hAnsi="Arial"/>
          <w:sz w:val="15"/>
          <w:szCs w:val="15"/>
          <w:color w:val="auto"/>
        </w:rPr>
        <w:t>4The aggregate cost of investments for federal income tax purposes is approximately $572 million. The aggregate gross unrealized appreciation is approximately $53.1 million, the aggregate gross unrealized depreciation is approximately $138.6 million, and the net unrealized depreciation is approximately $85.5 million.</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5</w:t>
      </w:r>
      <w:r>
        <w:rPr>
          <w:rFonts w:ascii="Arial" w:cs="Arial" w:eastAsia="Arial" w:hAnsi="Arial"/>
          <w:sz w:val="14"/>
          <w:szCs w:val="14"/>
          <w:color w:val="auto"/>
        </w:rPr>
        <w:t>Loan or debt security is on non-accrual status and therefore is considered non-income producing.</w:t>
      </w:r>
    </w:p>
    <w:p>
      <w:pPr>
        <w:spacing w:after="0" w:line="30" w:lineRule="exact"/>
        <w:rPr>
          <w:rFonts w:ascii="Arial" w:cs="Arial" w:eastAsia="Arial" w:hAnsi="Arial"/>
          <w:sz w:val="15"/>
          <w:szCs w:val="15"/>
          <w:color w:val="auto"/>
        </w:rPr>
      </w:pPr>
    </w:p>
    <w:p>
      <w:pPr>
        <w:ind w:left="380" w:right="20" w:hanging="364"/>
        <w:spacing w:after="0" w:line="264" w:lineRule="auto"/>
        <w:rPr>
          <w:rFonts w:ascii="Arial" w:cs="Arial" w:eastAsia="Arial" w:hAnsi="Arial"/>
          <w:sz w:val="15"/>
          <w:szCs w:val="15"/>
          <w:color w:val="auto"/>
        </w:rPr>
      </w:pPr>
      <w:r>
        <w:rPr>
          <w:rFonts w:ascii="Arial" w:cs="Arial" w:eastAsia="Arial" w:hAnsi="Arial"/>
          <w:sz w:val="15"/>
          <w:szCs w:val="15"/>
          <w:color w:val="auto"/>
        </w:rPr>
        <w:t>6</w:t>
      </w:r>
      <w:r>
        <w:rPr>
          <w:rFonts w:ascii="Arial" w:cs="Arial" w:eastAsia="Arial" w:hAnsi="Arial"/>
          <w:sz w:val="16"/>
          <w:szCs w:val="16"/>
          <w:color w:val="auto"/>
        </w:rPr>
        <w:t>Held through Garrison Capital Equity Holdings II LLC and net of non-controlling member’s interest of 17.5% pursuant to the Amended and Restated Limited Liability Company Agreement of Garrison Capital Equity Holdings II LLC.</w:t>
      </w:r>
    </w:p>
    <w:p>
      <w:pPr>
        <w:ind w:left="380" w:hanging="372"/>
        <w:spacing w:after="0"/>
        <w:tabs>
          <w:tab w:leader="none" w:pos="380" w:val="left"/>
        </w:tabs>
        <w:numPr>
          <w:ilvl w:val="0"/>
          <w:numId w:val="56"/>
        </w:numPr>
        <w:rPr>
          <w:rFonts w:ascii="Arial" w:cs="Arial" w:eastAsia="Arial" w:hAnsi="Arial"/>
          <w:sz w:val="15"/>
          <w:szCs w:val="15"/>
          <w:color w:val="auto"/>
        </w:rPr>
      </w:pPr>
      <w:r>
        <w:rPr>
          <w:rFonts w:ascii="Arial" w:cs="Arial" w:eastAsia="Arial" w:hAnsi="Arial"/>
          <w:sz w:val="16"/>
          <w:szCs w:val="16"/>
          <w:color w:val="auto"/>
        </w:rPr>
        <w:t>Money market account</w:t>
      </w:r>
      <w:r>
        <w:rPr>
          <w:rFonts w:ascii="Arial" w:cs="Arial" w:eastAsia="Arial" w:hAnsi="Arial"/>
          <w:sz w:val="17"/>
          <w:szCs w:val="17"/>
          <w:color w:val="auto"/>
        </w:rPr>
        <w:t>.</w:t>
      </w:r>
    </w:p>
    <w:p>
      <w:pPr>
        <w:spacing w:after="0" w:line="25" w:lineRule="exact"/>
        <w:rPr>
          <w:sz w:val="20"/>
          <w:szCs w:val="20"/>
          <w:color w:val="auto"/>
        </w:rPr>
      </w:pPr>
    </w:p>
    <w:p>
      <w:pPr>
        <w:ind w:left="380" w:right="100" w:hanging="372"/>
        <w:spacing w:after="0" w:line="261"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6"/>
          <w:szCs w:val="16"/>
          <w:color w:val="auto"/>
        </w:rPr>
        <w:t>Qualified asset for purposes of section 55(a) of the Investment Company Act of 1940, as amended (the “1940 Act”). Qualifying assets represent approximately 86.2% of the total assets at December 31, 2020.</w:t>
      </w:r>
    </w:p>
    <w:p>
      <w:pPr>
        <w:ind w:left="380" w:right="180" w:hanging="372"/>
        <w:spacing w:after="0" w:line="301" w:lineRule="auto"/>
        <w:tabs>
          <w:tab w:leader="none" w:pos="380" w:val="left"/>
        </w:tabs>
        <w:numPr>
          <w:ilvl w:val="0"/>
          <w:numId w:val="58"/>
        </w:numPr>
        <w:rPr>
          <w:rFonts w:ascii="Arial" w:cs="Arial" w:eastAsia="Arial" w:hAnsi="Arial"/>
          <w:sz w:val="13"/>
          <w:szCs w:val="13"/>
          <w:color w:val="auto"/>
        </w:rPr>
      </w:pP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through a management agreement). Other than for purposes of the 1940 Act, the Company does not believe that it has control over this portfolio company.</w:t>
      </w:r>
    </w:p>
    <w:p>
      <w:pPr>
        <w:spacing w:after="0" w:line="30"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5"/>
          <w:szCs w:val="15"/>
          <w:color w:val="auto"/>
        </w:rPr>
      </w:pPr>
      <w:r>
        <w:rPr>
          <w:rFonts w:ascii="Arial" w:cs="Arial" w:eastAsia="Arial" w:hAnsi="Arial"/>
          <w:sz w:val="16"/>
          <w:szCs w:val="16"/>
          <w:color w:val="auto"/>
        </w:rPr>
        <w:t>Non-voting.</w:t>
      </w:r>
    </w:p>
    <w:p>
      <w:pPr>
        <w:spacing w:after="0" w:line="18" w:lineRule="exact"/>
        <w:rPr>
          <w:rFonts w:ascii="Arial" w:cs="Arial" w:eastAsia="Arial" w:hAnsi="Arial"/>
          <w:sz w:val="15"/>
          <w:szCs w:val="15"/>
          <w:color w:val="auto"/>
        </w:rPr>
      </w:pPr>
    </w:p>
    <w:p>
      <w:pPr>
        <w:ind w:left="380" w:right="140" w:hanging="372"/>
        <w:spacing w:after="0" w:line="301" w:lineRule="auto"/>
        <w:tabs>
          <w:tab w:leader="none" w:pos="380" w:val="left"/>
        </w:tabs>
        <w:numPr>
          <w:ilvl w:val="0"/>
          <w:numId w:val="59"/>
        </w:numPr>
        <w:rPr>
          <w:rFonts w:ascii="Arial" w:cs="Arial" w:eastAsia="Arial" w:hAnsi="Arial"/>
          <w:sz w:val="13"/>
          <w:szCs w:val="13"/>
          <w:color w:val="auto"/>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3"/>
          <w:szCs w:val="13"/>
          <w:color w:val="auto"/>
        </w:rPr>
      </w:pPr>
    </w:p>
    <w:p>
      <w:pPr>
        <w:ind w:left="380" w:right="60" w:hanging="372"/>
        <w:spacing w:after="0" w:line="264"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6"/>
          <w:szCs w:val="16"/>
          <w:color w:val="auto"/>
        </w:rPr>
        <w:t>This investment is on non-accrual status and receives a 5% royalty interest on oil being produced on certain fields. All production payments received are being applied to the cost basis and are considered return of capital.</w:t>
      </w:r>
    </w:p>
    <w:p>
      <w:pPr>
        <w:ind w:left="380" w:hanging="372"/>
        <w:spacing w:after="0"/>
        <w:tabs>
          <w:tab w:leader="none" w:pos="380" w:val="left"/>
        </w:tabs>
        <w:numPr>
          <w:ilvl w:val="0"/>
          <w:numId w:val="59"/>
        </w:numPr>
        <w:rPr>
          <w:rFonts w:ascii="Arial" w:cs="Arial" w:eastAsia="Arial" w:hAnsi="Arial"/>
          <w:sz w:val="15"/>
          <w:szCs w:val="15"/>
          <w:color w:val="auto"/>
        </w:rPr>
      </w:pPr>
      <w:r>
        <w:rPr>
          <w:rFonts w:ascii="Arial" w:cs="Arial" w:eastAsia="Arial" w:hAnsi="Arial"/>
          <w:sz w:val="16"/>
          <w:szCs w:val="16"/>
          <w:color w:val="auto"/>
        </w:rPr>
        <w:t>Fair value of this investment was determined using significant unobservable inputs</w:t>
      </w:r>
      <w:r>
        <w:rPr>
          <w:rFonts w:ascii="Arial" w:cs="Arial" w:eastAsia="Arial" w:hAnsi="Arial"/>
          <w:sz w:val="17"/>
          <w:szCs w:val="17"/>
          <w:color w:val="auto"/>
        </w:rPr>
        <w:t>.</w:t>
      </w:r>
    </w:p>
    <w:p>
      <w:pPr>
        <w:spacing w:after="0" w:line="26" w:lineRule="exact"/>
        <w:rPr>
          <w:rFonts w:ascii="Arial" w:cs="Arial" w:eastAsia="Arial" w:hAnsi="Arial"/>
          <w:sz w:val="15"/>
          <w:szCs w:val="15"/>
          <w:color w:val="auto"/>
        </w:rPr>
      </w:pPr>
    </w:p>
    <w:p>
      <w:pPr>
        <w:ind w:left="380" w:hanging="372"/>
        <w:spacing w:after="0"/>
        <w:tabs>
          <w:tab w:leader="none" w:pos="380" w:val="left"/>
        </w:tabs>
        <w:numPr>
          <w:ilvl w:val="0"/>
          <w:numId w:val="59"/>
        </w:numPr>
        <w:rPr>
          <w:rFonts w:ascii="Arial" w:cs="Arial" w:eastAsia="Arial" w:hAnsi="Arial"/>
          <w:sz w:val="15"/>
          <w:szCs w:val="15"/>
          <w:color w:val="auto"/>
        </w:rPr>
      </w:pPr>
      <w:r>
        <w:rPr>
          <w:rFonts w:ascii="Arial" w:cs="Arial" w:eastAsia="Arial" w:hAnsi="Arial"/>
          <w:sz w:val="16"/>
          <w:szCs w:val="16"/>
          <w:color w:val="auto"/>
        </w:rPr>
        <w:t>As of December 31, 2020, this investment is pledged to secure the Company’s debt obligations.</w:t>
      </w:r>
    </w:p>
    <w:p>
      <w:pPr>
        <w:spacing w:after="0" w:line="12" w:lineRule="exact"/>
        <w:rPr>
          <w:rFonts w:ascii="Arial" w:cs="Arial" w:eastAsia="Arial" w:hAnsi="Arial"/>
          <w:sz w:val="15"/>
          <w:szCs w:val="15"/>
          <w:color w:val="auto"/>
        </w:rPr>
      </w:pPr>
    </w:p>
    <w:p>
      <w:pPr>
        <w:ind w:left="380" w:hanging="372"/>
        <w:spacing w:after="0" w:line="281" w:lineRule="auto"/>
        <w:tabs>
          <w:tab w:leader="none" w:pos="380" w:val="left"/>
        </w:tabs>
        <w:numPr>
          <w:ilvl w:val="0"/>
          <w:numId w:val="59"/>
        </w:numPr>
        <w:rPr>
          <w:rFonts w:ascii="Arial" w:cs="Arial" w:eastAsia="Arial" w:hAnsi="Arial"/>
          <w:sz w:val="14"/>
          <w:szCs w:val="14"/>
          <w:color w:val="auto"/>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1" w:lineRule="exact"/>
        <w:rPr>
          <w:rFonts w:ascii="Arial" w:cs="Arial" w:eastAsia="Arial" w:hAnsi="Arial"/>
          <w:sz w:val="14"/>
          <w:szCs w:val="14"/>
          <w:color w:val="auto"/>
        </w:rPr>
      </w:pPr>
    </w:p>
    <w:p>
      <w:pPr>
        <w:ind w:left="380" w:right="240" w:hanging="372"/>
        <w:spacing w:after="0" w:line="272" w:lineRule="auto"/>
        <w:tabs>
          <w:tab w:leader="none" w:pos="380" w:val="left"/>
        </w:tabs>
        <w:numPr>
          <w:ilvl w:val="0"/>
          <w:numId w:val="59"/>
        </w:numPr>
        <w:rPr>
          <w:rFonts w:ascii="Arial" w:cs="Arial" w:eastAsia="Arial" w:hAnsi="Arial"/>
          <w:sz w:val="16"/>
          <w:szCs w:val="16"/>
          <w:color w:val="auto"/>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5" w:name="page106"/>
    <w:bookmarkEnd w:id="105"/>
    <w:p>
      <w:pPr>
        <w:ind w:left="380" w:right="120" w:hanging="372"/>
        <w:spacing w:after="0" w:line="223" w:lineRule="auto"/>
        <w:tabs>
          <w:tab w:leader="none" w:pos="380"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2"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10" w:lineRule="exact"/>
        <w:rPr>
          <w:rFonts w:ascii="Arial" w:cs="Arial" w:eastAsia="Arial" w:hAnsi="Arial"/>
          <w:sz w:val="23"/>
          <w:szCs w:val="23"/>
          <w:color w:val="auto"/>
          <w:vertAlign w:val="superscript"/>
        </w:rPr>
      </w:pPr>
    </w:p>
    <w:p>
      <w:pPr>
        <w:ind w:left="380" w:right="40" w:hanging="372"/>
        <w:spacing w:after="0" w:line="228" w:lineRule="auto"/>
        <w:tabs>
          <w:tab w:leader="none" w:pos="380"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119" w:lineRule="exact"/>
        <w:rPr>
          <w:rFonts w:ascii="Arial" w:cs="Arial" w:eastAsia="Arial" w:hAnsi="Arial"/>
          <w:sz w:val="25"/>
          <w:szCs w:val="25"/>
          <w:color w:val="auto"/>
          <w:vertAlign w:val="superscript"/>
        </w:rPr>
      </w:pPr>
    </w:p>
    <w:p>
      <w:pPr>
        <w:ind w:left="380" w:hanging="372"/>
        <w:spacing w:after="0"/>
        <w:tabs>
          <w:tab w:leader="none" w:pos="380"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Represents co-investment made with the Company's affiliates in accordance with the terms of the exemptive relief that the Company received</w:t>
      </w:r>
    </w:p>
    <w:p>
      <w:pPr>
        <w:spacing w:after="0" w:line="10" w:lineRule="exact"/>
        <w:rPr>
          <w:rFonts w:ascii="Arial" w:cs="Arial" w:eastAsia="Arial" w:hAnsi="Arial"/>
          <w:sz w:val="25"/>
          <w:szCs w:val="25"/>
          <w:color w:val="auto"/>
          <w:vertAlign w:val="superscript"/>
        </w:rPr>
      </w:pPr>
    </w:p>
    <w:p>
      <w:pPr>
        <w:ind w:left="380" w:hanging="372"/>
        <w:spacing w:after="0" w:line="182" w:lineRule="auto"/>
        <w:tabs>
          <w:tab w:leader="none" w:pos="38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Information related to the Company’s derivatives is presented below as of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Payments</w:t>
            </w:r>
          </w:p>
        </w:tc>
        <w:tc>
          <w:tcPr>
            <w:tcW w:w="1040" w:type="dxa"/>
            <w:vAlign w:val="bottom"/>
          </w:tcPr>
          <w:p>
            <w:pPr>
              <w:ind w:left="360"/>
              <w:spacing w:after="0"/>
              <w:rPr>
                <w:sz w:val="20"/>
                <w:szCs w:val="20"/>
                <w:color w:val="auto"/>
              </w:rPr>
            </w:pPr>
            <w:r>
              <w:rPr>
                <w:rFonts w:ascii="Arial" w:cs="Arial" w:eastAsia="Arial" w:hAnsi="Arial"/>
                <w:sz w:val="13"/>
                <w:szCs w:val="13"/>
                <w:b w:val="1"/>
                <w:bCs w:val="1"/>
                <w:color w:val="auto"/>
              </w:rPr>
              <w:t>Payments</w:t>
            </w: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93"/>
              </w:rPr>
              <w:t>Upfront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Unrealized</w:t>
            </w:r>
          </w:p>
        </w:tc>
      </w:tr>
      <w:tr>
        <w:trPr>
          <w:trHeight w:val="153"/>
        </w:trPr>
        <w:tc>
          <w:tcPr>
            <w:tcW w:w="206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made</w:t>
            </w:r>
          </w:p>
        </w:tc>
        <w:tc>
          <w:tcPr>
            <w:tcW w:w="1040" w:type="dxa"/>
            <w:vAlign w:val="bottom"/>
          </w:tcPr>
          <w:p>
            <w:pPr>
              <w:ind w:left="400"/>
              <w:spacing w:after="0"/>
              <w:rPr>
                <w:sz w:val="20"/>
                <w:szCs w:val="20"/>
                <w:color w:val="auto"/>
              </w:rPr>
            </w:pPr>
            <w:r>
              <w:rPr>
                <w:rFonts w:ascii="Arial" w:cs="Arial" w:eastAsia="Arial" w:hAnsi="Arial"/>
                <w:sz w:val="13"/>
                <w:szCs w:val="13"/>
                <w:b w:val="1"/>
                <w:bCs w:val="1"/>
                <w:color w:val="auto"/>
              </w:rPr>
              <w:t>received</w:t>
            </w:r>
          </w:p>
        </w:tc>
        <w:tc>
          <w:tcPr>
            <w:tcW w:w="540" w:type="dxa"/>
            <w:vAlign w:val="bottom"/>
          </w:tcPr>
          <w:p>
            <w:pPr>
              <w:spacing w:after="0"/>
              <w:rPr>
                <w:sz w:val="13"/>
                <w:szCs w:val="13"/>
                <w:color w:val="auto"/>
              </w:rPr>
            </w:pPr>
          </w:p>
        </w:tc>
        <w:tc>
          <w:tcPr>
            <w:tcW w:w="1500" w:type="dxa"/>
            <w:vAlign w:val="bottom"/>
          </w:tcPr>
          <w:p>
            <w:pPr>
              <w:jc w:val="center"/>
              <w:ind w:right="41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Maturity date</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rPr>
              <w:t>Value</w:t>
            </w: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84"/>
              </w:rPr>
              <w:t>payments/receipts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9"/>
              </w:rPr>
              <w:t>Securities Swap and Option Agreement</w:t>
            </w:r>
          </w:p>
        </w:tc>
        <w:tc>
          <w:tcPr>
            <w:tcW w:w="840" w:type="dxa"/>
            <w:vAlign w:val="bottom"/>
            <w:tcBorders>
              <w:top w:val="single" w:sz="8" w:color="auto"/>
            </w:tcBorders>
            <w:shd w:val="clear" w:color="auto" w:fill="CFF0FC"/>
          </w:tcPr>
          <w:p>
            <w:pPr>
              <w:ind w:left="40"/>
              <w:spacing w:after="0" w:line="142" w:lineRule="exact"/>
              <w:rPr>
                <w:sz w:val="20"/>
                <w:szCs w:val="20"/>
                <w:color w:val="auto"/>
              </w:rPr>
            </w:pPr>
            <w:r>
              <w:rPr>
                <w:rFonts w:ascii="Arial" w:cs="Arial" w:eastAsia="Arial" w:hAnsi="Arial"/>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color w:val="auto"/>
              </w:rPr>
              <w:t>16% Cash</w:t>
            </w:r>
          </w:p>
        </w:tc>
        <w:tc>
          <w:tcPr>
            <w:tcW w:w="2040" w:type="dxa"/>
            <w:vAlign w:val="bottom"/>
            <w:tcBorders>
              <w:top w:val="single" w:sz="8" w:color="auto"/>
            </w:tcBorders>
            <w:gridSpan w:val="2"/>
            <w:shd w:val="clear" w:color="auto" w:fill="CFF0FC"/>
          </w:tcPr>
          <w:p>
            <w:pPr>
              <w:jc w:val="center"/>
              <w:spacing w:after="0" w:line="142" w:lineRule="exact"/>
              <w:rPr>
                <w:sz w:val="20"/>
                <w:szCs w:val="20"/>
                <w:color w:val="auto"/>
              </w:rPr>
            </w:pPr>
            <w:r>
              <w:rPr>
                <w:rFonts w:ascii="Arial" w:cs="Arial" w:eastAsia="Arial" w:hAnsi="Arial"/>
                <w:sz w:val="13"/>
                <w:szCs w:val="13"/>
                <w:color w:val="auto"/>
                <w:w w:val="89"/>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Arial" w:cs="Arial" w:eastAsia="Arial" w:hAnsi="Arial"/>
                <w:sz w:val="13"/>
                <w:szCs w:val="13"/>
                <w:color w:val="auto"/>
                <w:w w:val="90"/>
              </w:rPr>
              <w:t>$ 5,500,000</w:t>
            </w: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(1,120,695)</w:t>
            </w: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ind w:right="9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(1,120,695)</w:t>
            </w:r>
          </w:p>
        </w:tc>
        <w:tc>
          <w:tcPr>
            <w:tcW w:w="120" w:type="dxa"/>
            <w:vAlign w:val="bottom"/>
            <w:tcBorders>
              <w:top w:val="single" w:sz="8" w:color="CFF0FC"/>
            </w:tcBorders>
            <w:shd w:val="clear" w:color="auto" w:fill="CFF0FC"/>
          </w:tcPr>
          <w:p>
            <w:pPr>
              <w:spacing w:after="0"/>
              <w:rPr>
                <w:sz w:val="12"/>
                <w:szCs w:val="12"/>
                <w:color w:val="auto"/>
              </w:rPr>
            </w:pPr>
          </w:p>
        </w:tc>
      </w:tr>
      <w:tr>
        <w:trPr>
          <w:trHeight w:val="346"/>
        </w:trPr>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24"/>
                <w:szCs w:val="24"/>
                <w:color w:val="auto"/>
              </w:rPr>
            </w:pPr>
          </w:p>
        </w:tc>
        <w:tc>
          <w:tcPr>
            <w:tcW w:w="1200" w:type="dxa"/>
            <w:vAlign w:val="bottom"/>
            <w:gridSpan w:val="5"/>
          </w:tcPr>
          <w:p>
            <w:pPr>
              <w:ind w:left="60"/>
              <w:spacing w:after="0"/>
              <w:rPr>
                <w:sz w:val="20"/>
                <w:szCs w:val="20"/>
                <w:color w:val="auto"/>
              </w:rPr>
            </w:pPr>
            <w:r>
              <w:rPr>
                <w:rFonts w:ascii="Arial" w:cs="Arial" w:eastAsia="Arial" w:hAnsi="Arial"/>
                <w:sz w:val="13"/>
                <w:szCs w:val="13"/>
                <w:b w:val="1"/>
                <w:bCs w:val="1"/>
                <w:color w:val="auto"/>
              </w:rPr>
              <w:t>Exercise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206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840" w:type="dxa"/>
            <w:vAlign w:val="bottom"/>
          </w:tcPr>
          <w:p>
            <w:pPr>
              <w:spacing w:after="0"/>
              <w:rPr>
                <w:sz w:val="13"/>
                <w:szCs w:val="13"/>
                <w:color w:val="auto"/>
              </w:rPr>
            </w:pPr>
          </w:p>
        </w:tc>
        <w:tc>
          <w:tcPr>
            <w:tcW w:w="1580" w:type="dxa"/>
            <w:vAlign w:val="bottom"/>
            <w:gridSpan w:val="2"/>
          </w:tcPr>
          <w:p>
            <w:pPr>
              <w:ind w:left="580"/>
              <w:spacing w:after="0"/>
              <w:rPr>
                <w:sz w:val="20"/>
                <w:szCs w:val="20"/>
                <w:color w:val="auto"/>
              </w:rPr>
            </w:pPr>
            <w:r>
              <w:rPr>
                <w:rFonts w:ascii="Arial" w:cs="Arial" w:eastAsia="Arial" w:hAnsi="Arial"/>
                <w:sz w:val="13"/>
                <w:szCs w:val="13"/>
                <w:b w:val="1"/>
                <w:bCs w:val="1"/>
                <w:color w:val="auto"/>
              </w:rPr>
              <w:t>Counterparty</w:t>
            </w:r>
          </w:p>
        </w:tc>
        <w:tc>
          <w:tcPr>
            <w:tcW w:w="1500" w:type="dxa"/>
            <w:vAlign w:val="bottom"/>
          </w:tcPr>
          <w:p>
            <w:pPr>
              <w:ind w:left="540"/>
              <w:spacing w:after="0"/>
              <w:rPr>
                <w:sz w:val="20"/>
                <w:szCs w:val="20"/>
                <w:color w:val="auto"/>
              </w:rPr>
            </w:pPr>
            <w:r>
              <w:rPr>
                <w:rFonts w:ascii="Arial" w:cs="Arial" w:eastAsia="Arial" w:hAnsi="Arial"/>
                <w:sz w:val="13"/>
                <w:szCs w:val="13"/>
                <w:b w:val="1"/>
                <w:bCs w:val="1"/>
                <w:color w:val="auto"/>
                <w:w w:val="85"/>
              </w:rPr>
              <w:t>Number of shares</w:t>
            </w:r>
          </w:p>
        </w:tc>
        <w:tc>
          <w:tcPr>
            <w:tcW w:w="540" w:type="dxa"/>
            <w:vAlign w:val="bottom"/>
          </w:tcPr>
          <w:p>
            <w:pPr>
              <w:spacing w:after="0"/>
              <w:rPr>
                <w:sz w:val="13"/>
                <w:szCs w:val="13"/>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420" w:type="dxa"/>
            <w:vAlign w:val="bottom"/>
          </w:tcPr>
          <w:p>
            <w:pPr>
              <w:ind w:left="140"/>
              <w:spacing w:after="0"/>
              <w:rPr>
                <w:sz w:val="20"/>
                <w:szCs w:val="20"/>
                <w:color w:val="auto"/>
              </w:rPr>
            </w:pPr>
            <w:r>
              <w:rPr>
                <w:rFonts w:ascii="Arial" w:cs="Arial" w:eastAsia="Arial" w:hAnsi="Arial"/>
                <w:sz w:val="13"/>
                <w:szCs w:val="13"/>
                <w:b w:val="1"/>
                <w:bCs w:val="1"/>
                <w:color w:val="auto"/>
                <w:w w:val="83"/>
              </w:rPr>
              <w:t>price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84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00"/>
              <w:spacing w:after="0" w:line="142" w:lineRule="exact"/>
              <w:rPr>
                <w:sz w:val="20"/>
                <w:szCs w:val="20"/>
                <w:color w:val="auto"/>
              </w:rPr>
            </w:pPr>
            <w:r>
              <w:rPr>
                <w:rFonts w:ascii="Arial" w:cs="Arial" w:eastAsia="Arial" w:hAnsi="Arial"/>
                <w:sz w:val="13"/>
                <w:szCs w:val="13"/>
                <w:color w:val="auto"/>
              </w:rPr>
              <w:t>HDNet Holdco LLC</w:t>
            </w:r>
          </w:p>
        </w:tc>
        <w:tc>
          <w:tcPr>
            <w:tcW w:w="15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20" w:type="dxa"/>
            <w:vAlign w:val="bottom"/>
            <w:tcBorders>
              <w:top w:val="single" w:sz="8" w:color="auto"/>
            </w:tcBorders>
            <w:shd w:val="clear" w:color="auto" w:fill="CFF0FC"/>
          </w:tcPr>
          <w:p>
            <w:pPr>
              <w:jc w:val="right"/>
              <w:ind w:right="137"/>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gridSpan w:val="2"/>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88"/>
              </w:rPr>
              <w:t>$ 0.01</w:t>
            </w:r>
          </w:p>
        </w:tc>
        <w:tc>
          <w:tcPr>
            <w:tcW w:w="2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16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12,077</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As of </w:t>
      </w:r>
      <w:r>
        <w:rPr>
          <w:rFonts w:ascii="Arial" w:cs="Arial" w:eastAsia="Arial" w:hAnsi="Arial"/>
          <w:sz w:val="18"/>
          <w:szCs w:val="18"/>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Advanced Lighting Technologies, Inc.</w:t>
            </w:r>
          </w:p>
        </w:tc>
        <w:tc>
          <w:tcPr>
            <w:tcW w:w="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(5)(8)(13)</w:t>
            </w:r>
          </w:p>
        </w:tc>
        <w:tc>
          <w:tcPr>
            <w:tcW w:w="80" w:type="dxa"/>
            <w:vAlign w:val="bottom"/>
            <w:tcBorders>
              <w:top w:val="single" w:sz="8" w:color="CFF0FC"/>
            </w:tcBorders>
            <w:shd w:val="clear" w:color="auto" w:fill="CFF0FC"/>
          </w:tcPr>
          <w:p>
            <w:pPr>
              <w:spacing w:after="0"/>
              <w:rPr>
                <w:sz w:val="11"/>
                <w:szCs w:val="11"/>
                <w:color w:val="auto"/>
              </w:rPr>
            </w:pPr>
          </w:p>
        </w:tc>
        <w:tc>
          <w:tcPr>
            <w:tcW w:w="2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Second Lien Notes</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6/13/2012</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1,220,614</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951,271</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2,563</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9.0% Cash, 10.0% PIK, 3 month LIBOR(2.03%)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7.00%; LIBOR Floor 1.00% , Due 10/23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Akumin Corp.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Initial Term B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5/31/2019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2,238,750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2,199,268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2,186,139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5/24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4,317,019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4,162,593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4,147,792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8.7% Cash, 2.8% PIK, 3 month LIBOR(1.94%)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6.75%; LIBOR 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Revolving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377,557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400,333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11.4% Cash, 3 month LIBOR(1.94%)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 (aka BenefitMall)</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2,940,000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2,938,765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2,827,398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7.2% Cash, 6 month LIBOR(1.93%) + 5.25%;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12/24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BW NHHC Holdco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7"/>
              </w:rPr>
              <w:t>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5/16/2018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1,947,269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1,625,250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6.9% Cash, 3 month LIBOR(1.91%) + 5.00%;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5/25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4"/>
              </w:rPr>
              <w:t>Junior Secured Loan — Extended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1,510,955</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1,502,210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1,480,736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6/21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4,520,198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4,512,488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4,493,529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6.2% Cash, 1 month LIBOR(1.93%) + 4.25%;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9"/>
              </w:rPr>
              <w:t>Junior Secured Loan — Initial Canadian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443,878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495,564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Community Care Health Network, Inc. (aka Matrix Medical</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Closing Date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1,970,000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1,966,385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1,960,150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Network)</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6.5% Cash, 1 month LIBOR(1.80%) + 4.75%;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CSM Bakery Solutions Limited (fka CSM Bakery Supplies</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5/23/2013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3,003,785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2,868,000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Limited)</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9.8% Cash, 3 month LIBOR(2.03%) + 7.75%;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7/21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Dental Implant Holdings, LLC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(8)(14)(20)</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Loan (last out)</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447,624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500,000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8.2% Cash, 1 month LIBOR(1.71%) + 6.50%;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Digitran Innovations B.V. (Pomeroy Solutions Holding</w:t>
            </w:r>
          </w:p>
        </w:tc>
        <w:tc>
          <w:tcPr>
            <w:tcW w:w="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w:t>
            </w:r>
          </w:p>
        </w:tc>
        <w:tc>
          <w:tcPr>
            <w:tcW w:w="80" w:type="dxa"/>
            <w:vAlign w:val="bottom"/>
            <w:tcBorders>
              <w:top w:val="single" w:sz="8" w:color="CFF0FC"/>
            </w:tcBorders>
            <w:shd w:val="clear" w:color="auto" w:fill="CFF0FC"/>
          </w:tcPr>
          <w:p>
            <w:pPr>
              <w:spacing w:after="0"/>
              <w:rPr>
                <w:sz w:val="11"/>
                <w:szCs w:val="11"/>
                <w:color w:val="auto"/>
              </w:rPr>
            </w:pPr>
          </w:p>
        </w:tc>
        <w:tc>
          <w:tcPr>
            <w:tcW w:w="2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2"/>
              </w:rPr>
              <w:t>Senior Secured Loan — Incremental Tranche 2 Term</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12/10/2018</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286,430</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280,909</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279,441</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7"/>
              </w:rPr>
              <w:t>Senior Secured Loan — Incremental Tranche A-1 TL</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146,079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143,339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142,515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2"/>
              </w:rPr>
              <w:t>Senior Secured Loan — Incremental Tranche A-3 Term</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47,738</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46,803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46,574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2"/>
              </w:rPr>
              <w:t>Senior Secured Loan — Incremental Tranche A-6 Term</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305,427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299,362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297,974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11.3% Cash, 1 month LIBOR(1.80%) + 9.50%;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Digitran Innovations B.V. (Pomeroy Solutions Holding</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4,962,406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4,919,958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3,529,263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11.5% Cash, 3 month LIBOR(1.95%)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1.50% , Due 7/24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1"/>
              </w:rPr>
              <w:t>Senior Secured Loan — 2019 Delayed Draw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(2,551)</w:t>
            </w: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(First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2.0% Cash, Due 7/25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7"/>
              </w:rPr>
              <w:t>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279,942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279,942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279,242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6.0% Cash, 1 month LIBOR(1.80%) + 4.25%;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Edelman Financial Center, LLC, The (fka Flight Debt Merger</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267,692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299,250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Sub Inc.)</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8.5% Cash, 1 month LIBOR(1.79%) + 6.75%;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Ensono, LP (formerly known as Acxiom IT Outsourcing, LP)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1,499,936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1,677,050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11.0% Cash, 1 month LIBOR(1.80%) + 9.25%;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6/26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6"/>
              </w:rPr>
              <w:t>Evergreen North America Acquisition, LLC (f/k/a Industrial</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6/21/2016</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1,039,547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1,042,241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1,039,547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Services Acquisition, LLC)</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6.8% Cash, 1 month LIBOR(1.81%)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Environmental Industries</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6/22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 American Payment Systems, L.P.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2"/>
              </w:rPr>
              <w:t>Junior Secured Loan — Tranche B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1,472,888</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1,468,500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12.6% Cash, 3 month LIBOR(2.06%) + 10.50%;</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LIBOR Floor 1.00% , Due 7/24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Firstlight Holdco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355,145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397,000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9.3% Cash, 1 month LIBOR(1.80%) + 7.50%;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GI Advo Opco, LLC</w:t>
            </w:r>
          </w:p>
        </w:tc>
        <w:tc>
          <w:tcPr>
            <w:tcW w:w="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(5)(8)</w:t>
            </w:r>
          </w:p>
        </w:tc>
        <w:tc>
          <w:tcPr>
            <w:tcW w:w="80" w:type="dxa"/>
            <w:vAlign w:val="bottom"/>
            <w:tcBorders>
              <w:top w:val="single" w:sz="8" w:color="CFF0FC"/>
            </w:tcBorders>
            <w:shd w:val="clear" w:color="auto" w:fill="CFF0FC"/>
          </w:tcPr>
          <w:p>
            <w:pPr>
              <w:spacing w:after="0"/>
              <w:rPr>
                <w:sz w:val="11"/>
                <w:szCs w:val="11"/>
                <w:color w:val="auto"/>
              </w:rPr>
            </w:pPr>
          </w:p>
        </w:tc>
        <w:tc>
          <w:tcPr>
            <w:tcW w:w="2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11/19/2015</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ind w:left="120"/>
              <w:spacing w:after="0" w:line="128" w:lineRule="exact"/>
              <w:rPr>
                <w:sz w:val="20"/>
                <w:szCs w:val="20"/>
                <w:color w:val="auto"/>
              </w:rPr>
            </w:pPr>
            <w:r>
              <w:rPr>
                <w:rFonts w:ascii="Arial" w:cs="Arial" w:eastAsia="Arial" w:hAnsi="Arial"/>
                <w:sz w:val="13"/>
                <w:szCs w:val="13"/>
                <w:color w:val="auto"/>
              </w:rPr>
              <w:t>180,304</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ind w:left="100"/>
              <w:spacing w:after="0" w:line="128" w:lineRule="exact"/>
              <w:rPr>
                <w:sz w:val="20"/>
                <w:szCs w:val="20"/>
                <w:color w:val="auto"/>
              </w:rPr>
            </w:pPr>
            <w:r>
              <w:rPr>
                <w:rFonts w:ascii="Arial" w:cs="Arial" w:eastAsia="Arial" w:hAnsi="Arial"/>
                <w:sz w:val="13"/>
                <w:szCs w:val="13"/>
                <w:color w:val="auto"/>
              </w:rPr>
              <w:t>179,431</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ind w:left="100"/>
              <w:spacing w:after="0" w:line="128"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10.8% Cash, Prime (4.75%) + 6.00%; , Due 11/21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GK Holdings, Inc. (aka Global Knowledge)</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1,491,142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1,251,600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12.2% Cash, 3 month LIBOR(1.94%) + 10.25%;</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LIBOR Floor 1.00% , Due 1/22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6,896,373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6,090,000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11/26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2,648,188</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10.9% Cash, 3 month LIBOR(1.94%)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1.50% , Due 1/18</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7,169,109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4,169,009</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13.8% Cash, Due 7/18</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Hayward Industries,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2,159,333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1,835,957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2,058,492</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10.0% Cash, 1 month LIBOR(1.80%) + 8.25%;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8/25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Helix Acquisition Holdings, Inc. (aka MW Industries,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1,400,000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1,180,977</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1,319,500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Metals &amp; Mining</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9.9% Cash, 3 month LIBOR(1.94%) + 8.00%;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9/25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1,600,000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1,570,609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1,534,240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Forest Products &amp; Paper</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11.3% Cash, 1 month LIBOR(1.80%)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Idera,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7,500,000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7,394,304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7,495,500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6/27</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3,914,383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3,888,371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3,886,590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9"/>
              </w:rPr>
              <w:t>6.4% Cash, 3 month LIBOR(1.94%) + 4.5%;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12/22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Ivanti Software, Inc. (fka LANDesk Group,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3/10/2017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1,228,619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1,211,787</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10.7% Cash, 1 month LIBOR(1.72%)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Kronos Foods Corp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2"/>
              </w:rPr>
              <w:t>Senior Secured Loan — Fourth Amendment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4,937,107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4,895,395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4,882,305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Beverage, Food and Tobacco</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9/22</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Revolving Credit</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ind w:left="120"/>
              <w:spacing w:after="0" w:line="134" w:lineRule="exact"/>
              <w:rPr>
                <w:sz w:val="20"/>
                <w:szCs w:val="20"/>
                <w:color w:val="auto"/>
              </w:rPr>
            </w:pPr>
            <w:r>
              <w:rPr>
                <w:rFonts w:ascii="Arial" w:cs="Arial" w:eastAsia="Arial" w:hAnsi="Arial"/>
                <w:sz w:val="13"/>
                <w:szCs w:val="13"/>
                <w:color w:val="auto"/>
              </w:rPr>
              <w:t>1,979,167</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1,914,229</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ind w:left="100"/>
              <w:spacing w:after="0" w:line="134" w:lineRule="exact"/>
              <w:rPr>
                <w:sz w:val="20"/>
                <w:szCs w:val="20"/>
                <w:color w:val="auto"/>
              </w:rPr>
            </w:pPr>
            <w:r>
              <w:rPr>
                <w:rFonts w:ascii="Arial" w:cs="Arial" w:eastAsia="Arial" w:hAnsi="Arial"/>
                <w:sz w:val="13"/>
                <w:szCs w:val="13"/>
                <w:color w:val="auto"/>
              </w:rPr>
              <w:t>1,944,135</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8.5% Cash, 1 month LIBOR(1.71%) + 6.75%;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5/20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Ministry Brands, LLC (aka MB Holding)</w:t>
            </w:r>
          </w:p>
        </w:tc>
        <w:tc>
          <w:tcPr>
            <w:tcW w:w="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80" w:type="dxa"/>
            <w:vAlign w:val="bottom"/>
            <w:tcBorders>
              <w:top w:val="single" w:sz="8" w:color="CFF0FC"/>
            </w:tcBorders>
            <w:shd w:val="clear" w:color="auto" w:fill="CFF0FC"/>
          </w:tcPr>
          <w:p>
            <w:pPr>
              <w:spacing w:after="0"/>
              <w:rPr>
                <w:sz w:val="11"/>
                <w:szCs w:val="11"/>
                <w:color w:val="auto"/>
              </w:rPr>
            </w:pPr>
          </w:p>
        </w:tc>
        <w:tc>
          <w:tcPr>
            <w:tcW w:w="2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3"/>
              </w:rPr>
              <w:t>Junior Secured Loan — April 2018 Incremental Term</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12/18/2019</w:t>
            </w: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6,000,000</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5,370,528</w:t>
            </w:r>
          </w:p>
        </w:tc>
        <w:tc>
          <w:tcPr>
            <w:tcW w:w="2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6,000,000</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9.8% Cash, 2 month LIBOR(1.83%)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6/23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(8)(14)(18)</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7,700,000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7,140,816</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7,636,090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8.8% Cash, 1 month LIBOR(1.80%) + 7.00%;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p>
        </w:tc>
        <w:tc>
          <w:tcPr>
            <w:tcW w:w="3620" w:type="dxa"/>
            <w:vAlign w:val="bottom"/>
            <w:gridSpan w:val="4"/>
            <w:shd w:val="clear" w:color="auto" w:fill="CFF0FC"/>
          </w:tcPr>
          <w:p>
            <w:pPr>
              <w:spacing w:after="0" w:line="134" w:lineRule="exact"/>
              <w:rPr>
                <w:sz w:val="20"/>
                <w:szCs w:val="20"/>
                <w:color w:val="auto"/>
              </w:rPr>
            </w:pPr>
            <w:r>
              <w:rPr>
                <w:rFonts w:ascii="Arial" w:cs="Arial" w:eastAsia="Arial" w:hAnsi="Arial"/>
                <w:sz w:val="11"/>
                <w:szCs w:val="11"/>
                <w:color w:val="auto"/>
              </w:rPr>
              <w:t xml:space="preserve">(5)(8)(13)(18) </w:t>
            </w:r>
            <w:r>
              <w:rPr>
                <w:rFonts w:ascii="Arial" w:cs="Arial" w:eastAsia="Arial" w:hAnsi="Arial"/>
                <w:sz w:val="12"/>
                <w:szCs w:val="12"/>
                <w:color w:val="auto"/>
              </w:rPr>
              <w:t>Subordinated Note — Float - 02/2020</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31,817,483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2,165,304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2,422,281</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15.8% Cash, 5.0% PIK, Due 2/20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PAE Holding Corporation</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6,888,196</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6,088,533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6,802,094</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11.3% Cash, 3 month LIBOR(1.85%)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10/23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PHI Group,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7/10/2019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8,375,422</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8,216,303</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8,300,043</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 (aka Brightspring)</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1,084,045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1,212,000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3/27</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 (Aka Cielo)</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4,962,500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4,878,600</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4,807,670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7.8% Cash, 1 month LIBOR(1.80%)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2,956,575</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2,885,400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Environmental Industries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10.2% Cash, 1 month LIBOR(1.74%)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10/25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00"/>
              <w:spacing w:after="0" w:line="134" w:lineRule="exact"/>
              <w:rPr>
                <w:sz w:val="20"/>
                <w:szCs w:val="20"/>
                <w:color w:val="auto"/>
              </w:rPr>
            </w:pPr>
            <w:r>
              <w:rPr>
                <w:rFonts w:ascii="Arial" w:cs="Arial" w:eastAsia="Arial" w:hAnsi="Arial"/>
                <w:sz w:val="13"/>
                <w:szCs w:val="13"/>
                <w:color w:val="auto"/>
              </w:rPr>
              <w:t>(1,424)</w:t>
            </w: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Containers, Packaging and Glass</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4.8% Cash, Due 8/24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2,844,000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2,833,064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2,616,480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 Packaging and Glass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6.7% Cash, 3 month LIBOR(1.94%)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8/24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6,947,500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6,852,431</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6,852,319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7.7% Cash, 3 month LIBOR(1.96%) + 5.75%;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3/25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Initial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1,787,814</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1,728,459</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7.0% Cash, 3 month LIBOR(1.95%)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7/21</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Robertshaw US Holding Corp. (fka Fox US Bidco Corp.)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2,976,852</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2,753,100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9.8% Cash, 1 month LIBOR(1.81%)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2/26</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2"/>
          </w:tcPr>
          <w:p>
            <w:pPr>
              <w:ind w:left="1520"/>
              <w:spacing w:after="0" w:line="135" w:lineRule="exact"/>
              <w:rPr>
                <w:sz w:val="20"/>
                <w:szCs w:val="20"/>
                <w:color w:val="auto"/>
              </w:rPr>
            </w:pPr>
            <w:r>
              <w:rPr>
                <w:rFonts w:ascii="Arial" w:cs="Arial" w:eastAsia="Arial" w:hAnsi="Arial"/>
                <w:sz w:val="13"/>
                <w:szCs w:val="13"/>
                <w:b w:val="1"/>
                <w:bCs w:val="1"/>
                <w:color w:val="auto"/>
              </w:rPr>
              <w:t>Investment</w:t>
            </w: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Amortized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40" w:type="dxa"/>
            <w:vAlign w:val="bottom"/>
            <w:tcBorders>
              <w:bottom w:val="single" w:sz="8" w:color="auto"/>
            </w:tcBorders>
          </w:tcPr>
          <w:p>
            <w:pPr>
              <w:ind w:left="11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340" w:type="dxa"/>
            <w:vAlign w:val="bottom"/>
            <w:shd w:val="clear" w:color="auto" w:fill="CFF0FC"/>
          </w:tcPr>
          <w:p>
            <w:pPr>
              <w:spacing w:after="0" w:line="120" w:lineRule="exact"/>
              <w:rPr>
                <w:sz w:val="20"/>
                <w:szCs w:val="20"/>
                <w:color w:val="auto"/>
              </w:rPr>
            </w:pPr>
            <w:r>
              <w:rPr>
                <w:rFonts w:ascii="Arial" w:cs="Arial" w:eastAsia="Arial" w:hAnsi="Arial"/>
                <w:sz w:val="13"/>
                <w:szCs w:val="13"/>
                <w:color w:val="auto"/>
              </w:rPr>
              <w:t>Roscoe Medical, Inc.</w:t>
            </w:r>
          </w:p>
        </w:tc>
        <w:tc>
          <w:tcPr>
            <w:tcW w:w="1040" w:type="dxa"/>
            <w:vAlign w:val="bottom"/>
            <w:gridSpan w:val="2"/>
            <w:shd w:val="clear" w:color="auto" w:fill="CFF0FC"/>
          </w:tcPr>
          <w:p>
            <w:pPr>
              <w:ind w:left="840"/>
              <w:spacing w:after="0" w:line="120" w:lineRule="exact"/>
              <w:rPr>
                <w:sz w:val="20"/>
                <w:szCs w:val="20"/>
                <w:color w:val="auto"/>
              </w:rPr>
            </w:pPr>
            <w:r>
              <w:rPr>
                <w:rFonts w:ascii="Arial" w:cs="Arial" w:eastAsia="Arial" w:hAnsi="Arial"/>
                <w:sz w:val="11"/>
                <w:szCs w:val="11"/>
                <w:color w:val="auto"/>
              </w:rPr>
              <w:t>(5)</w:t>
            </w:r>
          </w:p>
        </w:tc>
        <w:tc>
          <w:tcPr>
            <w:tcW w:w="376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340" w:type="dxa"/>
            <w:vAlign w:val="bottom"/>
            <w:shd w:val="clear" w:color="auto" w:fill="CFF0FC"/>
          </w:tcPr>
          <w:p>
            <w:pPr>
              <w:ind w:left="160"/>
              <w:spacing w:after="0" w:line="131" w:lineRule="exact"/>
              <w:rPr>
                <w:sz w:val="20"/>
                <w:szCs w:val="20"/>
                <w:color w:val="auto"/>
              </w:rPr>
            </w:pPr>
            <w:r>
              <w:rPr>
                <w:rFonts w:ascii="Arial" w:cs="Arial" w:eastAsia="Arial" w:hAnsi="Arial"/>
                <w:sz w:val="13"/>
                <w:szCs w:val="13"/>
                <w:color w:val="auto"/>
              </w:rPr>
              <w:t>Healthcare &amp; Pharmaceuticals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vMerge w:val="continue"/>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4,990,760</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2,957,000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ind w:left="840"/>
              <w:spacing w:after="0" w:line="122" w:lineRule="exact"/>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2" w:lineRule="exact"/>
              <w:rPr>
                <w:sz w:val="20"/>
                <w:szCs w:val="20"/>
                <w:color w:val="auto"/>
              </w:rPr>
            </w:pPr>
            <w:r>
              <w:rPr>
                <w:rFonts w:ascii="Arial" w:cs="Arial" w:eastAsia="Arial" w:hAnsi="Arial"/>
                <w:sz w:val="13"/>
                <w:szCs w:val="13"/>
                <w:color w:val="auto"/>
              </w:rPr>
              <w:t>13.3% Cash, Due 3/21</w:t>
            </w:r>
          </w:p>
        </w:tc>
        <w:tc>
          <w:tcPr>
            <w:tcW w:w="9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Roscoe Medical, Inc.</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(5)</w:t>
            </w:r>
          </w:p>
        </w:tc>
        <w:tc>
          <w:tcPr>
            <w:tcW w:w="376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340" w:type="dxa"/>
            <w:vAlign w:val="bottom"/>
            <w:shd w:val="clear" w:color="auto" w:fill="CFF0FC"/>
          </w:tcPr>
          <w:p>
            <w:pPr>
              <w:ind w:left="160"/>
              <w:spacing w:after="0" w:line="131" w:lineRule="exact"/>
              <w:rPr>
                <w:sz w:val="20"/>
                <w:szCs w:val="20"/>
                <w:color w:val="auto"/>
              </w:rPr>
            </w:pPr>
            <w:r>
              <w:rPr>
                <w:rFonts w:ascii="Arial" w:cs="Arial" w:eastAsia="Arial" w:hAnsi="Arial"/>
                <w:sz w:val="13"/>
                <w:szCs w:val="13"/>
                <w:color w:val="auto"/>
              </w:rPr>
              <w:t>Healthcare &amp; Pharmaceuticals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vMerge w:val="continue"/>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1,695,164</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1,005,380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ind w:left="840"/>
              <w:spacing w:after="0" w:line="122" w:lineRule="exact"/>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2" w:lineRule="exact"/>
              <w:rPr>
                <w:sz w:val="20"/>
                <w:szCs w:val="20"/>
                <w:color w:val="auto"/>
              </w:rPr>
            </w:pPr>
            <w:r>
              <w:rPr>
                <w:rFonts w:ascii="Arial" w:cs="Arial" w:eastAsia="Arial" w:hAnsi="Arial"/>
                <w:sz w:val="13"/>
                <w:szCs w:val="13"/>
                <w:color w:val="auto"/>
              </w:rPr>
              <w:t>13.3% Cash, Due 3/21</w:t>
            </w:r>
          </w:p>
        </w:tc>
        <w:tc>
          <w:tcPr>
            <w:tcW w:w="9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7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4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Automotive</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36" w:lineRule="exact"/>
              <w:rPr>
                <w:sz w:val="20"/>
                <w:szCs w:val="20"/>
                <w:color w:val="auto"/>
              </w:rPr>
            </w:pPr>
            <w:r>
              <w:rPr>
                <w:rFonts w:ascii="Arial" w:cs="Arial" w:eastAsia="Arial" w:hAnsi="Arial"/>
                <w:sz w:val="13"/>
                <w:szCs w:val="13"/>
                <w:color w:val="auto"/>
                <w:w w:val="97"/>
              </w:rPr>
              <w:t>8.5% Cash, 1 month LIBOR(1.74%) + 6.75%;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609,102</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680,750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2/26</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Salient CRGT Inc.</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7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40" w:type="dxa"/>
            <w:vAlign w:val="bottom"/>
            <w:shd w:val="clear" w:color="auto" w:fill="CFF0FC"/>
          </w:tcPr>
          <w:p>
            <w:pPr>
              <w:ind w:left="160"/>
              <w:spacing w:after="0" w:line="136" w:lineRule="exact"/>
              <w:rPr>
                <w:sz w:val="20"/>
                <w:szCs w:val="20"/>
                <w:color w:val="auto"/>
              </w:rPr>
            </w:pPr>
            <w:r>
              <w:rPr>
                <w:rFonts w:ascii="Arial" w:cs="Arial" w:eastAsia="Arial" w:hAnsi="Arial"/>
                <w:sz w:val="13"/>
                <w:szCs w:val="13"/>
                <w:color w:val="auto"/>
              </w:rPr>
              <w:t>High Tech Industries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36" w:lineRule="exact"/>
              <w:rPr>
                <w:sz w:val="20"/>
                <w:szCs w:val="20"/>
                <w:color w:val="auto"/>
              </w:rPr>
            </w:pPr>
            <w:r>
              <w:rPr>
                <w:rFonts w:ascii="Arial" w:cs="Arial" w:eastAsia="Arial" w:hAnsi="Arial"/>
                <w:sz w:val="13"/>
                <w:szCs w:val="13"/>
                <w:color w:val="auto"/>
                <w:w w:val="97"/>
              </w:rPr>
              <w:t>8.3% Cash, 1 month LIBOR(1.79%) + 6.50%;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2/27/2017</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334,873</w:t>
            </w:r>
          </w:p>
        </w:tc>
        <w:tc>
          <w:tcPr>
            <w:tcW w:w="2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337,069</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312,269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2/22</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SCSG EA Acquisition Company, Inc.</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160"/>
              <w:spacing w:after="0" w:line="126" w:lineRule="exact"/>
              <w:rPr>
                <w:sz w:val="20"/>
                <w:szCs w:val="20"/>
                <w:color w:val="auto"/>
              </w:rPr>
            </w:pPr>
            <w:r>
              <w:rPr>
                <w:rFonts w:ascii="Arial" w:cs="Arial" w:eastAsia="Arial" w:hAnsi="Arial"/>
                <w:sz w:val="13"/>
                <w:szCs w:val="13"/>
                <w:color w:val="auto"/>
              </w:rPr>
              <w:t>Healthcare &amp; Pharmaceuticals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5"/>
              </w:rPr>
              <w:t>10.0% Cash, 1 month LIBOR(1.75%) + 8.25%;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992,752</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995,000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9/24</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SCSG EA Acquisition Company, Inc.</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color w:val="auto"/>
              </w:rPr>
              <w:t>Junior Secured Loan — Initial Term Loan (Second Lien)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160"/>
              <w:spacing w:after="0" w:line="126" w:lineRule="exact"/>
              <w:rPr>
                <w:sz w:val="20"/>
                <w:szCs w:val="20"/>
                <w:color w:val="auto"/>
              </w:rPr>
            </w:pPr>
            <w:r>
              <w:rPr>
                <w:rFonts w:ascii="Arial" w:cs="Arial" w:eastAsia="Arial" w:hAnsi="Arial"/>
                <w:sz w:val="13"/>
                <w:szCs w:val="13"/>
                <w:color w:val="auto"/>
              </w:rPr>
              <w:t>Healthcare &amp; Pharmaceuticals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5"/>
              </w:rPr>
              <w:t>10.0% Cash, 1 month LIBOR(1.76%) + 8.25%;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4,966,615</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9/24</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Syndigo LLC</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color w:val="auto"/>
              </w:rPr>
              <w:t>Senior Secured Loan — Incremental Term Loan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140"/>
              <w:spacing w:after="0" w:line="126" w:lineRule="exact"/>
              <w:rPr>
                <w:sz w:val="20"/>
                <w:szCs w:val="20"/>
                <w:color w:val="auto"/>
              </w:rPr>
            </w:pPr>
            <w:r>
              <w:rPr>
                <w:rFonts w:ascii="Arial" w:cs="Arial" w:eastAsia="Arial" w:hAnsi="Arial"/>
                <w:sz w:val="13"/>
                <w:szCs w:val="13"/>
                <w:color w:val="auto"/>
              </w:rPr>
              <w:t>Services: Business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7"/>
              </w:rPr>
              <w:t>7.3% Cash, 1 month LIBOR(1.84%) + 5.50%;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7,917,229</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7,768,928</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7,758,884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10/24</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7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40" w:type="dxa"/>
            <w:vAlign w:val="bottom"/>
            <w:shd w:val="clear" w:color="auto" w:fill="CFF0FC"/>
          </w:tcPr>
          <w:p>
            <w:pPr>
              <w:ind w:left="100"/>
              <w:spacing w:after="0" w:line="136" w:lineRule="exact"/>
              <w:rPr>
                <w:sz w:val="20"/>
                <w:szCs w:val="20"/>
                <w:color w:val="auto"/>
              </w:rPr>
            </w:pPr>
            <w:r>
              <w:rPr>
                <w:rFonts w:ascii="Arial" w:cs="Arial" w:eastAsia="Arial" w:hAnsi="Arial"/>
                <w:sz w:val="13"/>
                <w:szCs w:val="13"/>
                <w:color w:val="auto"/>
              </w:rPr>
              <w:t>Automotive</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36" w:lineRule="exact"/>
              <w:rPr>
                <w:sz w:val="20"/>
                <w:szCs w:val="20"/>
                <w:color w:val="auto"/>
              </w:rPr>
            </w:pPr>
            <w:r>
              <w:rPr>
                <w:rFonts w:ascii="Arial" w:cs="Arial" w:eastAsia="Arial" w:hAnsi="Arial"/>
                <w:sz w:val="13"/>
                <w:szCs w:val="13"/>
                <w:color w:val="auto"/>
                <w:w w:val="97"/>
              </w:rPr>
              <w:t>7.4% Cash, 3 month LIBOR(1.94%) + 5.50%;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2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4,895,406</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4,861,073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5/25</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w:t>
            </w:r>
          </w:p>
        </w:tc>
        <w:tc>
          <w:tcPr>
            <w:tcW w:w="1040" w:type="dxa"/>
            <w:vAlign w:val="bottom"/>
            <w:gridSpan w:val="2"/>
            <w:vMerge w:val="restart"/>
            <w:shd w:val="clear" w:color="auto" w:fill="CFF0FC"/>
          </w:tcPr>
          <w:p>
            <w:pPr>
              <w:ind w:left="420"/>
              <w:spacing w:after="0"/>
              <w:rPr>
                <w:sz w:val="20"/>
                <w:szCs w:val="20"/>
                <w:color w:val="auto"/>
              </w:rPr>
            </w:pPr>
            <w:r>
              <w:rPr>
                <w:rFonts w:ascii="Arial" w:cs="Arial" w:eastAsia="Arial" w:hAnsi="Arial"/>
                <w:sz w:val="13"/>
                <w:szCs w:val="13"/>
                <w:color w:val="auto"/>
                <w:w w:val="77"/>
              </w:rPr>
              <w:t xml:space="preserve">Energy: </w:t>
            </w:r>
            <w:r>
              <w:rPr>
                <w:rFonts w:ascii="Arial" w:cs="Arial" w:eastAsia="Arial" w:hAnsi="Arial"/>
                <w:sz w:val="10"/>
                <w:szCs w:val="10"/>
                <w:color w:val="auto"/>
                <w:w w:val="77"/>
              </w:rPr>
              <w:t>(8)</w:t>
            </w:r>
            <w:r>
              <w:rPr>
                <w:rFonts w:ascii="Arial" w:cs="Arial" w:eastAsia="Arial" w:hAnsi="Arial"/>
                <w:sz w:val="21"/>
                <w:szCs w:val="21"/>
                <w:color w:val="auto"/>
                <w:w w:val="77"/>
                <w:vertAlign w:val="superscript"/>
              </w:rPr>
              <w:t>(5)</w:t>
            </w:r>
          </w:p>
        </w:tc>
        <w:tc>
          <w:tcPr>
            <w:tcW w:w="3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4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LLC</w:t>
            </w:r>
          </w:p>
        </w:tc>
        <w:tc>
          <w:tcPr>
            <w:tcW w:w="1040" w:type="dxa"/>
            <w:vAlign w:val="bottom"/>
            <w:gridSpan w:val="2"/>
            <w:vMerge w:val="continue"/>
            <w:shd w:val="clear" w:color="auto" w:fill="CFF0FC"/>
          </w:tcPr>
          <w:p>
            <w:pPr>
              <w:spacing w:after="0"/>
              <w:rPr>
                <w:sz w:val="11"/>
                <w:szCs w:val="11"/>
                <w:color w:val="auto"/>
              </w:rPr>
            </w:pPr>
          </w:p>
        </w:tc>
        <w:tc>
          <w:tcPr>
            <w:tcW w:w="3760" w:type="dxa"/>
            <w:vAlign w:val="bottom"/>
            <w:gridSpan w:val="2"/>
            <w:shd w:val="clear" w:color="auto" w:fill="CFF0FC"/>
          </w:tcPr>
          <w:p>
            <w:pPr>
              <w:spacing w:after="0" w:line="136" w:lineRule="exact"/>
              <w:rPr>
                <w:sz w:val="20"/>
                <w:szCs w:val="20"/>
                <w:color w:val="auto"/>
              </w:rPr>
            </w:pPr>
            <w:r>
              <w:rPr>
                <w:rFonts w:ascii="Arial" w:cs="Arial" w:eastAsia="Arial" w:hAnsi="Arial"/>
                <w:sz w:val="13"/>
                <w:szCs w:val="13"/>
                <w:color w:val="auto"/>
              </w:rPr>
              <w:t>Senior Unsecured Bond — 10.000% - 02/2022 - TankConvert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2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403,615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20"/>
                <w:szCs w:val="20"/>
                <w:color w:val="auto"/>
              </w:rPr>
            </w:pPr>
            <w:r>
              <w:rPr>
                <w:rFonts w:ascii="Arial" w:cs="Arial" w:eastAsia="Arial" w:hAnsi="Arial"/>
                <w:sz w:val="13"/>
                <w:szCs w:val="13"/>
                <w:color w:val="auto"/>
              </w:rPr>
              <w:t>Oil &amp; Gas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0.0% Cash, 10.0% PIK, Due 2/22</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Teneo Holdings LLC</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color w:val="auto"/>
              </w:rPr>
              <w:t>Senior Secured Loan — Initial Term Loan (First Lien)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Services: Business</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7"/>
              </w:rPr>
              <w:t>7.0% Cash, 1 month LIBOR(1.74%) + 5.25%;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8/23/2019</w:t>
            </w: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4,987,500</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4,800,254</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4,758,075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7/25</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Tex-Tech Industries, Inc.</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color w:val="auto"/>
              </w:rPr>
              <w:t>Junior Secured Loan — Term Loan (Second Lien)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140"/>
              <w:spacing w:after="0" w:line="126" w:lineRule="exact"/>
              <w:rPr>
                <w:sz w:val="20"/>
                <w:szCs w:val="20"/>
                <w:color w:val="auto"/>
              </w:rPr>
            </w:pPr>
            <w:r>
              <w:rPr>
                <w:rFonts w:ascii="Arial" w:cs="Arial" w:eastAsia="Arial" w:hAnsi="Arial"/>
                <w:sz w:val="13"/>
                <w:szCs w:val="13"/>
                <w:color w:val="auto"/>
              </w:rPr>
              <w:t>Textiles and Leather</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5"/>
              </w:rPr>
              <w:t>10.7% Cash, 1 month LIBOR(1.70%) + 9.00%;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12,389,673</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12,180,290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8/24</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TLE Holdings, LLC</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rPr>
              <w:t>(8)</w:t>
            </w:r>
          </w:p>
        </w:tc>
        <w:tc>
          <w:tcPr>
            <w:tcW w:w="376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color w:val="auto"/>
              </w:rPr>
              <w:t>Senior Secured Loan — Delayed Draw Term Loan</w:t>
            </w: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80"/>
              <w:spacing w:after="0" w:line="126" w:lineRule="exact"/>
              <w:rPr>
                <w:sz w:val="20"/>
                <w:szCs w:val="20"/>
                <w:color w:val="auto"/>
              </w:rPr>
            </w:pPr>
            <w:r>
              <w:rPr>
                <w:rFonts w:ascii="Arial" w:cs="Arial" w:eastAsia="Arial" w:hAnsi="Arial"/>
                <w:sz w:val="13"/>
                <w:szCs w:val="13"/>
                <w:color w:val="auto"/>
              </w:rPr>
              <w:t>Healthcare, Education and Childcare</w:t>
            </w: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(13)</w:t>
            </w:r>
          </w:p>
        </w:tc>
        <w:tc>
          <w:tcPr>
            <w:tcW w:w="376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7"/>
              </w:rPr>
              <w:t>7.7% Cash, 1 month LIBOR(2.20%) + 5.50%; LIBOR Floor 1.00%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207,380</w:t>
            </w:r>
          </w:p>
        </w:tc>
        <w:tc>
          <w:tcPr>
            <w:tcW w:w="24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205,810</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205,057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ind w:left="840"/>
              <w:spacing w:after="0"/>
              <w:rPr>
                <w:sz w:val="20"/>
                <w:szCs w:val="20"/>
                <w:color w:val="auto"/>
              </w:rPr>
            </w:pPr>
            <w:r>
              <w:rPr>
                <w:rFonts w:ascii="Arial" w:cs="Arial" w:eastAsia="Arial" w:hAnsi="Arial"/>
                <w:sz w:val="11"/>
                <w:szCs w:val="11"/>
                <w:color w:val="auto"/>
                <w:w w:val="91"/>
              </w:rPr>
              <w:t>(14)</w:t>
            </w:r>
          </w:p>
        </w:tc>
        <w:tc>
          <w:tcPr>
            <w:tcW w:w="3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Due 6/24</w:t>
            </w: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94"/>
              </w:rPr>
              <w:t>Initial</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40" w:type="dxa"/>
            <w:vAlign w:val="bottom"/>
            <w:gridSpan w:val="3"/>
          </w:tcPr>
          <w:p>
            <w:pPr>
              <w:jc w:val="center"/>
              <w:ind w:right="188"/>
              <w:spacing w:after="0" w:line="135" w:lineRule="exact"/>
              <w:rPr>
                <w:sz w:val="20"/>
                <w:szCs w:val="20"/>
                <w:color w:val="auto"/>
              </w:rPr>
            </w:pPr>
            <w:r>
              <w:rPr>
                <w:rFonts w:ascii="Arial" w:cs="Arial" w:eastAsia="Arial" w:hAnsi="Arial"/>
                <w:sz w:val="13"/>
                <w:szCs w:val="13"/>
                <w:b w:val="1"/>
                <w:bCs w:val="1"/>
                <w:color w:val="auto"/>
                <w:w w:val="84"/>
              </w:rPr>
              <w:t>Acquisition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24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85"/>
              </w:rPr>
              <w:t>Date</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2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TLE Holdings, LLC</w:t>
            </w:r>
          </w:p>
        </w:tc>
        <w:tc>
          <w:tcPr>
            <w:tcW w:w="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80" w:type="dxa"/>
            <w:vAlign w:val="bottom"/>
            <w:tcBorders>
              <w:top w:val="single" w:sz="8" w:color="CFF0FC"/>
            </w:tcBorders>
            <w:shd w:val="clear" w:color="auto" w:fill="CFF0FC"/>
          </w:tcPr>
          <w:p>
            <w:pPr>
              <w:spacing w:after="0"/>
              <w:rPr>
                <w:sz w:val="11"/>
                <w:szCs w:val="11"/>
                <w:color w:val="auto"/>
              </w:rPr>
            </w:pPr>
          </w:p>
        </w:tc>
        <w:tc>
          <w:tcPr>
            <w:tcW w:w="28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6/27/2019</w:t>
            </w: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5,688,912</w:t>
            </w:r>
          </w:p>
        </w:tc>
        <w:tc>
          <w:tcPr>
            <w:tcW w:w="2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5,665,175</w:t>
            </w: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5,625,197</w:t>
            </w: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7.3% Cash, 1 month LIBOR(1.80%) + 5.50%;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6/24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7"/>
              </w:rPr>
              <w:t>Senior Secured Loan — Initial Term Loan (First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979,798</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978,209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959,516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Aerospace and Defense</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6.7% Cash, 3 month LIBOR(1.91%)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9/23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999,968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Energy: Oil &amp; Gas</w:t>
            </w: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14.0% Cash, Due 3/20</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400,000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345,833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389,320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Chemicals, Plastics &amp; Rubber</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Vertafore,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900,000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794,083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893,430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Services: Business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9.0% Cash, 1 month LIBOR(1.80%)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9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w w:val="95"/>
              </w:rPr>
              <w:t>Junior Secured Loan — Initial US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2,978,354</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2,534,318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2,829,436</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Personal, Food and Miscellaneous Services</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8.8% Cash, 1 month LIBOR(1.80%) + 7.00%;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5/23</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3,000,000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2,973,265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2,869,200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Capital Equipment</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5"/>
              </w:rPr>
              <w:t>10.8% Cash, 1 month LIBOR(1.80%)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3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2,943,750</w:t>
            </w:r>
          </w:p>
        </w:tc>
        <w:tc>
          <w:tcPr>
            <w:tcW w:w="112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3"/>
                <w:szCs w:val="13"/>
                <w:color w:val="auto"/>
              </w:rPr>
              <w:t>2,886,325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2,887,230</w:t>
            </w:r>
          </w:p>
        </w:tc>
        <w:tc>
          <w:tcPr>
            <w:tcW w:w="120" w:type="dxa"/>
            <w:vAlign w:val="bottom"/>
            <w:shd w:val="clear" w:color="auto" w:fill="CFF0FC"/>
          </w:tcPr>
          <w:p>
            <w:pPr>
              <w:spacing w:after="0"/>
              <w:rPr>
                <w:sz w:val="11"/>
                <w:szCs w:val="11"/>
                <w:color w:val="auto"/>
              </w:rPr>
            </w:pPr>
          </w:p>
        </w:tc>
      </w:tr>
      <w:tr>
        <w:trPr>
          <w:trHeight w:val="135"/>
        </w:trPr>
        <w:tc>
          <w:tcPr>
            <w:tcW w:w="324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Media: Diversified &amp; Production</w:t>
            </w: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6.9% Cash, 3 month LIBOR(1.90%)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32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Zest Acquisition Corp.</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ind w:left="80"/>
              <w:spacing w:after="0" w:line="126" w:lineRule="exact"/>
              <w:rPr>
                <w:sz w:val="20"/>
                <w:szCs w:val="20"/>
                <w:color w:val="auto"/>
              </w:rPr>
            </w:pPr>
            <w:r>
              <w:rPr>
                <w:rFonts w:ascii="Arial" w:cs="Arial" w:eastAsia="Arial" w:hAnsi="Arial"/>
                <w:sz w:val="13"/>
                <w:szCs w:val="13"/>
                <w:color w:val="auto"/>
              </w:rPr>
              <w:t>Junior Secured Loan — Initial Term Loan (Second</w:t>
            </w:r>
          </w:p>
        </w:tc>
        <w:tc>
          <w:tcPr>
            <w:tcW w:w="1000" w:type="dxa"/>
            <w:vAlign w:val="bottom"/>
            <w:shd w:val="clear" w:color="auto" w:fill="CFF0FC"/>
          </w:tcPr>
          <w:p>
            <w:pPr>
              <w:jc w:val="right"/>
              <w:spacing w:after="0" w:line="126" w:lineRule="exact"/>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6" w:lineRule="exact"/>
              <w:rPr>
                <w:sz w:val="20"/>
                <w:szCs w:val="20"/>
                <w:color w:val="auto"/>
              </w:rPr>
            </w:pPr>
            <w:r>
              <w:rPr>
                <w:rFonts w:ascii="Arial" w:cs="Arial" w:eastAsia="Arial" w:hAnsi="Arial"/>
                <w:sz w:val="13"/>
                <w:szCs w:val="13"/>
                <w:color w:val="auto"/>
              </w:rPr>
              <w:t>3,500,000</w:t>
            </w:r>
          </w:p>
        </w:tc>
        <w:tc>
          <w:tcPr>
            <w:tcW w:w="1120" w:type="dxa"/>
            <w:vAlign w:val="bottom"/>
            <w:gridSpan w:val="2"/>
            <w:shd w:val="clear" w:color="auto" w:fill="CFF0FC"/>
          </w:tcPr>
          <w:p>
            <w:pPr>
              <w:jc w:val="right"/>
              <w:spacing w:after="0" w:line="126" w:lineRule="exact"/>
              <w:rPr>
                <w:sz w:val="20"/>
                <w:szCs w:val="20"/>
                <w:color w:val="auto"/>
              </w:rPr>
            </w:pPr>
            <w:r>
              <w:rPr>
                <w:rFonts w:ascii="Arial" w:cs="Arial" w:eastAsia="Arial" w:hAnsi="Arial"/>
                <w:sz w:val="13"/>
                <w:szCs w:val="13"/>
                <w:color w:val="auto"/>
              </w:rPr>
              <w:t>3,482,564</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6" w:lineRule="exact"/>
              <w:rPr>
                <w:sz w:val="20"/>
                <w:szCs w:val="20"/>
                <w:color w:val="auto"/>
              </w:rPr>
            </w:pPr>
            <w:r>
              <w:rPr>
                <w:rFonts w:ascii="Arial" w:cs="Arial" w:eastAsia="Arial" w:hAnsi="Arial"/>
                <w:sz w:val="13"/>
                <w:szCs w:val="13"/>
                <w:color w:val="auto"/>
              </w:rPr>
              <w:t>3,306,091</w:t>
            </w:r>
          </w:p>
        </w:tc>
        <w:tc>
          <w:tcPr>
            <w:tcW w:w="120" w:type="dxa"/>
            <w:vAlign w:val="bottom"/>
            <w:shd w:val="clear" w:color="auto" w:fill="CFF0FC"/>
          </w:tcPr>
          <w:p>
            <w:pPr>
              <w:spacing w:after="0"/>
              <w:rPr>
                <w:sz w:val="10"/>
                <w:szCs w:val="10"/>
                <w:color w:val="auto"/>
              </w:rPr>
            </w:pPr>
          </w:p>
        </w:tc>
      </w:tr>
      <w:tr>
        <w:trPr>
          <w:trHeight w:val="143"/>
        </w:trPr>
        <w:tc>
          <w:tcPr>
            <w:tcW w:w="3240" w:type="dxa"/>
            <w:vAlign w:val="bottom"/>
            <w:shd w:val="clear" w:color="auto" w:fill="CFF0FC"/>
          </w:tcPr>
          <w:p>
            <w:pPr>
              <w:ind w:left="300"/>
              <w:spacing w:after="0" w:line="143" w:lineRule="exact"/>
              <w:rPr>
                <w:sz w:val="20"/>
                <w:szCs w:val="20"/>
                <w:color w:val="auto"/>
              </w:rPr>
            </w:pPr>
            <w:r>
              <w:rPr>
                <w:rFonts w:ascii="Arial" w:cs="Arial" w:eastAsia="Arial" w:hAnsi="Arial"/>
                <w:sz w:val="13"/>
                <w:szCs w:val="13"/>
                <w:color w:val="auto"/>
              </w:rPr>
              <w:t>Healthcare, Education and Childcare</w:t>
            </w:r>
          </w:p>
        </w:tc>
        <w:tc>
          <w:tcPr>
            <w:tcW w:w="560" w:type="dxa"/>
            <w:vAlign w:val="bottom"/>
            <w:shd w:val="clear" w:color="auto" w:fill="CFF0FC"/>
          </w:tcPr>
          <w:p>
            <w:pPr>
              <w:spacing w:after="0"/>
              <w:rPr>
                <w:sz w:val="20"/>
                <w:szCs w:val="20"/>
                <w:color w:val="auto"/>
              </w:rPr>
            </w:pPr>
            <w:r>
              <w:rPr>
                <w:rFonts w:ascii="Arial" w:cs="Arial" w:eastAsia="Arial" w:hAnsi="Arial"/>
                <w:sz w:val="11"/>
                <w:szCs w:val="11"/>
                <w:color w:val="auto"/>
              </w:rPr>
              <w:t>(18)</w:t>
            </w:r>
          </w:p>
        </w:tc>
        <w:tc>
          <w:tcPr>
            <w:tcW w:w="3060" w:type="dxa"/>
            <w:vAlign w:val="bottom"/>
            <w:gridSpan w:val="3"/>
            <w:shd w:val="clear" w:color="auto" w:fill="CFF0FC"/>
          </w:tcPr>
          <w:p>
            <w:pPr>
              <w:ind w:left="80"/>
              <w:spacing w:after="0" w:line="143"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5"/>
        </w:trPr>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ind w:left="80"/>
              <w:spacing w:after="0" w:line="135" w:lineRule="exact"/>
              <w:rPr>
                <w:sz w:val="20"/>
                <w:szCs w:val="20"/>
                <w:color w:val="auto"/>
              </w:rPr>
            </w:pPr>
            <w:r>
              <w:rPr>
                <w:rFonts w:ascii="Arial" w:cs="Arial" w:eastAsia="Arial" w:hAnsi="Arial"/>
                <w:sz w:val="13"/>
                <w:szCs w:val="13"/>
                <w:color w:val="auto"/>
                <w:w w:val="97"/>
              </w:rPr>
              <w:t>9.3% Cash, 1 month LIBOR(1.75%) + 7.50%;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Floor 1.00% , Due 3/26</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2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Investments in Debt Securities</w:t>
            </w: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240" w:type="dxa"/>
            <w:vAlign w:val="bottom"/>
            <w:shd w:val="clear" w:color="auto" w:fill="CFF0FC"/>
          </w:tcPr>
          <w:p>
            <w:pPr>
              <w:ind w:left="160"/>
              <w:spacing w:after="0"/>
              <w:rPr>
                <w:sz w:val="20"/>
                <w:szCs w:val="20"/>
                <w:color w:val="auto"/>
              </w:rPr>
            </w:pPr>
            <w:r>
              <w:rPr>
                <w:rFonts w:ascii="Arial" w:cs="Arial" w:eastAsia="Arial" w:hAnsi="Arial"/>
                <w:sz w:val="13"/>
                <w:szCs w:val="13"/>
                <w:b w:val="1"/>
                <w:bCs w:val="1"/>
                <w:color w:val="auto"/>
              </w:rPr>
              <w:t>(123% of net asset value at fair value)</w:t>
            </w: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230,278,820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   194,686,364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186,802,908</w:t>
            </w:r>
          </w:p>
        </w:tc>
        <w:tc>
          <w:tcPr>
            <w:tcW w:w="120" w:type="dxa"/>
            <w:vAlign w:val="bottom"/>
            <w:shd w:val="clear" w:color="auto" w:fill="CFF0FC"/>
          </w:tcPr>
          <w:p>
            <w:pPr>
              <w:spacing w:after="0"/>
              <w:rPr>
                <w:sz w:val="13"/>
                <w:szCs w:val="13"/>
                <w:color w:val="auto"/>
              </w:rPr>
            </w:pPr>
          </w:p>
        </w:tc>
      </w:tr>
      <w:tr>
        <w:trPr>
          <w:trHeight w:val="20"/>
        </w:trPr>
        <w:tc>
          <w:tcPr>
            <w:tcW w:w="3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1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Equity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600" w:type="dxa"/>
            <w:vAlign w:val="bottom"/>
            <w:gridSpan w:val="3"/>
          </w:tcPr>
          <w:p>
            <w:pPr>
              <w:jc w:val="center"/>
              <w:ind w:right="540"/>
              <w:spacing w:after="0" w:line="135" w:lineRule="exact"/>
              <w:rPr>
                <w:sz w:val="20"/>
                <w:szCs w:val="20"/>
                <w:color w:val="auto"/>
              </w:rPr>
            </w:pPr>
            <w:r>
              <w:rPr>
                <w:rFonts w:ascii="Arial" w:cs="Arial" w:eastAsia="Arial" w:hAnsi="Arial"/>
                <w:sz w:val="13"/>
                <w:szCs w:val="13"/>
                <w:b w:val="1"/>
                <w:bCs w:val="1"/>
                <w:color w:val="auto"/>
                <w:w w:val="82"/>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Date</w:t>
            </w:r>
          </w:p>
        </w:tc>
        <w:tc>
          <w:tcPr>
            <w:tcW w:w="160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5"/>
              </w:rPr>
              <w:t>Ownership/Shares</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9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(8)(13)(22)</w:t>
            </w:r>
          </w:p>
        </w:tc>
        <w:tc>
          <w:tcPr>
            <w:tcW w:w="14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 18%</w:t>
            </w: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PIK; No 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Interests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0.40%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2"/>
                <w:szCs w:val="12"/>
                <w:color w:val="auto"/>
              </w:rPr>
              <w:t>(8)(13)</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A,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11,485</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B,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Common Stock, 9/29</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Limited Term Royalty Interest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2,994,029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3,445,768</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Shares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Capital Equipment</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831,600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90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color w:val="auto"/>
              </w:rPr>
              <w:t>Health, LLC)</w:t>
            </w:r>
            <w:r>
              <w:rPr>
                <w:rFonts w:ascii="Arial" w:cs="Arial" w:eastAsia="Arial" w:hAnsi="Arial"/>
                <w:sz w:val="10"/>
                <w:szCs w:val="10"/>
                <w:color w:val="auto"/>
              </w:rPr>
              <w:t>(8)(13)(19)</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1,953,299</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(8)(19)(21)</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20.8%</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(8)(13)(16)(19)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Services: Business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5.40%</w:t>
            </w: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1,680,161</w:t>
            </w:r>
          </w:p>
        </w:tc>
        <w:tc>
          <w:tcPr>
            <w:tcW w:w="26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70,566</w:t>
            </w:r>
          </w:p>
        </w:tc>
        <w:tc>
          <w:tcPr>
            <w:tcW w:w="100" w:type="dxa"/>
            <w:vAlign w:val="bottom"/>
            <w:shd w:val="clear" w:color="auto" w:fill="CFF0FC"/>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9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 (6% of</w:t>
            </w: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net asset value at fair value)</w:t>
            </w: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22,160,993</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9,864,419</w:t>
            </w:r>
          </w:p>
        </w:tc>
        <w:tc>
          <w:tcPr>
            <w:tcW w:w="100" w:type="dxa"/>
            <w:vAlign w:val="bottom"/>
            <w:shd w:val="clear" w:color="auto" w:fill="CFF0FC"/>
          </w:tcPr>
          <w:p>
            <w:pPr>
              <w:spacing w:after="0"/>
              <w:rPr>
                <w:sz w:val="13"/>
                <w:szCs w:val="13"/>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26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Percentage</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60" w:type="dxa"/>
            <w:vAlign w:val="bottom"/>
            <w:gridSpan w:val="2"/>
          </w:tcPr>
          <w:p>
            <w:pPr>
              <w:ind w:left="820"/>
              <w:spacing w:after="0"/>
              <w:rPr>
                <w:sz w:val="20"/>
                <w:szCs w:val="20"/>
                <w:color w:val="auto"/>
              </w:rPr>
            </w:pPr>
            <w:r>
              <w:rPr>
                <w:rFonts w:ascii="Arial" w:cs="Arial" w:eastAsia="Arial" w:hAnsi="Arial"/>
                <w:sz w:val="13"/>
                <w:szCs w:val="13"/>
                <w:b w:val="1"/>
                <w:bCs w:val="1"/>
                <w:color w:val="auto"/>
              </w:rPr>
              <w:t>Portfolio Company</w:t>
            </w:r>
          </w:p>
        </w:tc>
        <w:tc>
          <w:tcPr>
            <w:tcW w:w="140" w:type="dxa"/>
            <w:vAlign w:val="bottom"/>
          </w:tcPr>
          <w:p>
            <w:pPr>
              <w:spacing w:after="0"/>
              <w:rPr>
                <w:sz w:val="13"/>
                <w:szCs w:val="13"/>
                <w:color w:val="auto"/>
              </w:rPr>
            </w:pPr>
          </w:p>
        </w:tc>
        <w:tc>
          <w:tcPr>
            <w:tcW w:w="3640" w:type="dxa"/>
            <w:vAlign w:val="bottom"/>
            <w:gridSpan w:val="2"/>
          </w:tcPr>
          <w:p>
            <w:pPr>
              <w:ind w:left="13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2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Ownership</w:t>
            </w: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Amortized Cost</w:t>
            </w: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Fair Value</w:t>
            </w:r>
          </w:p>
        </w:tc>
      </w:tr>
      <w:tr>
        <w:trPr>
          <w:trHeight w:val="137"/>
        </w:trPr>
        <w:tc>
          <w:tcPr>
            <w:tcW w:w="2660" w:type="dxa"/>
            <w:vAlign w:val="bottom"/>
            <w:tcBorders>
              <w:top w:val="single" w:sz="8" w:color="auto"/>
            </w:tcBorders>
            <w:gridSpan w:val="2"/>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(3)(6)(13)(18)</w:t>
            </w:r>
          </w:p>
        </w:tc>
        <w:tc>
          <w:tcPr>
            <w:tcW w:w="140" w:type="dxa"/>
            <w:vAlign w:val="bottom"/>
            <w:tcBorders>
              <w:top w:val="single" w:sz="8" w:color="CFF0FC"/>
            </w:tcBorders>
            <w:shd w:val="clear" w:color="auto" w:fill="CFF0FC"/>
          </w:tcPr>
          <w:p>
            <w:pPr>
              <w:spacing w:after="0"/>
              <w:rPr>
                <w:sz w:val="11"/>
                <w:szCs w:val="11"/>
                <w:color w:val="auto"/>
              </w:rPr>
            </w:pPr>
          </w:p>
        </w:tc>
        <w:tc>
          <w:tcPr>
            <w:tcW w:w="352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Subordinated Securities, effective interest 15.4%,</w:t>
            </w: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7"/>
        </w:trPr>
        <w:tc>
          <w:tcPr>
            <w:tcW w:w="14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23.3%</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6,094,823</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5,025,536</w:t>
            </w:r>
          </w:p>
        </w:tc>
        <w:tc>
          <w:tcPr>
            <w:tcW w:w="100" w:type="dxa"/>
            <w:vAlign w:val="bottom"/>
            <w:shd w:val="clear" w:color="auto" w:fill="CFF0FC"/>
          </w:tcPr>
          <w:p>
            <w:pPr>
              <w:spacing w:after="0"/>
              <w:rPr>
                <w:sz w:val="14"/>
                <w:szCs w:val="14"/>
                <w:color w:val="auto"/>
              </w:rPr>
            </w:pPr>
          </w:p>
        </w:tc>
      </w:tr>
      <w:tr>
        <w:trPr>
          <w:trHeight w:val="143"/>
        </w:trPr>
        <w:tc>
          <w:tcPr>
            <w:tcW w:w="266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10.9%,</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4/30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5/6/2014</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22.2%</w:t>
            </w:r>
          </w:p>
        </w:tc>
        <w:tc>
          <w:tcPr>
            <w:tcW w:w="980" w:type="dxa"/>
            <w:vAlign w:val="bottom"/>
          </w:tcPr>
          <w:p>
            <w:pPr>
              <w:jc w:val="right"/>
              <w:spacing w:after="0"/>
              <w:rPr>
                <w:sz w:val="20"/>
                <w:szCs w:val="20"/>
                <w:color w:val="auto"/>
              </w:rPr>
            </w:pPr>
            <w:r>
              <w:rPr>
                <w:rFonts w:ascii="Arial" w:cs="Arial" w:eastAsia="Arial" w:hAnsi="Arial"/>
                <w:sz w:val="14"/>
                <w:szCs w:val="14"/>
                <w:color w:val="auto"/>
              </w:rPr>
              <w:t>9,995,658</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6,379,580</w:t>
            </w:r>
          </w:p>
        </w:tc>
        <w:tc>
          <w:tcPr>
            <w:tcW w:w="100" w:type="dxa"/>
            <w:vAlign w:val="bottom"/>
          </w:tcPr>
          <w:p>
            <w:pPr>
              <w:spacing w:after="0"/>
              <w:rPr>
                <w:sz w:val="14"/>
                <w:szCs w:val="14"/>
                <w:color w:val="auto"/>
              </w:rPr>
            </w:pPr>
          </w:p>
        </w:tc>
      </w:tr>
      <w:tr>
        <w:trPr>
          <w:trHeight w:val="143"/>
        </w:trPr>
        <w:tc>
          <w:tcPr>
            <w:tcW w:w="26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29.9%,</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4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11/28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1,519,641</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1,984,155</w:t>
            </w:r>
          </w:p>
        </w:tc>
        <w:tc>
          <w:tcPr>
            <w:tcW w:w="100" w:type="dxa"/>
            <w:vAlign w:val="bottom"/>
            <w:shd w:val="clear" w:color="auto" w:fill="CFF0FC"/>
          </w:tcPr>
          <w:p>
            <w:pPr>
              <w:spacing w:after="0"/>
              <w:rPr>
                <w:sz w:val="14"/>
                <w:szCs w:val="14"/>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2014-2</w:t>
            </w:r>
          </w:p>
        </w:tc>
        <w:tc>
          <w:tcPr>
            <w:tcW w:w="1240" w:type="dxa"/>
            <w:vAlign w:val="bottom"/>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7.8%,</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10/26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8/15/2014</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24.9%</w:t>
            </w:r>
          </w:p>
        </w:tc>
        <w:tc>
          <w:tcPr>
            <w:tcW w:w="980" w:type="dxa"/>
            <w:vAlign w:val="bottom"/>
          </w:tcPr>
          <w:p>
            <w:pPr>
              <w:jc w:val="right"/>
              <w:spacing w:after="0"/>
              <w:rPr>
                <w:sz w:val="20"/>
                <w:szCs w:val="20"/>
                <w:color w:val="auto"/>
              </w:rPr>
            </w:pPr>
            <w:r>
              <w:rPr>
                <w:rFonts w:ascii="Arial" w:cs="Arial" w:eastAsia="Arial" w:hAnsi="Arial"/>
                <w:sz w:val="14"/>
                <w:szCs w:val="14"/>
                <w:color w:val="auto"/>
              </w:rPr>
              <w:t>6,072,697</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1,139,032</w:t>
            </w:r>
          </w:p>
        </w:tc>
        <w:tc>
          <w:tcPr>
            <w:tcW w:w="100" w:type="dxa"/>
            <w:vAlign w:val="bottom"/>
          </w:tcPr>
          <w:p>
            <w:pPr>
              <w:spacing w:after="0"/>
              <w:rPr>
                <w:sz w:val="14"/>
                <w:szCs w:val="14"/>
                <w:color w:val="auto"/>
              </w:rPr>
            </w:pPr>
          </w:p>
        </w:tc>
      </w:tr>
      <w:tr>
        <w:trPr>
          <w:trHeight w:val="143"/>
        </w:trPr>
        <w:tc>
          <w:tcPr>
            <w:tcW w:w="1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3"/>
              </w:rPr>
              <w:t>Catamaran CLO 2015-1</w:t>
            </w:r>
          </w:p>
        </w:tc>
        <w:tc>
          <w:tcPr>
            <w:tcW w:w="12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(3)(6)(13)(18)</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8.4%,</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4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4/27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4,088,504</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2,514,130</w:t>
            </w:r>
          </w:p>
        </w:tc>
        <w:tc>
          <w:tcPr>
            <w:tcW w:w="100" w:type="dxa"/>
            <w:vAlign w:val="bottom"/>
            <w:shd w:val="clear" w:color="auto" w:fill="CFF0FC"/>
          </w:tcPr>
          <w:p>
            <w:pPr>
              <w:spacing w:after="0"/>
              <w:rPr>
                <w:sz w:val="14"/>
                <w:szCs w:val="14"/>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2016-1</w:t>
            </w:r>
          </w:p>
        </w:tc>
        <w:tc>
          <w:tcPr>
            <w:tcW w:w="1240" w:type="dxa"/>
            <w:vAlign w:val="bottom"/>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(3)(6)(13)(18)</w:t>
            </w:r>
          </w:p>
        </w:tc>
        <w:tc>
          <w:tcPr>
            <w:tcW w:w="3780" w:type="dxa"/>
            <w:vAlign w:val="bottom"/>
            <w:gridSpan w:val="3"/>
          </w:tcPr>
          <w:p>
            <w:pPr>
              <w:ind w:left="140"/>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780" w:type="dxa"/>
            <w:vAlign w:val="bottom"/>
            <w:gridSpan w:val="3"/>
          </w:tcPr>
          <w:p>
            <w:pPr>
              <w:ind w:left="140"/>
              <w:spacing w:after="0"/>
              <w:rPr>
                <w:sz w:val="20"/>
                <w:szCs w:val="20"/>
                <w:color w:val="auto"/>
              </w:rPr>
            </w:pPr>
            <w:r>
              <w:rPr>
                <w:rFonts w:ascii="Arial" w:cs="Arial" w:eastAsia="Arial" w:hAnsi="Arial"/>
                <w:sz w:val="14"/>
                <w:szCs w:val="14"/>
                <w:color w:val="auto"/>
              </w:rPr>
              <w:t>1/29 maturity</w:t>
            </w:r>
          </w:p>
        </w:tc>
        <w:tc>
          <w:tcPr>
            <w:tcW w:w="1080" w:type="dxa"/>
            <w:vAlign w:val="bottom"/>
          </w:tcPr>
          <w:p>
            <w:pPr>
              <w:jc w:val="right"/>
              <w:spacing w:after="0"/>
              <w:rPr>
                <w:sz w:val="20"/>
                <w:szCs w:val="20"/>
                <w:color w:val="auto"/>
              </w:rPr>
            </w:pPr>
            <w:r>
              <w:rPr>
                <w:rFonts w:ascii="Arial" w:cs="Arial" w:eastAsia="Arial" w:hAnsi="Arial"/>
                <w:sz w:val="14"/>
                <w:szCs w:val="14"/>
                <w:color w:val="auto"/>
              </w:rPr>
              <w:t>12/21/2016</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24.9%</w:t>
            </w:r>
          </w:p>
        </w:tc>
        <w:tc>
          <w:tcPr>
            <w:tcW w:w="980" w:type="dxa"/>
            <w:vAlign w:val="bottom"/>
          </w:tcPr>
          <w:p>
            <w:pPr>
              <w:jc w:val="right"/>
              <w:spacing w:after="0"/>
              <w:rPr>
                <w:sz w:val="20"/>
                <w:szCs w:val="20"/>
                <w:color w:val="auto"/>
              </w:rPr>
            </w:pPr>
            <w:r>
              <w:rPr>
                <w:rFonts w:ascii="Arial" w:cs="Arial" w:eastAsia="Arial" w:hAnsi="Arial"/>
                <w:sz w:val="14"/>
                <w:szCs w:val="14"/>
                <w:color w:val="auto"/>
              </w:rPr>
              <w:t>9,253,304</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6,395,016</w:t>
            </w:r>
          </w:p>
        </w:tc>
        <w:tc>
          <w:tcPr>
            <w:tcW w:w="100" w:type="dxa"/>
            <w:vAlign w:val="bottom"/>
          </w:tcPr>
          <w:p>
            <w:pPr>
              <w:spacing w:after="0"/>
              <w:rPr>
                <w:sz w:val="14"/>
                <w:szCs w:val="14"/>
                <w:color w:val="auto"/>
              </w:rPr>
            </w:pPr>
          </w:p>
        </w:tc>
      </w:tr>
      <w:tr>
        <w:trPr>
          <w:trHeight w:val="143"/>
        </w:trPr>
        <w:tc>
          <w:tcPr>
            <w:tcW w:w="1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3"/>
              </w:rPr>
              <w:t>Catamaran CLO 2018-1</w:t>
            </w:r>
          </w:p>
        </w:tc>
        <w:tc>
          <w:tcPr>
            <w:tcW w:w="12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(3)(6)(13)(18)</w:t>
            </w:r>
          </w:p>
        </w:tc>
        <w:tc>
          <w:tcPr>
            <w:tcW w:w="3780" w:type="dxa"/>
            <w:vAlign w:val="bottom"/>
            <w:gridSpan w:val="3"/>
            <w:shd w:val="clear" w:color="auto" w:fill="CFF0FC"/>
          </w:tcPr>
          <w:p>
            <w:pPr>
              <w:ind w:left="140"/>
              <w:spacing w:after="0" w:line="143" w:lineRule="exact"/>
              <w:rPr>
                <w:sz w:val="20"/>
                <w:szCs w:val="20"/>
                <w:color w:val="auto"/>
              </w:rPr>
            </w:pPr>
            <w:r>
              <w:rPr>
                <w:rFonts w:ascii="Arial" w:cs="Arial" w:eastAsia="Arial" w:hAnsi="Arial"/>
                <w:sz w:val="14"/>
                <w:szCs w:val="14"/>
                <w:color w:val="auto"/>
              </w:rPr>
              <w:t>Subordinated Securities, effective interest 13.0%,</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4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78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10/31 maturity</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9/27/2018</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24.8%</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9,594,090</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8,530,753</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20"/>
                <w:szCs w:val="20"/>
                <w:color w:val="auto"/>
              </w:rPr>
            </w:pPr>
            <w:r>
              <w:rPr>
                <w:rFonts w:ascii="Arial" w:cs="Arial" w:eastAsia="Arial" w:hAnsi="Arial"/>
                <w:sz w:val="13"/>
                <w:szCs w:val="13"/>
                <w:b w:val="1"/>
                <w:bCs w:val="1"/>
                <w:color w:val="auto"/>
              </w:rPr>
              <w:t>Total Investment in CLO</w:t>
            </w:r>
          </w:p>
        </w:tc>
        <w:tc>
          <w:tcPr>
            <w:tcW w:w="4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4"/>
        </w:trPr>
        <w:tc>
          <w:tcPr>
            <w:tcW w:w="5160" w:type="dxa"/>
            <w:vAlign w:val="bottom"/>
          </w:tcPr>
          <w:p>
            <w:pPr>
              <w:ind w:left="100"/>
              <w:spacing w:after="0"/>
              <w:rPr>
                <w:sz w:val="20"/>
                <w:szCs w:val="20"/>
                <w:color w:val="auto"/>
              </w:rPr>
            </w:pPr>
            <w:r>
              <w:rPr>
                <w:rFonts w:ascii="Arial" w:cs="Arial" w:eastAsia="Arial" w:hAnsi="Arial"/>
                <w:sz w:val="13"/>
                <w:szCs w:val="13"/>
                <w:b w:val="1"/>
                <w:bCs w:val="1"/>
                <w:color w:val="auto"/>
              </w:rPr>
              <w:t>Subordinated Securities</w:t>
            </w:r>
          </w:p>
        </w:tc>
        <w:tc>
          <w:tcPr>
            <w:tcW w:w="400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46,618,717</w:t>
            </w:r>
          </w:p>
        </w:tc>
        <w:tc>
          <w:tcPr>
            <w:tcW w:w="36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31,968,202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-6350</wp:posOffset>
            </wp:positionV>
            <wp:extent cx="1405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560" w:type="dxa"/>
            <w:vAlign w:val="bottom"/>
            <w:gridSpan w:val="3"/>
          </w:tcPr>
          <w:p>
            <w:pPr>
              <w:jc w:val="right"/>
              <w:ind w:right="677"/>
              <w:spacing w:after="0" w:line="135"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Value2</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(8)(13)(16)</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line="142" w:lineRule="exact"/>
              <w:rPr>
                <w:sz w:val="20"/>
                <w:szCs w:val="20"/>
                <w:color w:val="auto"/>
              </w:rPr>
            </w:pPr>
            <w:r>
              <w:rPr>
                <w:rFonts w:ascii="Arial" w:cs="Arial" w:eastAsia="Arial" w:hAnsi="Arial"/>
                <w:sz w:val="13"/>
                <w:szCs w:val="13"/>
                <w:color w:val="auto"/>
                <w:w w:val="86"/>
              </w:rPr>
              <w:t>12/11/2006</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24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30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Affiliates (2% of net asset value</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at fair value)</w:t>
            </w:r>
          </w:p>
        </w:tc>
        <w:tc>
          <w:tcPr>
            <w:tcW w:w="2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20" w:type="dxa"/>
            <w:vAlign w:val="bottom"/>
            <w:gridSpan w:val="4"/>
          </w:tcPr>
          <w:p>
            <w:pPr>
              <w:jc w:val="right"/>
              <w:ind w:right="537"/>
              <w:spacing w:after="0" w:line="135" w:lineRule="exact"/>
              <w:rPr>
                <w:sz w:val="20"/>
                <w:szCs w:val="20"/>
                <w:color w:val="auto"/>
              </w:rPr>
            </w:pPr>
            <w:r>
              <w:rPr>
                <w:rFonts w:ascii="Arial" w:cs="Arial" w:eastAsia="Arial" w:hAnsi="Arial"/>
                <w:sz w:val="13"/>
                <w:szCs w:val="13"/>
                <w:b w:val="1"/>
                <w:bCs w:val="1"/>
                <w:color w:val="auto"/>
              </w:rPr>
              <w:t>Percentage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3020" w:type="dxa"/>
            <w:vAlign w:val="bottom"/>
            <w:gridSpan w:val="2"/>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Date</w:t>
            </w:r>
          </w:p>
        </w:tc>
        <w:tc>
          <w:tcPr>
            <w:tcW w:w="1420" w:type="dxa"/>
            <w:vAlign w:val="bottom"/>
            <w:gridSpan w:val="4"/>
          </w:tcPr>
          <w:p>
            <w:pPr>
              <w:jc w:val="right"/>
              <w:ind w:right="537"/>
              <w:spacing w:after="0"/>
              <w:rPr>
                <w:sz w:val="20"/>
                <w:szCs w:val="20"/>
                <w:color w:val="auto"/>
              </w:rPr>
            </w:pPr>
            <w:r>
              <w:rPr>
                <w:rFonts w:ascii="Arial" w:cs="Arial" w:eastAsia="Arial" w:hAnsi="Arial"/>
                <w:sz w:val="13"/>
                <w:szCs w:val="13"/>
                <w:b w:val="1"/>
                <w:bCs w:val="1"/>
                <w:color w:val="auto"/>
              </w:rPr>
              <w:t>Ownership</w:t>
            </w:r>
          </w:p>
        </w:tc>
        <w:tc>
          <w:tcPr>
            <w:tcW w:w="1240" w:type="dxa"/>
            <w:vAlign w:val="bottom"/>
            <w:gridSpan w:val="3"/>
          </w:tcPr>
          <w:p>
            <w:pPr>
              <w:ind w:left="3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8"/>
        </w:trPr>
        <w:tc>
          <w:tcPr>
            <w:tcW w:w="2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(13)(22)</w:t>
            </w:r>
          </w:p>
        </w:tc>
        <w:tc>
          <w:tcPr>
            <w:tcW w:w="160" w:type="dxa"/>
            <w:vAlign w:val="bottom"/>
            <w:tcBorders>
              <w:top w:val="single" w:sz="8" w:color="CFF0FC"/>
            </w:tcBorders>
            <w:shd w:val="clear" w:color="auto" w:fill="CFF0FC"/>
          </w:tcPr>
          <w:p>
            <w:pPr>
              <w:spacing w:after="0"/>
              <w:rPr>
                <w:sz w:val="11"/>
                <w:szCs w:val="11"/>
                <w:color w:val="auto"/>
              </w:rPr>
            </w:pPr>
          </w:p>
        </w:tc>
        <w:tc>
          <w:tcPr>
            <w:tcW w:w="28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Banking, Finance, Insurance &amp; Real Estate</w:t>
            </w:r>
          </w:p>
        </w:tc>
        <w:tc>
          <w:tcPr>
            <w:tcW w:w="30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 Swap and Option Agreement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60" w:type="dxa"/>
            <w:vAlign w:val="bottom"/>
            <w:shd w:val="clear" w:color="auto" w:fill="CFF0FC"/>
          </w:tcPr>
          <w:p>
            <w:pPr>
              <w:spacing w:after="0"/>
              <w:rPr>
                <w:sz w:val="12"/>
                <w:szCs w:val="12"/>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(41,093)</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(13)(22)</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Media: Broadcasting &amp; Subscription</w:t>
            </w:r>
          </w:p>
        </w:tc>
        <w:tc>
          <w:tcPr>
            <w:tcW w:w="30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Call Option</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w w:val="93"/>
              </w:rPr>
              <w:t>Total Derivatives (0% of net asset value at fair value)</w:t>
            </w:r>
          </w:p>
        </w:tc>
        <w:tc>
          <w:tcPr>
            <w:tcW w:w="2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(33,437)</w:t>
            </w:r>
          </w:p>
        </w:tc>
        <w:tc>
          <w:tcPr>
            <w:tcW w:w="0" w:type="dxa"/>
            <w:vAlign w:val="bottom"/>
          </w:tcPr>
          <w:p>
            <w:pPr>
              <w:spacing w:after="0"/>
              <w:rPr>
                <w:sz w:val="1"/>
                <w:szCs w:val="1"/>
                <w:color w:val="auto"/>
              </w:rPr>
            </w:pPr>
          </w:p>
        </w:tc>
      </w:tr>
      <w:tr>
        <w:trPr>
          <w:trHeight w:val="203"/>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Joint Ventures</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20" w:type="dxa"/>
            <w:vAlign w:val="bottom"/>
            <w:gridSpan w:val="4"/>
          </w:tcPr>
          <w:p>
            <w:pPr>
              <w:jc w:val="right"/>
              <w:ind w:right="537"/>
              <w:spacing w:after="0" w:line="135" w:lineRule="exact"/>
              <w:rPr>
                <w:sz w:val="20"/>
                <w:szCs w:val="20"/>
                <w:color w:val="auto"/>
              </w:rPr>
            </w:pPr>
            <w:r>
              <w:rPr>
                <w:rFonts w:ascii="Arial" w:cs="Arial" w:eastAsia="Arial" w:hAnsi="Arial"/>
                <w:sz w:val="13"/>
                <w:szCs w:val="13"/>
                <w:b w:val="1"/>
                <w:bCs w:val="1"/>
                <w:color w:val="auto"/>
              </w:rPr>
              <w:t>Percentage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LLC(9)(13)(16)</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60" w:type="dxa"/>
            <w:vAlign w:val="bottom"/>
            <w:shd w:val="clear" w:color="auto" w:fill="CFF0FC"/>
          </w:tcPr>
          <w:p>
            <w:pPr>
              <w:spacing w:after="0"/>
              <w:rPr>
                <w:sz w:val="12"/>
                <w:szCs w:val="12"/>
                <w:color w:val="auto"/>
              </w:rPr>
            </w:pPr>
          </w:p>
        </w:tc>
        <w:tc>
          <w:tcPr>
            <w:tcW w:w="1320" w:type="dxa"/>
            <w:vAlign w:val="bottom"/>
            <w:gridSpan w:val="3"/>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60%</w:t>
            </w: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ind w:right="337"/>
              <w:spacing w:after="0" w:line="142" w:lineRule="exact"/>
              <w:rPr>
                <w:sz w:val="20"/>
                <w:szCs w:val="20"/>
                <w:color w:val="auto"/>
              </w:rPr>
            </w:pPr>
            <w:r>
              <w:rPr>
                <w:rFonts w:ascii="Arial" w:cs="Arial" w:eastAsia="Arial" w:hAnsi="Arial"/>
                <w:sz w:val="13"/>
                <w:szCs w:val="13"/>
                <w:color w:val="auto"/>
                <w:w w:val="86"/>
              </w:rPr>
              <w:t>24,914,858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337"/>
              <w:spacing w:after="0" w:line="142" w:lineRule="exact"/>
              <w:rPr>
                <w:sz w:val="20"/>
                <w:szCs w:val="20"/>
                <w:color w:val="auto"/>
              </w:rPr>
            </w:pPr>
            <w:r>
              <w:rPr>
                <w:rFonts w:ascii="Arial" w:cs="Arial" w:eastAsia="Arial" w:hAnsi="Arial"/>
                <w:sz w:val="13"/>
                <w:szCs w:val="13"/>
                <w:color w:val="auto"/>
                <w:w w:val="86"/>
              </w:rPr>
              <w:t>21,307,899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 LP(10)(17)(18)</w:t>
            </w:r>
          </w:p>
        </w:tc>
        <w:tc>
          <w:tcPr>
            <w:tcW w:w="2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Limited Partnership</w:t>
            </w:r>
          </w:p>
        </w:tc>
        <w:tc>
          <w:tcPr>
            <w:tcW w:w="30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Joint Venture</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12/11/2018</w:t>
            </w: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23,679,681</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23,780,068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04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Total Investment in Joint Ventures</w:t>
            </w:r>
          </w:p>
        </w:tc>
        <w:tc>
          <w:tcPr>
            <w:tcW w:w="2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100"/>
              <w:spacing w:after="0"/>
              <w:rPr>
                <w:sz w:val="20"/>
                <w:szCs w:val="20"/>
                <w:color w:val="auto"/>
              </w:rPr>
            </w:pPr>
            <w:r>
              <w:rPr>
                <w:rFonts w:ascii="Arial" w:cs="Arial" w:eastAsia="Arial" w:hAnsi="Arial"/>
                <w:sz w:val="13"/>
                <w:szCs w:val="13"/>
                <w:b w:val="1"/>
                <w:bCs w:val="1"/>
                <w:color w:val="auto"/>
              </w:rPr>
              <w:t>(29% of net asset value at fair value)</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48,594,539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45,087,967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/Amortized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Short-term Investments</w:t>
            </w:r>
          </w:p>
        </w:tc>
        <w:tc>
          <w:tcPr>
            <w:tcW w:w="160" w:type="dxa"/>
            <w:vAlign w:val="bottom"/>
            <w:tcBorders>
              <w:bottom w:val="single" w:sz="8" w:color="CFF0FC"/>
            </w:tcBorders>
          </w:tcPr>
          <w:p>
            <w:pPr>
              <w:spacing w:after="0"/>
              <w:rPr>
                <w:sz w:val="13"/>
                <w:szCs w:val="13"/>
                <w:color w:val="auto"/>
              </w:rPr>
            </w:pPr>
          </w:p>
        </w:tc>
        <w:tc>
          <w:tcPr>
            <w:tcW w:w="28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Yield</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2"/>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Value2</w:t>
            </w:r>
          </w:p>
        </w:tc>
        <w:tc>
          <w:tcPr>
            <w:tcW w:w="120" w:type="dxa"/>
            <w:vAlign w:val="bottom"/>
            <w:tcBorders>
              <w:bottom w:val="single" w:sz="8" w:color="CFF0FC"/>
            </w:tcBorders>
          </w:tcPr>
          <w:p>
            <w:pPr>
              <w:spacing w:after="0"/>
              <w:rPr>
                <w:sz w:val="13"/>
                <w:szCs w:val="13"/>
                <w:color w:val="auto"/>
              </w:rPr>
            </w:pPr>
          </w:p>
        </w:tc>
      </w:tr>
      <w:tr>
        <w:trPr>
          <w:trHeight w:val="142"/>
        </w:trPr>
        <w:tc>
          <w:tcPr>
            <w:tcW w:w="28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US Bank Money Market Account(7)(8)</w:t>
            </w:r>
          </w:p>
        </w:tc>
        <w:tc>
          <w:tcPr>
            <w:tcW w:w="160" w:type="dxa"/>
            <w:vAlign w:val="bottom"/>
            <w:shd w:val="clear" w:color="auto" w:fill="CFF0FC"/>
          </w:tcPr>
          <w:p>
            <w:pPr>
              <w:spacing w:after="0"/>
              <w:rPr>
                <w:sz w:val="12"/>
                <w:szCs w:val="12"/>
                <w:color w:val="auto"/>
              </w:rPr>
            </w:pPr>
          </w:p>
        </w:tc>
        <w:tc>
          <w:tcPr>
            <w:tcW w:w="2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Money Market Account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N/A</w:t>
            </w:r>
          </w:p>
        </w:tc>
        <w:tc>
          <w:tcPr>
            <w:tcW w:w="1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0.45%</w:t>
            </w: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4,207,107</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4,207,107</w:t>
            </w:r>
          </w:p>
        </w:tc>
        <w:tc>
          <w:tcPr>
            <w:tcW w:w="120" w:type="dxa"/>
            <w:vAlign w:val="bottom"/>
            <w:shd w:val="clear" w:color="auto" w:fill="CFF0FC"/>
          </w:tcPr>
          <w:p>
            <w:pPr>
              <w:spacing w:after="0"/>
              <w:rPr>
                <w:sz w:val="12"/>
                <w:szCs w:val="12"/>
                <w:color w:val="auto"/>
              </w:rPr>
            </w:pPr>
          </w:p>
        </w:tc>
      </w:tr>
      <w:tr>
        <w:trPr>
          <w:trHeight w:val="149"/>
        </w:trPr>
        <w:tc>
          <w:tcPr>
            <w:tcW w:w="28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86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24"/>
        </w:trPr>
        <w:tc>
          <w:tcPr>
            <w:tcW w:w="3040" w:type="dxa"/>
            <w:vAlign w:val="bottom"/>
            <w:gridSpan w:val="2"/>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Short-term Investments</w:t>
            </w:r>
          </w:p>
        </w:tc>
        <w:tc>
          <w:tcPr>
            <w:tcW w:w="28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30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(2% of net asset value at fair value)</w:t>
            </w:r>
          </w:p>
        </w:tc>
        <w:tc>
          <w:tcPr>
            <w:tcW w:w="2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4,207,107</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4,207,107</w:t>
            </w:r>
          </w:p>
        </w:tc>
        <w:tc>
          <w:tcPr>
            <w:tcW w:w="120" w:type="dxa"/>
            <w:vAlign w:val="bottom"/>
            <w:shd w:val="clear" w:color="auto" w:fill="CFF0FC"/>
          </w:tcPr>
          <w:p>
            <w:pPr>
              <w:spacing w:after="0"/>
              <w:rPr>
                <w:sz w:val="13"/>
                <w:szCs w:val="13"/>
                <w:color w:val="auto"/>
              </w:rPr>
            </w:pPr>
          </w:p>
        </w:tc>
      </w:tr>
      <w:tr>
        <w:trPr>
          <w:trHeight w:val="142"/>
        </w:trPr>
        <w:tc>
          <w:tcPr>
            <w:tcW w:w="3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w:t>
            </w: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334,089,559</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277,897,166</w:t>
            </w:r>
          </w:p>
        </w:tc>
        <w:tc>
          <w:tcPr>
            <w:tcW w:w="120" w:type="dxa"/>
            <w:vAlign w:val="bottom"/>
          </w:tcPr>
          <w:p>
            <w:pPr>
              <w:spacing w:after="0"/>
              <w:rPr>
                <w:sz w:val="12"/>
                <w:szCs w:val="12"/>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6" w:lineRule="exact"/>
        <w:rPr>
          <w:sz w:val="20"/>
          <w:szCs w:val="20"/>
          <w:color w:val="auto"/>
        </w:rPr>
      </w:pPr>
    </w:p>
    <w:p>
      <w:pPr>
        <w:ind w:left="380" w:right="60" w:hanging="372"/>
        <w:spacing w:after="0" w:line="258" w:lineRule="auto"/>
        <w:tabs>
          <w:tab w:leader="none" w:pos="380" w:val="left"/>
        </w:tabs>
        <w:numPr>
          <w:ilvl w:val="0"/>
          <w:numId w:val="61"/>
        </w:numPr>
        <w:rPr>
          <w:rFonts w:ascii="Arial" w:cs="Arial" w:eastAsia="Arial" w:hAnsi="Arial"/>
          <w:sz w:val="12"/>
          <w:szCs w:val="12"/>
          <w:color w:val="auto"/>
        </w:rPr>
      </w:pPr>
      <w:r>
        <w:rPr>
          <w:rFonts w:ascii="Arial" w:cs="Arial" w:eastAsia="Arial" w:hAnsi="Arial"/>
          <w:sz w:val="14"/>
          <w:szCs w:val="14"/>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2019. As noted in the table above, 82% (based on par) of debt securities contain floors which range between 1.00% and 1.50%.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14" w:name="page115"/>
    <w:bookmarkEnd w:id="114"/>
    <w:p>
      <w:pPr>
        <w:ind w:left="380" w:hanging="372"/>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5"/>
          <w:szCs w:val="15"/>
          <w:color w:val="auto"/>
        </w:rPr>
        <w:t>Reflects the fair market value of all investments as of December 31, 2019 as determined by the Company’s Board of Directors.</w:t>
      </w:r>
    </w:p>
    <w:p>
      <w:pPr>
        <w:spacing w:after="0" w:line="6" w:lineRule="exact"/>
        <w:rPr>
          <w:rFonts w:ascii="Arial" w:cs="Arial" w:eastAsia="Arial" w:hAnsi="Arial"/>
          <w:sz w:val="17"/>
          <w:szCs w:val="17"/>
          <w:color w:val="auto"/>
        </w:rPr>
      </w:pP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3   </w:t>
      </w:r>
      <w:r>
        <w:rPr>
          <w:rFonts w:ascii="Arial" w:cs="Arial" w:eastAsia="Arial" w:hAnsi="Arial"/>
          <w:sz w:val="15"/>
          <w:szCs w:val="15"/>
          <w:color w:val="auto"/>
        </w:rPr>
        <w:t>Non-U.S. company or principal place of business outside the U.S.</w:t>
      </w:r>
    </w:p>
    <w:p>
      <w:pPr>
        <w:ind w:left="380" w:right="1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5"/>
          <w:szCs w:val="15"/>
          <w:color w:val="auto"/>
        </w:rPr>
        <w:t>The aggregate cost of investments for federal income tax purposes is approximately $348 million. The aggregate gross unrealized appreciation is approximately $27.2 million,</w:t>
      </w:r>
      <w:r>
        <w:rPr>
          <w:rFonts w:ascii="Arial" w:cs="Arial" w:eastAsia="Arial" w:hAnsi="Arial"/>
          <w:sz w:val="17"/>
          <w:szCs w:val="17"/>
          <w:color w:val="auto"/>
        </w:rPr>
        <w:t xml:space="preserve"> </w:t>
      </w:r>
      <w:r>
        <w:rPr>
          <w:rFonts w:ascii="Arial" w:cs="Arial" w:eastAsia="Arial" w:hAnsi="Arial"/>
          <w:sz w:val="15"/>
          <w:szCs w:val="15"/>
          <w:color w:val="auto"/>
        </w:rPr>
        <w:t>the aggregate gross unrealized depreciation is approximately $94.9 million, and the net unrealized depreciation is approximately $67.9 million.</w:t>
      </w:r>
    </w:p>
    <w:p>
      <w:pPr>
        <w:spacing w:after="0" w:line="1" w:lineRule="exact"/>
        <w:rPr>
          <w:rFonts w:ascii="Arial" w:cs="Arial" w:eastAsia="Arial" w:hAnsi="Arial"/>
          <w:sz w:val="17"/>
          <w:szCs w:val="17"/>
          <w:color w:val="auto"/>
        </w:rPr>
      </w:pP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5"/>
          <w:szCs w:val="15"/>
          <w:color w:val="auto"/>
        </w:rPr>
        <w:t>Loan or debt security is on non-accrual status and therefore is considered non-income producing.</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6   </w:t>
      </w:r>
      <w:r>
        <w:rPr>
          <w:rFonts w:ascii="Arial" w:cs="Arial" w:eastAsia="Arial" w:hAnsi="Arial"/>
          <w:sz w:val="15"/>
          <w:szCs w:val="15"/>
          <w:color w:val="auto"/>
        </w:rPr>
        <w:t>A CLO Fund managed by an affiliate of LibreMax.</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5"/>
          <w:szCs w:val="15"/>
          <w:color w:val="auto"/>
        </w:rPr>
        <w:t>Money market account.</w:t>
      </w:r>
    </w:p>
    <w:p>
      <w:pPr>
        <w:ind w:left="3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8 </w:t>
      </w:r>
      <w:r>
        <w:rPr>
          <w:rFonts w:ascii="Arial" w:cs="Arial" w:eastAsia="Arial" w:hAnsi="Arial"/>
          <w:sz w:val="15"/>
          <w:szCs w:val="15"/>
          <w:color w:val="auto"/>
        </w:rPr>
        <w:t>Qualified asset for purposes of section 55(a) of the Investment Company Act of 1940, as amended (the “1940 Act”). Qualifying assets represent approximately 74.7% of the total</w:t>
      </w:r>
      <w:r>
        <w:rPr>
          <w:rFonts w:ascii="Arial" w:cs="Arial" w:eastAsia="Arial" w:hAnsi="Arial"/>
          <w:sz w:val="17"/>
          <w:szCs w:val="17"/>
          <w:color w:val="auto"/>
        </w:rPr>
        <w:t xml:space="preserve"> </w:t>
      </w:r>
      <w:r>
        <w:rPr>
          <w:rFonts w:ascii="Arial" w:cs="Arial" w:eastAsia="Arial" w:hAnsi="Arial"/>
          <w:sz w:val="15"/>
          <w:szCs w:val="15"/>
          <w:color w:val="auto"/>
        </w:rPr>
        <w:t>assets at December 31, 2019.</w:t>
      </w:r>
    </w:p>
    <w:p>
      <w:pPr>
        <w:spacing w:after="0" w:line="1" w:lineRule="exact"/>
        <w:rPr>
          <w:rFonts w:ascii="Arial" w:cs="Arial" w:eastAsia="Arial" w:hAnsi="Arial"/>
          <w:sz w:val="17"/>
          <w:szCs w:val="17"/>
          <w:color w:val="auto"/>
        </w:rPr>
      </w:pPr>
    </w:p>
    <w:p>
      <w:pPr>
        <w:ind w:left="380" w:right="40" w:hanging="364"/>
        <w:spacing w:after="0" w:line="207" w:lineRule="auto"/>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15"/>
          <w:szCs w:val="15"/>
          <w:color w:val="auto"/>
        </w:rPr>
        <w:t>As defined in the 1940 Act, the Company is deemed to be both an “Affiliated Person” and has “Control” of this portfolio company as the Company owns more than 25% of the</w:t>
      </w:r>
      <w:r>
        <w:rPr>
          <w:rFonts w:ascii="Arial" w:cs="Arial" w:eastAsia="Arial" w:hAnsi="Arial"/>
          <w:sz w:val="17"/>
          <w:szCs w:val="17"/>
          <w:color w:val="auto"/>
        </w:rPr>
        <w:t xml:space="preserve"> </w:t>
      </w:r>
      <w:r>
        <w:rPr>
          <w:rFonts w:ascii="Arial" w:cs="Arial" w:eastAsia="Arial" w:hAnsi="Arial"/>
          <w:sz w:val="15"/>
          <w:szCs w:val="15"/>
          <w:color w:val="auto"/>
        </w:rPr>
        <w:t>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5"/>
          <w:szCs w:val="15"/>
          <w:color w:val="auto"/>
        </w:rPr>
        <w:t>Non-voting.</w:t>
      </w:r>
    </w:p>
    <w:p>
      <w:pPr>
        <w:ind w:left="380" w:hanging="364"/>
        <w:spacing w:after="0" w:line="220" w:lineRule="auto"/>
        <w:rPr>
          <w:rFonts w:ascii="Arial" w:cs="Arial" w:eastAsia="Arial" w:hAnsi="Arial"/>
          <w:sz w:val="17"/>
          <w:szCs w:val="17"/>
          <w:color w:val="auto"/>
        </w:rPr>
      </w:pPr>
      <w:r>
        <w:rPr>
          <w:rFonts w:ascii="Arial" w:cs="Arial" w:eastAsia="Arial" w:hAnsi="Arial"/>
          <w:sz w:val="16"/>
          <w:szCs w:val="16"/>
          <w:color w:val="auto"/>
        </w:rPr>
        <w:t xml:space="preserve">11 </w:t>
      </w:r>
      <w:r>
        <w:rPr>
          <w:rFonts w:ascii="Arial" w:cs="Arial" w:eastAsia="Arial" w:hAnsi="Arial"/>
          <w:sz w:val="14"/>
          <w:szCs w:val="14"/>
          <w:color w:val="auto"/>
        </w:rPr>
        <w:t>CLO Subordinated Investments are entitled to periodic distributions which are generally equal to the remaining cash flow of the payments made by the underlying fund’s</w:t>
      </w:r>
      <w:r>
        <w:rPr>
          <w:rFonts w:ascii="Arial" w:cs="Arial" w:eastAsia="Arial" w:hAnsi="Arial"/>
          <w:sz w:val="16"/>
          <w:szCs w:val="16"/>
          <w:color w:val="auto"/>
        </w:rPr>
        <w:t xml:space="preserve"> </w:t>
      </w:r>
      <w:r>
        <w:rPr>
          <w:rFonts w:ascii="Arial" w:cs="Arial" w:eastAsia="Arial" w:hAnsi="Arial"/>
          <w:sz w:val="14"/>
          <w:szCs w:val="14"/>
          <w:color w:val="auto"/>
        </w:rPr>
        <w:t>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7"/>
          <w:szCs w:val="17"/>
          <w:color w:val="auto"/>
        </w:rPr>
      </w:pPr>
    </w:p>
    <w:p>
      <w:pPr>
        <w:ind w:left="380" w:right="28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12 </w:t>
      </w:r>
      <w:r>
        <w:rPr>
          <w:rFonts w:ascii="Arial" w:cs="Arial" w:eastAsia="Arial" w:hAnsi="Arial"/>
          <w:sz w:val="15"/>
          <w:szCs w:val="15"/>
          <w:color w:val="auto"/>
        </w:rPr>
        <w:t>This investment is on non-accrual status and receives a 5% royalty interest on oil being produced on certain fields. All production payments received are being applied to the</w:t>
      </w:r>
      <w:r>
        <w:rPr>
          <w:rFonts w:ascii="Arial" w:cs="Arial" w:eastAsia="Arial" w:hAnsi="Arial"/>
          <w:sz w:val="17"/>
          <w:szCs w:val="17"/>
          <w:color w:val="auto"/>
        </w:rPr>
        <w:t xml:space="preserve"> </w:t>
      </w:r>
      <w:r>
        <w:rPr>
          <w:rFonts w:ascii="Arial" w:cs="Arial" w:eastAsia="Arial" w:hAnsi="Arial"/>
          <w:sz w:val="15"/>
          <w:szCs w:val="15"/>
          <w:color w:val="auto"/>
        </w:rPr>
        <w:t>cost basis and are considered return of capital.</w:t>
      </w:r>
    </w:p>
    <w:p>
      <w:pPr>
        <w:spacing w:after="0" w:line="1" w:lineRule="exact"/>
        <w:rPr>
          <w:rFonts w:ascii="Arial" w:cs="Arial" w:eastAsia="Arial" w:hAnsi="Arial"/>
          <w:sz w:val="17"/>
          <w:szCs w:val="17"/>
          <w:color w:val="auto"/>
        </w:rPr>
      </w:pPr>
    </w:p>
    <w:p>
      <w:pPr>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13   </w:t>
      </w:r>
      <w:r>
        <w:rPr>
          <w:rFonts w:ascii="Arial" w:cs="Arial" w:eastAsia="Arial" w:hAnsi="Arial"/>
          <w:sz w:val="15"/>
          <w:szCs w:val="15"/>
          <w:color w:val="auto"/>
        </w:rPr>
        <w:t>Fair value of this investment was determined using significant unobservable inputs.</w:t>
      </w:r>
    </w:p>
    <w:p>
      <w:pPr>
        <w:ind w:left="380" w:right="160" w:hanging="364"/>
        <w:spacing w:after="0" w:line="211" w:lineRule="auto"/>
        <w:rPr>
          <w:rFonts w:ascii="Arial" w:cs="Arial" w:eastAsia="Arial" w:hAnsi="Arial"/>
          <w:sz w:val="17"/>
          <w:szCs w:val="17"/>
          <w:color w:val="auto"/>
        </w:rPr>
      </w:pPr>
      <w:r>
        <w:rPr>
          <w:rFonts w:ascii="Arial" w:cs="Arial" w:eastAsia="Arial" w:hAnsi="Arial"/>
          <w:sz w:val="16"/>
          <w:szCs w:val="16"/>
          <w:color w:val="auto"/>
        </w:rPr>
        <w:t xml:space="preserve">14 </w:t>
      </w:r>
      <w:r>
        <w:rPr>
          <w:rFonts w:ascii="Arial" w:cs="Arial" w:eastAsia="Arial" w:hAnsi="Arial"/>
          <w:sz w:val="14"/>
          <w:szCs w:val="14"/>
          <w:color w:val="auto"/>
        </w:rPr>
        <w:t>As of December 31, 2019, this investment is owned by Great Lakes Portman Ridge Funding, LLC and was pledged to secure Great Lakes Portman Ridge Funding, LLC’s debt</w:t>
      </w:r>
      <w:r>
        <w:rPr>
          <w:rFonts w:ascii="Arial" w:cs="Arial" w:eastAsia="Arial" w:hAnsi="Arial"/>
          <w:sz w:val="16"/>
          <w:szCs w:val="16"/>
          <w:color w:val="auto"/>
        </w:rPr>
        <w:t xml:space="preserve"> </w:t>
      </w:r>
      <w:r>
        <w:rPr>
          <w:rFonts w:ascii="Arial" w:cs="Arial" w:eastAsia="Arial" w:hAnsi="Arial"/>
          <w:sz w:val="14"/>
          <w:szCs w:val="14"/>
          <w:color w:val="auto"/>
        </w:rPr>
        <w:t>obligation pursuant to its senior secured revolving credit facility (the “Revolving Credit Facility”) with JPMorgan Chase Bank, National Association (“JPM”).</w:t>
      </w:r>
    </w:p>
    <w:p>
      <w:pPr>
        <w:ind w:left="380" w:right="32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15 </w:t>
      </w:r>
      <w:r>
        <w:rPr>
          <w:rFonts w:ascii="Arial" w:cs="Arial" w:eastAsia="Arial" w:hAnsi="Arial"/>
          <w:sz w:val="15"/>
          <w:szCs w:val="15"/>
          <w:color w:val="auto"/>
        </w:rPr>
        <w:t>The Company's investments are generally acquired in private transactions exempt from registration under the Securities Act of 1933, as amended (the “Securities Act”) and,</w:t>
      </w:r>
      <w:r>
        <w:rPr>
          <w:rFonts w:ascii="Arial" w:cs="Arial" w:eastAsia="Arial" w:hAnsi="Arial"/>
          <w:sz w:val="17"/>
          <w:szCs w:val="17"/>
          <w:color w:val="auto"/>
        </w:rPr>
        <w:t xml:space="preserve"> </w:t>
      </w:r>
      <w:r>
        <w:rPr>
          <w:rFonts w:ascii="Arial" w:cs="Arial" w:eastAsia="Arial" w:hAnsi="Arial"/>
          <w:sz w:val="15"/>
          <w:szCs w:val="15"/>
          <w:color w:val="auto"/>
        </w:rPr>
        <w:t>therefore, are generally subject to limitations on resale, and may be deemed to be “restricted securities'' under the Securities Act of 1933.</w:t>
      </w:r>
    </w:p>
    <w:p>
      <w:pPr>
        <w:spacing w:after="0" w:line="1" w:lineRule="exact"/>
        <w:rPr>
          <w:rFonts w:ascii="Arial" w:cs="Arial" w:eastAsia="Arial" w:hAnsi="Arial"/>
          <w:sz w:val="17"/>
          <w:szCs w:val="17"/>
          <w:color w:val="auto"/>
        </w:rPr>
      </w:pPr>
    </w:p>
    <w:p>
      <w:pPr>
        <w:ind w:left="380" w:right="120" w:hanging="364"/>
        <w:spacing w:after="0" w:line="198" w:lineRule="auto"/>
        <w:rPr>
          <w:rFonts w:ascii="Arial" w:cs="Arial" w:eastAsia="Arial" w:hAnsi="Arial"/>
          <w:sz w:val="17"/>
          <w:szCs w:val="17"/>
          <w:color w:val="auto"/>
        </w:rPr>
      </w:pPr>
      <w:r>
        <w:rPr>
          <w:rFonts w:ascii="Arial" w:cs="Arial" w:eastAsia="Arial" w:hAnsi="Arial"/>
          <w:sz w:val="17"/>
          <w:szCs w:val="17"/>
          <w:color w:val="auto"/>
        </w:rPr>
        <w:t xml:space="preserve">16 </w:t>
      </w:r>
      <w:r>
        <w:rPr>
          <w:rFonts w:ascii="Arial" w:cs="Arial" w:eastAsia="Arial" w:hAnsi="Arial"/>
          <w:sz w:val="15"/>
          <w:szCs w:val="15"/>
          <w:color w:val="auto"/>
        </w:rPr>
        <w:t>As defined in the 1940 Act, the Company is deemed to be both an “Affiliated Person” and has “Control” of this portfolio company as the Company owns more than 25% of the</w:t>
      </w:r>
      <w:r>
        <w:rPr>
          <w:rFonts w:ascii="Arial" w:cs="Arial" w:eastAsia="Arial" w:hAnsi="Arial"/>
          <w:sz w:val="17"/>
          <w:szCs w:val="17"/>
          <w:color w:val="auto"/>
        </w:rPr>
        <w:t xml:space="preserve"> </w:t>
      </w:r>
      <w:r>
        <w:rPr>
          <w:rFonts w:ascii="Arial" w:cs="Arial" w:eastAsia="Arial" w:hAnsi="Arial"/>
          <w:sz w:val="15"/>
          <w:szCs w:val="15"/>
          <w:color w:val="auto"/>
        </w:rPr>
        <w:t>portfolio company’s outstanding voting securities or has the power to exercise control over management or policies of such portfolio company.</w:t>
      </w:r>
    </w:p>
    <w:p>
      <w:pPr>
        <w:spacing w:after="0" w:line="1" w:lineRule="exact"/>
        <w:rPr>
          <w:rFonts w:ascii="Arial" w:cs="Arial" w:eastAsia="Arial" w:hAnsi="Arial"/>
          <w:sz w:val="17"/>
          <w:szCs w:val="17"/>
          <w:color w:val="auto"/>
        </w:rPr>
      </w:pPr>
    </w:p>
    <w:p>
      <w:pPr>
        <w:spacing w:after="0" w:line="228" w:lineRule="auto"/>
        <w:rPr>
          <w:rFonts w:ascii="Arial" w:cs="Arial" w:eastAsia="Arial" w:hAnsi="Arial"/>
          <w:sz w:val="17"/>
          <w:szCs w:val="17"/>
          <w:color w:val="auto"/>
        </w:rPr>
      </w:pPr>
      <w:r>
        <w:rPr>
          <w:rFonts w:ascii="Arial" w:cs="Arial" w:eastAsia="Arial" w:hAnsi="Arial"/>
          <w:sz w:val="17"/>
          <w:szCs w:val="17"/>
          <w:color w:val="auto"/>
        </w:rPr>
        <w:t xml:space="preserve">17   </w:t>
      </w:r>
      <w:r>
        <w:rPr>
          <w:rFonts w:ascii="Arial" w:cs="Arial" w:eastAsia="Arial" w:hAnsi="Arial"/>
          <w:sz w:val="15"/>
          <w:szCs w:val="15"/>
          <w:color w:val="auto"/>
        </w:rPr>
        <w:t>Ownership of LP interest held through the holding company BCP Great Lakes Fund, L.P, a non-U.S. company or principal place of business outside the U.S.</w:t>
      </w:r>
    </w:p>
    <w:p>
      <w:pPr>
        <w:ind w:left="380" w:right="180" w:hanging="372"/>
        <w:spacing w:after="0" w:line="185" w:lineRule="auto"/>
        <w:tabs>
          <w:tab w:leader="none" w:pos="380" w:val="left"/>
        </w:tabs>
        <w:numPr>
          <w:ilvl w:val="0"/>
          <w:numId w:val="63"/>
        </w:numPr>
        <w:rPr>
          <w:rFonts w:ascii="Arial" w:cs="Arial" w:eastAsia="Arial" w:hAnsi="Arial"/>
          <w:sz w:val="25"/>
          <w:szCs w:val="25"/>
          <w:color w:val="auto"/>
          <w:vertAlign w:val="superscript"/>
        </w:rPr>
      </w:pPr>
      <w:r>
        <w:rPr>
          <w:rFonts w:ascii="Arial" w:cs="Arial" w:eastAsia="Arial" w:hAnsi="Arial"/>
          <w:sz w:val="15"/>
          <w:szCs w:val="15"/>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7" w:lineRule="auto"/>
        <w:tabs>
          <w:tab w:leader="none" w:pos="38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Non-income producing.</w:t>
      </w:r>
    </w:p>
    <w:p>
      <w:pPr>
        <w:ind w:left="380" w:hanging="372"/>
        <w:spacing w:after="0" w:line="187" w:lineRule="auto"/>
        <w:tabs>
          <w:tab w:leader="none" w:pos="38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Investment is entitled to skim interest which results in a higher interest rate spread of approximately 30 basis points.</w:t>
      </w:r>
    </w:p>
    <w:p>
      <w:pPr>
        <w:ind w:left="380" w:hanging="372"/>
        <w:spacing w:after="0" w:line="187" w:lineRule="auto"/>
        <w:tabs>
          <w:tab w:leader="none" w:pos="380" w:val="left"/>
        </w:tabs>
        <w:numPr>
          <w:ilvl w:val="0"/>
          <w:numId w:val="63"/>
        </w:numPr>
        <w:rPr>
          <w:rFonts w:ascii="Arial" w:cs="Arial" w:eastAsia="Arial" w:hAnsi="Arial"/>
          <w:sz w:val="18"/>
          <w:szCs w:val="18"/>
          <w:color w:val="auto"/>
          <w:vertAlign w:val="superscript"/>
        </w:rPr>
      </w:pPr>
      <w:r>
        <w:rPr>
          <w:rFonts w:ascii="Arial" w:cs="Arial" w:eastAsia="Arial" w:hAnsi="Arial"/>
          <w:sz w:val="12"/>
          <w:szCs w:val="12"/>
          <w:color w:val="auto"/>
        </w:rPr>
        <w:t>Owns 100% of Class A Units in OHA/OCI Investments, LLC representing 20.8% diluted ownership of OCI Holdings, LLC</w:t>
      </w:r>
    </w:p>
    <w:p>
      <w:pPr>
        <w:ind w:left="380" w:hanging="372"/>
        <w:spacing w:after="0" w:line="180" w:lineRule="auto"/>
        <w:tabs>
          <w:tab w:leader="none" w:pos="380" w:val="left"/>
        </w:tabs>
        <w:numPr>
          <w:ilvl w:val="0"/>
          <w:numId w:val="63"/>
        </w:numPr>
        <w:rPr>
          <w:rFonts w:ascii="Arial" w:cs="Arial" w:eastAsia="Arial" w:hAnsi="Arial"/>
          <w:sz w:val="20"/>
          <w:szCs w:val="20"/>
          <w:color w:val="auto"/>
          <w:vertAlign w:val="superscript"/>
        </w:rPr>
      </w:pPr>
      <w:r>
        <w:rPr>
          <w:rFonts w:ascii="Arial" w:cs="Arial" w:eastAsia="Arial" w:hAnsi="Arial"/>
          <w:sz w:val="13"/>
          <w:szCs w:val="13"/>
          <w:color w:val="auto"/>
        </w:rPr>
        <w:t>Information related to the Company’s derivatives is presented below as of December 31, 2019:</w:t>
      </w:r>
    </w:p>
    <w:tbl>
      <w:tblPr>
        <w:tblLayout w:type="fixed"/>
        <w:tblInd w:w="0" w:type="dxa"/>
        <w:tblCellMar>
          <w:top w:w="0" w:type="dxa"/>
          <w:left w:w="0" w:type="dxa"/>
          <w:bottom w:w="0" w:type="dxa"/>
          <w:right w:w="0" w:type="dxa"/>
        </w:tblCellMar>
      </w:tblPr>
      <w:tr>
        <w:trPr>
          <w:trHeight w:val="121"/>
        </w:trPr>
        <w:tc>
          <w:tcPr>
            <w:tcW w:w="206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4"/>
              </w:rPr>
              <w:t>Payments</w:t>
            </w:r>
          </w:p>
        </w:tc>
        <w:tc>
          <w:tcPr>
            <w:tcW w:w="1040" w:type="dxa"/>
            <w:vAlign w:val="bottom"/>
          </w:tcPr>
          <w:p>
            <w:pPr>
              <w:jc w:val="center"/>
              <w:ind w:left="137"/>
              <w:spacing w:after="0" w:line="121" w:lineRule="exact"/>
              <w:rPr>
                <w:sz w:val="20"/>
                <w:szCs w:val="20"/>
                <w:color w:val="auto"/>
              </w:rPr>
            </w:pPr>
            <w:r>
              <w:rPr>
                <w:rFonts w:ascii="Arial" w:cs="Arial" w:eastAsia="Arial" w:hAnsi="Arial"/>
                <w:sz w:val="13"/>
                <w:szCs w:val="13"/>
                <w:b w:val="1"/>
                <w:bCs w:val="1"/>
                <w:color w:val="auto"/>
                <w:w w:val="84"/>
              </w:rPr>
              <w:t>Payments</w:t>
            </w:r>
          </w:p>
        </w:tc>
        <w:tc>
          <w:tcPr>
            <w:tcW w:w="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left="17"/>
              <w:spacing w:after="0" w:line="121"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97"/>
              <w:spacing w:after="0" w:line="121" w:lineRule="exact"/>
              <w:rPr>
                <w:sz w:val="20"/>
                <w:szCs w:val="20"/>
                <w:color w:val="auto"/>
              </w:rPr>
            </w:pPr>
            <w:r>
              <w:rPr>
                <w:rFonts w:ascii="Arial" w:cs="Arial" w:eastAsia="Arial" w:hAnsi="Arial"/>
                <w:sz w:val="13"/>
                <w:szCs w:val="13"/>
                <w:b w:val="1"/>
                <w:bCs w:val="1"/>
                <w:color w:val="auto"/>
                <w:w w:val="89"/>
              </w:rPr>
              <w:t>Upfront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3"/>
          </w:tcPr>
          <w:p>
            <w:pPr>
              <w:jc w:val="center"/>
              <w:ind w:right="180"/>
              <w:spacing w:after="0" w:line="121" w:lineRule="exact"/>
              <w:rPr>
                <w:sz w:val="20"/>
                <w:szCs w:val="20"/>
                <w:color w:val="auto"/>
              </w:rPr>
            </w:pPr>
            <w:r>
              <w:rPr>
                <w:rFonts w:ascii="Arial" w:cs="Arial" w:eastAsia="Arial" w:hAnsi="Arial"/>
                <w:sz w:val="13"/>
                <w:szCs w:val="13"/>
                <w:b w:val="1"/>
                <w:bCs w:val="1"/>
                <w:color w:val="auto"/>
                <w:w w:val="88"/>
              </w:rPr>
              <w:t>Unrealized</w:t>
            </w:r>
          </w:p>
        </w:tc>
      </w:tr>
      <w:tr>
        <w:trPr>
          <w:trHeight w:val="153"/>
        </w:trPr>
        <w:tc>
          <w:tcPr>
            <w:tcW w:w="206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82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83"/>
              </w:rPr>
              <w:t>received</w:t>
            </w:r>
          </w:p>
        </w:tc>
        <w:tc>
          <w:tcPr>
            <w:tcW w:w="540" w:type="dxa"/>
            <w:vAlign w:val="bottom"/>
          </w:tcPr>
          <w:p>
            <w:pPr>
              <w:spacing w:after="0"/>
              <w:rPr>
                <w:sz w:val="13"/>
                <w:szCs w:val="13"/>
                <w:color w:val="auto"/>
              </w:rPr>
            </w:pPr>
          </w:p>
        </w:tc>
        <w:tc>
          <w:tcPr>
            <w:tcW w:w="1420" w:type="dxa"/>
            <w:vAlign w:val="bottom"/>
          </w:tcPr>
          <w:p>
            <w:pPr>
              <w:jc w:val="center"/>
              <w:ind w:right="37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Maturity date</w:t>
            </w:r>
          </w:p>
        </w:tc>
        <w:tc>
          <w:tcPr>
            <w:tcW w:w="820" w:type="dxa"/>
            <w:vAlign w:val="bottom"/>
            <w:gridSpan w:val="3"/>
          </w:tcPr>
          <w:p>
            <w:pPr>
              <w:jc w:val="center"/>
              <w:ind w:left="37"/>
              <w:spacing w:after="0"/>
              <w:rPr>
                <w:sz w:val="20"/>
                <w:szCs w:val="20"/>
                <w:color w:val="auto"/>
              </w:rPr>
            </w:pPr>
            <w:r>
              <w:rPr>
                <w:rFonts w:ascii="Arial" w:cs="Arial" w:eastAsia="Arial" w:hAnsi="Arial"/>
                <w:sz w:val="13"/>
                <w:szCs w:val="13"/>
                <w:b w:val="1"/>
                <w:bCs w:val="1"/>
                <w:color w:val="auto"/>
                <w:w w:val="85"/>
              </w:rPr>
              <w:t>amount</w:t>
            </w:r>
          </w:p>
        </w:tc>
        <w:tc>
          <w:tcPr>
            <w:tcW w:w="180" w:type="dxa"/>
            <w:vAlign w:val="bottom"/>
          </w:tcPr>
          <w:p>
            <w:pPr>
              <w:spacing w:after="0"/>
              <w:rPr>
                <w:sz w:val="13"/>
                <w:szCs w:val="13"/>
                <w:color w:val="auto"/>
              </w:rPr>
            </w:pPr>
          </w:p>
        </w:tc>
        <w:tc>
          <w:tcPr>
            <w:tcW w:w="1140" w:type="dxa"/>
            <w:vAlign w:val="bottom"/>
            <w:gridSpan w:val="4"/>
          </w:tcPr>
          <w:p>
            <w:pPr>
              <w:ind w:left="400"/>
              <w:spacing w:after="0"/>
              <w:rPr>
                <w:sz w:val="20"/>
                <w:szCs w:val="20"/>
                <w:color w:val="auto"/>
              </w:rPr>
            </w:pPr>
            <w:r>
              <w:rPr>
                <w:rFonts w:ascii="Arial" w:cs="Arial" w:eastAsia="Arial" w:hAnsi="Arial"/>
                <w:sz w:val="13"/>
                <w:szCs w:val="13"/>
                <w:b w:val="1"/>
                <w:bCs w:val="1"/>
                <w:color w:val="auto"/>
              </w:rPr>
              <w:t>Value</w:t>
            </w:r>
          </w:p>
        </w:tc>
        <w:tc>
          <w:tcPr>
            <w:tcW w:w="1180" w:type="dxa"/>
            <w:vAlign w:val="bottom"/>
          </w:tcPr>
          <w:p>
            <w:pPr>
              <w:jc w:val="center"/>
              <w:ind w:left="97"/>
              <w:spacing w:after="0"/>
              <w:rPr>
                <w:sz w:val="20"/>
                <w:szCs w:val="20"/>
                <w:color w:val="auto"/>
              </w:rPr>
            </w:pPr>
            <w:r>
              <w:rPr>
                <w:rFonts w:ascii="Arial" w:cs="Arial" w:eastAsia="Arial" w:hAnsi="Arial"/>
                <w:sz w:val="13"/>
                <w:szCs w:val="13"/>
                <w:b w:val="1"/>
                <w:bCs w:val="1"/>
                <w:color w:val="auto"/>
                <w:w w:val="85"/>
              </w:rPr>
              <w:t>payments/receipts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9"/>
              </w:rPr>
              <w:t>Securities Swap and Option Agreement</w:t>
            </w:r>
          </w:p>
        </w:tc>
        <w:tc>
          <w:tcPr>
            <w:tcW w:w="820" w:type="dxa"/>
            <w:vAlign w:val="bottom"/>
            <w:tcBorders>
              <w:top w:val="single" w:sz="8" w:color="auto"/>
            </w:tcBorders>
            <w:shd w:val="clear" w:color="auto" w:fill="CFF0FC"/>
          </w:tcPr>
          <w:p>
            <w:pPr>
              <w:ind w:left="40"/>
              <w:spacing w:after="0" w:line="142" w:lineRule="exact"/>
              <w:rPr>
                <w:sz w:val="20"/>
                <w:szCs w:val="20"/>
                <w:color w:val="auto"/>
              </w:rPr>
            </w:pPr>
            <w:r>
              <w:rPr>
                <w:rFonts w:ascii="Arial" w:cs="Arial" w:eastAsia="Arial" w:hAnsi="Arial"/>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color w:val="auto"/>
              </w:rPr>
              <w:t>16% Cash</w:t>
            </w:r>
          </w:p>
        </w:tc>
        <w:tc>
          <w:tcPr>
            <w:tcW w:w="1960" w:type="dxa"/>
            <w:vAlign w:val="bottom"/>
            <w:tcBorders>
              <w:top w:val="single" w:sz="8" w:color="auto"/>
            </w:tcBorders>
            <w:gridSpan w:val="2"/>
            <w:shd w:val="clear" w:color="auto" w:fill="CFF0FC"/>
          </w:tcPr>
          <w:p>
            <w:pPr>
              <w:jc w:val="center"/>
              <w:ind w:left="37"/>
              <w:spacing w:after="0" w:line="142" w:lineRule="exact"/>
              <w:rPr>
                <w:sz w:val="20"/>
                <w:szCs w:val="20"/>
                <w:color w:val="auto"/>
              </w:rPr>
            </w:pPr>
            <w:r>
              <w:rPr>
                <w:rFonts w:ascii="Arial" w:cs="Arial" w:eastAsia="Arial" w:hAnsi="Arial"/>
                <w:sz w:val="13"/>
                <w:szCs w:val="13"/>
                <w:color w:val="auto"/>
                <w:w w:val="90"/>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$ 5,500,000</w:t>
            </w:r>
          </w:p>
        </w:tc>
        <w:tc>
          <w:tcPr>
            <w:tcW w:w="1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ind w:left="60"/>
              <w:spacing w:after="0" w:line="142"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90"/>
              </w:rPr>
              <w:t>(41,093)</w:t>
            </w:r>
          </w:p>
        </w:tc>
        <w:tc>
          <w:tcPr>
            <w:tcW w:w="100" w:type="dxa"/>
            <w:vAlign w:val="bottom"/>
            <w:tcBorders>
              <w:top w:val="single" w:sz="8" w:color="CFF0FC"/>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ind w:right="95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(41,093)</w:t>
            </w:r>
          </w:p>
        </w:tc>
        <w:tc>
          <w:tcPr>
            <w:tcW w:w="100" w:type="dxa"/>
            <w:vAlign w:val="bottom"/>
            <w:tcBorders>
              <w:top w:val="single" w:sz="8" w:color="CFF0FC"/>
            </w:tcBorders>
            <w:shd w:val="clear" w:color="auto" w:fill="CFF0FC"/>
          </w:tcPr>
          <w:p>
            <w:pPr>
              <w:spacing w:after="0"/>
              <w:rPr>
                <w:sz w:val="12"/>
                <w:szCs w:val="12"/>
                <w:color w:val="auto"/>
              </w:rPr>
            </w:pPr>
          </w:p>
        </w:tc>
      </w:tr>
      <w:tr>
        <w:trPr>
          <w:trHeight w:val="346"/>
        </w:trPr>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7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06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820" w:type="dxa"/>
            <w:vAlign w:val="bottom"/>
          </w:tcPr>
          <w:p>
            <w:pPr>
              <w:spacing w:after="0"/>
              <w:rPr>
                <w:sz w:val="13"/>
                <w:szCs w:val="13"/>
                <w:color w:val="auto"/>
              </w:rPr>
            </w:pPr>
          </w:p>
        </w:tc>
        <w:tc>
          <w:tcPr>
            <w:tcW w:w="1580" w:type="dxa"/>
            <w:vAlign w:val="bottom"/>
            <w:gridSpan w:val="2"/>
          </w:tcPr>
          <w:p>
            <w:pPr>
              <w:ind w:left="600"/>
              <w:spacing w:after="0"/>
              <w:rPr>
                <w:sz w:val="20"/>
                <w:szCs w:val="20"/>
                <w:color w:val="auto"/>
              </w:rPr>
            </w:pPr>
            <w:r>
              <w:rPr>
                <w:rFonts w:ascii="Arial" w:cs="Arial" w:eastAsia="Arial" w:hAnsi="Arial"/>
                <w:sz w:val="13"/>
                <w:szCs w:val="13"/>
                <w:b w:val="1"/>
                <w:bCs w:val="1"/>
                <w:color w:val="auto"/>
              </w:rPr>
              <w:t>Counterparty</w:t>
            </w:r>
          </w:p>
        </w:tc>
        <w:tc>
          <w:tcPr>
            <w:tcW w:w="2060" w:type="dxa"/>
            <w:vAlign w:val="bottom"/>
            <w:gridSpan w:val="2"/>
          </w:tcPr>
          <w:p>
            <w:pPr>
              <w:jc w:val="right"/>
              <w:ind w:right="497"/>
              <w:spacing w:after="0"/>
              <w:rPr>
                <w:sz w:val="20"/>
                <w:szCs w:val="20"/>
                <w:color w:val="auto"/>
              </w:rPr>
            </w:pPr>
            <w:r>
              <w:rPr>
                <w:rFonts w:ascii="Arial" w:cs="Arial" w:eastAsia="Arial" w:hAnsi="Arial"/>
                <w:sz w:val="13"/>
                <w:szCs w:val="13"/>
                <w:b w:val="1"/>
                <w:bCs w:val="1"/>
                <w:color w:val="auto"/>
              </w:rPr>
              <w:t>Number of shares</w:t>
            </w:r>
          </w:p>
        </w:tc>
        <w:tc>
          <w:tcPr>
            <w:tcW w:w="220" w:type="dxa"/>
            <w:vAlign w:val="bottom"/>
          </w:tcPr>
          <w:p>
            <w:pPr>
              <w:spacing w:after="0"/>
              <w:rPr>
                <w:sz w:val="13"/>
                <w:szCs w:val="13"/>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3"/>
                <w:szCs w:val="13"/>
                <w:color w:val="auto"/>
              </w:rPr>
            </w:pPr>
          </w:p>
        </w:tc>
        <w:tc>
          <w:tcPr>
            <w:tcW w:w="164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ind w:left="12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82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20"/>
              <w:spacing w:after="0" w:line="142" w:lineRule="exact"/>
              <w:rPr>
                <w:sz w:val="20"/>
                <w:szCs w:val="20"/>
                <w:color w:val="auto"/>
              </w:rPr>
            </w:pPr>
            <w:r>
              <w:rPr>
                <w:rFonts w:ascii="Arial" w:cs="Arial" w:eastAsia="Arial" w:hAnsi="Arial"/>
                <w:sz w:val="13"/>
                <w:szCs w:val="13"/>
                <w:color w:val="auto"/>
              </w:rPr>
              <w:t>HDNet Holdco LLC</w:t>
            </w:r>
          </w:p>
        </w:tc>
        <w:tc>
          <w:tcPr>
            <w:tcW w:w="14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22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center"/>
              <w:ind w:left="237"/>
              <w:spacing w:after="0" w:line="142" w:lineRule="exact"/>
              <w:rPr>
                <w:sz w:val="20"/>
                <w:szCs w:val="20"/>
                <w:color w:val="auto"/>
              </w:rPr>
            </w:pPr>
            <w:r>
              <w:rPr>
                <w:rFonts w:ascii="Arial" w:cs="Arial" w:eastAsia="Arial" w:hAnsi="Arial"/>
                <w:sz w:val="13"/>
                <w:szCs w:val="13"/>
                <w:color w:val="auto"/>
                <w:w w:val="85"/>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gridSpan w:val="2"/>
            <w:shd w:val="clear" w:color="auto" w:fill="CFF0FC"/>
          </w:tcPr>
          <w:p>
            <w:pPr>
              <w:jc w:val="right"/>
              <w:ind w:right="357"/>
              <w:spacing w:after="0" w:line="142" w:lineRule="exact"/>
              <w:rPr>
                <w:sz w:val="20"/>
                <w:szCs w:val="20"/>
                <w:color w:val="auto"/>
              </w:rPr>
            </w:pPr>
            <w:r>
              <w:rPr>
                <w:rFonts w:ascii="Arial" w:cs="Arial" w:eastAsia="Arial" w:hAnsi="Arial"/>
                <w:sz w:val="13"/>
                <w:szCs w:val="13"/>
                <w:color w:val="auto"/>
                <w:w w:val="88"/>
              </w:rPr>
              <w:t>$ 0.01</w:t>
            </w:r>
          </w:p>
        </w:tc>
        <w:tc>
          <w:tcPr>
            <w:tcW w:w="10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gridSpan w:val="2"/>
            <w:shd w:val="clear" w:color="auto" w:fill="CFF0FC"/>
          </w:tcPr>
          <w:p>
            <w:pPr>
              <w:jc w:val="center"/>
              <w:ind w:right="120"/>
              <w:spacing w:after="0" w:line="142" w:lineRule="exact"/>
              <w:rPr>
                <w:sz w:val="20"/>
                <w:szCs w:val="20"/>
                <w:color w:val="auto"/>
              </w:rPr>
            </w:pPr>
            <w:r>
              <w:rPr>
                <w:rFonts w:ascii="Arial" w:cs="Arial" w:eastAsia="Arial" w:hAnsi="Arial"/>
                <w:sz w:val="13"/>
                <w:szCs w:val="13"/>
                <w:color w:val="auto"/>
              </w:rPr>
              <w:t>N/A</w:t>
            </w:r>
          </w:p>
        </w:tc>
        <w:tc>
          <w:tcPr>
            <w:tcW w:w="118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8640" w:type="dxa"/>
            <w:vAlign w:val="bottom"/>
            <w:gridSpan w:val="11"/>
          </w:tcPr>
          <w:p>
            <w:pPr>
              <w:jc w:val="center"/>
              <w:ind w:left="2530"/>
              <w:spacing w:after="0"/>
              <w:rPr>
                <w:sz w:val="20"/>
                <w:szCs w:val="20"/>
                <w:color w:val="auto"/>
              </w:rPr>
            </w:pPr>
            <w:r>
              <w:rPr>
                <w:rFonts w:ascii="Arial" w:cs="Arial" w:eastAsia="Arial" w:hAnsi="Arial"/>
                <w:sz w:val="18"/>
                <w:szCs w:val="18"/>
                <w:b w:val="1"/>
                <w:bCs w:val="1"/>
                <w:color w:val="231F20"/>
              </w:rPr>
              <w:t>PORTMAN RIDGE FINANCE CORPORATION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3"/>
        </w:trPr>
        <w:tc>
          <w:tcPr>
            <w:tcW w:w="8640" w:type="dxa"/>
            <w:vAlign w:val="bottom"/>
            <w:gridSpan w:val="11"/>
          </w:tcPr>
          <w:p>
            <w:pPr>
              <w:jc w:val="center"/>
              <w:ind w:left="2530"/>
              <w:spacing w:after="0"/>
              <w:rPr>
                <w:sz w:val="20"/>
                <w:szCs w:val="20"/>
                <w:color w:val="auto"/>
              </w:rPr>
            </w:pPr>
            <w:r>
              <w:rPr>
                <w:rFonts w:ascii="Arial" w:cs="Arial" w:eastAsia="Arial" w:hAnsi="Arial"/>
                <w:sz w:val="18"/>
                <w:szCs w:val="18"/>
                <w:b w:val="1"/>
                <w:bCs w:val="1"/>
                <w:color w:val="231F20"/>
              </w:rPr>
              <w:t>CONSOLIDATED FINANCIAL HIGHLIGHTS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231F20"/>
                <w:w w:val="90"/>
              </w:rPr>
              <w:t>($ per share)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For the Year Ended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44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15"/>
                <w:szCs w:val="15"/>
                <w:b w:val="1"/>
                <w:bCs w:val="1"/>
                <w:color w:val="auto"/>
              </w:rPr>
              <w:t>4</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15"/>
                <w:szCs w:val="15"/>
                <w:b w:val="1"/>
                <w:bCs w:val="1"/>
                <w:color w:val="auto"/>
              </w:rPr>
              <w:t>4</w:t>
            </w:r>
          </w:p>
        </w:tc>
        <w:tc>
          <w:tcPr>
            <w:tcW w:w="3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4</w:t>
            </w:r>
          </w:p>
        </w:tc>
        <w:tc>
          <w:tcPr>
            <w:tcW w:w="4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15"/>
                <w:szCs w:val="15"/>
                <w:b w:val="1"/>
                <w:bCs w:val="1"/>
                <w:color w:val="auto"/>
              </w:rPr>
              <w:t>4</w:t>
            </w:r>
          </w:p>
        </w:tc>
        <w:tc>
          <w:tcPr>
            <w:tcW w:w="2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r>
              <w:rPr>
                <w:rFonts w:ascii="Arial" w:cs="Arial" w:eastAsia="Arial" w:hAnsi="Arial"/>
                <w:sz w:val="15"/>
                <w:szCs w:val="15"/>
                <w:b w:val="1"/>
                <w:bCs w:val="1"/>
                <w:color w:val="auto"/>
              </w:rPr>
              <w:t>4</w:t>
            </w:r>
          </w:p>
        </w:tc>
        <w:tc>
          <w:tcPr>
            <w:tcW w:w="180" w:type="dxa"/>
            <w:vAlign w:val="bottom"/>
            <w:tcBorders>
              <w:bottom w:val="single" w:sz="8" w:color="CFF0FC"/>
            </w:tcBorders>
          </w:tcPr>
          <w:p>
            <w:pPr>
              <w:spacing w:after="0"/>
              <w:rPr>
                <w:sz w:val="21"/>
                <w:szCs w:val="2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9"/>
                <w:szCs w:val="19"/>
                <w:color w:val="auto"/>
              </w:rPr>
            </w:pP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FF0FC"/>
          </w:tcPr>
          <w:p>
            <w:pPr>
              <w:spacing w:after="0"/>
              <w:rPr>
                <w:sz w:val="19"/>
                <w:szCs w:val="19"/>
                <w:color w:val="auto"/>
              </w:rPr>
            </w:pPr>
          </w:p>
        </w:tc>
      </w:tr>
      <w:tr>
        <w:trPr>
          <w:trHeight w:val="229"/>
        </w:trPr>
        <w:tc>
          <w:tcPr>
            <w:tcW w:w="4400" w:type="dxa"/>
            <w:vAlign w:val="bottom"/>
          </w:tcPr>
          <w:p>
            <w:pPr>
              <w:ind w:left="260"/>
              <w:spacing w:after="0"/>
              <w:rPr>
                <w:sz w:val="20"/>
                <w:szCs w:val="20"/>
                <w:color w:val="auto"/>
              </w:rPr>
            </w:pPr>
            <w:r>
              <w:rPr>
                <w:rFonts w:ascii="Arial" w:cs="Arial" w:eastAsia="Arial" w:hAnsi="Arial"/>
                <w:sz w:val="18"/>
                <w:szCs w:val="18"/>
                <w:color w:val="auto"/>
              </w:rPr>
              <w:t>Net realized gains (losses) from investments</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Realized (losses) gains from extinguishment of debt</w:t>
            </w:r>
            <w:r>
              <w:rPr>
                <w:rFonts w:ascii="Arial" w:cs="Arial" w:eastAsia="Arial" w:hAnsi="Arial"/>
                <w:sz w:val="15"/>
                <w:szCs w:val="15"/>
                <w:color w:val="auto"/>
                <w:w w:val="97"/>
              </w:rPr>
              <w:t>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15"/>
        </w:trPr>
        <w:tc>
          <w:tcPr>
            <w:tcW w:w="4400" w:type="dxa"/>
            <w:vAlign w:val="bottom"/>
          </w:tcPr>
          <w:p>
            <w:pPr>
              <w:ind w:left="260"/>
              <w:spacing w:after="0"/>
              <w:rPr>
                <w:sz w:val="20"/>
                <w:szCs w:val="20"/>
                <w:color w:val="auto"/>
              </w:rPr>
            </w:pPr>
            <w:r>
              <w:rPr>
                <w:rFonts w:ascii="Arial" w:cs="Arial" w:eastAsia="Arial" w:hAnsi="Arial"/>
                <w:sz w:val="18"/>
                <w:szCs w:val="18"/>
                <w:color w:val="auto"/>
                <w:w w:val="93"/>
              </w:rPr>
              <w:t>Net change in unrealized (depreciation) appreciation 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r>
      <w:tr>
        <w:trPr>
          <w:trHeight w:val="209"/>
        </w:trPr>
        <w:tc>
          <w:tcPr>
            <w:tcW w:w="4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4"/>
              </w:rPr>
              <w:t>Net (decrease) increase in net assets resulting from</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r>
      <w:tr>
        <w:trPr>
          <w:trHeight w:val="215"/>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w w:val="90"/>
              </w:rPr>
              <w:t>Net increase (decrease) in net assets relating to stock-based</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transactions</w:t>
            </w:r>
            <w:r>
              <w:rPr>
                <w:rFonts w:ascii="Arial" w:cs="Arial" w:eastAsia="Arial" w:hAnsi="Arial"/>
                <w:sz w:val="15"/>
                <w:szCs w:val="15"/>
                <w:color w:val="auto"/>
              </w:rPr>
              <w:t>6</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FF0FC"/>
          </w:tcPr>
          <w:p>
            <w:pPr>
              <w:spacing w:after="0"/>
              <w:rPr>
                <w:sz w:val="20"/>
                <w:szCs w:val="20"/>
                <w:color w:val="auto"/>
              </w:rPr>
            </w:pPr>
          </w:p>
        </w:tc>
      </w:tr>
      <w:tr>
        <w:trPr>
          <w:trHeight w:val="26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 value, end of period</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3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4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Borders>
              <w:bottom w:val="single" w:sz="8" w:color="CFF0FC"/>
            </w:tcBorders>
          </w:tcPr>
          <w:p>
            <w:pPr>
              <w:spacing w:after="0"/>
              <w:rPr>
                <w:sz w:val="22"/>
                <w:szCs w:val="22"/>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 value return</w:t>
            </w:r>
            <w:r>
              <w:rPr>
                <w:rFonts w:ascii="Arial" w:cs="Arial" w:eastAsia="Arial" w:hAnsi="Arial"/>
                <w:sz w:val="15"/>
                <w:szCs w:val="15"/>
                <w:color w:val="auto"/>
              </w:rPr>
              <w:t>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r>
      <w:tr>
        <w:trPr>
          <w:trHeight w:val="229"/>
        </w:trPr>
        <w:tc>
          <w:tcPr>
            <w:tcW w:w="44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beginning of period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Total market return</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75,164,230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44,829,676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37,326,846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37,339,224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37,178,294</w:t>
            </w:r>
          </w:p>
        </w:tc>
        <w:tc>
          <w:tcPr>
            <w:tcW w:w="1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$216,263,863</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152,198,570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158,021,011</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181,804,576</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194,924,925</w:t>
            </w:r>
          </w:p>
        </w:tc>
        <w:tc>
          <w:tcPr>
            <w:tcW w:w="1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Portfolio turnover rate</w:t>
            </w:r>
            <w:r>
              <w:rPr>
                <w:rFonts w:ascii="Arial" w:cs="Arial" w:eastAsia="Arial" w:hAnsi="Arial"/>
                <w:sz w:val="15"/>
                <w:szCs w:val="15"/>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Asset coverage ratio</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w:t>
            </w: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(annualized)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w w:val="92"/>
              </w:rPr>
              <w:t>Ratio of total expenses to average net assets (annualized)7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w w:val="91"/>
              </w:rPr>
              <w:t>Ratio of interest expense to average net assets (annualized)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5"/>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Ratio of non-interest expenses to average net assets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(annualized)7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Based on weighted average number of common shares outstanding for the period.</w:t>
      </w:r>
    </w:p>
    <w:p>
      <w:pPr>
        <w:spacing w:after="0" w:line="109" w:lineRule="exact"/>
        <w:rPr>
          <w:rFonts w:ascii="Arial" w:cs="Arial" w:eastAsia="Arial" w:hAnsi="Arial"/>
          <w:sz w:val="14"/>
          <w:szCs w:val="14"/>
          <w:color w:val="231F20"/>
        </w:rPr>
      </w:pPr>
    </w:p>
    <w:p>
      <w:pPr>
        <w:ind w:left="380" w:right="100" w:hanging="372"/>
        <w:spacing w:after="0" w:line="253" w:lineRule="auto"/>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Total net asset value return equals the change in the ending of period net asset value per share over the beginning of period net asset value per share plus distributions (including any return of capital), divided by the beginning of period net asset value per share.</w:t>
      </w:r>
    </w:p>
    <w:p>
      <w:pPr>
        <w:spacing w:after="0" w:line="65" w:lineRule="exact"/>
        <w:rPr>
          <w:rFonts w:ascii="Arial" w:cs="Arial" w:eastAsia="Arial" w:hAnsi="Arial"/>
          <w:sz w:val="14"/>
          <w:szCs w:val="14"/>
          <w:color w:val="231F20"/>
        </w:rPr>
      </w:pPr>
    </w:p>
    <w:p>
      <w:pPr>
        <w:ind w:left="380" w:right="80" w:hanging="372"/>
        <w:spacing w:after="0" w:line="253" w:lineRule="auto"/>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Total market return equals the change in the ending of period market price per share over the beginning of period price per share plus distributions (including any return of capital), divided by the beginning of period market price per share.</w:t>
      </w:r>
    </w:p>
    <w:p>
      <w:pPr>
        <w:spacing w:after="0" w:line="65" w:lineRule="exact"/>
        <w:rPr>
          <w:rFonts w:ascii="Arial" w:cs="Arial" w:eastAsia="Arial" w:hAnsi="Arial"/>
          <w:sz w:val="14"/>
          <w:szCs w:val="14"/>
          <w:color w:val="231F20"/>
        </w:rPr>
      </w:pPr>
    </w:p>
    <w:p>
      <w:pPr>
        <w:ind w:left="380" w:hanging="372"/>
        <w:spacing w:after="0"/>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Totals may not sum due to rounding.</w:t>
      </w:r>
    </w:p>
    <w:p>
      <w:pPr>
        <w:spacing w:after="0" w:line="95" w:lineRule="exact"/>
        <w:rPr>
          <w:rFonts w:ascii="Arial" w:cs="Arial" w:eastAsia="Arial" w:hAnsi="Arial"/>
          <w:sz w:val="14"/>
          <w:szCs w:val="14"/>
          <w:color w:val="231F20"/>
        </w:rPr>
      </w:pPr>
    </w:p>
    <w:p>
      <w:pPr>
        <w:ind w:left="380" w:hanging="372"/>
        <w:spacing w:after="0"/>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Portfolio turnover rate equals the year-to-date sales and paydowns over the average of the invested assets at fair value.</w:t>
      </w:r>
    </w:p>
    <w:p>
      <w:pPr>
        <w:spacing w:after="0" w:line="95" w:lineRule="exact"/>
        <w:rPr>
          <w:rFonts w:ascii="Arial" w:cs="Arial" w:eastAsia="Arial" w:hAnsi="Arial"/>
          <w:sz w:val="14"/>
          <w:szCs w:val="14"/>
          <w:color w:val="231F20"/>
        </w:rPr>
      </w:pPr>
    </w:p>
    <w:p>
      <w:pPr>
        <w:ind w:left="380" w:hanging="372"/>
        <w:spacing w:after="0"/>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Includes the effects of the share issuance (at net asset value) from the acquisitions of GARS and OHAI, while utilizing different share counts in calculating the other elements</w:t>
      </w:r>
    </w:p>
    <w:p>
      <w:pPr>
        <w:spacing w:after="0" w:line="95" w:lineRule="exact"/>
        <w:rPr>
          <w:rFonts w:ascii="Arial" w:cs="Arial" w:eastAsia="Arial" w:hAnsi="Arial"/>
          <w:sz w:val="14"/>
          <w:szCs w:val="14"/>
          <w:color w:val="231F20"/>
        </w:rPr>
      </w:pPr>
    </w:p>
    <w:p>
      <w:pPr>
        <w:ind w:left="380" w:right="540" w:hanging="372"/>
        <w:spacing w:after="0" w:line="253" w:lineRule="auto"/>
        <w:tabs>
          <w:tab w:leader="none" w:pos="380" w:val="left"/>
        </w:tabs>
        <w:numPr>
          <w:ilvl w:val="0"/>
          <w:numId w:val="64"/>
        </w:numPr>
        <w:rPr>
          <w:rFonts w:ascii="Arial" w:cs="Arial" w:eastAsia="Arial" w:hAnsi="Arial"/>
          <w:sz w:val="14"/>
          <w:szCs w:val="14"/>
          <w:color w:val="231F20"/>
        </w:rPr>
      </w:pPr>
      <w:r>
        <w:rPr>
          <w:rFonts w:ascii="Arial" w:cs="Arial" w:eastAsia="Arial" w:hAnsi="Arial"/>
          <w:sz w:val="14"/>
          <w:szCs w:val="14"/>
          <w:color w:val="auto"/>
        </w:rPr>
        <w:t>Incentive fees earned during the year ended December 31, 2020, were approximately $4.9 million, $557 thousand of which was waived pursuant to the Externalization Agreement. Excluding the waiver, the ratio of total expenses to average net assets was 14.3% and the ratio of non-interest expenses to average net assets was 8.7%.</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7"/>
          <w:szCs w:val="17"/>
          <w:b w:val="1"/>
          <w:bCs w:val="1"/>
          <w:color w:val="auto"/>
        </w:rPr>
        <w:t>PORTMAN RIDGE FINANCE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7"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07"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8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5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8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During the third quarter of 2017, the Company formed a joint venture with Freedom 3 Opportunities LLC (“Freedom 3 Opportunities”), an affiliate of Freedom 3 Capital LLC, to create KCAP Freedom 3 LLC (the “Joint Venture”). The Company and Freedom 3 Opportunities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(as defined below) subsidiaries.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69"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LibreMax Transaction</w:t>
      </w:r>
    </w:p>
    <w:p>
      <w:pPr>
        <w:spacing w:after="0" w:line="121"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December 31, 2020,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17" w:name="page118"/>
    <w:bookmarkEnd w:id="117"/>
    <w:p>
      <w:pPr>
        <w:ind w:right="20" w:firstLine="374"/>
        <w:spacing w:after="0" w:line="271" w:lineRule="auto"/>
        <w:rPr>
          <w:sz w:val="20"/>
          <w:szCs w:val="20"/>
          <w:color w:val="auto"/>
        </w:rPr>
      </w:pPr>
      <w:r>
        <w:rPr>
          <w:rFonts w:ascii="Arial" w:cs="Arial" w:eastAsia="Arial" w:hAnsi="Arial"/>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70"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62" w:lineRule="exact"/>
        <w:rPr>
          <w:sz w:val="20"/>
          <w:szCs w:val="20"/>
          <w:color w:val="auto"/>
        </w:rPr>
      </w:pPr>
    </w:p>
    <w:p>
      <w:pPr>
        <w:ind w:firstLine="374"/>
        <w:spacing w:after="0" w:line="272" w:lineRule="auto"/>
        <w:rPr>
          <w:sz w:val="20"/>
          <w:szCs w:val="20"/>
          <w:color w:val="auto"/>
        </w:rPr>
      </w:pPr>
      <w:r>
        <w:rPr>
          <w:rFonts w:ascii="Arial" w:cs="Arial" w:eastAsia="Arial" w:hAnsi="Arial"/>
          <w:sz w:val="17"/>
          <w:szCs w:val="17"/>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 In May 2019, Mr. Gilligan resigned as Chief Compliance Officer and Andrew Devine was appointed Chief Compliance Officer.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21" w:lineRule="exact"/>
        <w:rPr>
          <w:sz w:val="20"/>
          <w:szCs w:val="20"/>
          <w:color w:val="auto"/>
        </w:rPr>
      </w:pPr>
    </w:p>
    <w:p>
      <w:pPr>
        <w:jc w:val="both"/>
        <w:ind w:right="260" w:firstLine="374"/>
        <w:spacing w:after="0" w:line="311" w:lineRule="auto"/>
        <w:rPr>
          <w:sz w:val="20"/>
          <w:szCs w:val="20"/>
          <w:color w:val="auto"/>
        </w:rPr>
      </w:pPr>
      <w:r>
        <w:rPr>
          <w:rFonts w:ascii="Arial" w:cs="Arial" w:eastAsia="Arial" w:hAnsi="Arial"/>
          <w:sz w:val="16"/>
          <w:szCs w:val="16"/>
          <w:color w:val="auto"/>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41"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87" w:lineRule="exact"/>
        <w:rPr>
          <w:sz w:val="20"/>
          <w:szCs w:val="20"/>
          <w:color w:val="auto"/>
        </w:rPr>
      </w:pPr>
    </w:p>
    <w:p>
      <w:pPr>
        <w:ind w:right="520" w:firstLine="374"/>
        <w:spacing w:after="0" w:line="308" w:lineRule="auto"/>
        <w:rPr>
          <w:sz w:val="20"/>
          <w:szCs w:val="20"/>
          <w:color w:val="auto"/>
        </w:rPr>
      </w:pPr>
      <w:r>
        <w:rPr>
          <w:rFonts w:ascii="Arial" w:cs="Arial" w:eastAsia="Arial" w:hAnsi="Arial"/>
          <w:sz w:val="17"/>
          <w:szCs w:val="17"/>
          <w:color w:val="auto"/>
        </w:rPr>
        <w:t>During the fourth quarter of 2020, LibreMax Intermediate Holdings, LP (“LibreMax”) sold its minority stake in the Adviser to a wholly-owned subsidiary of Mount Logan Capital Inc. (“Mount Logan”). An affiliate of BC Partners serves as administrator to Mount Logan.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On December 18, 2019, the Company completed its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68" w:lineRule="exact"/>
        <w:rPr>
          <w:sz w:val="20"/>
          <w:szCs w:val="20"/>
          <w:color w:val="auto"/>
        </w:rPr>
      </w:pPr>
    </w:p>
    <w:p>
      <w:pPr>
        <w:ind w:right="120" w:firstLine="374"/>
        <w:spacing w:after="0" w:line="311" w:lineRule="auto"/>
        <w:rPr>
          <w:sz w:val="20"/>
          <w:szCs w:val="20"/>
          <w:color w:val="auto"/>
        </w:rPr>
      </w:pPr>
      <w:r>
        <w:rPr>
          <w:rFonts w:ascii="Arial" w:cs="Arial" w:eastAsia="Arial" w:hAnsi="Arial"/>
          <w:sz w:val="16"/>
          <w:szCs w:val="16"/>
          <w:color w:val="auto"/>
        </w:rPr>
        <w:t>Pursuant to the merger agreement, if at any time within one year after the closing date of the transaction the Company’s common stock is trading at a price below 75% of its net asset value, we will initiate an open-market stock repurchase program of up to $10 million to support the trading price of the combined entity for up to one year from the date such program is announced. The Board approved a stock repurchase program in March 2020.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GARS Transaction</w:t>
      </w:r>
    </w:p>
    <w:p>
      <w:pPr>
        <w:spacing w:after="0" w:line="229" w:lineRule="exact"/>
        <w:rPr>
          <w:sz w:val="20"/>
          <w:szCs w:val="20"/>
          <w:color w:val="auto"/>
        </w:rPr>
      </w:pPr>
    </w:p>
    <w:p>
      <w:pPr>
        <w:ind w:right="160" w:firstLine="749"/>
        <w:spacing w:after="0" w:line="342" w:lineRule="auto"/>
        <w:rPr>
          <w:sz w:val="20"/>
          <w:szCs w:val="20"/>
          <w:color w:val="auto"/>
        </w:rPr>
      </w:pPr>
      <w:r>
        <w:rPr>
          <w:rFonts w:ascii="Arial" w:cs="Arial" w:eastAsia="Arial" w:hAnsi="Arial"/>
          <w:sz w:val="16"/>
          <w:szCs w:val="16"/>
          <w:color w:val="auto"/>
        </w:rPr>
        <w:t>On June 24, 2020, the Company entered into an Agreement and Plan of Merger (the “GARS Merger Agreement”) with Garrison Capital Inc., a publicly traded BDC (“GARS”), the Adviser and a wholly-owned merger subsidiary of the Company (such transaction, the “GARS Acquisition”).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18" w:name="page119"/>
    <w:bookmarkEnd w:id="118"/>
    <w:p>
      <w:pPr>
        <w:ind w:firstLine="374"/>
        <w:spacing w:after="0" w:line="254" w:lineRule="auto"/>
        <w:rPr>
          <w:sz w:val="20"/>
          <w:szCs w:val="20"/>
          <w:color w:val="auto"/>
        </w:rPr>
      </w:pPr>
      <w:r>
        <w:rPr>
          <w:rFonts w:ascii="Arial" w:cs="Arial" w:eastAsia="Arial" w:hAnsi="Arial"/>
          <w:sz w:val="18"/>
          <w:szCs w:val="18"/>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188" w:lineRule="exact"/>
        <w:rPr>
          <w:sz w:val="20"/>
          <w:szCs w:val="20"/>
          <w:color w:val="auto"/>
        </w:rPr>
      </w:pPr>
    </w:p>
    <w:p>
      <w:pPr>
        <w:ind w:right="7440" w:firstLine="8"/>
        <w:spacing w:after="0" w:line="377" w:lineRule="auto"/>
        <w:tabs>
          <w:tab w:leader="none" w:pos="36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2" w:lineRule="exact"/>
        <w:rPr>
          <w:sz w:val="20"/>
          <w:szCs w:val="20"/>
          <w:color w:val="auto"/>
        </w:rPr>
      </w:pPr>
    </w:p>
    <w:p>
      <w:pPr>
        <w:jc w:val="both"/>
        <w:ind w:right="620" w:firstLine="374"/>
        <w:spacing w:after="0" w:line="263"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(“GAAP”). The Company is an investment company and follows accounting and reporting guidance in Accounting Standards Codification ("ASC") topic 946 - Financial Services - Investment Companies.</w:t>
      </w:r>
    </w:p>
    <w:p>
      <w:pPr>
        <w:spacing w:after="0" w:line="76"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Certain prior period amounts have been reclassified to conform to the current year presentation.</w:t>
      </w:r>
    </w:p>
    <w:p>
      <w:pPr>
        <w:spacing w:after="0" w:line="80"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The Company consolidates the financial statements of its wholly-owned special purpose financing subsidiaries Garrison Funding 2018-2 Ltd. (“GF CLO 2018-2”), Great Lakes KCAP Funding I LLC, Kohlberg Capital Funding I LLC, KCAP Senior Funding I, LLC, KCAP Funding I Holdings, LLC and Great Lakes Portman Ridge Funding,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and Great Lakes KCAP Funding I, LLC have been fully repaid. The Company also consolidates various subsidiaries (KCAP Coastal, LLC, PTMN Sub Holdings, LLC, OHA Funding, LP, Garrison Capital Equity Holdings I LLC, Garrison Capital Equity Holdings II, LLC, Garrison Capital Equity Holdings VIII LLC, Garrison Capital Equity Holdings XI LLC, and GIG Rooster Holdings, LLC) created primarily to provide specific tax treatment for the equity and other investments held by these entities.</w:t>
      </w:r>
    </w:p>
    <w:p>
      <w:pPr>
        <w:spacing w:after="0" w:line="58"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qualifies for consolidation.</w:t>
      </w:r>
    </w:p>
    <w:p>
      <w:pPr>
        <w:spacing w:after="0" w:line="76"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79"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76"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years ended December 31, 2020 and 2019, the Company provided approximately $116.0 million and $100.8 million, respectively, to portfolio companies to support their growth objectives. Approximately $32.9 million and $31.9 million, respectively, of this support was contractually obligated. See also Note 9 – Commitments and Contingencies. As of December 31, 2020 and 2019, the Company held loans it has made to 109 and 60 investee companies with aggregate principal amounts of approximately $437.7 million and $230.3 million. The details of such loans have been disclosed on the 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year ended December 31, 2020, the Company did not recognize any fee income from such or similar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ind w:right="160" w:firstLine="374"/>
        <w:spacing w:after="0" w:line="291" w:lineRule="auto"/>
        <w:rPr>
          <w:sz w:val="20"/>
          <w:szCs w:val="20"/>
          <w:color w:val="auto"/>
        </w:rPr>
      </w:pPr>
      <w:r>
        <w:rPr>
          <w:rFonts w:ascii="Arial" w:cs="Arial" w:eastAsia="Arial" w:hAnsi="Arial"/>
          <w:sz w:val="16"/>
          <w:szCs w:val="16"/>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58" w:lineRule="exact"/>
        <w:rPr>
          <w:sz w:val="20"/>
          <w:szCs w:val="20"/>
          <w:color w:val="auto"/>
        </w:rPr>
      </w:pPr>
    </w:p>
    <w:p>
      <w:pPr>
        <w:ind w:right="200" w:firstLine="374"/>
        <w:spacing w:after="0" w:line="286" w:lineRule="auto"/>
        <w:rPr>
          <w:sz w:val="20"/>
          <w:szCs w:val="20"/>
          <w:color w:val="auto"/>
        </w:rPr>
      </w:pPr>
      <w:r>
        <w:rPr>
          <w:rFonts w:ascii="Arial" w:cs="Arial" w:eastAsia="Arial" w:hAnsi="Arial"/>
          <w:sz w:val="17"/>
          <w:szCs w:val="17"/>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lease was terminated during the fourth quarter of 2019.</w:t>
      </w:r>
    </w:p>
    <w:p>
      <w:pPr>
        <w:spacing w:after="0" w:line="165"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 August 2018, the FASB issued Accounting Standards Update 2018-13, Fair Value Measurement (Topic 820): Disclosure Framework—Changes to the Disclosure Requirements for Fair Value Measurement (“ASU 2018-13”)</w:t>
      </w:r>
      <w:r>
        <w:rPr>
          <w:rFonts w:ascii="Arial" w:cs="Arial" w:eastAsia="Arial" w:hAnsi="Arial"/>
          <w:sz w:val="18"/>
          <w:szCs w:val="18"/>
          <w:i w:val="1"/>
          <w:iCs w:val="1"/>
          <w:color w:val="auto"/>
        </w:rPr>
        <w:t>.</w:t>
      </w:r>
      <w:r>
        <w:rPr>
          <w:rFonts w:ascii="Arial" w:cs="Arial" w:eastAsia="Arial" w:hAnsi="Arial"/>
          <w:sz w:val="18"/>
          <w:szCs w:val="18"/>
          <w:color w:val="auto"/>
        </w:rPr>
        <w:t xml:space="preserve"> The standard would modify the disclosure requirements for fair value measurements by removing, modifying, or adding certain disclosures. ASU 2018-13 is effective for annual reporting periods beginning after December 15, 2019, including interim periods within that reporting period. The adoption of ASU 2018-13 did not result in a material change in the Company's fair value disclosures.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 Accounting Pronouncements</w:t>
      </w:r>
    </w:p>
    <w:p>
      <w:pPr>
        <w:spacing w:after="0" w:line="23" w:lineRule="exact"/>
        <w:rPr>
          <w:sz w:val="20"/>
          <w:szCs w:val="20"/>
          <w:color w:val="auto"/>
        </w:rPr>
      </w:pPr>
    </w:p>
    <w:p>
      <w:pPr>
        <w:ind w:right="60" w:firstLine="374"/>
        <w:spacing w:after="0" w:line="252" w:lineRule="auto"/>
        <w:rPr>
          <w:sz w:val="20"/>
          <w:szCs w:val="20"/>
          <w:color w:val="auto"/>
        </w:rPr>
      </w:pPr>
      <w:r>
        <w:rPr>
          <w:rFonts w:ascii="Arial" w:cs="Arial" w:eastAsia="Arial" w:hAnsi="Arial"/>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140" w:lineRule="exact"/>
        <w:rPr>
          <w:sz w:val="20"/>
          <w:szCs w:val="20"/>
          <w:color w:val="auto"/>
        </w:rPr>
      </w:pPr>
    </w:p>
    <w:p>
      <w:pPr>
        <w:ind w:right="40" w:firstLine="374"/>
        <w:spacing w:after="0" w:line="285" w:lineRule="auto"/>
        <w:rPr>
          <w:sz w:val="20"/>
          <w:szCs w:val="20"/>
          <w:color w:val="auto"/>
        </w:rPr>
      </w:pPr>
      <w:r>
        <w:rPr>
          <w:rFonts w:ascii="Arial" w:cs="Arial" w:eastAsia="Arial" w:hAnsi="Arial"/>
          <w:sz w:val="16"/>
          <w:szCs w:val="16"/>
          <w:i w:val="1"/>
          <w:iCs w:val="1"/>
          <w:color w:val="auto"/>
        </w:rPr>
        <w:t xml:space="preserve">Valuation of Portfolio Investments. </w:t>
      </w:r>
      <w:r>
        <w:rPr>
          <w:rFonts w:ascii="Arial" w:cs="Arial" w:eastAsia="Arial" w:hAnsi="Arial"/>
          <w:sz w:val="16"/>
          <w:szCs w:val="16"/>
          <w:color w:val="auto"/>
        </w:rPr>
        <w:t>The Board is ultimately and solely responsible for making a good faith determination of the fair value of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w:t>
      </w:r>
    </w:p>
    <w:p>
      <w:pPr>
        <w:spacing w:after="0" w:line="2" w:lineRule="exact"/>
        <w:rPr>
          <w:sz w:val="20"/>
          <w:szCs w:val="20"/>
          <w:color w:val="auto"/>
        </w:rPr>
      </w:pPr>
    </w:p>
    <w:p>
      <w:pPr>
        <w:ind w:right="200" w:firstLine="8"/>
        <w:spacing w:after="0" w:line="255" w:lineRule="auto"/>
        <w:tabs>
          <w:tab w:leader="none" w:pos="3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82"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80"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120" w:name="page121"/>
    <w:bookmarkEnd w:id="120"/>
    <w:p>
      <w:pPr>
        <w:ind w:right="180" w:firstLine="37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296"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i w:val="1"/>
          <w:iCs w:val="1"/>
          <w:color w:val="auto"/>
        </w:rPr>
        <w:t xml:space="preserve">Foreign Currency Translations. </w:t>
      </w:r>
      <w:r>
        <w:rPr>
          <w:rFonts w:ascii="Arial" w:cs="Arial" w:eastAsia="Arial" w:hAnsi="Arial"/>
          <w:sz w:val="18"/>
          <w:szCs w:val="18"/>
          <w:color w:val="auto"/>
        </w:rPr>
        <w:t>The accounting records of the Company are maintained in U.S. dollars. All assets and liabilities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spacing w:after="0" w:line="303" w:lineRule="exact"/>
        <w:rPr>
          <w:sz w:val="20"/>
          <w:szCs w:val="20"/>
          <w:color w:val="auto"/>
        </w:rPr>
      </w:pPr>
    </w:p>
    <w:p>
      <w:pPr>
        <w:ind w:right="80" w:firstLine="37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69" w:lineRule="exact"/>
        <w:rPr>
          <w:sz w:val="20"/>
          <w:szCs w:val="20"/>
          <w:color w:val="auto"/>
        </w:rPr>
      </w:pPr>
    </w:p>
    <w:p>
      <w:pPr>
        <w:ind w:right="20" w:firstLine="37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66"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87" w:lineRule="exact"/>
        <w:rPr>
          <w:sz w:val="20"/>
          <w:szCs w:val="20"/>
          <w:color w:val="auto"/>
        </w:rPr>
      </w:pPr>
    </w:p>
    <w:p>
      <w:pPr>
        <w:ind w:right="280" w:firstLine="37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1" w:name="page122"/>
    <w:bookmarkEnd w:id="121"/>
    <w:p>
      <w:pPr>
        <w:ind w:right="20" w:firstLine="374"/>
        <w:spacing w:after="0" w:line="290"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The Company recognizes all derivative instruments as assets or liabilities at fair value in its financial statements. Derivative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57" w:lineRule="exact"/>
        <w:rPr>
          <w:sz w:val="20"/>
          <w:szCs w:val="20"/>
          <w:color w:val="auto"/>
        </w:rPr>
      </w:pPr>
    </w:p>
    <w:p>
      <w:pPr>
        <w:ind w:right="4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06"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The Company sold substantially all of its investment in the Asset Manager Affiliates on December 31, 2018. Previously,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The Asset Manager Affiliates were classified as a Level III investment. Any change in value from period to period was recognized as net change in unrealized appreciation or depreciation.</w:t>
      </w:r>
    </w:p>
    <w:p>
      <w:pPr>
        <w:spacing w:after="0" w:line="56"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non-controlling investment in the most junior class of securities of CLO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held by CLO Funds generally relate to non-investment grade credit instruments issued by corporations.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0"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5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22" w:name="page123"/>
    <w:bookmarkEnd w:id="122"/>
    <w:p>
      <w:pPr>
        <w:ind w:right="40" w:firstLine="374"/>
        <w:spacing w:after="0" w:line="277"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The Company carries investments in joint ventures (“Joint Ventures”) at fair value based upon the fair value of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joint venture. See Note 4 below, for more information regarding the Joint Ventures.</w:t>
      </w:r>
    </w:p>
    <w:p>
      <w:pPr>
        <w:spacing w:after="0" w:line="62"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and cash equivalents include short-term, highly liquid investments, readily convertible to know amounts cash,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original maturity of three months or less in accounts such as demand deposit accounts, money market accounts, certain overnight investment sweep accounts and money market fund accounts. The company records cash and cash equivalents at cost, which approximates fair value.</w:t>
      </w:r>
    </w:p>
    <w:p>
      <w:pPr>
        <w:spacing w:after="0" w:line="41"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generally consists of cash held for interest and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borrowings.</w:t>
      </w:r>
    </w:p>
    <w:p>
      <w:pPr>
        <w:spacing w:after="0" w:line="62"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and accrual of payment-in-kind (“PIK”)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2020, eight of our debt investments were on non-accrual status.</w:t>
      </w:r>
    </w:p>
    <w:p>
      <w:pPr>
        <w:spacing w:after="0" w:line="70"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8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84"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jc w:val="both"/>
        <w:ind w:right="140" w:firstLine="374"/>
        <w:spacing w:after="0" w:line="257" w:lineRule="auto"/>
        <w:rPr>
          <w:sz w:val="20"/>
          <w:szCs w:val="20"/>
          <w:color w:val="auto"/>
        </w:rPr>
      </w:pPr>
      <w:r>
        <w:rPr>
          <w:rFonts w:ascii="Arial" w:cs="Arial" w:eastAsia="Arial" w:hAnsi="Arial"/>
          <w:sz w:val="18"/>
          <w:szCs w:val="18"/>
          <w:i w:val="1"/>
          <w:iCs w:val="1"/>
          <w:color w:val="auto"/>
        </w:rPr>
        <w:t>Investment income on Joint Ventures</w:t>
      </w:r>
      <w:r>
        <w:rPr>
          <w:rFonts w:ascii="Arial" w:cs="Arial" w:eastAsia="Arial" w:hAnsi="Arial"/>
          <w:sz w:val="18"/>
          <w:szCs w:val="18"/>
          <w:color w:val="auto"/>
        </w:rPr>
        <w:t>. The Company recognizes investment income on its investment in the Joint Ventures based upon its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0" w:lineRule="exact"/>
        <w:rPr>
          <w:sz w:val="20"/>
          <w:szCs w:val="20"/>
          <w:color w:val="auto"/>
        </w:rPr>
      </w:pPr>
    </w:p>
    <w:p>
      <w:pPr>
        <w:jc w:val="both"/>
        <w:ind w:right="320" w:firstLine="37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79" w:lineRule="exact"/>
        <w:rPr>
          <w:sz w:val="20"/>
          <w:szCs w:val="20"/>
          <w:color w:val="auto"/>
        </w:rPr>
      </w:pPr>
    </w:p>
    <w:p>
      <w:pPr>
        <w:ind w:right="80" w:firstLine="374"/>
        <w:spacing w:after="0" w:line="342" w:lineRule="auto"/>
        <w:rPr>
          <w:sz w:val="20"/>
          <w:szCs w:val="20"/>
          <w:color w:val="auto"/>
        </w:rPr>
      </w:pPr>
      <w:r>
        <w:rPr>
          <w:rFonts w:ascii="Arial" w:cs="Arial" w:eastAsia="Arial" w:hAnsi="Arial"/>
          <w:sz w:val="16"/>
          <w:szCs w:val="16"/>
          <w:i w:val="1"/>
          <w:iCs w:val="1"/>
          <w:color w:val="auto"/>
        </w:rPr>
        <w:t>Debt Issuance Costs</w:t>
      </w:r>
      <w:r>
        <w:rPr>
          <w:rFonts w:ascii="Arial" w:cs="Arial" w:eastAsia="Arial" w:hAnsi="Arial"/>
          <w:sz w:val="16"/>
          <w:szCs w:val="16"/>
          <w:color w:val="auto"/>
        </w:rPr>
        <w:t>. Debt issuance costs represent fees and other direct costs incurred in connection with the Company’s borrowings. These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are capitalized, presented as a reduction of debt, and amortized using the effective interest method over the expected term of the borrowing.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3" w:name="page124"/>
    <w:bookmarkEnd w:id="123"/>
    <w:p>
      <w:pPr>
        <w:ind w:right="200" w:firstLine="374"/>
        <w:spacing w:after="0" w:line="301"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49" w:lineRule="exact"/>
        <w:rPr>
          <w:sz w:val="20"/>
          <w:szCs w:val="20"/>
          <w:color w:val="auto"/>
        </w:rPr>
      </w:pPr>
    </w:p>
    <w:p>
      <w:pPr>
        <w:ind w:right="60" w:firstLine="374"/>
        <w:spacing w:after="0" w:line="269"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Prior to April 1, 2019, the Company was internally managed and expensed costs, as incurred, with regard to the running of its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6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Until it’s termination in the fourth quarter of 2019, the Company continued to bear the costs associated with the office lease entered into by the Company prior to the Closing.</w:t>
      </w:r>
    </w:p>
    <w:p>
      <w:pPr>
        <w:spacing w:after="0" w:line="77" w:lineRule="exact"/>
        <w:rPr>
          <w:sz w:val="20"/>
          <w:szCs w:val="20"/>
          <w:color w:val="auto"/>
        </w:rPr>
      </w:pPr>
    </w:p>
    <w:p>
      <w:pPr>
        <w:ind w:right="660" w:firstLine="374"/>
        <w:spacing w:after="0" w:line="259"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83"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121"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information sets forth the computation of basic and diluted net increase (decrease) in stockholders’ equity per share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increase in net assets resulting from operations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31,572,678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(12,499,961)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Net increase in net assets allocated to unvested share awards</w:t>
            </w: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increase in net assets available to common stockholders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31,572,678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(12,499,961)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(9,513,326)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w w:val="93"/>
              </w:rPr>
              <w:t>Weighted average number of common and common stock equivalent shares outstanding</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 diluted shares computation</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49,987,586</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37,641,650</w:t>
            </w:r>
          </w:p>
        </w:tc>
        <w:tc>
          <w:tcPr>
            <w:tcW w:w="20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37,356,241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60" w:firstLine="374"/>
        <w:spacing w:after="0" w:line="342" w:lineRule="auto"/>
        <w:rPr>
          <w:sz w:val="20"/>
          <w:szCs w:val="20"/>
          <w:color w:val="auto"/>
        </w:rPr>
      </w:pPr>
      <w:r>
        <w:rPr>
          <w:rFonts w:ascii="Arial" w:cs="Arial" w:eastAsia="Arial" w:hAnsi="Arial"/>
          <w:sz w:val="16"/>
          <w:szCs w:val="16"/>
          <w:color w:val="auto"/>
        </w:rPr>
        <w:t>There were 30,000 options considered for the computation for the year ended December 31, 2018. Since the effects were anti-dilutive for 2018, the options were not included in the computation. Effective March 31, 2019, these stock options were cancelled in connection with the Externalization.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4" w:name="page125"/>
    <w:bookmarkEnd w:id="124"/>
    <w:p>
      <w:pPr>
        <w:ind w:left="380" w:hanging="372"/>
        <w:spacing w:after="0"/>
        <w:tabs>
          <w:tab w:leader="none" w:pos="3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December 31,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2020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0"/>
              </w:rPr>
              <w:t>December 31, 2019</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304,539,184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328,845,612</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91,245,574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88,788,639</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87,977,057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75,807,477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100,655,341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95,188,373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416,170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207,766</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620,145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403,615</w:t>
            </w:r>
          </w:p>
        </w:tc>
        <w:tc>
          <w:tcPr>
            <w:tcW w:w="3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 Note</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2,165,304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2,422,281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46,618,717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31,968,202</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22,160,993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Asset Manager Affiliates</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48,594,539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45,087,967</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(1,108,618)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(33,437)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486,628,831</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334,089,559</w:t>
            </w:r>
          </w:p>
        </w:tc>
        <w:tc>
          <w:tcPr>
            <w:tcW w:w="3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277,897,166</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8"/>
          <w:szCs w:val="18"/>
          <w:color w:val="auto"/>
        </w:rPr>
        <w:t>Represents percentage of total portfolio at fair value.</w:t>
      </w:r>
    </w:p>
    <w:p>
      <w:pPr>
        <w:spacing w:after="0" w:line="117"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5" w:name="page126"/>
    <w:bookmarkEnd w:id="125"/>
    <w:p>
      <w:pPr>
        <w:ind w:left="380"/>
        <w:spacing w:after="0"/>
        <w:rPr>
          <w:sz w:val="20"/>
          <w:szCs w:val="20"/>
          <w:color w:val="auto"/>
        </w:rPr>
      </w:pPr>
      <w:r>
        <w:rPr>
          <w:rFonts w:ascii="Arial" w:cs="Arial" w:eastAsia="Arial" w:hAnsi="Arial"/>
          <w:sz w:val="17"/>
          <w:szCs w:val="17"/>
          <w:color w:val="auto"/>
        </w:rPr>
        <w:t>The industry concentrations based on the fair value of the Company’s investment portfolio as of December 31, 2020 and 2019,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b w:val="1"/>
                <w:bCs w:val="1"/>
                <w:color w:val="auto"/>
              </w:rPr>
              <w:t>December 31, 2020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2019</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440" w:type="dxa"/>
            <w:vAlign w:val="bottom"/>
          </w:tcPr>
          <w:p>
            <w:pPr>
              <w:jc w:val="right"/>
              <w:ind w:right="30"/>
              <w:spacing w:after="0"/>
              <w:rPr>
                <w:sz w:val="20"/>
                <w:szCs w:val="20"/>
                <w:color w:val="auto"/>
              </w:rPr>
            </w:pPr>
            <w:r>
              <w:rPr>
                <w:rFonts w:ascii="Arial" w:cs="Arial" w:eastAsia="Arial" w:hAnsi="Arial"/>
                <w:sz w:val="16"/>
                <w:szCs w:val="16"/>
                <w:b w:val="1"/>
                <w:bCs w:val="1"/>
                <w:color w:val="auto"/>
              </w:rPr>
              <w:t>%¹</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3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15,706,988</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16,342,388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Automotive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5,504,508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5,541,823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w w:val="94"/>
              </w:rPr>
              <w:t>Banking, Finance, Insurance &amp;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31,121,723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4,679,345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4,554,055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7,899,181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7,750,305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8,204,690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7,450,117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6,453,900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389,320</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46,618,717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31,968,202</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34,858,844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3,413,107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2,558,619</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2,806,740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2,502,994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2,831,640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2,616,480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Electronics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12,511,345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13,636,090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Energy: Oil &amp; 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6,878,115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12,522,303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4,919,950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3,998,816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3,924,947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Forest Products &amp; Paper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1,576,633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1,270,880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1,570,609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1,534,240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14,059,921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13,791,048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9,353,548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9,136,345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Healthcare &amp; Pharmaceuticals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83,481,401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78,823,040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42,461,467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33,637,136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32,949,892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35,052,389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18,816,125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17,481,155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49,349,163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48,594,539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45,087,967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(Non-Agrclt/Constr/Electr)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w w:val="99"/>
              </w:rPr>
              <w:t>Media: Advertising, Printing &amp; Publishing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2,830,592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3,170,254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4,614,647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4,567,266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Media: Diversified &amp; Production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2,612,250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2,886,325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2,887,230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Metals &amp; Mining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1,180,977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60" w:type="dxa"/>
            <w:vAlign w:val="bottom"/>
            <w:gridSpan w:val="2"/>
          </w:tcPr>
          <w:p>
            <w:pPr>
              <w:spacing w:after="0"/>
              <w:rPr>
                <w:sz w:val="20"/>
                <w:szCs w:val="20"/>
                <w:color w:val="auto"/>
              </w:rPr>
            </w:pPr>
            <w:r>
              <w:rPr>
                <w:rFonts w:ascii="Arial" w:cs="Arial" w:eastAsia="Arial" w:hAnsi="Arial"/>
                <w:sz w:val="18"/>
                <w:szCs w:val="18"/>
                <w:color w:val="auto"/>
              </w:rPr>
              <w:t>Personal, Food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Miscellaneous Services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2,534,318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2,829,436</w:t>
            </w: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5,790,208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6,597,338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Services: Business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58,027,464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60,119,401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22,726,850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21,415,794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Services: Consumer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4,241,127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4,198,243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4,512,488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4,493,529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8,930,322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9,023,109</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8,751,454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8,164,050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Textiles and Leather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12,415,194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10,860,696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12,389,673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12,180,290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Money Market Accounts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4,207,107</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8,216,303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8,300,043</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536,008,160</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486,628,831</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334,089,559</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277,897,166</w:t>
            </w:r>
          </w:p>
        </w:tc>
        <w:tc>
          <w:tcPr>
            <w:tcW w:w="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117"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5"/>
          <w:szCs w:val="15"/>
          <w:color w:val="auto"/>
        </w:rPr>
      </w:pPr>
      <w:r>
        <w:rPr>
          <w:rFonts w:ascii="Arial" w:cs="Arial" w:eastAsia="Arial" w:hAnsi="Arial"/>
          <w:sz w:val="18"/>
          <w:szCs w:val="18"/>
          <w:color w:val="auto"/>
        </w:rPr>
        <w:t>Represents the equity investment in the former Asset Manager Affiliates.</w:t>
      </w:r>
    </w:p>
    <w:p>
      <w:pPr>
        <w:spacing w:after="0" w:line="117"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6" w:name="page127"/>
    <w:bookmarkEnd w:id="126"/>
    <w:p>
      <w:pPr>
        <w:ind w:right="60" w:firstLine="374"/>
        <w:spacing w:after="0" w:line="259" w:lineRule="auto"/>
        <w:rPr>
          <w:sz w:val="20"/>
          <w:szCs w:val="20"/>
          <w:color w:val="auto"/>
        </w:rPr>
      </w:pPr>
      <w:r>
        <w:rPr>
          <w:rFonts w:ascii="Arial" w:cs="Arial" w:eastAsia="Arial" w:hAnsi="Arial"/>
          <w:sz w:val="18"/>
          <w:szCs w:val="18"/>
          <w:color w:val="auto"/>
        </w:rPr>
        <w:t>At December 31, 2020 and 2019, the total amount of non-qualifying assets was approximately 13.8% and 25.3% of total assets, respectively. The majority of non-qualifying assets are the Company’s investments in joint ventures, in the aggregate representing 8.2% and 14.5%, respectively, of the total assets and the Company’s investments in CLO Funds, which are typically domiciled outside the U.S. and represented approximately 3.3% and 10.3% of its total assets on such dates,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121" w:lineRule="exact"/>
        <w:rPr>
          <w:sz w:val="20"/>
          <w:szCs w:val="20"/>
          <w:color w:val="auto"/>
        </w:rPr>
      </w:pPr>
    </w:p>
    <w:p>
      <w:pPr>
        <w:ind w:right="260" w:firstLine="374"/>
        <w:spacing w:after="0" w:line="291" w:lineRule="auto"/>
        <w:rPr>
          <w:sz w:val="20"/>
          <w:szCs w:val="20"/>
          <w:color w:val="auto"/>
        </w:rPr>
      </w:pPr>
      <w:r>
        <w:rPr>
          <w:rFonts w:ascii="Arial" w:cs="Arial" w:eastAsia="Arial" w:hAnsi="Arial"/>
          <w:sz w:val="16"/>
          <w:szCs w:val="16"/>
          <w:color w:val="auto"/>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58"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In September 2018, the Company purchased $10 million par value of the subordinated notes of Catamaran CLO 2018-1 at a cost of approximately $9.5 million.</w:t>
      </w:r>
    </w:p>
    <w:p>
      <w:pPr>
        <w:spacing w:after="0" w:line="62" w:lineRule="exact"/>
        <w:rPr>
          <w:sz w:val="20"/>
          <w:szCs w:val="20"/>
          <w:color w:val="auto"/>
        </w:rPr>
      </w:pPr>
    </w:p>
    <w:p>
      <w:pPr>
        <w:ind w:right="520" w:firstLine="374"/>
        <w:spacing w:after="0" w:line="263" w:lineRule="auto"/>
        <w:rPr>
          <w:sz w:val="20"/>
          <w:szCs w:val="20"/>
          <w:color w:val="auto"/>
        </w:rPr>
      </w:pPr>
      <w:r>
        <w:rPr>
          <w:rFonts w:ascii="Arial" w:cs="Arial" w:eastAsia="Arial" w:hAnsi="Arial"/>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76"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68"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reverse the previously recorded unrealized depreciation with respect to these investments.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2019, the Company sold $2.0 million notional amount of subordinated notes of Catamaran CLO 2014-1 for $800,000.</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210"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As a result of the severe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Funds. The estimated timing and amount of future distributions if any, from these CLO Fund Securities is uncertain. Three of the CLO Funds noted above have resumed making cash distributions on the Company’s investment during the fourth quarter of 2020.</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Affiliate Investments: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1"/>
              </w:rPr>
              <w:t>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Purchases/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58"/>
              <w:spacing w:after="0" w:line="135" w:lineRule="exact"/>
              <w:rPr>
                <w:sz w:val="20"/>
                <w:szCs w:val="20"/>
                <w:color w:val="auto"/>
              </w:rPr>
            </w:pPr>
            <w:r>
              <w:rPr>
                <w:rFonts w:ascii="Arial" w:cs="Arial" w:eastAsia="Arial" w:hAnsi="Arial"/>
                <w:sz w:val="13"/>
                <w:szCs w:val="13"/>
                <w:b w:val="1"/>
                <w:bCs w:val="1"/>
                <w:color w:val="auto"/>
                <w:w w:val="87"/>
              </w:rPr>
              <w:t>Transfers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December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85"/>
              </w:rPr>
              <w:t>Net change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December</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December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Industry</w:t>
            </w:r>
          </w:p>
        </w:tc>
        <w:tc>
          <w:tcPr>
            <w:tcW w:w="80" w:type="dxa"/>
            <w:vAlign w:val="bottom"/>
          </w:tcPr>
          <w:p>
            <w:pPr>
              <w:spacing w:after="0"/>
              <w:rPr>
                <w:sz w:val="11"/>
                <w:szCs w:val="11"/>
                <w:color w:val="auto"/>
              </w:rPr>
            </w:pPr>
          </w:p>
        </w:tc>
        <w:tc>
          <w:tcPr>
            <w:tcW w:w="6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Advances/</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1"/>
                <w:szCs w:val="11"/>
                <w:color w:val="auto"/>
              </w:rPr>
            </w:pPr>
          </w:p>
        </w:tc>
        <w:tc>
          <w:tcPr>
            <w:tcW w:w="76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Arial" w:cs="Arial" w:eastAsia="Arial" w:hAnsi="Arial"/>
                <w:sz w:val="13"/>
                <w:szCs w:val="13"/>
                <w:b w:val="1"/>
                <w:bCs w:val="1"/>
                <w:color w:val="auto"/>
                <w:w w:val="88"/>
              </w:rPr>
              <w:t>in unrealized</w:t>
            </w: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5"/>
              </w:rPr>
              <w:t>Classification</w:t>
            </w:r>
          </w:p>
        </w:tc>
        <w:tc>
          <w:tcPr>
            <w:tcW w:w="8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11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(Distributions)</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Accretion</w:t>
            </w:r>
          </w:p>
        </w:tc>
        <w:tc>
          <w:tcPr>
            <w:tcW w:w="80" w:type="dxa"/>
            <w:vAlign w:val="bottom"/>
          </w:tcPr>
          <w:p>
            <w:pPr>
              <w:spacing w:after="0"/>
              <w:rPr>
                <w:sz w:val="13"/>
                <w:szCs w:val="13"/>
                <w:color w:val="auto"/>
              </w:rPr>
            </w:pPr>
          </w:p>
        </w:tc>
        <w:tc>
          <w:tcPr>
            <w:tcW w:w="7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90"/>
              </w:rPr>
              <w:t>Affiliates</w:t>
            </w:r>
          </w:p>
        </w:tc>
        <w:tc>
          <w:tcPr>
            <w:tcW w:w="60" w:type="dxa"/>
            <w:vAlign w:val="bottom"/>
          </w:tcPr>
          <w:p>
            <w:pPr>
              <w:spacing w:after="0"/>
              <w:rPr>
                <w:sz w:val="13"/>
                <w:szCs w:val="13"/>
                <w:color w:val="auto"/>
              </w:rPr>
            </w:pPr>
          </w:p>
        </w:tc>
        <w:tc>
          <w:tcPr>
            <w:tcW w:w="920" w:type="dxa"/>
            <w:vAlign w:val="bottom"/>
            <w:gridSpan w:val="3"/>
          </w:tcPr>
          <w:p>
            <w:pPr>
              <w:jc w:val="center"/>
              <w:ind w:right="117"/>
              <w:spacing w:after="0"/>
              <w:rPr>
                <w:sz w:val="20"/>
                <w:szCs w:val="20"/>
                <w:color w:val="auto"/>
              </w:rPr>
            </w:pPr>
            <w:r>
              <w:rPr>
                <w:rFonts w:ascii="Arial" w:cs="Arial" w:eastAsia="Arial" w:hAnsi="Arial"/>
                <w:sz w:val="13"/>
                <w:szCs w:val="13"/>
                <w:b w:val="1"/>
                <w:bCs w:val="1"/>
                <w:color w:val="auto"/>
                <w:w w:val="86"/>
              </w:rPr>
              <w:t>Gain/(Loss)</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146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4"/>
              </w:rPr>
              <w:t>Asset Manager Affiliates</w:t>
            </w:r>
            <w:r>
              <w:rPr>
                <w:rFonts w:ascii="Arial" w:cs="Arial" w:eastAsia="Arial" w:hAnsi="Arial"/>
                <w:sz w:val="10"/>
                <w:szCs w:val="10"/>
                <w:color w:val="auto"/>
                <w:w w:val="94"/>
              </w:rPr>
              <w:t>(4)</w:t>
            </w:r>
          </w:p>
        </w:tc>
        <w:tc>
          <w:tcPr>
            <w:tcW w:w="40" w:type="dxa"/>
            <w:vAlign w:val="bottom"/>
            <w:tcBorders>
              <w:top w:val="single" w:sz="8" w:color="CFF0FC"/>
            </w:tcBorders>
            <w:shd w:val="clear" w:color="auto" w:fill="CFF0FC"/>
          </w:tcPr>
          <w:p>
            <w:pPr>
              <w:spacing w:after="0"/>
              <w:rPr>
                <w:sz w:val="11"/>
                <w:szCs w:val="11"/>
                <w:color w:val="auto"/>
              </w:rPr>
            </w:pPr>
          </w:p>
        </w:tc>
        <w:tc>
          <w:tcPr>
            <w:tcW w:w="13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FF0FC"/>
          </w:tcPr>
          <w:p>
            <w:pPr>
              <w:spacing w:after="0"/>
              <w:rPr>
                <w:sz w:val="20"/>
                <w:szCs w:val="20"/>
                <w:color w:val="auto"/>
              </w:rPr>
            </w:pPr>
            <w:r>
              <w:rPr>
                <w:rFonts w:ascii="Arial" w:cs="Arial" w:eastAsia="Arial" w:hAnsi="Arial"/>
                <w:sz w:val="11"/>
                <w:szCs w:val="11"/>
                <w:color w:val="auto"/>
              </w:rPr>
              <w:t>(6)</w:t>
            </w:r>
          </w:p>
        </w:tc>
        <w:tc>
          <w:tcPr>
            <w:tcW w:w="14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Management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Company</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4"/>
              </w:rPr>
              <w:t>$ 17,791,230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w w:val="97"/>
              </w:rPr>
              <w:t>Tank Partners Equipment</w:t>
            </w:r>
          </w:p>
        </w:tc>
        <w:tc>
          <w:tcPr>
            <w:tcW w:w="140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Energy: Oil &amp;</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(3)(4)(5)(8)</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Gas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Tank Partners Equipment</w:t>
            </w:r>
          </w:p>
        </w:tc>
        <w:tc>
          <w:tcPr>
            <w:tcW w:w="14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Energy: Oil &amp;</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(3)(4)(5)</w:t>
            </w:r>
          </w:p>
        </w:tc>
        <w:tc>
          <w:tcPr>
            <w:tcW w:w="14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Gas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(195,850)</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699,199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460" w:type="dxa"/>
            <w:vAlign w:val="bottom"/>
          </w:tcPr>
          <w:p>
            <w:pPr>
              <w:spacing w:after="0" w:line="140" w:lineRule="exact"/>
              <w:rPr>
                <w:sz w:val="20"/>
                <w:szCs w:val="20"/>
                <w:color w:val="auto"/>
              </w:rPr>
            </w:pPr>
            <w:r>
              <w:rPr>
                <w:rFonts w:ascii="Arial" w:cs="Arial" w:eastAsia="Arial" w:hAnsi="Arial"/>
                <w:sz w:val="13"/>
                <w:szCs w:val="13"/>
                <w:color w:val="auto"/>
                <w:w w:val="96"/>
              </w:rPr>
              <w:t xml:space="preserve">KCAP Freedom 3, LLC </w:t>
            </w:r>
            <w:r>
              <w:rPr>
                <w:rFonts w:ascii="Arial" w:cs="Arial" w:eastAsia="Arial" w:hAnsi="Arial"/>
                <w:sz w:val="10"/>
                <w:szCs w:val="10"/>
                <w:color w:val="auto"/>
                <w:w w:val="96"/>
              </w:rPr>
              <w:t>(3)</w:t>
            </w:r>
          </w:p>
        </w:tc>
        <w:tc>
          <w:tcPr>
            <w:tcW w:w="140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Joint Venture</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2"/>
              </w:rPr>
              <w:t>21,307,899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(1,559,091)</w:t>
            </w:r>
          </w:p>
        </w:tc>
        <w:tc>
          <w:tcPr>
            <w:tcW w:w="6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89"/>
              </w:rPr>
              <w:t>19,748,808</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24,720,000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4,262,781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4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21,711,515</w:t>
            </w:r>
          </w:p>
        </w:tc>
        <w:tc>
          <w:tcPr>
            <w:tcW w:w="1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(1,754,941)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19,956,574</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4,262,781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460" w:type="dxa"/>
            <w:vAlign w:val="bottom"/>
          </w:tcPr>
          <w:p>
            <w:pPr>
              <w:spacing w:after="0"/>
              <w:rPr>
                <w:sz w:val="20"/>
                <w:szCs w:val="20"/>
                <w:color w:val="auto"/>
              </w:rPr>
            </w:pPr>
            <w:r>
              <w:rPr>
                <w:rFonts w:ascii="Arial" w:cs="Arial" w:eastAsia="Arial" w:hAnsi="Arial"/>
                <w:sz w:val="13"/>
                <w:szCs w:val="13"/>
                <w:color w:val="auto"/>
                <w:w w:val="92"/>
              </w:rPr>
              <w:t>BCP Great Lakes Holdings</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Joint Venture</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(7)(9)</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23,780,068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6,337,919</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(517,632)</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29,600,355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30,077,688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2,648,637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2013-1,</w:t>
            </w:r>
          </w:p>
        </w:tc>
        <w:tc>
          <w:tcPr>
            <w:tcW w:w="14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4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(356,296)</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(2,611,423)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(2,538,599)</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11,720,000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Catamaran CLO 2014-1,</w:t>
            </w:r>
          </w:p>
        </w:tc>
        <w:tc>
          <w:tcPr>
            <w:tcW w:w="140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6,379,580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(579,607)</w:t>
            </w:r>
          </w:p>
        </w:tc>
        <w:tc>
          <w:tcPr>
            <w:tcW w:w="640" w:type="dxa"/>
            <w:vAlign w:val="bottom"/>
          </w:tcPr>
          <w:p>
            <w:pPr>
              <w:jc w:val="right"/>
              <w:spacing w:after="0"/>
              <w:rPr>
                <w:sz w:val="20"/>
                <w:szCs w:val="20"/>
                <w:color w:val="auto"/>
              </w:rPr>
            </w:pPr>
            <w:r>
              <w:rPr>
                <w:rFonts w:ascii="Arial" w:cs="Arial" w:eastAsia="Arial" w:hAnsi="Arial"/>
                <w:sz w:val="13"/>
                <w:szCs w:val="13"/>
                <w:color w:val="auto"/>
              </w:rPr>
              <w:t>582,206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(3,835,632)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(2,546,548)</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15,160,600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582,206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w:t>
            </w:r>
          </w:p>
        </w:tc>
        <w:tc>
          <w:tcPr>
            <w:tcW w:w="14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4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(60,226)</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(1,131,933)</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Catamaran CLO 2015-1,</w:t>
            </w:r>
          </w:p>
        </w:tc>
        <w:tc>
          <w:tcPr>
            <w:tcW w:w="140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2,514,130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(232,157)</w:t>
            </w:r>
          </w:p>
        </w:tc>
        <w:tc>
          <w:tcPr>
            <w:tcW w:w="640" w:type="dxa"/>
            <w:vAlign w:val="bottom"/>
          </w:tcPr>
          <w:p>
            <w:pPr>
              <w:jc w:val="right"/>
              <w:spacing w:after="0"/>
              <w:rPr>
                <w:sz w:val="20"/>
                <w:szCs w:val="20"/>
                <w:color w:val="auto"/>
              </w:rPr>
            </w:pPr>
            <w:r>
              <w:rPr>
                <w:rFonts w:ascii="Arial" w:cs="Arial" w:eastAsia="Arial" w:hAnsi="Arial"/>
                <w:sz w:val="13"/>
                <w:szCs w:val="13"/>
                <w:color w:val="auto"/>
              </w:rPr>
              <w:t>285,634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(1,609,400)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(958,207)</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4,952,000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285,634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w:t>
            </w:r>
          </w:p>
        </w:tc>
        <w:tc>
          <w:tcPr>
            <w:tcW w:w="14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4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(1,084,589)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(3,549,000)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(2,465,197)</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10,140,000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Catamaran CLO 2018-1,</w:t>
            </w:r>
          </w:p>
        </w:tc>
        <w:tc>
          <w:tcPr>
            <w:tcW w:w="140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8,530,751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(1,552,728)</w:t>
            </w:r>
          </w:p>
        </w:tc>
        <w:tc>
          <w:tcPr>
            <w:tcW w:w="640" w:type="dxa"/>
            <w:vAlign w:val="bottom"/>
          </w:tcPr>
          <w:p>
            <w:pPr>
              <w:jc w:val="right"/>
              <w:spacing w:after="0"/>
              <w:rPr>
                <w:sz w:val="20"/>
                <w:szCs w:val="20"/>
                <w:color w:val="auto"/>
              </w:rPr>
            </w:pPr>
            <w:r>
              <w:rPr>
                <w:rFonts w:ascii="Arial" w:cs="Arial" w:eastAsia="Arial" w:hAnsi="Arial"/>
                <w:sz w:val="13"/>
                <w:szCs w:val="13"/>
                <w:color w:val="auto"/>
              </w:rPr>
              <w:t>1,116,320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(6,655,000)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(1,439,343)</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1,116,320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4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Electronics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7,636,090</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83,487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(231,327)</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575,477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w w:val="94"/>
              </w:rPr>
              <w:t>Zest Acquisition Corp.</w:t>
            </w:r>
            <w:r>
              <w:rPr>
                <w:rFonts w:ascii="Arial" w:cs="Arial" w:eastAsia="Arial" w:hAnsi="Arial"/>
                <w:sz w:val="10"/>
                <w:szCs w:val="10"/>
                <w:color w:val="auto"/>
                <w:w w:val="94"/>
              </w:rPr>
              <w:t>(3)(4)</w:t>
            </w:r>
          </w:p>
        </w:tc>
        <w:tc>
          <w:tcPr>
            <w:tcW w:w="140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Healthcare, Education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1"/>
                <w:szCs w:val="11"/>
                <w:color w:val="auto"/>
              </w:rPr>
              <w:t>(7)</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and Childcare</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3,306,092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(17,500)</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3,291,400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310,292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OCI Holdings, LLC</w:t>
            </w:r>
            <w:r>
              <w:rPr>
                <w:rFonts w:ascii="Arial" w:cs="Arial" w:eastAsia="Arial" w:hAnsi="Arial"/>
                <w:sz w:val="10"/>
                <w:szCs w:val="10"/>
                <w:color w:val="auto"/>
                <w:w w:val="99"/>
              </w:rPr>
              <w:t>(3)(4)(7)</w:t>
            </w:r>
          </w:p>
        </w:tc>
        <w:tc>
          <w:tcPr>
            <w:tcW w:w="14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Healthcare &amp;</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12"/>
                <w:szCs w:val="12"/>
                <w:color w:val="auto"/>
              </w:rPr>
            </w:pPr>
          </w:p>
        </w:tc>
        <w:tc>
          <w:tcPr>
            <w:tcW w:w="14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Pharmaceuticals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2,422,281</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(2,706,977)</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284,696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GIG Rooster Holdings I,</w:t>
            </w:r>
          </w:p>
        </w:tc>
        <w:tc>
          <w:tcPr>
            <w:tcW w:w="140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Energy: Oil &amp;</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 xml:space="preserve">LLC </w:t>
            </w:r>
            <w:r>
              <w:rPr>
                <w:rFonts w:ascii="Arial" w:cs="Arial" w:eastAsia="Arial" w:hAnsi="Arial"/>
                <w:sz w:val="10"/>
                <w:szCs w:val="10"/>
                <w:color w:val="auto"/>
              </w:rPr>
              <w:t>(10)</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Gas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(200,156)</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123,354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200,156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123,354</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46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Total Non-controlled</w:t>
            </w:r>
          </w:p>
        </w:tc>
        <w:tc>
          <w:tcPr>
            <w:tcW w:w="40" w:type="dxa"/>
            <w:vAlign w:val="bottom"/>
            <w:tcBorders>
              <w:top w:val="single" w:sz="8" w:color="CFF0FC"/>
            </w:tcBorders>
            <w:shd w:val="clear" w:color="auto" w:fill="CFF0FC"/>
          </w:tcPr>
          <w:p>
            <w:pPr>
              <w:spacing w:after="0"/>
              <w:rPr>
                <w:sz w:val="11"/>
                <w:szCs w:val="11"/>
                <w:color w:val="auto"/>
              </w:rPr>
            </w:pPr>
          </w:p>
        </w:tc>
        <w:tc>
          <w:tcPr>
            <w:tcW w:w="13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affiliates</w:t>
            </w:r>
          </w:p>
        </w:tc>
        <w:tc>
          <w:tcPr>
            <w:tcW w:w="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67,128,578</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(434,817)</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3,308,133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w w:val="92"/>
              </w:rPr>
              <w:t>(18,260,455)</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w w:val="94"/>
              </w:rPr>
              <w:t>(11,722,931)</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484,852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40,503,359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4,107,606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2,648,637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3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2"/>
              </w:rPr>
              <w:t>Total Affiliated Investments</w:t>
            </w:r>
          </w:p>
        </w:tc>
        <w:tc>
          <w:tcPr>
            <w:tcW w:w="4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88,840,092</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(434,817)</w:t>
            </w:r>
          </w:p>
        </w:tc>
        <w:tc>
          <w:tcPr>
            <w:tcW w:w="1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$ 3,308,133</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(18,260,455</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(13,477,872</w:t>
            </w:r>
          </w:p>
        </w:tc>
        <w:tc>
          <w:tcPr>
            <w:tcW w:w="180" w:type="dxa"/>
            <w:vAlign w:val="bottom"/>
            <w:tcBorders>
              <w:bottom w:val="single" w:sz="8" w:color="CFF0FC"/>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484,852</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60,459,933</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4,107,607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6,911,418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77"/>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78"/>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9" w:lineRule="exact"/>
        <w:rPr>
          <w:sz w:val="20"/>
          <w:szCs w:val="20"/>
          <w:color w:val="auto"/>
        </w:rPr>
      </w:pPr>
    </w:p>
    <w:p>
      <w:pPr>
        <w:ind w:left="380" w:right="260" w:hanging="372"/>
        <w:spacing w:after="0" w:line="263" w:lineRule="auto"/>
        <w:tabs>
          <w:tab w:leader="none" w:pos="380" w:val="left"/>
        </w:tabs>
        <w:numPr>
          <w:ilvl w:val="0"/>
          <w:numId w:val="79"/>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86"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7"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17" w:lineRule="exact"/>
        <w:rPr>
          <w:sz w:val="20"/>
          <w:szCs w:val="20"/>
          <w:color w:val="auto"/>
        </w:rPr>
      </w:pPr>
    </w:p>
    <w:p>
      <w:pPr>
        <w:ind w:left="380" w:right="200" w:hanging="372"/>
        <w:spacing w:after="0" w:line="198" w:lineRule="auto"/>
        <w:tabs>
          <w:tab w:leader="none" w:pos="380" w:val="left"/>
        </w:tabs>
        <w:numPr>
          <w:ilvl w:val="0"/>
          <w:numId w:val="82"/>
        </w:numPr>
        <w:rPr>
          <w:rFonts w:ascii="Arial" w:cs="Arial" w:eastAsia="Arial" w:hAnsi="Arial"/>
          <w:sz w:val="29"/>
          <w:szCs w:val="29"/>
          <w:color w:val="auto"/>
          <w:vertAlign w:val="superscript"/>
        </w:rPr>
      </w:pPr>
      <w:r>
        <w:rPr>
          <w:rFonts w:ascii="Arial" w:cs="Arial" w:eastAsia="Arial" w:hAnsi="Arial"/>
          <w:sz w:val="18"/>
          <w:szCs w:val="18"/>
          <w:color w:val="auto"/>
        </w:rPr>
        <w:t>Ownership of LP interest held through the holding company BCP Great Lakes Fund, L.P, a non-U.S. company or principal place of business outside the U.S.</w:t>
      </w:r>
    </w:p>
    <w:p>
      <w:pPr>
        <w:spacing w:after="0" w:line="94" w:lineRule="exact"/>
        <w:rPr>
          <w:sz w:val="20"/>
          <w:szCs w:val="20"/>
          <w:color w:val="auto"/>
        </w:rPr>
      </w:pPr>
    </w:p>
    <w:p>
      <w:pPr>
        <w:ind w:left="380" w:right="320" w:hanging="372"/>
        <w:spacing w:after="0" w:line="277" w:lineRule="auto"/>
        <w:tabs>
          <w:tab w:leader="none" w:pos="380" w:val="left"/>
        </w:tabs>
        <w:numPr>
          <w:ilvl w:val="0"/>
          <w:numId w:val="83"/>
        </w:numPr>
        <w:rPr>
          <w:rFonts w:ascii="Arial" w:cs="Arial" w:eastAsia="Arial" w:hAnsi="Arial"/>
          <w:sz w:val="15"/>
          <w:szCs w:val="15"/>
          <w:color w:val="auto"/>
        </w:rPr>
      </w:pPr>
      <w:r>
        <w:rPr>
          <w:rFonts w:ascii="Arial" w:cs="Arial" w:eastAsia="Arial" w:hAnsi="Arial"/>
          <w:sz w:val="18"/>
          <w:szCs w:val="18"/>
          <w:color w:val="auto"/>
        </w:rPr>
        <w:t>Underlying assets of investment were liquidated in December 2020, remaining fair value of investment is based on future cash flow payment to be received in the first quarter of 2021.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8" w:name="page129"/>
    <w:bookmarkEnd w:id="128"/>
    <w:p>
      <w:pPr>
        <w:ind w:left="380"/>
        <w:spacing w:after="0"/>
        <w:rPr>
          <w:sz w:val="20"/>
          <w:szCs w:val="20"/>
          <w:color w:val="auto"/>
        </w:rPr>
      </w:pPr>
      <w:r>
        <w:rPr>
          <w:rFonts w:ascii="Arial" w:cs="Arial" w:eastAsia="Arial" w:hAnsi="Arial"/>
          <w:sz w:val="18"/>
          <w:szCs w:val="18"/>
          <w:color w:val="auto"/>
        </w:rPr>
        <w:t>The following table details investments in affiliates at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Purchases/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3"/>
          </w:tcPr>
          <w:p>
            <w:pPr>
              <w:jc w:val="center"/>
              <w:ind w:right="138"/>
              <w:spacing w:after="0" w:line="135" w:lineRule="exact"/>
              <w:rPr>
                <w:sz w:val="20"/>
                <w:szCs w:val="20"/>
                <w:color w:val="auto"/>
              </w:rPr>
            </w:pPr>
            <w:r>
              <w:rPr>
                <w:rFonts w:ascii="Arial" w:cs="Arial" w:eastAsia="Arial" w:hAnsi="Arial"/>
                <w:sz w:val="13"/>
                <w:szCs w:val="13"/>
                <w:b w:val="1"/>
                <w:bCs w:val="1"/>
                <w:color w:val="auto"/>
                <w:w w:val="85"/>
              </w:rPr>
              <w:t>Net change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1"/>
              </w:rPr>
              <w:t>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800" w:type="dxa"/>
            <w:vAlign w:val="bottom"/>
            <w:gridSpan w:val="2"/>
          </w:tcPr>
          <w:p>
            <w:pPr>
              <w:jc w:val="center"/>
              <w:ind w:right="218"/>
              <w:spacing w:after="0" w:line="135" w:lineRule="exact"/>
              <w:rPr>
                <w:sz w:val="20"/>
                <w:szCs w:val="20"/>
                <w:color w:val="auto"/>
              </w:rPr>
            </w:pPr>
            <w:r>
              <w:rPr>
                <w:rFonts w:ascii="Arial" w:cs="Arial" w:eastAsia="Arial" w:hAnsi="Arial"/>
                <w:sz w:val="13"/>
                <w:szCs w:val="13"/>
                <w:b w:val="1"/>
                <w:bCs w:val="1"/>
                <w:color w:val="auto"/>
                <w:w w:val="86"/>
              </w:rPr>
              <w:t>in</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December</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December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280" w:type="dxa"/>
            <w:vAlign w:val="bottom"/>
          </w:tcPr>
          <w:p>
            <w:pPr>
              <w:ind w:left="400"/>
              <w:spacing w:after="0" w:line="135" w:lineRule="exact"/>
              <w:rPr>
                <w:sz w:val="20"/>
                <w:szCs w:val="20"/>
                <w:color w:val="auto"/>
              </w:rPr>
            </w:pPr>
            <w:r>
              <w:rPr>
                <w:rFonts w:ascii="Arial" w:cs="Arial" w:eastAsia="Arial" w:hAnsi="Arial"/>
                <w:sz w:val="13"/>
                <w:szCs w:val="13"/>
                <w:b w:val="1"/>
                <w:bCs w:val="1"/>
                <w:color w:val="auto"/>
              </w:rPr>
              <w:t>Industry</w:t>
            </w:r>
          </w:p>
        </w:tc>
        <w:tc>
          <w:tcPr>
            <w:tcW w:w="8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Advances/</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Net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0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7"/>
              </w:rPr>
              <w:t>unrealized</w:t>
            </w:r>
          </w:p>
        </w:tc>
        <w:tc>
          <w:tcPr>
            <w:tcW w:w="840" w:type="dxa"/>
            <w:vAlign w:val="bottom"/>
            <w:gridSpan w:val="2"/>
          </w:tcPr>
          <w:p>
            <w:pPr>
              <w:jc w:val="right"/>
              <w:ind w:right="238"/>
              <w:spacing w:after="0" w:line="135" w:lineRule="exact"/>
              <w:rPr>
                <w:sz w:val="20"/>
                <w:szCs w:val="20"/>
                <w:color w:val="auto"/>
              </w:rPr>
            </w:pPr>
            <w:r>
              <w:rPr>
                <w:rFonts w:ascii="Arial" w:cs="Arial" w:eastAsia="Arial" w:hAnsi="Arial"/>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280" w:type="dxa"/>
            <w:vAlign w:val="bottom"/>
          </w:tcPr>
          <w:p>
            <w:pPr>
              <w:ind w:left="280"/>
              <w:spacing w:after="0"/>
              <w:rPr>
                <w:sz w:val="20"/>
                <w:szCs w:val="20"/>
                <w:color w:val="auto"/>
              </w:rPr>
            </w:pPr>
            <w:r>
              <w:rPr>
                <w:rFonts w:ascii="Arial" w:cs="Arial" w:eastAsia="Arial" w:hAnsi="Arial"/>
                <w:sz w:val="13"/>
                <w:szCs w:val="13"/>
                <w:b w:val="1"/>
                <w:bCs w:val="1"/>
                <w:color w:val="auto"/>
              </w:rPr>
              <w:t>Classification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1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7"/>
              </w:rPr>
              <w:t>(Distributions)</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Accretion</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Affiliates</w:t>
            </w:r>
          </w:p>
        </w:tc>
        <w:tc>
          <w:tcPr>
            <w:tcW w:w="860" w:type="dxa"/>
            <w:vAlign w:val="bottom"/>
            <w:gridSpan w:val="3"/>
          </w:tcPr>
          <w:p>
            <w:pPr>
              <w:jc w:val="center"/>
              <w:ind w:right="138"/>
              <w:spacing w:after="0"/>
              <w:rPr>
                <w:sz w:val="20"/>
                <w:szCs w:val="20"/>
                <w:color w:val="auto"/>
              </w:rPr>
            </w:pPr>
            <w:r>
              <w:rPr>
                <w:rFonts w:ascii="Arial" w:cs="Arial" w:eastAsia="Arial" w:hAnsi="Arial"/>
                <w:sz w:val="13"/>
                <w:szCs w:val="13"/>
                <w:b w:val="1"/>
                <w:bCs w:val="1"/>
                <w:color w:val="auto"/>
                <w:w w:val="89"/>
              </w:rPr>
              <w:t>Gain/(Loss)</w:t>
            </w:r>
          </w:p>
        </w:tc>
        <w:tc>
          <w:tcPr>
            <w:tcW w:w="840" w:type="dxa"/>
            <w:vAlign w:val="bottom"/>
            <w:gridSpan w:val="2"/>
          </w:tcPr>
          <w:p>
            <w:pPr>
              <w:jc w:val="right"/>
              <w:ind w:right="158"/>
              <w:spacing w:after="0"/>
              <w:rPr>
                <w:sz w:val="20"/>
                <w:szCs w:val="20"/>
                <w:color w:val="auto"/>
              </w:rPr>
            </w:pPr>
            <w:r>
              <w:rPr>
                <w:rFonts w:ascii="Arial" w:cs="Arial" w:eastAsia="Arial" w:hAnsi="Arial"/>
                <w:sz w:val="13"/>
                <w:szCs w:val="13"/>
                <w:b w:val="1"/>
                <w:bCs w:val="1"/>
                <w:color w:val="auto"/>
                <w:w w:val="86"/>
              </w:rPr>
              <w:t>Gain/(Loss)</w:t>
            </w: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154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9"/>
              </w:rPr>
              <w:t>Asset Manager Affiliates</w:t>
            </w:r>
            <w:r>
              <w:rPr>
                <w:rFonts w:ascii="Arial" w:cs="Arial" w:eastAsia="Arial" w:hAnsi="Arial"/>
                <w:sz w:val="10"/>
                <w:szCs w:val="10"/>
                <w:color w:val="auto"/>
                <w:w w:val="99"/>
              </w:rPr>
              <w:t>(4)</w:t>
            </w:r>
          </w:p>
        </w:tc>
        <w:tc>
          <w:tcPr>
            <w:tcW w:w="12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FF0FC"/>
          </w:tcPr>
          <w:p>
            <w:pPr>
              <w:spacing w:after="0"/>
              <w:rPr>
                <w:sz w:val="20"/>
                <w:szCs w:val="20"/>
                <w:color w:val="auto"/>
              </w:rPr>
            </w:pPr>
            <w:r>
              <w:rPr>
                <w:rFonts w:ascii="Arial" w:cs="Arial" w:eastAsia="Arial" w:hAnsi="Arial"/>
                <w:sz w:val="11"/>
                <w:szCs w:val="11"/>
                <w:color w:val="auto"/>
              </w:rPr>
              <w:t>(6)</w:t>
            </w:r>
          </w:p>
        </w:tc>
        <w:tc>
          <w:tcPr>
            <w:tcW w:w="1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Management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Company</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0"/>
              </w:rPr>
              <w:t>$ (3,470,000)</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4"/>
              </w:rPr>
              <w:t>$ 17,791,230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Tank Partners Holdings,</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(3)(4)(5)(8)</w:t>
            </w:r>
          </w:p>
        </w:tc>
        <w:tc>
          <w:tcPr>
            <w:tcW w:w="1280" w:type="dxa"/>
            <w:vAlign w:val="bottom"/>
          </w:tcPr>
          <w:p>
            <w:pPr>
              <w:spacing w:after="0"/>
              <w:rPr>
                <w:sz w:val="20"/>
                <w:szCs w:val="20"/>
                <w:color w:val="auto"/>
              </w:rPr>
            </w:pPr>
            <w:r>
              <w:rPr>
                <w:rFonts w:ascii="Arial" w:cs="Arial" w:eastAsia="Arial" w:hAnsi="Arial"/>
                <w:sz w:val="13"/>
                <w:szCs w:val="13"/>
                <w:color w:val="auto"/>
              </w:rPr>
              <w:t>Gas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6,228,000</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w w:val="99"/>
              </w:rPr>
              <w:t>(5,064,000)</w:t>
            </w: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(1,165,000)</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Holdings,</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(3)(4)(5)</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620,145</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(216,529)</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648,879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540" w:type="dxa"/>
            <w:vAlign w:val="bottom"/>
          </w:tcPr>
          <w:p>
            <w:pPr>
              <w:spacing w:after="0" w:line="140" w:lineRule="exact"/>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10"/>
                <w:szCs w:val="10"/>
                <w:color w:val="auto"/>
              </w:rPr>
              <w:t>(3)</w:t>
            </w:r>
          </w:p>
        </w:tc>
        <w:tc>
          <w:tcPr>
            <w:tcW w:w="1280" w:type="dxa"/>
            <w:vAlign w:val="bottom"/>
          </w:tcPr>
          <w:p>
            <w:pPr>
              <w:spacing w:after="0" w:line="140" w:lineRule="exact"/>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8"/>
              </w:rPr>
              <w:t>18,390,440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2,917,459</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89"/>
              </w:rPr>
              <w:t>21,307,899</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24,720,000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3,750,000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20"/>
                <w:szCs w:val="20"/>
                <w:color w:val="auto"/>
              </w:rPr>
            </w:pPr>
            <w:r>
              <w:rPr>
                <w:rFonts w:ascii="Arial" w:cs="Arial" w:eastAsia="Arial" w:hAnsi="Arial"/>
                <w:sz w:val="11"/>
                <w:szCs w:val="11"/>
                <w:color w:val="auto"/>
              </w:rPr>
              <w:t>(5)</w:t>
            </w: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12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21,861,440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6,848,145</w:t>
            </w:r>
          </w:p>
        </w:tc>
        <w:tc>
          <w:tcPr>
            <w:tcW w:w="16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(2,363,070)</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(4,635,000)</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21,711,515</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3,750,000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540" w:type="dxa"/>
            <w:vAlign w:val="bottom"/>
          </w:tcPr>
          <w:p>
            <w:pPr>
              <w:spacing w:after="0"/>
              <w:rPr>
                <w:sz w:val="20"/>
                <w:szCs w:val="20"/>
                <w:color w:val="auto"/>
              </w:rPr>
            </w:pPr>
            <w:r>
              <w:rPr>
                <w:rFonts w:ascii="Arial" w:cs="Arial" w:eastAsia="Arial" w:hAnsi="Arial"/>
                <w:sz w:val="13"/>
                <w:szCs w:val="13"/>
                <w:color w:val="auto"/>
                <w:w w:val="97"/>
              </w:rPr>
              <w:t>BCP Great Lakes Holdings</w:t>
            </w:r>
          </w:p>
        </w:tc>
        <w:tc>
          <w:tcPr>
            <w:tcW w:w="1280" w:type="dxa"/>
            <w:vAlign w:val="bottom"/>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(5)(9)</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12,466,667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11,213,014</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100,387</w:t>
            </w: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23,780,068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23,679,681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2013-1,</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(1,208,865)</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7,506,434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(2,204,062)</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11,720,000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932,029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Catamaran CLO 2014-1,</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(1,254,962)</w:t>
            </w:r>
          </w:p>
        </w:tc>
        <w:tc>
          <w:tcPr>
            <w:tcW w:w="620" w:type="dxa"/>
            <w:vAlign w:val="bottom"/>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9,112,278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w w:val="99"/>
              </w:rPr>
              <w:t>(2,411,715)</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6,379,580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15,160,600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933,979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(521,228)</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2,591,820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(1,209,124)</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277,564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Catamaran CLO 2015-1,</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(551,159)</w:t>
            </w:r>
          </w:p>
        </w:tc>
        <w:tc>
          <w:tcPr>
            <w:tcW w:w="620" w:type="dxa"/>
            <w:vAlign w:val="bottom"/>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3,157,769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3"/>
                <w:szCs w:val="13"/>
                <w:color w:val="auto"/>
              </w:rPr>
              <w:t>(428,544)</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2,514,130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4,952,000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336,063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(1,033,625)</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7,502,959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(740,809)</w:t>
            </w: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10,140,000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666,491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Catamaran CLO 2018-1,</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280" w:type="dxa"/>
            <w:vAlign w:val="bottom"/>
          </w:tcPr>
          <w:p>
            <w:pPr>
              <w:spacing w:after="0"/>
              <w:rPr>
                <w:sz w:val="20"/>
                <w:szCs w:val="20"/>
                <w:color w:val="auto"/>
              </w:rPr>
            </w:pPr>
            <w:r>
              <w:rPr>
                <w:rFonts w:ascii="Arial" w:cs="Arial" w:eastAsia="Arial" w:hAnsi="Arial"/>
                <w:sz w:val="13"/>
                <w:szCs w:val="13"/>
                <w:color w:val="auto"/>
              </w:rPr>
              <w:t>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(1,597,115)</w:t>
            </w:r>
          </w:p>
        </w:tc>
        <w:tc>
          <w:tcPr>
            <w:tcW w:w="620" w:type="dxa"/>
            <w:vAlign w:val="bottom"/>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8,950,000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185,978</w:t>
            </w: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8,530,751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991,888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KCAP F3C Senior Funding</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CLO Fund</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Rated Notes</w:t>
            </w:r>
            <w:r>
              <w:rPr>
                <w:rFonts w:ascii="Arial" w:cs="Arial" w:eastAsia="Arial" w:hAnsi="Arial"/>
                <w:sz w:val="10"/>
                <w:szCs w:val="10"/>
                <w:color w:val="auto"/>
              </w:rPr>
              <w:t>(3)(7)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Securities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4,473,840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(4,417,967)</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18,496</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(66,734)</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(7,635)</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289,373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280" w:type="dxa"/>
            <w:vAlign w:val="bottom"/>
          </w:tcPr>
          <w:p>
            <w:pPr>
              <w:spacing w:after="0"/>
              <w:rPr>
                <w:sz w:val="20"/>
                <w:szCs w:val="20"/>
                <w:color w:val="auto"/>
              </w:rPr>
            </w:pPr>
            <w:r>
              <w:rPr>
                <w:rFonts w:ascii="Arial" w:cs="Arial" w:eastAsia="Arial" w:hAnsi="Arial"/>
                <w:sz w:val="13"/>
                <w:szCs w:val="13"/>
                <w:color w:val="auto"/>
              </w:rPr>
              <w:t>Electronics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496,995</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5,067</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6,646,229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492,653</w:t>
            </w:r>
          </w:p>
        </w:tc>
        <w:tc>
          <w:tcPr>
            <w:tcW w:w="1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(4,854)</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7,636,090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380,167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r>
              <w:rPr>
                <w:rFonts w:ascii="Arial" w:cs="Arial" w:eastAsia="Arial" w:hAnsi="Arial"/>
                <w:sz w:val="10"/>
                <w:szCs w:val="10"/>
                <w:color w:val="auto"/>
              </w:rPr>
              <w:t>(3)(4)</w:t>
            </w:r>
          </w:p>
        </w:tc>
        <w:tc>
          <w:tcPr>
            <w:tcW w:w="12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8"/>
              </w:rPr>
              <w:t>Healthcare, Education</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1"/>
                <w:szCs w:val="11"/>
                <w:color w:val="auto"/>
              </w:rPr>
              <w:t>(7)</w:t>
            </w:r>
          </w:p>
        </w:tc>
        <w:tc>
          <w:tcPr>
            <w:tcW w:w="1280" w:type="dxa"/>
            <w:vAlign w:val="bottom"/>
            <w:shd w:val="clear" w:color="auto" w:fill="CFF0FC"/>
          </w:tcPr>
          <w:p>
            <w:pPr>
              <w:spacing w:after="0"/>
              <w:rPr>
                <w:sz w:val="20"/>
                <w:szCs w:val="20"/>
                <w:color w:val="auto"/>
              </w:rPr>
            </w:pPr>
            <w:r>
              <w:rPr>
                <w:rFonts w:ascii="Arial" w:cs="Arial" w:eastAsia="Arial" w:hAnsi="Arial"/>
                <w:sz w:val="13"/>
                <w:szCs w:val="13"/>
                <w:color w:val="auto"/>
              </w:rPr>
              <w:t>and Childcare</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3,231,683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74,300</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3,306,092</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244,729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40" w:type="dxa"/>
            <w:vAlign w:val="bottom"/>
          </w:tcPr>
          <w:p>
            <w:pPr>
              <w:spacing w:after="0" w:line="134" w:lineRule="exact"/>
              <w:rPr>
                <w:sz w:val="20"/>
                <w:szCs w:val="20"/>
                <w:color w:val="auto"/>
              </w:rPr>
            </w:pPr>
            <w:r>
              <w:rPr>
                <w:rFonts w:ascii="Arial" w:cs="Arial" w:eastAsia="Arial" w:hAnsi="Arial"/>
                <w:sz w:val="13"/>
                <w:szCs w:val="13"/>
                <w:color w:val="auto"/>
              </w:rPr>
              <w:t>OCI Holdings, LLC</w:t>
            </w:r>
            <w:r>
              <w:rPr>
                <w:rFonts w:ascii="Arial" w:cs="Arial" w:eastAsia="Arial" w:hAnsi="Arial"/>
                <w:sz w:val="10"/>
                <w:szCs w:val="10"/>
                <w:color w:val="auto"/>
              </w:rPr>
              <w:t>(3)(4)(7)</w:t>
            </w:r>
          </w:p>
        </w:tc>
        <w:tc>
          <w:tcPr>
            <w:tcW w:w="1280" w:type="dxa"/>
            <w:vAlign w:val="bottom"/>
          </w:tcPr>
          <w:p>
            <w:pPr>
              <w:spacing w:after="0" w:line="134" w:lineRule="exact"/>
              <w:rPr>
                <w:sz w:val="20"/>
                <w:szCs w:val="20"/>
                <w:color w:val="auto"/>
              </w:rPr>
            </w:pPr>
            <w:r>
              <w:rPr>
                <w:rFonts w:ascii="Arial" w:cs="Arial" w:eastAsia="Arial" w:hAnsi="Arial"/>
                <w:sz w:val="13"/>
                <w:szCs w:val="13"/>
                <w:color w:val="auto"/>
              </w:rPr>
              <w:t>Healthcare &amp;</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Pharmaceuticals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31,817,483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54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Total Non-controlled</w:t>
            </w:r>
          </w:p>
        </w:tc>
        <w:tc>
          <w:tcPr>
            <w:tcW w:w="12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FF0FC"/>
          </w:tcPr>
          <w:p>
            <w:pPr>
              <w:spacing w:after="0"/>
              <w:rPr>
                <w:sz w:val="20"/>
                <w:szCs w:val="20"/>
                <w:color w:val="auto"/>
              </w:rPr>
            </w:pPr>
            <w:r>
              <w:rPr>
                <w:rFonts w:ascii="Arial" w:cs="Arial" w:eastAsia="Arial" w:hAnsi="Arial"/>
                <w:sz w:val="13"/>
                <w:szCs w:val="13"/>
                <w:color w:val="auto"/>
              </w:rPr>
              <w:t>affiliates</w:t>
            </w:r>
          </w:p>
        </w:tc>
        <w:tc>
          <w:tcPr>
            <w:tcW w:w="12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16,940,507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1,125,088</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4,161,686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51,121,453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9"/>
              </w:rPr>
              <w:t>(6,207,668)</w:t>
            </w: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(12,489)</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67,128,578</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5,052,283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1,109,780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7"/>
              </w:rPr>
              <w:t>Total Affiliated Investments</w:t>
            </w:r>
          </w:p>
        </w:tc>
        <w:tc>
          <w:tcPr>
            <w:tcW w:w="12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38,801,947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7,973,232</w:t>
            </w: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$ 4,161,686</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$ 51,121,453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(8,570,738</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(4,647,489</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88,840,092</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5,052,283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4,859,780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88"/>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9" w:lineRule="exact"/>
        <w:rPr>
          <w:sz w:val="20"/>
          <w:szCs w:val="20"/>
          <w:color w:val="auto"/>
        </w:rPr>
      </w:pPr>
    </w:p>
    <w:p>
      <w:pPr>
        <w:ind w:left="380" w:right="260" w:hanging="372"/>
        <w:spacing w:after="0" w:line="263" w:lineRule="auto"/>
        <w:tabs>
          <w:tab w:leader="none" w:pos="380" w:val="left"/>
        </w:tabs>
        <w:numPr>
          <w:ilvl w:val="0"/>
          <w:numId w:val="89"/>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86" w:lineRule="auto"/>
        <w:tabs>
          <w:tab w:leader="none" w:pos="380" w:val="left"/>
        </w:tabs>
        <w:numPr>
          <w:ilvl w:val="0"/>
          <w:numId w:val="90"/>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7"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63" w:lineRule="exact"/>
        <w:rPr>
          <w:sz w:val="20"/>
          <w:szCs w:val="20"/>
          <w:color w:val="auto"/>
        </w:rPr>
      </w:pPr>
    </w:p>
    <w:p>
      <w:pPr>
        <w:ind w:left="380" w:hanging="372"/>
        <w:spacing w:after="0"/>
        <w:tabs>
          <w:tab w:leader="none" w:pos="380" w:val="left"/>
        </w:tabs>
        <w:numPr>
          <w:ilvl w:val="0"/>
          <w:numId w:val="92"/>
        </w:numPr>
        <w:rPr>
          <w:rFonts w:ascii="Arial" w:cs="Arial" w:eastAsia="Arial" w:hAnsi="Arial"/>
          <w:sz w:val="23"/>
          <w:szCs w:val="23"/>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07" w:lineRule="exact"/>
        <w:rPr>
          <w:rFonts w:ascii="Arial" w:cs="Arial" w:eastAsia="Arial" w:hAnsi="Arial"/>
          <w:sz w:val="23"/>
          <w:szCs w:val="23"/>
          <w:color w:val="auto"/>
          <w:vertAlign w:val="superscript"/>
        </w:rPr>
      </w:pPr>
    </w:p>
    <w:p>
      <w:pPr>
        <w:ind w:left="5460"/>
        <w:spacing w:after="0"/>
        <w:rPr>
          <w:rFonts w:ascii="Arial" w:cs="Arial" w:eastAsia="Arial" w:hAnsi="Arial"/>
          <w:sz w:val="23"/>
          <w:szCs w:val="23"/>
          <w:color w:val="auto"/>
          <w:vertAlign w:val="superscript"/>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29" w:name="page130"/>
    <w:bookmarkEnd w:id="129"/>
    <w:p>
      <w:pPr>
        <w:ind w:right="20" w:firstLine="374"/>
        <w:spacing w:after="0" w:line="277" w:lineRule="auto"/>
        <w:rPr>
          <w:sz w:val="20"/>
          <w:szCs w:val="20"/>
          <w:color w:val="auto"/>
        </w:rPr>
      </w:pPr>
      <w:r>
        <w:rPr>
          <w:rFonts w:ascii="Arial" w:cs="Arial" w:eastAsia="Arial" w:hAnsi="Arial"/>
          <w:sz w:val="18"/>
          <w:szCs w:val="18"/>
          <w:color w:val="auto"/>
        </w:rPr>
        <w:t>During the third quarter of 2019, the Company sold its entire investment in Bristol Hospice, LLC to an affiliate. This transaction was approved by the Board of Directors of the Company.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21"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For the years ended December 31, 2020, 2019 and 2018, the Company recognized $6.9 million, $4.9 million and $3.1 million, respectively, in investment income from its investments in Joint Ventures. As of December 31, 2020 and December 31, 2019, the aggregate fair value of the Company’s investments in Joint Ventures was approximately $49.3 million and $45.1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231F20"/>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70"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53"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7720" w:type="dxa"/>
            <w:vAlign w:val="bottom"/>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31,404,100</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167,389</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135,457</w:t>
            </w:r>
          </w:p>
        </w:tc>
        <w:tc>
          <w:tcPr>
            <w:tcW w:w="12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31,236,711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33,602,174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0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5,006,291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5,127,460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4,800,844</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86,183</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126,786</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4,934,773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5,041,277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4,674,058</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(518,361)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2,951,441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(4,951,938)</w:t>
            </w: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4,416,412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7,992,718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by Joint</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Venture</w:t>
            </w:r>
          </w:p>
        </w:tc>
        <w:tc>
          <w:tcPr>
            <w:tcW w:w="14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12.3%, 12/29 maturity</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38,986,212</w:t>
            </w:r>
          </w:p>
        </w:tc>
        <w:tc>
          <w:tcPr>
            <w:tcW w:w="2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shd w:val="clear" w:color="auto" w:fill="CFF0FC"/>
          </w:tcPr>
          <w:p>
            <w:pPr>
              <w:spacing w:after="0"/>
              <w:rPr>
                <w:sz w:val="20"/>
                <w:szCs w:val="20"/>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38,986,212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31,404,100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380" w:right="160" w:hanging="372"/>
        <w:spacing w:after="0" w:line="220" w:lineRule="auto"/>
        <w:tabs>
          <w:tab w:leader="none" w:pos="380" w:val="left"/>
        </w:tabs>
        <w:numPr>
          <w:ilvl w:val="0"/>
          <w:numId w:val="94"/>
        </w:numPr>
        <w:rPr>
          <w:rFonts w:ascii="Arial" w:cs="Arial" w:eastAsia="Arial" w:hAnsi="Arial"/>
          <w:sz w:val="29"/>
          <w:szCs w:val="29"/>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10" w:lineRule="exact"/>
        <w:rPr>
          <w:rFonts w:ascii="Arial" w:cs="Arial" w:eastAsia="Arial" w:hAnsi="Arial"/>
          <w:sz w:val="29"/>
          <w:szCs w:val="29"/>
          <w:color w:val="auto"/>
          <w:vertAlign w:val="superscript"/>
        </w:rPr>
      </w:pPr>
    </w:p>
    <w:p>
      <w:pPr>
        <w:ind w:left="380" w:right="640" w:hanging="372"/>
        <w:spacing w:after="0" w:line="198" w:lineRule="auto"/>
        <w:tabs>
          <w:tab w:leader="none" w:pos="380" w:val="left"/>
        </w:tabs>
        <w:numPr>
          <w:ilvl w:val="0"/>
          <w:numId w:val="94"/>
        </w:numPr>
        <w:rPr>
          <w:rFonts w:ascii="Arial" w:cs="Arial" w:eastAsia="Arial" w:hAnsi="Arial"/>
          <w:sz w:val="29"/>
          <w:szCs w:val="29"/>
          <w:color w:val="auto"/>
          <w:vertAlign w:val="superscript"/>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47"/>
              <w:spacing w:after="0"/>
              <w:rPr>
                <w:sz w:val="20"/>
                <w:szCs w:val="20"/>
                <w:color w:val="auto"/>
              </w:rPr>
            </w:pPr>
            <w:r>
              <w:rPr>
                <w:rFonts w:ascii="Arial" w:cs="Arial" w:eastAsia="Arial" w:hAnsi="Arial"/>
                <w:sz w:val="18"/>
                <w:szCs w:val="18"/>
                <w:b w:val="1"/>
                <w:bCs w:val="1"/>
                <w:color w:val="auto"/>
                <w:w w:val="86"/>
              </w:rPr>
              <w:t>Percentage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Ownership</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89"/>
              </w:rPr>
              <w:t>by Joint</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760" w:type="dxa"/>
            <w:vAlign w:val="bottom"/>
            <w:gridSpan w:val="3"/>
          </w:tcPr>
          <w:p>
            <w:pPr>
              <w:jc w:val="center"/>
              <w:ind w:right="427"/>
              <w:spacing w:after="0"/>
              <w:rPr>
                <w:sz w:val="20"/>
                <w:szCs w:val="20"/>
                <w:color w:val="auto"/>
              </w:rPr>
            </w:pPr>
            <w:r>
              <w:rPr>
                <w:rFonts w:ascii="Arial" w:cs="Arial" w:eastAsia="Arial" w:hAnsi="Arial"/>
                <w:sz w:val="18"/>
                <w:szCs w:val="18"/>
                <w:b w:val="1"/>
                <w:bCs w:val="1"/>
                <w:color w:val="auto"/>
                <w:w w:val="92"/>
              </w:rPr>
              <w:t>Venture</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Great Lakes KCAP F3C Senior, LLC</w:t>
            </w:r>
            <w:r>
              <w:rPr>
                <w:rFonts w:ascii="Arial" w:cs="Arial" w:eastAsia="Arial" w:hAnsi="Arial"/>
                <w:sz w:val="15"/>
                <w:szCs w:val="15"/>
                <w:color w:val="auto"/>
                <w:w w:val="97"/>
              </w:rPr>
              <w:t>(1)(2)</w:t>
            </w:r>
          </w:p>
        </w:tc>
        <w:tc>
          <w:tcPr>
            <w:tcW w:w="16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11.2%, 12/29 maturity</w:t>
            </w:r>
          </w:p>
        </w:tc>
        <w:tc>
          <w:tcPr>
            <w:tcW w:w="17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100.0%  $</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40,801,382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33,737,631</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40,801,382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33,737,631</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380" w:right="160" w:hanging="372"/>
        <w:spacing w:after="0" w:line="220" w:lineRule="auto"/>
        <w:tabs>
          <w:tab w:leader="none" w:pos="380"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1" w:name="page132"/>
    <w:bookmarkEnd w:id="131"/>
    <w:p>
      <w:pPr>
        <w:ind w:left="380" w:right="620" w:hanging="372"/>
        <w:spacing w:after="0" w:line="198" w:lineRule="auto"/>
        <w:tabs>
          <w:tab w:leader="none" w:pos="380" w:val="left"/>
        </w:tabs>
        <w:numPr>
          <w:ilvl w:val="0"/>
          <w:numId w:val="96"/>
        </w:numPr>
        <w:rPr>
          <w:rFonts w:ascii="Arial" w:cs="Arial" w:eastAsia="Arial" w:hAnsi="Arial"/>
          <w:sz w:val="29"/>
          <w:szCs w:val="29"/>
          <w:color w:val="auto"/>
          <w:vertAlign w:val="superscript"/>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121"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57"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The fair value of the Company’s investment in the BCP Great Lakes Partnership at December 31, 2020 and December 31, 2019 was $29.6 million and $23.8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84"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1940 Act). As of December 31, 2020 and December 31, 2019, the Company has a $20.0 million and $26.3 million, respectively unfunded commitment to the BCP Great Lakes Partnership. However, at December 31, 2020 our funding commitment was limited to approximately $15.0 million pursuant to the limitations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right="20" w:firstLine="374"/>
        <w:spacing w:after="0" w:line="287"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2" w:lineRule="exact"/>
        <w:rPr>
          <w:sz w:val="20"/>
          <w:szCs w:val="20"/>
          <w:color w:val="auto"/>
        </w:rPr>
      </w:pPr>
    </w:p>
    <w:p>
      <w:pPr>
        <w:ind w:right="100" w:firstLine="8"/>
        <w:spacing w:after="0" w:line="252" w:lineRule="auto"/>
        <w:tabs>
          <w:tab w:leader="none" w:pos="3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4"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right="60" w:firstLine="374"/>
        <w:spacing w:after="0" w:line="286"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5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68"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32" w:name="page133"/>
    <w:bookmarkEnd w:id="132"/>
    <w:p>
      <w:pPr>
        <w:ind w:right="2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3" w:lineRule="exact"/>
        <w:rPr>
          <w:sz w:val="20"/>
          <w:szCs w:val="20"/>
          <w:color w:val="auto"/>
        </w:rPr>
      </w:pPr>
    </w:p>
    <w:p>
      <w:pPr>
        <w:ind w:right="400" w:firstLine="374"/>
        <w:spacing w:after="0" w:line="277"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December 31, 2020 and December 31, 2019,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6"/>
          </w:tcPr>
          <w:p>
            <w:pPr>
              <w:ind w:left="800"/>
              <w:spacing w:after="0"/>
              <w:rPr>
                <w:sz w:val="20"/>
                <w:szCs w:val="20"/>
                <w:color w:val="auto"/>
              </w:rPr>
            </w:pPr>
            <w:r>
              <w:rPr>
                <w:rFonts w:ascii="Arial" w:cs="Arial" w:eastAsia="Arial" w:hAnsi="Arial"/>
                <w:sz w:val="18"/>
                <w:szCs w:val="18"/>
                <w:b w:val="1"/>
                <w:bCs w:val="1"/>
                <w:color w:val="auto"/>
              </w:rPr>
              <w:t>As of December 31, 2020</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NAV</w:t>
            </w:r>
          </w:p>
        </w:tc>
        <w:tc>
          <w:tcPr>
            <w:tcW w:w="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70,615,841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334,245,014</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404,860,855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CLO Fund securities</w:t>
            </w:r>
          </w:p>
        </w:tc>
        <w:tc>
          <w:tcPr>
            <w:tcW w:w="1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19,582,555</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19,582,555</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1,407,907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12,536,969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Joint Ventures</w:t>
            </w:r>
          </w:p>
        </w:tc>
        <w:tc>
          <w:tcPr>
            <w:tcW w:w="1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19,748,808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29,600,355</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49,349,163</w:t>
            </w:r>
          </w:p>
        </w:tc>
        <w:tc>
          <w:tcPr>
            <w:tcW w:w="100" w:type="dxa"/>
            <w:vAlign w:val="bottom"/>
          </w:tcPr>
          <w:p>
            <w:pPr>
              <w:spacing w:after="0"/>
              <w:rPr>
                <w:sz w:val="19"/>
                <w:szCs w:val="19"/>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(1,108,618)</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(1,108,618)</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1,407,907</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$ 70,615,841</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$ 385,004,728</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$ 29,600,355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$ 486,628,831</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8"/>
          </w:tcPr>
          <w:p>
            <w:pPr>
              <w:ind w:left="640"/>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NAV</w:t>
            </w: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 Term investments</w:t>
            </w:r>
          </w:p>
        </w:tc>
        <w:tc>
          <w:tcPr>
            <w:tcW w:w="800" w:type="dxa"/>
            <w:vAlign w:val="bottom"/>
            <w:tcBorders>
              <w:top w:val="single" w:sz="8" w:color="auto"/>
            </w:tcBorders>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4,207,107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Debt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38,420,182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148,382,726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186,802,908</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31,968,202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31,968,202</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Equity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9,864,419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9,864,419</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21,307,899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45,087,967</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Derivatives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(33,437)</w:t>
            </w: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(33,437)</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42,627,289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211,489,810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23,780,068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277,897,166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79"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fair value of the Company’s investment in the BCP Great Lakes Partnership at December 31, 2020 and December 31, 2019 was $29.6 million and $23.8 million. Fair value has been determined utilizing the practical expedient pursuant to ASC 820-10.</w:t>
      </w:r>
    </w:p>
    <w:p>
      <w:pPr>
        <w:spacing w:after="0" w:line="62"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3" w:name="page134"/>
    <w:bookmarkEnd w:id="133"/>
    <w:p>
      <w:pPr>
        <w:ind w:right="120" w:firstLine="37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6"/>
                <w:szCs w:val="16"/>
                <w:b w:val="1"/>
                <w:bCs w:val="1"/>
                <w:color w:val="auto"/>
              </w:rPr>
              <w:t>Year ended December 31, 2020</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Asset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Debt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CLO Fund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Manager</w:t>
            </w:r>
          </w:p>
        </w:tc>
        <w:tc>
          <w:tcPr>
            <w:tcW w:w="12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Joint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4"/>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Securities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Affiliate</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Ventures</w:t>
            </w:r>
          </w:p>
        </w:tc>
        <w:tc>
          <w:tcPr>
            <w:tcW w:w="1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148,382,726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31,968,202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9,864,419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21,307,899</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(33,437)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211,489,810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Transfers out of Level III¹</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(5,522,415)</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(5,522,415)</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Transfers into Level III²</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5,292,441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5,292,441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Net accretion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7,414,985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3,541,296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10,956,281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Purchases</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297,330,176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3,529,804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300,859,980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Sales/Paydowns/Return of Capital</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(100,652,817)</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(4,432,200)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(1,515,936)</w:t>
            </w:r>
          </w:p>
        </w:tc>
        <w:tc>
          <w:tcPr>
            <w:tcW w:w="1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(976,968)</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(107,577,921)</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realized gain (loss) included in earnings</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7,928,224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(989,131)</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976,968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7,916,061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6"/>
                <w:szCs w:val="16"/>
                <w:color w:val="auto"/>
              </w:rPr>
              <w:t>Change in unrealized gain (loss) included in</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00" w:type="dxa"/>
            <w:vAlign w:val="bottom"/>
            <w:gridSpan w:val="2"/>
          </w:tcPr>
          <w:p>
            <w:pPr>
              <w:spacing w:after="0"/>
              <w:rPr>
                <w:sz w:val="20"/>
                <w:szCs w:val="20"/>
                <w:color w:val="auto"/>
              </w:rPr>
            </w:pPr>
            <w:r>
              <w:rPr>
                <w:rFonts w:ascii="Arial" w:cs="Arial" w:eastAsia="Arial" w:hAnsi="Arial"/>
                <w:sz w:val="16"/>
                <w:szCs w:val="16"/>
                <w:color w:val="auto"/>
              </w:rPr>
              <w:t>earnings</w:t>
            </w: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(25,928,306)</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(11,494,743)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1,647,812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(1,559,091)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(1,075,182)</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(38,409,510)</w:t>
            </w:r>
          </w:p>
        </w:tc>
        <w:tc>
          <w:tcPr>
            <w:tcW w:w="0" w:type="dxa"/>
            <w:vAlign w:val="bottom"/>
          </w:tcPr>
          <w:p>
            <w:pPr>
              <w:spacing w:after="0"/>
              <w:rPr>
                <w:sz w:val="1"/>
                <w:szCs w:val="1"/>
                <w:color w:val="auto"/>
              </w:rPr>
            </w:pPr>
          </w:p>
        </w:tc>
      </w:tr>
      <w:tr>
        <w:trPr>
          <w:trHeight w:val="20"/>
        </w:trPr>
        <w:tc>
          <w:tcPr>
            <w:tcW w:w="350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Balance, December 31, 2020</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334,245,014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19,582,555</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12,536,969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19,748,808</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2"/>
              </w:rPr>
              <w:t>(1,108,618)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385,004,728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6"/>
                <w:szCs w:val="16"/>
                <w:color w:val="auto"/>
              </w:rPr>
              <w:t>Changes in unrealized gains (losses) included 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spacing w:after="0"/>
              <w:rPr>
                <w:sz w:val="20"/>
                <w:szCs w:val="20"/>
                <w:color w:val="auto"/>
              </w:rPr>
            </w:pPr>
            <w:r>
              <w:rPr>
                <w:rFonts w:ascii="Arial" w:cs="Arial" w:eastAsia="Arial" w:hAnsi="Arial"/>
                <w:sz w:val="16"/>
                <w:szCs w:val="16"/>
                <w:color w:val="auto"/>
              </w:rPr>
              <w:t>earnings related to investments still held at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00" w:type="dxa"/>
            <w:vAlign w:val="bottom"/>
            <w:gridSpan w:val="2"/>
          </w:tcPr>
          <w:p>
            <w:pPr>
              <w:spacing w:after="0"/>
              <w:rPr>
                <w:sz w:val="20"/>
                <w:szCs w:val="20"/>
                <w:color w:val="auto"/>
              </w:rPr>
            </w:pPr>
            <w:r>
              <w:rPr>
                <w:rFonts w:ascii="Arial" w:cs="Arial" w:eastAsia="Arial" w:hAnsi="Arial"/>
                <w:sz w:val="16"/>
                <w:szCs w:val="16"/>
                <w:color w:val="auto"/>
              </w:rPr>
              <w:t>reporting date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(7,416,722)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(11,494,743)</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1,647,812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(1,559,091)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(1,075,182)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(19,897,926)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line="277" w:lineRule="auto"/>
        <w:tabs>
          <w:tab w:leader="none" w:pos="380" w:val="left"/>
        </w:tabs>
        <w:numPr>
          <w:ilvl w:val="0"/>
          <w:numId w:val="98"/>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$5.5 million relating to debt securities for which pricing inputs, other than their quoted prices in active markets were observable as of December 31, 2020.</w:t>
      </w:r>
    </w:p>
    <w:p>
      <w:pPr>
        <w:spacing w:after="0" w:line="62" w:lineRule="exact"/>
        <w:rPr>
          <w:sz w:val="20"/>
          <w:szCs w:val="20"/>
          <w:color w:val="auto"/>
        </w:rPr>
      </w:pPr>
    </w:p>
    <w:p>
      <w:pPr>
        <w:ind w:left="380" w:right="160" w:hanging="372"/>
        <w:spacing w:after="0" w:line="277" w:lineRule="auto"/>
        <w:tabs>
          <w:tab w:leader="none" w:pos="380" w:val="left"/>
        </w:tabs>
        <w:numPr>
          <w:ilvl w:val="0"/>
          <w:numId w:val="99"/>
        </w:numPr>
        <w:rPr>
          <w:rFonts w:ascii="Arial" w:cs="Arial" w:eastAsia="Arial" w:hAnsi="Arial"/>
          <w:sz w:val="15"/>
          <w:szCs w:val="15"/>
          <w:color w:val="auto"/>
        </w:rPr>
      </w:pPr>
      <w:r>
        <w:rPr>
          <w:rFonts w:ascii="Arial" w:cs="Arial" w:eastAsia="Arial" w:hAnsi="Arial"/>
          <w:sz w:val="18"/>
          <w:szCs w:val="18"/>
          <w:color w:val="auto"/>
        </w:rPr>
        <w:t>Transfers into Level III represent a transfer of $5.3 million relating to debt securities for which pricing inputs, other than their quoted prices in active markets were unobservable as of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9"/>
          </w:tcPr>
          <w:p>
            <w:pPr>
              <w:ind w:left="220"/>
              <w:spacing w:after="0"/>
              <w:rPr>
                <w:sz w:val="20"/>
                <w:szCs w:val="20"/>
                <w:color w:val="auto"/>
              </w:rPr>
            </w:pPr>
            <w:r>
              <w:rPr>
                <w:rFonts w:ascii="Arial" w:cs="Arial" w:eastAsia="Arial" w:hAnsi="Arial"/>
                <w:sz w:val="18"/>
                <w:szCs w:val="18"/>
                <w:b w:val="1"/>
                <w:bCs w:val="1"/>
                <w:color w:val="auto"/>
              </w:rPr>
              <w:t>Year Ended December 31, 2019</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1"/>
              </w:rPr>
              <w:t>Asset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CLO Fund</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Manager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Joint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Securities</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Securities</w:t>
            </w:r>
          </w:p>
        </w:tc>
        <w:tc>
          <w:tcPr>
            <w:tcW w:w="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Affiliate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Venture</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Derivatives</w:t>
            </w: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106,741,671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44,325,000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2,038,020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3,470,000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18,390,440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174,965,131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(10,079,999)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(10,079,999)</w:t>
            </w: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10,415,885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10,415,885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Net accretion</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6,162,690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6,371,742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108,079,125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14,966,500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123,076,234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(71,139,395)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(13,629,382)</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(371,222)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(85,139,999)</w:t>
            </w: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gain included in earnings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(10,084,819)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(1,395,218)</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(1,912,048)</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3"/>
              </w:rPr>
              <w:t>(3,470,000)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(16,862,085)</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Total unrealized gain (loss) included in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14,241,206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(3,494,888)</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(4,856,831)</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2,917,459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(64,046)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8,742,900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148,382,726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31,968,202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9,864,419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21,307,899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211,489,810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w w:val="94"/>
              </w:rPr>
              <w:t>included in earnings related to investments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still held at reporting date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(4,160,677)</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(4,346,029)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(4,856,831)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2,917,459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1"/>
              <w:spacing w:after="0"/>
              <w:rPr>
                <w:sz w:val="20"/>
                <w:szCs w:val="20"/>
                <w:color w:val="auto"/>
              </w:rPr>
            </w:pPr>
            <w:r>
              <w:rPr>
                <w:rFonts w:ascii="Arial" w:cs="Arial" w:eastAsia="Arial" w:hAnsi="Arial"/>
                <w:sz w:val="16"/>
                <w:szCs w:val="16"/>
                <w:color w:val="auto"/>
              </w:rPr>
              <w:t>(64,046)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(10,510,124)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right="400" w:hanging="372"/>
        <w:spacing w:after="0" w:line="277" w:lineRule="auto"/>
        <w:tabs>
          <w:tab w:leader="none" w:pos="380" w:val="left"/>
        </w:tabs>
        <w:numPr>
          <w:ilvl w:val="0"/>
          <w:numId w:val="100"/>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$10.1 million relating to debt securities for which pricing inputs, other than their quoted prices in active markets were observable as of December 31, 2019.</w:t>
      </w:r>
    </w:p>
    <w:p>
      <w:pPr>
        <w:spacing w:after="0" w:line="76" w:lineRule="exact"/>
        <w:rPr>
          <w:sz w:val="20"/>
          <w:szCs w:val="20"/>
          <w:color w:val="auto"/>
        </w:rPr>
      </w:pPr>
    </w:p>
    <w:p>
      <w:pPr>
        <w:ind w:left="380" w:right="60" w:hanging="372"/>
        <w:spacing w:after="0" w:line="277" w:lineRule="auto"/>
        <w:tabs>
          <w:tab w:leader="none" w:pos="380" w:val="left"/>
        </w:tabs>
        <w:numPr>
          <w:ilvl w:val="0"/>
          <w:numId w:val="101"/>
        </w:numPr>
        <w:rPr>
          <w:rFonts w:ascii="Arial" w:cs="Arial" w:eastAsia="Arial" w:hAnsi="Arial"/>
          <w:sz w:val="15"/>
          <w:szCs w:val="15"/>
          <w:color w:val="auto"/>
        </w:rPr>
      </w:pPr>
      <w:r>
        <w:rPr>
          <w:rFonts w:ascii="Arial" w:cs="Arial" w:eastAsia="Arial" w:hAnsi="Arial"/>
          <w:sz w:val="18"/>
          <w:szCs w:val="18"/>
          <w:color w:val="auto"/>
        </w:rPr>
        <w:t>Transfers into Level III represent a transfer of $10.4 million relating to debt securities for which pricing inputs, other than their quoted prices in active markets were unobservable as of December 31, 2019.</w:t>
      </w:r>
    </w:p>
    <w:p>
      <w:pPr>
        <w:spacing w:after="0" w:line="62" w:lineRule="exact"/>
        <w:rPr>
          <w:sz w:val="20"/>
          <w:szCs w:val="20"/>
          <w:color w:val="auto"/>
        </w:rPr>
      </w:pPr>
    </w:p>
    <w:p>
      <w:pPr>
        <w:ind w:right="180" w:firstLine="374"/>
        <w:spacing w:after="0" w:line="301" w:lineRule="auto"/>
        <w:rPr>
          <w:sz w:val="20"/>
          <w:szCs w:val="20"/>
          <w:color w:val="auto"/>
        </w:rPr>
      </w:pPr>
      <w:r>
        <w:rPr>
          <w:rFonts w:ascii="Arial" w:cs="Arial" w:eastAsia="Arial" w:hAnsi="Arial"/>
          <w:sz w:val="16"/>
          <w:szCs w:val="16"/>
          <w:color w:val="auto"/>
        </w:rPr>
        <w:t>As of December 31, 2020 and December 31, 2019,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$70.6 million and $42.6 million as of December 31, 2020 and December 31, 2019,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4" w:name="page135"/>
    <w:bookmarkEnd w:id="134"/>
    <w:p>
      <w:pPr>
        <w:ind w:left="380"/>
        <w:spacing w:after="0"/>
        <w:rPr>
          <w:sz w:val="20"/>
          <w:szCs w:val="20"/>
          <w:color w:val="auto"/>
        </w:rPr>
      </w:pPr>
      <w:r>
        <w:rPr>
          <w:rFonts w:ascii="Arial" w:cs="Arial" w:eastAsia="Arial" w:hAnsi="Arial"/>
          <w:sz w:val="18"/>
          <w:szCs w:val="18"/>
          <w:color w:val="auto"/>
        </w:rPr>
        <w:t>As of December 31, 2020,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tcBorders>
            <w:shd w:val="clear" w:color="auto" w:fill="DAEEF3"/>
          </w:tcPr>
          <w:p>
            <w:pPr>
              <w:spacing w:after="0"/>
              <w:rPr>
                <w:sz w:val="18"/>
                <w:szCs w:val="18"/>
                <w:color w:val="auto"/>
              </w:rPr>
            </w:pPr>
          </w:p>
        </w:tc>
        <w:tc>
          <w:tcPr>
            <w:tcW w:w="1020" w:type="dxa"/>
            <w:vAlign w:val="bottom"/>
            <w:tcBorders>
              <w:top w:val="single" w:sz="8" w:color="auto"/>
              <w:right w:val="single" w:sz="8" w:color="auto"/>
            </w:tcBorders>
            <w:shd w:val="clear" w:color="auto" w:fill="DAEEF3"/>
          </w:tcPr>
          <w:p>
            <w:pPr>
              <w:spacing w:after="0"/>
              <w:rPr>
                <w:sz w:val="18"/>
                <w:szCs w:val="18"/>
                <w:color w:val="auto"/>
              </w:rPr>
            </w:pPr>
          </w:p>
        </w:tc>
        <w:tc>
          <w:tcPr>
            <w:tcW w:w="360" w:type="dxa"/>
            <w:vAlign w:val="bottom"/>
            <w:tcBorders>
              <w:top w:val="single" w:sz="8" w:color="auto"/>
            </w:tcBorders>
            <w:shd w:val="clear" w:color="auto" w:fill="DAEEF3"/>
          </w:tcPr>
          <w:p>
            <w:pPr>
              <w:spacing w:after="0"/>
              <w:rPr>
                <w:sz w:val="18"/>
                <w:szCs w:val="18"/>
                <w:color w:val="auto"/>
              </w:rPr>
            </w:pPr>
          </w:p>
        </w:tc>
        <w:tc>
          <w:tcPr>
            <w:tcW w:w="1280" w:type="dxa"/>
            <w:vAlign w:val="bottom"/>
            <w:tcBorders>
              <w:top w:val="single" w:sz="8" w:color="auto"/>
            </w:tcBorders>
            <w:shd w:val="clear" w:color="auto" w:fill="DAEEF3"/>
          </w:tcPr>
          <w:p>
            <w:pPr>
              <w:spacing w:after="0"/>
              <w:rPr>
                <w:sz w:val="18"/>
                <w:szCs w:val="18"/>
                <w:color w:val="auto"/>
              </w:rPr>
            </w:pPr>
          </w:p>
        </w:tc>
        <w:tc>
          <w:tcPr>
            <w:tcW w:w="120" w:type="dxa"/>
            <w:vAlign w:val="bottom"/>
            <w:tcBorders>
              <w:top w:val="single" w:sz="8" w:color="DAEEF3"/>
              <w:right w:val="single" w:sz="8" w:color="auto"/>
            </w:tcBorders>
            <w:shd w:val="clear" w:color="auto" w:fill="DAEEF3"/>
          </w:tcPr>
          <w:p>
            <w:pPr>
              <w:spacing w:after="0"/>
              <w:rPr>
                <w:sz w:val="18"/>
                <w:szCs w:val="18"/>
                <w:color w:val="auto"/>
              </w:rPr>
            </w:pPr>
          </w:p>
        </w:tc>
        <w:tc>
          <w:tcPr>
            <w:tcW w:w="176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8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Unobservable</w:t>
            </w:r>
          </w:p>
        </w:tc>
        <w:tc>
          <w:tcPr>
            <w:tcW w:w="192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gridSpan w:val="2"/>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60" w:type="dxa"/>
            <w:vAlign w:val="bottom"/>
            <w:shd w:val="clear" w:color="auto" w:fill="DAEEF3"/>
          </w:tcPr>
          <w:p>
            <w:pPr>
              <w:spacing w:after="0"/>
              <w:rPr>
                <w:sz w:val="18"/>
                <w:szCs w:val="18"/>
                <w:color w:val="auto"/>
              </w:rPr>
            </w:pPr>
          </w:p>
        </w:tc>
        <w:tc>
          <w:tcPr>
            <w:tcW w:w="1400" w:type="dxa"/>
            <w:vAlign w:val="bottom"/>
            <w:tcBorders>
              <w:right w:val="single" w:sz="8" w:color="auto"/>
            </w:tcBorders>
            <w:gridSpan w:val="2"/>
            <w:shd w:val="clear" w:color="auto" w:fill="DAEEF3"/>
          </w:tcPr>
          <w:p>
            <w:pPr>
              <w:jc w:val="right"/>
              <w:ind w:right="520"/>
              <w:spacing w:after="0"/>
              <w:rPr>
                <w:sz w:val="20"/>
                <w:szCs w:val="20"/>
                <w:color w:val="auto"/>
              </w:rPr>
            </w:pPr>
            <w:r>
              <w:rPr>
                <w:rFonts w:ascii="Arial" w:cs="Arial" w:eastAsia="Arial" w:hAnsi="Arial"/>
                <w:sz w:val="16"/>
                <w:szCs w:val="16"/>
                <w:b w:val="1"/>
                <w:bCs w:val="1"/>
                <w:color w:val="auto"/>
              </w:rPr>
              <w:t>Fair Value</w:t>
            </w:r>
          </w:p>
        </w:tc>
        <w:tc>
          <w:tcPr>
            <w:tcW w:w="1760" w:type="dxa"/>
            <w:vAlign w:val="bottom"/>
            <w:tcBorders>
              <w:right w:val="single" w:sz="8" w:color="auto"/>
            </w:tcBorders>
            <w:shd w:val="clear" w:color="auto" w:fill="DAEEF3"/>
          </w:tcPr>
          <w:p>
            <w:pPr>
              <w:ind w:left="540"/>
              <w:spacing w:after="0"/>
              <w:rPr>
                <w:sz w:val="20"/>
                <w:szCs w:val="20"/>
                <w:color w:val="auto"/>
              </w:rPr>
            </w:pPr>
            <w:r>
              <w:rPr>
                <w:rFonts w:ascii="Arial" w:cs="Arial" w:eastAsia="Arial" w:hAnsi="Arial"/>
                <w:sz w:val="16"/>
                <w:szCs w:val="16"/>
                <w:b w:val="1"/>
                <w:bCs w:val="1"/>
                <w:color w:val="auto"/>
              </w:rPr>
              <w:t>Techniques</w:t>
            </w:r>
          </w:p>
        </w:tc>
        <w:tc>
          <w:tcPr>
            <w:tcW w:w="1780" w:type="dxa"/>
            <w:vAlign w:val="bottom"/>
            <w:tcBorders>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20" w:type="dxa"/>
            <w:vAlign w:val="bottom"/>
            <w:tcBorders>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3000" w:type="dxa"/>
            <w:vAlign w:val="bottom"/>
            <w:tcBorders>
              <w:top w:val="single" w:sz="8" w:color="auto"/>
              <w:lef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8,651,448</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4.8x-7.5x (5.6x)</w:t>
            </w: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Multiple</w:t>
            </w: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9"/>
              </w:rPr>
              <w:t>Debt Securities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0.0x-1.0x (0.7x)</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325,593,566</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5.2%-27.6% (10.2%)</w:t>
            </w:r>
          </w:p>
        </w:tc>
        <w:tc>
          <w:tcPr>
            <w:tcW w:w="0" w:type="dxa"/>
            <w:vAlign w:val="bottom"/>
          </w:tcPr>
          <w:p>
            <w:pPr>
              <w:spacing w:after="0"/>
              <w:rPr>
                <w:sz w:val="1"/>
                <w:szCs w:val="1"/>
                <w:color w:val="auto"/>
              </w:rPr>
            </w:pPr>
          </w:p>
        </w:tc>
      </w:tr>
      <w:tr>
        <w:trPr>
          <w:trHeight w:val="98"/>
        </w:trPr>
        <w:tc>
          <w:tcPr>
            <w:tcW w:w="30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00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7,036,969</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1.0x-9.0x (5.9x)</w:t>
            </w:r>
          </w:p>
        </w:tc>
        <w:tc>
          <w:tcPr>
            <w:tcW w:w="0" w:type="dxa"/>
            <w:vAlign w:val="bottom"/>
          </w:tcPr>
          <w:p>
            <w:pPr>
              <w:spacing w:after="0"/>
              <w:rPr>
                <w:sz w:val="1"/>
                <w:szCs w:val="1"/>
                <w:color w:val="auto"/>
              </w:rPr>
            </w:pPr>
          </w:p>
        </w:tc>
      </w:tr>
      <w:tr>
        <w:trPr>
          <w:trHeight w:val="98"/>
        </w:trPr>
        <w:tc>
          <w:tcPr>
            <w:tcW w:w="3000" w:type="dxa"/>
            <w:vAlign w:val="bottom"/>
            <w:tcBorders>
              <w:lef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Multiple /</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00" w:type="dxa"/>
            <w:vAlign w:val="bottom"/>
            <w:tcBorders>
              <w:lef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WACC</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0.0x-12.5x (0.6x)</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5,500,000</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17.8%-18.5% (18.1%)</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000" w:type="dxa"/>
            <w:vAlign w:val="bottom"/>
            <w:tcBorders>
              <w:left w:val="single" w:sz="8" w:color="auto"/>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13.0%-14.5% (13.8%)</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1.5%-4.0% (2.7%)</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3"/>
              </w:rPr>
              <w:t>CLO Fund Securities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19,582,555</w:t>
            </w: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20.5%-30.5% (25.5%)</w:t>
            </w: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69.5%-79.5% (74.5%)</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14.0%-16.0% (15.0%)</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3.0%-5.0% (4.0%)</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9"/>
              </w:rPr>
              <w:t>Joint Ventures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19,748,808</w:t>
            </w: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21.0%-31.0% (26.0%)</w:t>
            </w: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69.0%-79.0% (74.0%)</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Transacted</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(1,108,618)</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Value/Contractual</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Financing Rate</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Total Level III Investments</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385,004,728</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80" w:hanging="372"/>
        <w:spacing w:after="0" w:line="263" w:lineRule="auto"/>
        <w:tabs>
          <w:tab w:leader="none" w:pos="38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line="76" w:lineRule="exact"/>
        <w:rPr>
          <w:sz w:val="20"/>
          <w:szCs w:val="20"/>
          <w:color w:val="auto"/>
        </w:rPr>
      </w:pPr>
    </w:p>
    <w:p>
      <w:pPr>
        <w:ind w:left="5460" w:right="3560" w:hanging="5452"/>
        <w:spacing w:after="0" w:line="527" w:lineRule="auto"/>
        <w:tabs>
          <w:tab w:leader="none" w:pos="378" w:val="left"/>
        </w:tabs>
        <w:numPr>
          <w:ilvl w:val="0"/>
          <w:numId w:val="103"/>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5" w:name="page136"/>
    <w:bookmarkEnd w:id="135"/>
    <w:p>
      <w:pPr>
        <w:ind w:left="380"/>
        <w:spacing w:after="0"/>
        <w:rPr>
          <w:sz w:val="20"/>
          <w:szCs w:val="20"/>
          <w:color w:val="auto"/>
        </w:rPr>
      </w:pPr>
      <w:r>
        <w:rPr>
          <w:rFonts w:ascii="Arial" w:cs="Arial" w:eastAsia="Arial" w:hAnsi="Arial"/>
          <w:sz w:val="18"/>
          <w:szCs w:val="18"/>
          <w:color w:val="auto"/>
        </w:rPr>
        <w:t>As of December 31, 2019,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0" w:type="dxa"/>
            <w:vAlign w:val="bottom"/>
            <w:tcBorders>
              <w:top w:val="single" w:sz="8" w:color="auto"/>
              <w:left w:val="single" w:sz="8" w:color="auto"/>
            </w:tcBorders>
            <w:shd w:val="clear" w:color="auto" w:fill="DAEEF3"/>
          </w:tcPr>
          <w:p>
            <w:pPr>
              <w:spacing w:after="0"/>
              <w:rPr>
                <w:sz w:val="18"/>
                <w:szCs w:val="18"/>
                <w:color w:val="auto"/>
              </w:rPr>
            </w:pPr>
          </w:p>
        </w:tc>
        <w:tc>
          <w:tcPr>
            <w:tcW w:w="1020" w:type="dxa"/>
            <w:vAlign w:val="bottom"/>
            <w:tcBorders>
              <w:top w:val="single" w:sz="8" w:color="auto"/>
              <w:right w:val="single" w:sz="8" w:color="auto"/>
            </w:tcBorders>
            <w:shd w:val="clear" w:color="auto" w:fill="DAEEF3"/>
          </w:tcPr>
          <w:p>
            <w:pPr>
              <w:spacing w:after="0"/>
              <w:rPr>
                <w:sz w:val="18"/>
                <w:szCs w:val="18"/>
                <w:color w:val="auto"/>
              </w:rPr>
            </w:pPr>
          </w:p>
        </w:tc>
        <w:tc>
          <w:tcPr>
            <w:tcW w:w="360" w:type="dxa"/>
            <w:vAlign w:val="bottom"/>
            <w:tcBorders>
              <w:top w:val="single" w:sz="8" w:color="auto"/>
            </w:tcBorders>
            <w:shd w:val="clear" w:color="auto" w:fill="DAEEF3"/>
          </w:tcPr>
          <w:p>
            <w:pPr>
              <w:spacing w:after="0"/>
              <w:rPr>
                <w:sz w:val="18"/>
                <w:szCs w:val="18"/>
                <w:color w:val="auto"/>
              </w:rPr>
            </w:pPr>
          </w:p>
        </w:tc>
        <w:tc>
          <w:tcPr>
            <w:tcW w:w="1280" w:type="dxa"/>
            <w:vAlign w:val="bottom"/>
            <w:tcBorders>
              <w:top w:val="single" w:sz="8" w:color="auto"/>
            </w:tcBorders>
            <w:shd w:val="clear" w:color="auto" w:fill="DAEEF3"/>
          </w:tcPr>
          <w:p>
            <w:pPr>
              <w:spacing w:after="0"/>
              <w:rPr>
                <w:sz w:val="18"/>
                <w:szCs w:val="18"/>
                <w:color w:val="auto"/>
              </w:rPr>
            </w:pPr>
          </w:p>
        </w:tc>
        <w:tc>
          <w:tcPr>
            <w:tcW w:w="120" w:type="dxa"/>
            <w:vAlign w:val="bottom"/>
            <w:tcBorders>
              <w:top w:val="single" w:sz="8" w:color="DAEEF3"/>
              <w:right w:val="single" w:sz="8" w:color="auto"/>
            </w:tcBorders>
            <w:shd w:val="clear" w:color="auto" w:fill="DAEEF3"/>
          </w:tcPr>
          <w:p>
            <w:pPr>
              <w:spacing w:after="0"/>
              <w:rPr>
                <w:sz w:val="18"/>
                <w:szCs w:val="18"/>
                <w:color w:val="auto"/>
              </w:rPr>
            </w:pPr>
          </w:p>
        </w:tc>
        <w:tc>
          <w:tcPr>
            <w:tcW w:w="176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8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Unobservable</w:t>
            </w:r>
          </w:p>
        </w:tc>
        <w:tc>
          <w:tcPr>
            <w:tcW w:w="192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gridSpan w:val="2"/>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60" w:type="dxa"/>
            <w:vAlign w:val="bottom"/>
            <w:shd w:val="clear" w:color="auto" w:fill="DAEEF3"/>
          </w:tcPr>
          <w:p>
            <w:pPr>
              <w:spacing w:after="0"/>
              <w:rPr>
                <w:sz w:val="18"/>
                <w:szCs w:val="18"/>
                <w:color w:val="auto"/>
              </w:rPr>
            </w:pPr>
          </w:p>
        </w:tc>
        <w:tc>
          <w:tcPr>
            <w:tcW w:w="1400" w:type="dxa"/>
            <w:vAlign w:val="bottom"/>
            <w:tcBorders>
              <w:right w:val="single" w:sz="8" w:color="auto"/>
            </w:tcBorders>
            <w:gridSpan w:val="2"/>
            <w:shd w:val="clear" w:color="auto" w:fill="DAEEF3"/>
          </w:tcPr>
          <w:p>
            <w:pPr>
              <w:jc w:val="right"/>
              <w:ind w:right="520"/>
              <w:spacing w:after="0"/>
              <w:rPr>
                <w:sz w:val="20"/>
                <w:szCs w:val="20"/>
                <w:color w:val="auto"/>
              </w:rPr>
            </w:pPr>
            <w:r>
              <w:rPr>
                <w:rFonts w:ascii="Arial" w:cs="Arial" w:eastAsia="Arial" w:hAnsi="Arial"/>
                <w:sz w:val="16"/>
                <w:szCs w:val="16"/>
                <w:b w:val="1"/>
                <w:bCs w:val="1"/>
                <w:color w:val="auto"/>
              </w:rPr>
              <w:t>Fair Value</w:t>
            </w:r>
          </w:p>
        </w:tc>
        <w:tc>
          <w:tcPr>
            <w:tcW w:w="1760" w:type="dxa"/>
            <w:vAlign w:val="bottom"/>
            <w:tcBorders>
              <w:right w:val="single" w:sz="8" w:color="auto"/>
            </w:tcBorders>
            <w:shd w:val="clear" w:color="auto" w:fill="DAEEF3"/>
          </w:tcPr>
          <w:p>
            <w:pPr>
              <w:ind w:left="540"/>
              <w:spacing w:after="0"/>
              <w:rPr>
                <w:sz w:val="20"/>
                <w:szCs w:val="20"/>
                <w:color w:val="auto"/>
              </w:rPr>
            </w:pPr>
            <w:r>
              <w:rPr>
                <w:rFonts w:ascii="Arial" w:cs="Arial" w:eastAsia="Arial" w:hAnsi="Arial"/>
                <w:sz w:val="16"/>
                <w:szCs w:val="16"/>
                <w:b w:val="1"/>
                <w:bCs w:val="1"/>
                <w:color w:val="auto"/>
              </w:rPr>
              <w:t>Techniques</w:t>
            </w:r>
          </w:p>
        </w:tc>
        <w:tc>
          <w:tcPr>
            <w:tcW w:w="1780" w:type="dxa"/>
            <w:vAlign w:val="bottom"/>
            <w:tcBorders>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20" w:type="dxa"/>
            <w:vAlign w:val="bottom"/>
            <w:tcBorders>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4020" w:type="dxa"/>
            <w:vAlign w:val="bottom"/>
            <w:tcBorders>
              <w:top w:val="single" w:sz="8" w:color="auto"/>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0"/>
              </w:rPr>
              <w:t>Debt Securities</w:t>
            </w: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Borders>
              <w:left w:val="single" w:sz="8" w:color="auto"/>
              <w:right w:val="single" w:sz="8" w:color="auto"/>
            </w:tcBorders>
            <w:gridSpan w:val="2"/>
            <w:vMerge w:val="continue"/>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11,959,848</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5.0x-8.3x (7.0x)</w:t>
            </w: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Multiple</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136,422,878</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5.9%-24.0% (10.3%)</w:t>
            </w:r>
          </w:p>
        </w:tc>
        <w:tc>
          <w:tcPr>
            <w:tcW w:w="0" w:type="dxa"/>
            <w:vAlign w:val="bottom"/>
          </w:tcPr>
          <w:p>
            <w:pPr>
              <w:spacing w:after="0"/>
              <w:rPr>
                <w:sz w:val="1"/>
                <w:szCs w:val="1"/>
                <w:color w:val="auto"/>
              </w:rPr>
            </w:pPr>
          </w:p>
        </w:tc>
      </w:tr>
      <w:tr>
        <w:trPr>
          <w:trHeight w:val="98"/>
        </w:trPr>
        <w:tc>
          <w:tcPr>
            <w:tcW w:w="3000" w:type="dxa"/>
            <w:vAlign w:val="bottom"/>
            <w:tcBorders>
              <w:lef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000" w:type="dxa"/>
            <w:vAlign w:val="bottom"/>
            <w:tcBorders>
              <w:left w:val="single" w:sz="8" w:color="auto"/>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9,859,419</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3.2x-14.5x (14.0x)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Multiple /</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00" w:type="dxa"/>
            <w:vAlign w:val="bottom"/>
            <w:tcBorders>
              <w:lef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WACC</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Options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Qualitative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000" w:type="dxa"/>
            <w:vAlign w:val="bottom"/>
            <w:tcBorders>
              <w:lef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line="216" w:lineRule="exact"/>
              <w:rPr>
                <w:sz w:val="20"/>
                <w:szCs w:val="20"/>
                <w:color w:val="auto"/>
              </w:rPr>
            </w:pPr>
            <w:r>
              <w:rPr>
                <w:rFonts w:ascii="Arial" w:cs="Arial" w:eastAsia="Arial" w:hAnsi="Arial"/>
                <w:sz w:val="15"/>
                <w:szCs w:val="15"/>
                <w:color w:val="auto"/>
              </w:rPr>
              <w:t>Inputs</w:t>
            </w:r>
            <w:r>
              <w:rPr>
                <w:rFonts w:ascii="Arial" w:cs="Arial" w:eastAsia="Arial" w:hAnsi="Arial"/>
                <w:sz w:val="25"/>
                <w:szCs w:val="25"/>
                <w:color w:val="auto"/>
                <w:vertAlign w:val="superscript"/>
              </w:rPr>
              <w:t>(1)</w:t>
            </w:r>
          </w:p>
        </w:tc>
        <w:tc>
          <w:tcPr>
            <w:tcW w:w="1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13.3%-15.0% (13.9%)</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1%-2% (1.5%)</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3"/>
              </w:rPr>
              <w:t>CLO Fund Securities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31,968,202</w:t>
            </w: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20.0%-39.5% (29.5%)</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60.5%-80.0% (70.5%)</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16.0%-17.3% (16.6%)</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2%-3% (2.5%)</w:t>
            </w:r>
          </w:p>
        </w:tc>
        <w:tc>
          <w:tcPr>
            <w:tcW w:w="0" w:type="dxa"/>
            <w:vAlign w:val="bottom"/>
          </w:tcPr>
          <w:p>
            <w:pPr>
              <w:spacing w:after="0"/>
              <w:rPr>
                <w:sz w:val="1"/>
                <w:szCs w:val="1"/>
                <w:color w:val="auto"/>
              </w:rPr>
            </w:pPr>
          </w:p>
        </w:tc>
      </w:tr>
      <w:tr>
        <w:trPr>
          <w:trHeight w:val="212"/>
        </w:trPr>
        <w:tc>
          <w:tcPr>
            <w:tcW w:w="402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89"/>
              </w:rPr>
              <w:t>Joint Ventures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21,307,899</w:t>
            </w: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20.5%-39.5% (30.0%)</w:t>
            </w: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60.5%-79.5% (70.0%)</w:t>
            </w:r>
          </w:p>
        </w:tc>
        <w:tc>
          <w:tcPr>
            <w:tcW w:w="0" w:type="dxa"/>
            <w:vAlign w:val="bottom"/>
          </w:tcPr>
          <w:p>
            <w:pPr>
              <w:spacing w:after="0"/>
              <w:rPr>
                <w:sz w:val="1"/>
                <w:szCs w:val="1"/>
                <w:color w:val="auto"/>
              </w:rPr>
            </w:pPr>
          </w:p>
        </w:tc>
      </w:tr>
      <w:tr>
        <w:trPr>
          <w:trHeight w:val="203"/>
        </w:trPr>
        <w:tc>
          <w:tcPr>
            <w:tcW w:w="3000" w:type="dxa"/>
            <w:vAlign w:val="bottom"/>
            <w:tcBorders>
              <w:lef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Transacted</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(33,437)</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Value/Contractual</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Financing Rate</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Total Level III Investments</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211,489,810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00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80" w:hanging="372"/>
        <w:spacing w:after="0" w:line="263" w:lineRule="auto"/>
        <w:tabs>
          <w:tab w:leader="none" w:pos="38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line="76" w:lineRule="exact"/>
        <w:rPr>
          <w:sz w:val="20"/>
          <w:szCs w:val="20"/>
          <w:color w:val="auto"/>
        </w:rPr>
      </w:pPr>
    </w:p>
    <w:p>
      <w:pPr>
        <w:ind w:left="380" w:hanging="372"/>
        <w:spacing w:after="0"/>
        <w:tabs>
          <w:tab w:leader="none" w:pos="38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1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79" w:lineRule="exact"/>
        <w:rPr>
          <w:sz w:val="20"/>
          <w:szCs w:val="20"/>
          <w:color w:val="auto"/>
        </w:rPr>
      </w:pPr>
    </w:p>
    <w:p>
      <w:pPr>
        <w:jc w:val="both"/>
        <w:ind w:right="220" w:firstLine="374"/>
        <w:spacing w:after="0" w:line="263"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76"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6" w:name="page137"/>
    <w:bookmarkEnd w:id="136"/>
    <w:p>
      <w:pPr>
        <w:ind w:right="220" w:firstLine="374"/>
        <w:spacing w:after="0" w:line="277"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62" w:lineRule="exact"/>
        <w:rPr>
          <w:sz w:val="20"/>
          <w:szCs w:val="20"/>
          <w:color w:val="auto"/>
        </w:rPr>
      </w:pPr>
    </w:p>
    <w:p>
      <w:pPr>
        <w:ind w:right="6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derivative investments at December 31, 2020 and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December 31, 2020</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6"/>
              </w:rPr>
              <w:t>Derivative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0"/>
              </w:rPr>
              <w:t>Realized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000"/>
              <w:spacing w:after="0"/>
              <w:rPr>
                <w:sz w:val="20"/>
                <w:szCs w:val="20"/>
                <w:color w:val="auto"/>
              </w:rPr>
            </w:pPr>
            <w:r>
              <w:rPr>
                <w:rFonts w:ascii="Arial" w:cs="Arial" w:eastAsia="Arial" w:hAnsi="Arial"/>
                <w:sz w:val="18"/>
                <w:szCs w:val="18"/>
                <w:b w:val="1"/>
                <w:bCs w:val="1"/>
                <w:color w:val="auto"/>
              </w:rPr>
              <w:t>Types of contracts</w:t>
            </w:r>
          </w:p>
        </w:tc>
        <w:tc>
          <w:tcPr>
            <w:tcW w:w="30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Notional amounts</w:t>
            </w:r>
          </w:p>
        </w:tc>
        <w:tc>
          <w:tcPr>
            <w:tcW w:w="10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gain(loss)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Unrealized gain(loss)</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Call option</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Securities Swap and Option Agreement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(1,120,695)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(1,120,695)</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5,507,656</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(1,108,618)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(1,139,227)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gridSpan w:val="4"/>
          </w:tcPr>
          <w:p>
            <w:pPr>
              <w:spacing w:after="0"/>
              <w:rPr>
                <w:sz w:val="20"/>
                <w:szCs w:val="20"/>
                <w:color w:val="auto"/>
              </w:rPr>
            </w:pPr>
            <w:r>
              <w:rPr>
                <w:rFonts w:ascii="Arial" w:cs="Arial" w:eastAsia="Arial" w:hAnsi="Arial"/>
                <w:sz w:val="14"/>
                <w:szCs w:val="14"/>
                <w:color w:val="auto"/>
              </w:rPr>
              <w:t>(1) Net amount included in the derivative caption on the consolidated balance sheet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5"/>
            <w:vMerge w:val="restart"/>
          </w:tcPr>
          <w:p>
            <w:pPr>
              <w:ind w:left="920"/>
              <w:spacing w:after="0"/>
              <w:rPr>
                <w:sz w:val="20"/>
                <w:szCs w:val="20"/>
                <w:color w:val="auto"/>
              </w:rPr>
            </w:pPr>
            <w:r>
              <w:rPr>
                <w:rFonts w:ascii="Arial" w:cs="Arial" w:eastAsia="Arial" w:hAnsi="Arial"/>
                <w:sz w:val="18"/>
                <w:szCs w:val="18"/>
                <w:b w:val="1"/>
                <w:bCs w:val="1"/>
                <w:color w:val="auto"/>
              </w:rPr>
              <w:t>December 31, 2019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6"/>
              </w:rPr>
              <w:t>Derivative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0"/>
              </w:rPr>
              <w:t>Realized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000"/>
              <w:spacing w:after="0"/>
              <w:rPr>
                <w:sz w:val="20"/>
                <w:szCs w:val="20"/>
                <w:color w:val="auto"/>
              </w:rPr>
            </w:pPr>
            <w:r>
              <w:rPr>
                <w:rFonts w:ascii="Arial" w:cs="Arial" w:eastAsia="Arial" w:hAnsi="Arial"/>
                <w:sz w:val="18"/>
                <w:szCs w:val="18"/>
                <w:b w:val="1"/>
                <w:bCs w:val="1"/>
                <w:color w:val="auto"/>
              </w:rPr>
              <w:t>Types of contracts</w:t>
            </w:r>
          </w:p>
        </w:tc>
        <w:tc>
          <w:tcPr>
            <w:tcW w:w="30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Notional amounts</w:t>
            </w:r>
          </w:p>
        </w:tc>
        <w:tc>
          <w:tcPr>
            <w:tcW w:w="10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gain(loss)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Unrealized gain(loss)</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Call option</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Securities Swap and Option Agreement</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5,500,000</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(41,093)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(41,093)</w:t>
            </w:r>
          </w:p>
        </w:tc>
        <w:tc>
          <w:tcPr>
            <w:tcW w:w="0" w:type="dxa"/>
            <w:vAlign w:val="bottom"/>
          </w:tcPr>
          <w:p>
            <w:pPr>
              <w:spacing w:after="0"/>
              <w:rPr>
                <w:sz w:val="1"/>
                <w:szCs w:val="1"/>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5,507,656</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0</wp:posOffset>
            </wp:positionV>
            <wp:extent cx="472313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23130" cy="254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Net amount included in the derivative caption on the consolidated balance sheet</w:t>
      </w:r>
    </w:p>
    <w:p>
      <w:pPr>
        <w:spacing w:after="0" w:line="200" w:lineRule="exact"/>
        <w:rPr>
          <w:sz w:val="20"/>
          <w:szCs w:val="20"/>
          <w:color w:val="auto"/>
        </w:rPr>
      </w:pPr>
    </w:p>
    <w:p>
      <w:pPr>
        <w:spacing w:after="0" w:line="260" w:lineRule="exact"/>
        <w:rPr>
          <w:sz w:val="20"/>
          <w:szCs w:val="20"/>
          <w:color w:val="auto"/>
        </w:rPr>
      </w:pPr>
    </w:p>
    <w:p>
      <w:pPr>
        <w:ind w:left="380" w:right="8200" w:hanging="372"/>
        <w:spacing w:after="0" w:line="400" w:lineRule="auto"/>
        <w:tabs>
          <w:tab w:leader="none" w:pos="37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ASSET MANAGER AFFILIATES </w:t>
      </w:r>
      <w:r>
        <w:rPr>
          <w:rFonts w:ascii="Arial" w:cs="Arial" w:eastAsia="Arial" w:hAnsi="Arial"/>
          <w:sz w:val="17"/>
          <w:szCs w:val="17"/>
          <w:i w:val="1"/>
          <w:iCs w:val="1"/>
          <w:color w:val="auto"/>
        </w:rPr>
        <w:t>Wholly-Owned Asset Managers</w:t>
      </w:r>
    </w:p>
    <w:p>
      <w:pPr>
        <w:ind w:right="60" w:firstLine="374"/>
        <w:spacing w:after="0" w:line="301" w:lineRule="auto"/>
        <w:rPr>
          <w:sz w:val="20"/>
          <w:szCs w:val="20"/>
          <w:color w:val="auto"/>
        </w:rPr>
      </w:pPr>
      <w:r>
        <w:rPr>
          <w:rFonts w:ascii="Arial" w:cs="Arial" w:eastAsia="Arial" w:hAnsi="Arial"/>
          <w:sz w:val="16"/>
          <w:szCs w:val="16"/>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49"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Asset Manager Affiliates manage CLO Funds primarily for third party investors that invest primarily in broadly syndicated loans, high yield bonds and other credit instruments issued by corporations. At December 31, 2020 and 2019, the Asset Manager Affiliates had approximately $300 million of par value of assets under management, respectively, and the Company’s 100% equity interest in the Asset Manager Affiliates was deemed to have no value.</w:t>
      </w:r>
    </w:p>
    <w:p>
      <w:pPr>
        <w:spacing w:after="0" w:line="79" w:lineRule="exact"/>
        <w:rPr>
          <w:sz w:val="20"/>
          <w:szCs w:val="20"/>
          <w:color w:val="auto"/>
        </w:rPr>
      </w:pPr>
    </w:p>
    <w:p>
      <w:pPr>
        <w:ind w:right="200" w:firstLine="374"/>
        <w:spacing w:after="0" w:line="301" w:lineRule="auto"/>
        <w:rPr>
          <w:sz w:val="20"/>
          <w:szCs w:val="20"/>
          <w:color w:val="auto"/>
        </w:rPr>
      </w:pPr>
      <w:r>
        <w:rPr>
          <w:rFonts w:ascii="Arial" w:cs="Arial" w:eastAsia="Arial" w:hAnsi="Arial"/>
          <w:sz w:val="16"/>
          <w:szCs w:val="16"/>
          <w:color w:val="auto"/>
        </w:rPr>
        <w:t>Although the investment in the Asset Manager Affiliates is deemed to have no value at December 31, 2020 and December 31, 2019,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r>
        <w:rPr>
          <w:rFonts w:ascii="Arial" w:cs="Arial" w:eastAsia="Arial" w:hAnsi="Arial"/>
          <w:sz w:val="12"/>
          <w:szCs w:val="12"/>
          <w:color w:val="auto"/>
        </w:rPr>
        <w:t>.</w:t>
      </w:r>
    </w:p>
    <w:p>
      <w:pPr>
        <w:spacing w:after="0" w:line="49" w:lineRule="exact"/>
        <w:rPr>
          <w:sz w:val="20"/>
          <w:szCs w:val="20"/>
          <w:color w:val="auto"/>
        </w:rPr>
      </w:pPr>
    </w:p>
    <w:p>
      <w:pPr>
        <w:ind w:right="80" w:firstLine="374"/>
        <w:spacing w:after="0" w:line="272" w:lineRule="auto"/>
        <w:rPr>
          <w:sz w:val="20"/>
          <w:szCs w:val="20"/>
          <w:color w:val="auto"/>
        </w:rPr>
      </w:pPr>
      <w:r>
        <w:rPr>
          <w:rFonts w:ascii="Arial" w:cs="Arial" w:eastAsia="Arial" w:hAnsi="Arial"/>
          <w:sz w:val="17"/>
          <w:szCs w:val="17"/>
          <w:color w:val="auto"/>
        </w:rPr>
        <w:t>No distributions were declared during the year 2020 and 2019. For year ended December 31, 2018, the Asset Manager Affiliates declared cash distributions of $36.0 million to the Company. Any distributions from the Asset Manager Affiliates out of their estimated tax-basis earnings and profits are recorded as “Dividends from Asset Manager Affiliates” on the Company’s statement of operations. The Company recognized $1.2 million from Asset Manager Affiliates, as reflected in the Company’s statement of operations in the year ended December 31, 2018. The difference between cash distributions received and the tax-basis earnings and profits of the distributing affiliate are recorded as an adjustment to the cost basis in the Asset Manager Affiliate (i.e., tax-basis return of capital). For the year ended December 31, 2018 all but $1.2 million was a tax-basis return of capital. Distributions receivable, if any, are reflected in the “due from affiliates” account on the consolidated balance sheets.</w:t>
      </w:r>
    </w:p>
    <w:p>
      <w:pPr>
        <w:spacing w:after="0" w:line="69"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7" w:name="page138"/>
    <w:bookmarkEnd w:id="137"/>
    <w:p>
      <w:pPr>
        <w:ind w:firstLine="374"/>
        <w:spacing w:after="0" w:line="259"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is required to be included in the Company’s SEC filings.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40" w:type="dxa"/>
            <w:vAlign w:val="bottom"/>
            <w:gridSpan w:val="2"/>
          </w:tcPr>
          <w:p>
            <w:pPr>
              <w:ind w:left="4680"/>
              <w:spacing w:after="0"/>
              <w:rPr>
                <w:sz w:val="20"/>
                <w:szCs w:val="20"/>
                <w:color w:val="auto"/>
              </w:rPr>
            </w:pPr>
            <w:r>
              <w:rPr>
                <w:rFonts w:ascii="Arial" w:cs="Arial" w:eastAsia="Arial" w:hAnsi="Arial"/>
                <w:sz w:val="18"/>
                <w:szCs w:val="18"/>
                <w:b w:val="1"/>
                <w:bCs w:val="1"/>
                <w:color w:val="auto"/>
              </w:rPr>
              <w:t>Asset Manager Affiliates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9240" w:type="dxa"/>
            <w:vAlign w:val="bottom"/>
            <w:gridSpan w:val="2"/>
          </w:tcPr>
          <w:p>
            <w:pPr>
              <w:ind w:left="3780"/>
              <w:spacing w:after="0"/>
              <w:rPr>
                <w:sz w:val="20"/>
                <w:szCs w:val="20"/>
                <w:color w:val="auto"/>
              </w:rPr>
            </w:pPr>
            <w:r>
              <w:rPr>
                <w:rFonts w:ascii="Arial" w:cs="Arial" w:eastAsia="Arial" w:hAnsi="Arial"/>
                <w:sz w:val="18"/>
                <w:szCs w:val="18"/>
                <w:color w:val="auto"/>
              </w:rPr>
              <w:t>Summarized Statements of Operations Information</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9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For the Year Ended</w:t>
            </w:r>
          </w:p>
        </w:tc>
      </w:tr>
      <w:tr>
        <w:trPr>
          <w:trHeight w:val="234"/>
        </w:trPr>
        <w:tc>
          <w:tcPr>
            <w:tcW w:w="9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90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Fee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11,548,457</w:t>
            </w:r>
          </w:p>
        </w:tc>
        <w:tc>
          <w:tcPr>
            <w:tcW w:w="120" w:type="dxa"/>
            <w:vAlign w:val="bottom"/>
            <w:shd w:val="clear" w:color="auto" w:fill="CFF0FC"/>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3,041,889</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Income</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14,590,346</w:t>
            </w:r>
          </w:p>
        </w:tc>
        <w:tc>
          <w:tcPr>
            <w:tcW w:w="120" w:type="dxa"/>
            <w:vAlign w:val="bottom"/>
            <w:shd w:val="clear" w:color="auto" w:fill="CFF0FC"/>
          </w:tcPr>
          <w:p>
            <w:pPr>
              <w:spacing w:after="0"/>
              <w:rPr>
                <w:sz w:val="19"/>
                <w:szCs w:val="19"/>
                <w:color w:val="auto"/>
              </w:rPr>
            </w:pPr>
          </w:p>
        </w:tc>
      </w:tr>
      <w:tr>
        <w:trPr>
          <w:trHeight w:val="229"/>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10,700,629</w:t>
            </w:r>
          </w:p>
        </w:tc>
        <w:tc>
          <w:tcPr>
            <w:tcW w:w="120" w:type="dxa"/>
            <w:vAlign w:val="bottom"/>
          </w:tcPr>
          <w:p>
            <w:pPr>
              <w:spacing w:after="0"/>
              <w:rPr>
                <w:sz w:val="19"/>
                <w:szCs w:val="19"/>
                <w:color w:val="auto"/>
              </w:rPr>
            </w:pPr>
          </w:p>
        </w:tc>
      </w:tr>
      <w:tr>
        <w:trPr>
          <w:trHeight w:val="230"/>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3,987,891</w:t>
            </w:r>
          </w:p>
        </w:tc>
        <w:tc>
          <w:tcPr>
            <w:tcW w:w="120" w:type="dxa"/>
            <w:vAlign w:val="bottom"/>
            <w:tcBorders>
              <w:bottom w:val="single" w:sz="8" w:color="CFF0FC"/>
            </w:tcBorders>
          </w:tcPr>
          <w:p>
            <w:pPr>
              <w:spacing w:after="0"/>
              <w:rPr>
                <w:sz w:val="20"/>
                <w:szCs w:val="20"/>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14,688,520</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(98,174)</w:t>
            </w:r>
          </w:p>
        </w:tc>
        <w:tc>
          <w:tcPr>
            <w:tcW w:w="120" w:type="dxa"/>
            <w:vAlign w:val="bottom"/>
          </w:tcPr>
          <w:p>
            <w:pPr>
              <w:spacing w:after="0"/>
              <w:rPr>
                <w:sz w:val="19"/>
                <w:szCs w:val="19"/>
                <w:color w:val="auto"/>
              </w:rPr>
            </w:pPr>
          </w:p>
        </w:tc>
      </w:tr>
      <w:tr>
        <w:trPr>
          <w:trHeight w:val="22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Unrealized gains on investments</w:t>
            </w:r>
          </w:p>
        </w:tc>
        <w:tc>
          <w:tcPr>
            <w:tcW w:w="2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7,570,688</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7,472,514</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(1,971,043)</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9,443,557</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200" w:lineRule="exact"/>
        <w:rPr>
          <w:sz w:val="20"/>
          <w:szCs w:val="20"/>
          <w:color w:val="auto"/>
        </w:rPr>
      </w:pPr>
    </w:p>
    <w:p>
      <w:pPr>
        <w:spacing w:after="0" w:line="285" w:lineRule="exact"/>
        <w:rPr>
          <w:sz w:val="20"/>
          <w:szCs w:val="20"/>
          <w:color w:val="auto"/>
        </w:rPr>
      </w:pPr>
    </w:p>
    <w:p>
      <w:pPr>
        <w:ind w:left="380" w:hanging="372"/>
        <w:spacing w:after="0"/>
        <w:tabs>
          <w:tab w:leader="none" w:pos="3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03" w:lineRule="exact"/>
        <w:rPr>
          <w:sz w:val="20"/>
          <w:szCs w:val="20"/>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13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38" w:name="page139"/>
    <w:bookmarkEnd w:id="138"/>
    <w:p>
      <w:pPr>
        <w:ind w:left="740" w:hanging="368"/>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30"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62"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right="220" w:firstLine="374"/>
        <w:spacing w:after="0" w:line="308" w:lineRule="auto"/>
        <w:rPr>
          <w:sz w:val="20"/>
          <w:szCs w:val="20"/>
          <w:color w:val="auto"/>
        </w:rPr>
      </w:pPr>
      <w:r>
        <w:rPr>
          <w:rFonts w:ascii="Arial" w:cs="Arial" w:eastAsia="Arial" w:hAnsi="Arial"/>
          <w:sz w:val="17"/>
          <w:szCs w:val="17"/>
          <w:color w:val="auto"/>
        </w:rPr>
        <w:t>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38"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17" w:lineRule="exact"/>
        <w:rPr>
          <w:sz w:val="20"/>
          <w:szCs w:val="20"/>
          <w:color w:val="auto"/>
        </w:rPr>
      </w:pPr>
    </w:p>
    <w:p>
      <w:pPr>
        <w:ind w:right="180" w:firstLine="374"/>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117" w:lineRule="exact"/>
        <w:rPr>
          <w:sz w:val="20"/>
          <w:szCs w:val="20"/>
          <w:color w:val="auto"/>
        </w:rPr>
      </w:pPr>
    </w:p>
    <w:p>
      <w:pPr>
        <w:ind w:right="60" w:firstLine="374"/>
        <w:spacing w:after="0" w:line="268" w:lineRule="auto"/>
        <w:rPr>
          <w:sz w:val="20"/>
          <w:szCs w:val="20"/>
          <w:color w:val="auto"/>
        </w:rPr>
      </w:pPr>
      <w:r>
        <w:rPr>
          <w:rFonts w:ascii="Arial" w:cs="Arial" w:eastAsia="Arial" w:hAnsi="Arial"/>
          <w:sz w:val="17"/>
          <w:szCs w:val="17"/>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78" w:lineRule="exact"/>
        <w:rPr>
          <w:sz w:val="20"/>
          <w:szCs w:val="20"/>
          <w:color w:val="auto"/>
        </w:rPr>
      </w:pPr>
    </w:p>
    <w:p>
      <w:pPr>
        <w:ind w:right="100" w:firstLine="374"/>
        <w:spacing w:after="0" w:line="272"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69" w:lineRule="exact"/>
        <w:rPr>
          <w:sz w:val="20"/>
          <w:szCs w:val="20"/>
          <w:color w:val="auto"/>
        </w:rPr>
      </w:pPr>
    </w:p>
    <w:p>
      <w:pPr>
        <w:ind w:right="20" w:firstLine="374"/>
        <w:spacing w:after="0" w:line="289"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39" w:name="page140"/>
    <w:bookmarkEnd w:id="139"/>
    <w:p>
      <w:pPr>
        <w:ind w:firstLine="37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Liability and Indemnification</w:t>
      </w:r>
    </w:p>
    <w:p>
      <w:pPr>
        <w:spacing w:after="0" w:line="117"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17"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On December 12, 2018, the then-current Board of the Company held an in-person meeting to consider and approve the Advisory Agreement and related matters, and on April 1, 2019 the Company entered into the Advisory Agreement with the Adviser. The Board most recently determined to re-approve the Advisory Agreement at a meeting held on March 11, 2021. In reaching a decision to re-approve the Advisory Agreement,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74" w:lineRule="exact"/>
        <w:rPr>
          <w:sz w:val="20"/>
          <w:szCs w:val="20"/>
          <w:color w:val="auto"/>
        </w:rPr>
      </w:pPr>
    </w:p>
    <w:p>
      <w:pPr>
        <w:ind w:right="180" w:firstLine="374"/>
        <w:spacing w:after="0" w:line="308" w:lineRule="auto"/>
        <w:rPr>
          <w:sz w:val="20"/>
          <w:szCs w:val="20"/>
          <w:color w:val="auto"/>
        </w:rPr>
      </w:pPr>
      <w:r>
        <w:rPr>
          <w:rFonts w:ascii="Arial" w:cs="Arial" w:eastAsia="Arial" w:hAnsi="Arial"/>
          <w:sz w:val="17"/>
          <w:szCs w:val="17"/>
          <w:color w:val="auto"/>
        </w:rPr>
        <w:t>The Board,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38"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The Company incurred base management fees of $4.6 million for the year ended December 31, 2020 and $3.1 million for the year ended December 31, 2019. The Company incurred incentive fees of $4.9 million for the year ended December 31, 2020, of which approximately $557 thousand were waived. No incentive fees were earned during for the year ended ending December 31, 2019.</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right="140" w:firstLine="374"/>
        <w:spacing w:after="0" w:line="272"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40" w:name="page141"/>
    <w:bookmarkEnd w:id="140"/>
    <w:p>
      <w:pPr>
        <w:ind w:right="180" w:firstLine="374"/>
        <w:spacing w:after="0" w:line="255" w:lineRule="auto"/>
        <w:rPr>
          <w:sz w:val="20"/>
          <w:szCs w:val="20"/>
          <w:color w:val="auto"/>
        </w:rPr>
      </w:pPr>
      <w:r>
        <w:rPr>
          <w:rFonts w:ascii="Arial" w:cs="Arial" w:eastAsia="Arial" w:hAnsi="Arial"/>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84"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11, 2021.</w:t>
      </w:r>
    </w:p>
    <w:p>
      <w:pPr>
        <w:spacing w:after="0" w:line="79"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76"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The Company incurred $1.9 million of Administrative services expense for the year ended December 31, 2020 and $1.2 million for the year ended ending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Expenses under the Advisory and Administration Agreements</w:t>
      </w:r>
    </w:p>
    <w:p>
      <w:pPr>
        <w:spacing w:after="0" w:line="117"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88" w:lineRule="exact"/>
        <w:rPr>
          <w:sz w:val="20"/>
          <w:szCs w:val="20"/>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142" w:lineRule="exact"/>
        <w:rPr>
          <w:rFonts w:ascii="Arial" w:cs="Arial" w:eastAsia="Arial" w:hAnsi="Arial"/>
          <w:sz w:val="17"/>
          <w:szCs w:val="17"/>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130" w:lineRule="exact"/>
        <w:rPr>
          <w:rFonts w:ascii="Arial" w:cs="Arial" w:eastAsia="Arial" w:hAnsi="Arial"/>
          <w:sz w:val="18"/>
          <w:szCs w:val="18"/>
          <w:color w:val="auto"/>
        </w:rPr>
      </w:pPr>
    </w:p>
    <w:p>
      <w:pPr>
        <w:ind w:left="740" w:right="560" w:hanging="368"/>
        <w:spacing w:after="0" w:line="263" w:lineRule="auto"/>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5" w:lineRule="exact"/>
        <w:rPr>
          <w:rFonts w:ascii="Arial" w:cs="Arial" w:eastAsia="Arial" w:hAnsi="Arial"/>
          <w:sz w:val="18"/>
          <w:szCs w:val="18"/>
          <w:color w:val="auto"/>
        </w:rPr>
      </w:pPr>
    </w:p>
    <w:p>
      <w:pPr>
        <w:ind w:left="740" w:right="160" w:hanging="368"/>
        <w:spacing w:after="0" w:line="308" w:lineRule="auto"/>
        <w:tabs>
          <w:tab w:leader="none" w:pos="7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1" w:name="page142"/>
    <w:bookmarkEnd w:id="141"/>
    <w:p>
      <w:pPr>
        <w:ind w:left="740" w:hanging="368"/>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130"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 and</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costs associated with the Company’s legacy lease;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117" w:lineRule="exact"/>
        <w:rPr>
          <w:sz w:val="20"/>
          <w:szCs w:val="20"/>
          <w:color w:val="auto"/>
        </w:rPr>
      </w:pPr>
    </w:p>
    <w:p>
      <w:pPr>
        <w:ind w:right="160" w:firstLine="374"/>
        <w:spacing w:after="0" w:line="286"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57"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88"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Trimaran Credit Facility</w:t>
      </w:r>
    </w:p>
    <w:p>
      <w:pPr>
        <w:spacing w:after="0" w:line="117" w:lineRule="exact"/>
        <w:rPr>
          <w:sz w:val="20"/>
          <w:szCs w:val="20"/>
          <w:color w:val="auto"/>
        </w:rPr>
      </w:pPr>
    </w:p>
    <w:p>
      <w:pPr>
        <w:ind w:right="140" w:firstLine="374"/>
        <w:spacing w:after="0" w:line="272"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 For the year ended December 31, 2018, the Company recognized interest income of approximately $2.2 million, related to the Trimaran Credit Facility.</w:t>
      </w:r>
    </w:p>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tab/>
        <w:t>BORROWINGS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ind w:left="380"/>
              <w:spacing w:after="0"/>
              <w:rPr>
                <w:sz w:val="20"/>
                <w:szCs w:val="20"/>
                <w:color w:val="auto"/>
              </w:rPr>
            </w:pPr>
            <w:r>
              <w:rPr>
                <w:rFonts w:ascii="Arial" w:cs="Arial" w:eastAsia="Arial" w:hAnsi="Arial"/>
                <w:sz w:val="18"/>
                <w:szCs w:val="18"/>
                <w:color w:val="auto"/>
              </w:rPr>
              <w:t>The Company’s debt obligations consist of the following:</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As of</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2020-$1,058,351; 2019 - $1,651,946)</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75,667,624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75,755,253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2018-2 Secured Notes (net of discount of: 2020-$2,444,512; 2019 - $0)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249,418,186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2020-$1,097,815; 2019 - $1,462,364)</w:t>
            </w:r>
          </w:p>
        </w:tc>
        <w:tc>
          <w:tcPr>
            <w:tcW w:w="5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48,223,083</w:t>
            </w:r>
          </w:p>
        </w:tc>
        <w:tc>
          <w:tcPr>
            <w:tcW w:w="3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78,108,535</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373,308,893</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153,863,788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460"/>
              <w:spacing w:after="0"/>
              <w:rPr>
                <w:sz w:val="20"/>
                <w:szCs w:val="20"/>
                <w:color w:val="auto"/>
              </w:rPr>
            </w:pPr>
            <w:r>
              <w:rPr>
                <w:rFonts w:ascii="Arial" w:cs="Arial" w:eastAsia="Arial" w:hAnsi="Arial"/>
                <w:sz w:val="18"/>
                <w:szCs w:val="18"/>
                <w:color w:val="auto"/>
              </w:rPr>
              <w:t>F-60</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46" w:right="319" w:bottom="1440" w:gutter="0" w:footer="0" w:header="0"/>
        </w:sectPr>
      </w:pPr>
    </w:p>
    <w:bookmarkStart w:id="142" w:name="page143"/>
    <w:bookmarkEnd w:id="142"/>
    <w:p>
      <w:pPr>
        <w:ind w:right="440" w:firstLine="37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December 31, 2020 of were 3.0% and 6.7 years, respectively, and as of December 31, 2019 were 5.4% and 3.4 years,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6.125% Notes Due 2022</w:t>
      </w:r>
    </w:p>
    <w:p>
      <w:pPr>
        <w:spacing w:after="0" w:line="117"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The indenture governing the 6.125% Notes Due 2022 contains certain restrictive covenants, including compliance with certain provisions of the 1940 Act related to borrowing and dividends. At December 31, 2020, the Company was in compliance with all of its debt covenants.</w:t>
      </w:r>
    </w:p>
    <w:p>
      <w:pPr>
        <w:spacing w:after="0" w:line="88"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For the years ended December 31, 2020, 2019 and 2018, interest expense related to the 6.125% Notes Due 2022 was approximately $4.7 million, $4.7 million and $4.7 million, respectively.</w:t>
      </w:r>
    </w:p>
    <w:p>
      <w:pPr>
        <w:spacing w:after="0" w:line="62" w:lineRule="exact"/>
        <w:rPr>
          <w:sz w:val="20"/>
          <w:szCs w:val="20"/>
          <w:color w:val="auto"/>
        </w:rPr>
      </w:pPr>
    </w:p>
    <w:p>
      <w:pPr>
        <w:jc w:val="both"/>
        <w:ind w:right="220" w:firstLine="374"/>
        <w:spacing w:after="0" w:line="259"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$1.1 million and $1.7 million remains to be amortized as of December 31, 2020 and December 31, 2019, respectively, and is included on the consolidated balance sheets as a reduction in the related debt account.</w:t>
      </w:r>
    </w:p>
    <w:p>
      <w:pPr>
        <w:spacing w:after="0" w:line="79"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i w:val="1"/>
          <w:iCs w:val="1"/>
          <w:color w:val="auto"/>
        </w:rPr>
        <w:t>Fair Value of 6.125% Notes Due 2022</w:t>
      </w:r>
      <w:r>
        <w:rPr>
          <w:rFonts w:ascii="Arial" w:cs="Arial" w:eastAsia="Arial" w:hAnsi="Arial"/>
          <w:sz w:val="16"/>
          <w:szCs w:val="16"/>
          <w:color w:val="auto"/>
        </w:rPr>
        <w:t>. The 6.125% Notes Due 2022 were issued via public offering during the third quarter of 2017 and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cost, net of offering costs of $1.1 million and $1.7 million at December 31, 2020 and December 31, 2019. The fair value of the Company’s outstanding</w:t>
      </w:r>
    </w:p>
    <w:p>
      <w:pPr>
        <w:ind w:right="40"/>
        <w:spacing w:after="0" w:line="255" w:lineRule="auto"/>
        <w:rPr>
          <w:sz w:val="20"/>
          <w:szCs w:val="20"/>
          <w:color w:val="auto"/>
        </w:rPr>
      </w:pPr>
      <w:r>
        <w:rPr>
          <w:rFonts w:ascii="Arial" w:cs="Arial" w:eastAsia="Arial" w:hAnsi="Arial"/>
          <w:sz w:val="18"/>
          <w:szCs w:val="18"/>
          <w:color w:val="auto"/>
        </w:rPr>
        <w:t>6.125% Notes Due 2022 was approximately $77.0 million and $78.1 million at December 31, 2020 and December 31, 2019. The fair value was determined based on the closing price on December 31, 2020 for the 6.125% Notes Due 2022. The 6.125% Notes Due 2022 are categorized as Level I under the ASC 820 Fair Value Hierarchy.</w:t>
      </w:r>
    </w:p>
    <w:p>
      <w:pPr>
        <w:spacing w:after="0" w:line="149"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During the year ended December 31, 2020, the Company repurchased approximately $681 thousand of principal amount of the 6.125% Notes Due 2022 at a cost of approximately $513 thousand, resulting in a realized gain on extinguishment of approximately $155 thousand. The Company subsequently surrendered these notes to the Trustee for cancellation.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140" w:firstLine="374"/>
        <w:spacing w:after="0" w:line="272" w:lineRule="auto"/>
        <w:rPr>
          <w:sz w:val="20"/>
          <w:szCs w:val="20"/>
          <w:color w:val="auto"/>
        </w:rPr>
      </w:pPr>
      <w:r>
        <w:rPr>
          <w:rFonts w:ascii="Arial" w:cs="Arial" w:eastAsia="Arial" w:hAnsi="Arial"/>
          <w:sz w:val="17"/>
          <w:szCs w:val="17"/>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69" w:lineRule="exact"/>
        <w:rPr>
          <w:sz w:val="20"/>
          <w:szCs w:val="20"/>
          <w:color w:val="auto"/>
        </w:rPr>
      </w:pPr>
    </w:p>
    <w:p>
      <w:pPr>
        <w:ind w:right="580" w:firstLine="374"/>
        <w:spacing w:after="0" w:line="308" w:lineRule="auto"/>
        <w:rPr>
          <w:sz w:val="20"/>
          <w:szCs w:val="20"/>
          <w:color w:val="auto"/>
        </w:rPr>
      </w:pPr>
      <w:r>
        <w:rPr>
          <w:rFonts w:ascii="Arial" w:cs="Arial" w:eastAsia="Arial" w:hAnsi="Arial"/>
          <w:sz w:val="17"/>
          <w:szCs w:val="17"/>
          <w:color w:val="auto"/>
        </w:rPr>
        <w:t>Borrowings under the Prior Revolving Credit Facility bore interest at a rate per annum equal to (i) in the case of LIBOR rate loans, an adjusted LIBOR rate for the applicable interest period plus 3.25% or (ii) in the case of base rate loans, the prime rate plus 3.25%.</w:t>
      </w:r>
    </w:p>
    <w:p>
      <w:pPr>
        <w:spacing w:after="0" w:line="38" w:lineRule="exact"/>
        <w:rPr>
          <w:sz w:val="20"/>
          <w:szCs w:val="20"/>
          <w:color w:val="auto"/>
        </w:rPr>
      </w:pPr>
    </w:p>
    <w:p>
      <w:pPr>
        <w:ind w:right="440" w:firstLine="374"/>
        <w:spacing w:after="0" w:line="279" w:lineRule="auto"/>
        <w:rPr>
          <w:sz w:val="20"/>
          <w:szCs w:val="20"/>
          <w:color w:val="auto"/>
        </w:rPr>
      </w:pPr>
      <w:r>
        <w:rPr>
          <w:rFonts w:ascii="Arial" w:cs="Arial" w:eastAsia="Arial" w:hAnsi="Arial"/>
          <w:sz w:val="17"/>
          <w:szCs w:val="17"/>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63" w:lineRule="exact"/>
        <w:rPr>
          <w:sz w:val="20"/>
          <w:szCs w:val="20"/>
          <w:color w:val="auto"/>
        </w:rPr>
      </w:pPr>
    </w:p>
    <w:p>
      <w:pPr>
        <w:ind w:right="220" w:firstLine="374"/>
        <w:spacing w:after="0" w:line="342" w:lineRule="auto"/>
        <w:rPr>
          <w:sz w:val="20"/>
          <w:szCs w:val="20"/>
          <w:color w:val="auto"/>
        </w:rPr>
      </w:pPr>
      <w:r>
        <w:rPr>
          <w:rFonts w:ascii="Arial" w:cs="Arial" w:eastAsia="Arial" w:hAnsi="Arial"/>
          <w:sz w:val="16"/>
          <w:szCs w:val="16"/>
          <w:color w:val="auto"/>
        </w:rPr>
        <w:t>For the year ended December 31, 2019, interest and fees expense related to the Prior Revolving Credit Facility was approximately $2.3 million. For the year ended December 31, 2018, interest and fees expense related to the Prior Revolving Credit Facility was approximately $1.0 million.</w:t>
      </w:r>
    </w:p>
    <w:p>
      <w:pPr>
        <w:spacing w:after="0" w:line="16"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3" w:name="page144"/>
    <w:bookmarkEnd w:id="143"/>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140" w:firstLine="374"/>
        <w:spacing w:after="0" w:line="273"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70"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At December 31, 2020, GLPRF LLC was in compliance with all of its debt covenants and $49.3 million principal amount of borrowings was outstanding under the Revolving Credit Facility. The fair value of GLPRF LLC was approximately $49.3 million at December 31, 2020 and categorized as Level III under the ASC 820 Fair Value Hierarchy.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2018-2 Secured Notes</w:t>
            </w:r>
          </w:p>
        </w:tc>
        <w:tc>
          <w:tcPr>
            <w:tcW w:w="120" w:type="dxa"/>
            <w:vAlign w:val="bottom"/>
          </w:tcPr>
          <w:p>
            <w:pPr>
              <w:spacing w:after="0"/>
              <w:rPr>
                <w:sz w:val="20"/>
                <w:szCs w:val="20"/>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20"/>
                <w:szCs w:val="20"/>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Outstanding</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Stated</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Carrying Value</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Principal at Par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20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Rating</w:t>
            </w:r>
            <w:r>
              <w:rPr>
                <w:rFonts w:ascii="Arial" w:cs="Arial" w:eastAsia="Arial" w:hAnsi="Arial"/>
                <w:sz w:val="15"/>
                <w:szCs w:val="15"/>
                <w:color w:val="auto"/>
                <w:w w:val="91"/>
              </w:rPr>
              <w:t>(1)</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r>
              <w:rPr>
                <w:rFonts w:ascii="Arial" w:cs="Arial" w:eastAsia="Arial" w:hAnsi="Arial"/>
                <w:sz w:val="15"/>
                <w:szCs w:val="15"/>
                <w:b w:val="1"/>
                <w:bCs w:val="1"/>
                <w:color w:val="auto"/>
                <w:w w:val="99"/>
              </w:rPr>
              <w:t>(2)</w:t>
            </w:r>
          </w:p>
        </w:tc>
        <w:tc>
          <w:tcPr>
            <w:tcW w:w="0" w:type="dxa"/>
            <w:vAlign w:val="bottom"/>
          </w:tcPr>
          <w:p>
            <w:pPr>
              <w:spacing w:after="0"/>
              <w:rPr>
                <w:sz w:val="1"/>
                <w:szCs w:val="1"/>
                <w:color w:val="auto"/>
              </w:rPr>
            </w:pPr>
          </w:p>
        </w:tc>
      </w:tr>
      <w:tr>
        <w:trPr>
          <w:trHeight w:val="222"/>
        </w:trPr>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2018-2 Secured Notes: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Class A-1R-R Notes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LIBOR + 1.58%</w:t>
            </w:r>
            <w:r>
              <w:rPr>
                <w:rFonts w:ascii="Arial" w:cs="Arial" w:eastAsia="Arial" w:hAnsi="Arial"/>
                <w:sz w:val="15"/>
                <w:szCs w:val="15"/>
                <w:color w:val="auto"/>
                <w:w w:val="95"/>
              </w:rPr>
              <w:t>(3)</w:t>
            </w:r>
          </w:p>
        </w:tc>
        <w:tc>
          <w:tcPr>
            <w:tcW w:w="20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AAA(sf)</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A-1T-R Notes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176,634,176</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178,512,698</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+ 1.58%</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AAA(sf)</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Class A-2-R Notes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54,681,332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55,100,000</w:t>
            </w:r>
          </w:p>
        </w:tc>
        <w:tc>
          <w:tcPr>
            <w:tcW w:w="2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LIBOR + 2.45%</w:t>
            </w:r>
          </w:p>
        </w:tc>
        <w:tc>
          <w:tcPr>
            <w:tcW w:w="200" w:type="dxa"/>
            <w:vAlign w:val="bottom"/>
          </w:tcPr>
          <w:p>
            <w:pPr>
              <w:spacing w:after="0"/>
              <w:rPr>
                <w:sz w:val="19"/>
                <w:szCs w:val="19"/>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AA (sf)</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B-R Notes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18,102,679</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18,250,000</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+ 3.17%</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A (sf)</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249,418,186</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251,862,698</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340" w:hanging="372"/>
        <w:spacing w:after="0" w:line="237" w:lineRule="auto"/>
        <w:tabs>
          <w:tab w:leader="none" w:pos="380" w:val="left"/>
        </w:tabs>
        <w:numPr>
          <w:ilvl w:val="0"/>
          <w:numId w:val="112"/>
        </w:numPr>
        <w:rPr>
          <w:rFonts w:ascii="Arial" w:cs="Arial" w:eastAsia="Arial" w:hAnsi="Arial"/>
          <w:sz w:val="20"/>
          <w:szCs w:val="20"/>
          <w:color w:val="auto"/>
        </w:rPr>
      </w:pPr>
      <w:r>
        <w:rPr>
          <w:rFonts w:ascii="Arial" w:cs="Arial" w:eastAsia="Arial" w:hAnsi="Arial"/>
          <w:sz w:val="16"/>
          <w:szCs w:val="16"/>
          <w:color w:val="auto"/>
        </w:rPr>
        <w:t>Represents ratings from each of S&amp;P and DBRS for the Class A-1R-R Notes and the Class A-1T-R Notes and from S&amp;P for the Class A-2-R Notes and Class B-R Notes as of the closing of the CLO on October 18, 2018.</w:t>
      </w:r>
    </w:p>
    <w:p>
      <w:pPr>
        <w:ind w:left="380" w:right="500" w:hanging="372"/>
        <w:spacing w:after="0" w:line="234" w:lineRule="auto"/>
        <w:tabs>
          <w:tab w:leader="none" w:pos="380" w:val="left"/>
        </w:tabs>
        <w:numPr>
          <w:ilvl w:val="0"/>
          <w:numId w:val="112"/>
        </w:numPr>
        <w:rPr>
          <w:rFonts w:ascii="Arial" w:cs="Arial" w:eastAsia="Arial" w:hAnsi="Arial"/>
          <w:sz w:val="20"/>
          <w:szCs w:val="20"/>
          <w:color w:val="auto"/>
        </w:rPr>
      </w:pPr>
      <w:r>
        <w:rPr>
          <w:rFonts w:ascii="Arial" w:cs="Arial" w:eastAsia="Arial" w:hAnsi="Arial"/>
          <w:sz w:val="16"/>
          <w:szCs w:val="16"/>
          <w:color w:val="auto"/>
        </w:rPr>
        <w:t>The indenture governing our CLO permits the repricing or refinancing of the secured notes after November 20, 2020, which may result in the redemption of the outstanding notes occurring prior to their stated maturity.</w:t>
      </w:r>
    </w:p>
    <w:p>
      <w:pPr>
        <w:spacing w:after="0" w:line="1" w:lineRule="exact"/>
        <w:rPr>
          <w:rFonts w:ascii="Arial" w:cs="Arial" w:eastAsia="Arial" w:hAnsi="Arial"/>
          <w:sz w:val="20"/>
          <w:szCs w:val="20"/>
          <w:color w:val="auto"/>
        </w:rPr>
      </w:pPr>
    </w:p>
    <w:p>
      <w:pPr>
        <w:ind w:left="380" w:hanging="372"/>
        <w:spacing w:after="0" w:line="211" w:lineRule="auto"/>
        <w:tabs>
          <w:tab w:leader="none" w:pos="380" w:val="left"/>
        </w:tabs>
        <w:numPr>
          <w:ilvl w:val="0"/>
          <w:numId w:val="112"/>
        </w:numPr>
        <w:rPr>
          <w:rFonts w:ascii="Arial" w:cs="Arial" w:eastAsia="Arial" w:hAnsi="Arial"/>
          <w:sz w:val="20"/>
          <w:szCs w:val="20"/>
          <w:color w:val="auto"/>
        </w:rPr>
      </w:pPr>
      <w:r>
        <w:rPr>
          <w:rFonts w:ascii="Arial" w:cs="Arial" w:eastAsia="Arial" w:hAnsi="Arial"/>
          <w:sz w:val="16"/>
          <w:szCs w:val="16"/>
          <w:color w:val="auto"/>
        </w:rPr>
        <w:t>Interest may be indexed to either the CP Rate (as defined in the governing indenture) or three-month USD LIBOR.</w:t>
      </w:r>
    </w:p>
    <w:p>
      <w:pPr>
        <w:spacing w:after="0" w:line="127"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187"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CLO was executed by GF 2018-2 (the “Issuer”) and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4" w:name="page145"/>
    <w:bookmarkEnd w:id="144"/>
    <w:p>
      <w:pPr>
        <w:ind w:right="40"/>
        <w:spacing w:after="0" w:line="296" w:lineRule="auto"/>
        <w:rPr>
          <w:sz w:val="20"/>
          <w:szCs w:val="20"/>
          <w:color w:val="auto"/>
        </w:rPr>
      </w:pPr>
      <w:r>
        <w:rPr>
          <w:rFonts w:ascii="Arial" w:cs="Arial" w:eastAsia="Arial" w:hAnsi="Arial"/>
          <w:sz w:val="16"/>
          <w:szCs w:val="16"/>
          <w:color w:val="auto"/>
        </w:rPr>
        <w:t>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The remaining $25.0 million of Class A-1R-R Notes, to the extent drawn, will convert to term notes on or before November 20, 2022.</w:t>
      </w:r>
    </w:p>
    <w:p>
      <w:pPr>
        <w:spacing w:after="0" w:line="161"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The fair value of the 2018-2 Notes approximated their carrying value on the consolidated statements of financial condition as of December 31, 2020 and are categorized as Level III under the ASC 820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Loan Obligation Financing Covenants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documents governing the CLO include three overcollateralization tests which are comprised of the Class A Overcollateralization Test, the Class B Overcollateralization Test and the EoD Overcollateralization Test, each of which are individually defined below.</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documents governing the CLO include two coverage tests applicable to the 2018-2 Secured Notes as of December 31, 2020. The first test compares the amount of interest received on the collateral loans held by 2018-2 CLO to the amount of interest payable on the 2018-2 Secured Notes in respect of the amounts drawn and certain expenses. To meet this first test, at any time, the aggregate amount of interest received on the collateral loans must equal, after the payment of certain fees and expenses, at least 135.0% of the aggregate amount of interest payable on the Class A-1R-R Notes, the Class A-1T-R Notes and the Class A-2-R Notes (collectively, the “Class A-R Notes”) and 125.0% of the interest payable on the Class A-R Notes and Class B-R Notes, taken together.</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second test compares the aggregate assets that serve as collateral for the 2018-2 Secured Notes, or the Total Capitalization, as defined and calculated in accordance with the indenture, to the aggregate outstanding principal amount of the 2018-2 Secured Notes in respect of the amounts drawn. To meet this second test at any time, the Total Capitalization must equal at least (1) 128.0% of the aggregate outstanding principal amount of the Class A-R Notes (“Class A Overcollateralization Test”), and (2) 118.2% of the aggregate principal amount of the Class A-R Notes and Class B-R Notes, taken together (the test in clause (2), the “Class B Overcollateralization Test”). As of December 31, 2020, the Company was in compliance of the Class B Overcollateralization Test and as a result must cure the Class B Overcollateralization Test in order to avoid diversion of cash away from making additional investments or distributions.</w:t>
      </w:r>
    </w:p>
    <w:p>
      <w:pPr>
        <w:spacing w:after="0" w:line="19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If the coverage tests are not satisfied with respect to a quarterly payment date, the CLO may be required to apply amounts to the repayment of interest on and principal of the 2018-2 Notes prior to their maturity to the extent necessary to satisfy the applicable coverage tests. As a result, there may be reduced funds available for 2018-2 CLO to make additional investments or to make distributions on the 2018-2 Notes held by the Company. Additionally, compliance was measured on each day collateral loans are purchased, originated or sold and in connection with monthly reporting to the note holders.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Furthermore, if under the second coverage test the Total Capitalization equals 125.0% or less of the aggregate outstanding principal amount on the Class A-1R-R and Class A-1T-R Notes (“EoD Overcollateralization Test”), taken together remained so for ten business days, an event of default would be deemed to have occurred.</w:t>
      </w:r>
    </w:p>
    <w:p>
      <w:pPr>
        <w:spacing w:after="0" w:line="184"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As of December 31, 2020, the trustee for the CLO has asserted that the Class A Overcollateralization Test, Class B Overcollateralization, and the EoD Overcollateralization Test were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117" w:lineRule="exact"/>
        <w:rPr>
          <w:sz w:val="20"/>
          <w:szCs w:val="20"/>
          <w:color w:val="auto"/>
        </w:rPr>
      </w:pPr>
    </w:p>
    <w:p>
      <w:pPr>
        <w:ind w:right="20" w:firstLine="374"/>
        <w:spacing w:after="0" w:line="284"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As of December 31, 2018, there were no 7.375% Notes Due 2019 outstanding. Interest on the 7.375% Notes Due 2019 was paid quarterly in arrears on March 30, June 30, September 30 and December 30, at a rate of 7.375%, commencing December 30, 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7.375% Notes Due 2019, the Company was limited in its ability to make distributions in certain circumstances. The indenture governing the 7.375% Notes Due 2019 contains certain restrictive covenants, including compliance with certain provisions of the 1940 Act relating to borrowing and dividends.</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years ended December 31, 2018, interest expense related to the 7.375% Notes Due 2019 was approximately $774,000.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5" w:name="page146"/>
    <w:bookmarkEnd w:id="145"/>
    <w:p>
      <w:pPr>
        <w:ind w:right="280" w:firstLine="37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6" w:lineRule="exact"/>
        <w:rPr>
          <w:sz w:val="20"/>
          <w:szCs w:val="20"/>
          <w:color w:val="auto"/>
        </w:rPr>
      </w:pPr>
    </w:p>
    <w:p>
      <w:pPr>
        <w:ind w:right="160" w:firstLine="374"/>
        <w:spacing w:after="0" w:line="342" w:lineRule="auto"/>
        <w:rPr>
          <w:sz w:val="20"/>
          <w:szCs w:val="20"/>
          <w:color w:val="auto"/>
        </w:rPr>
      </w:pPr>
      <w:r>
        <w:rPr>
          <w:rFonts w:ascii="Arial" w:cs="Arial" w:eastAsia="Arial" w:hAnsi="Arial"/>
          <w:sz w:val="16"/>
          <w:szCs w:val="16"/>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the Company’s senior securities is shown as of the dates indicated in the below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Total Amount</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Outstanding</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Involuntary</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Exclusive of</w:t>
            </w: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Asset</w:t>
            </w: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Liquidating</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Treasury</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Coverage per</w:t>
            </w: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Preference per</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Value per</w:t>
            </w:r>
          </w:p>
        </w:tc>
      </w:tr>
      <w:tr>
        <w:trPr>
          <w:trHeight w:val="2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 and Year</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8"/>
              </w:rPr>
              <w:t>Securities</w:t>
            </w:r>
            <w:r>
              <w:rPr>
                <w:rFonts w:ascii="Arial" w:cs="Arial" w:eastAsia="Arial" w:hAnsi="Arial"/>
                <w:sz w:val="15"/>
                <w:szCs w:val="15"/>
                <w:b w:val="1"/>
                <w:bCs w:val="1"/>
                <w:color w:val="auto"/>
                <w:w w:val="88"/>
              </w:rPr>
              <w:t>(1)</w:t>
            </w:r>
          </w:p>
        </w:tc>
        <w:tc>
          <w:tcPr>
            <w:tcW w:w="3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r>
              <w:rPr>
                <w:rFonts w:ascii="Arial" w:cs="Arial" w:eastAsia="Arial" w:hAnsi="Arial"/>
                <w:sz w:val="15"/>
                <w:szCs w:val="15"/>
                <w:b w:val="1"/>
                <w:bCs w:val="1"/>
                <w:color w:val="auto"/>
                <w:w w:val="97"/>
              </w:rPr>
              <w:t>(2)</w:t>
            </w:r>
          </w:p>
        </w:tc>
        <w:tc>
          <w:tcPr>
            <w:tcW w:w="3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r>
              <w:rPr>
                <w:rFonts w:ascii="Arial" w:cs="Arial" w:eastAsia="Arial" w:hAnsi="Arial"/>
                <w:sz w:val="15"/>
                <w:szCs w:val="15"/>
                <w:b w:val="1"/>
                <w:bCs w:val="1"/>
                <w:color w:val="auto"/>
                <w:w w:val="97"/>
              </w:rPr>
              <w:t>(3)</w:t>
            </w:r>
          </w:p>
        </w:tc>
        <w:tc>
          <w:tcPr>
            <w:tcW w:w="3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r>
              <w:rPr>
                <w:rFonts w:ascii="Arial" w:cs="Arial" w:eastAsia="Arial" w:hAnsi="Arial"/>
                <w:sz w:val="15"/>
                <w:szCs w:val="15"/>
                <w:b w:val="1"/>
                <w:bCs w:val="1"/>
                <w:color w:val="auto"/>
                <w:w w:val="97"/>
              </w:rPr>
              <w:t>(4)</w:t>
            </w:r>
          </w:p>
        </w:tc>
      </w:tr>
      <w:tr>
        <w:trPr>
          <w:trHeight w:val="223"/>
        </w:trPr>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(dollars in thousands)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101,400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3,050</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2013</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192,592</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223,885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2,140</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2015</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208,049</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180,881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2,048</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2017</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104,407</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103,763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2,490</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2019</w:t>
            </w:r>
            <w:r>
              <w:rPr>
                <w:rFonts w:ascii="Arial" w:cs="Arial" w:eastAsia="Arial" w:hAnsi="Arial"/>
                <w:sz w:val="15"/>
                <w:szCs w:val="15"/>
                <w:color w:val="auto"/>
              </w:rPr>
              <w:t>(5)</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156,978</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Fiscal 2020</w:t>
            </w:r>
            <w:r>
              <w:rPr>
                <w:rFonts w:ascii="Arial" w:cs="Arial" w:eastAsia="Arial" w:hAnsi="Arial"/>
                <w:sz w:val="15"/>
                <w:szCs w:val="15"/>
                <w:color w:val="auto"/>
              </w:rPr>
              <w:t>(6)</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377,910</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w:t>
            </w:r>
          </w:p>
        </w:tc>
        <w:tc>
          <w:tcPr>
            <w:tcW w:w="380" w:type="dxa"/>
            <w:vAlign w:val="bottom"/>
          </w:tcPr>
          <w:p>
            <w:pPr>
              <w:spacing w:after="0"/>
              <w:rPr>
                <w:sz w:val="20"/>
                <w:szCs w:val="20"/>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28"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52" w:lineRule="exact"/>
        <w:rPr>
          <w:rFonts w:ascii="Arial" w:cs="Arial" w:eastAsia="Arial" w:hAnsi="Arial"/>
          <w:sz w:val="18"/>
          <w:szCs w:val="18"/>
          <w:color w:val="auto"/>
        </w:rPr>
      </w:pPr>
    </w:p>
    <w:p>
      <w:pPr>
        <w:ind w:left="460" w:right="160" w:hanging="452"/>
        <w:spacing w:after="0" w:line="263"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PTMN’s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210" w:lineRule="exact"/>
        <w:rPr>
          <w:rFonts w:ascii="Arial" w:cs="Arial" w:eastAsia="Arial" w:hAnsi="Arial"/>
          <w:sz w:val="18"/>
          <w:szCs w:val="18"/>
          <w:color w:val="auto"/>
        </w:rPr>
      </w:pPr>
    </w:p>
    <w:p>
      <w:pPr>
        <w:ind w:left="460" w:right="40" w:hanging="452"/>
        <w:spacing w:after="0" w:line="308"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173" w:lineRule="exact"/>
        <w:rPr>
          <w:rFonts w:ascii="Arial" w:cs="Arial" w:eastAsia="Arial" w:hAnsi="Arial"/>
          <w:sz w:val="17"/>
          <w:szCs w:val="17"/>
          <w:color w:val="auto"/>
        </w:rPr>
      </w:pPr>
    </w:p>
    <w:p>
      <w:pPr>
        <w:ind w:left="460" w:right="140" w:hanging="452"/>
        <w:spacing w:after="0" w:line="293"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 applicable, except with respect to the 7.375% Notes Due 2019 and the 6.125% Notes Due 2022, as other debt securities are not registered for public trading. For the years ended December 31, 2017, 2016, 2015, 2014, 2013 and for the period from October 17, 2012 (date of issuance) to December 31, 2012, the average market value per $1,000 of par value of the 7.375% Notes Due 2019 was $1,016.04, $1,000.00, $1,011.96, $1,037.72, $1,032.96 and $1,012.28, respectively. For the years-ended December 31, 2020, 2019 and 2018 and for the period from August 14, 2017 (date of issuance) to December 31, 2017, the average market value per $1,000 of par value of the 6.125% Notes Due 2022 was $953.20, $1,009.93, $1,009.20 and $1,006.00, respectively. Average market value is computed by taking the daily average of the closing prices for the period.</w:t>
      </w:r>
    </w:p>
    <w:p>
      <w:pPr>
        <w:spacing w:after="0" w:line="191"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December 31, 2019, the Total Amount Outstanding Exclusive of Treasury Securities consisted of 6.125% Notes Due 2022 of $77,407 and Revolving Credit Facilities of $79,571.</w:t>
      </w:r>
    </w:p>
    <w:p>
      <w:pPr>
        <w:spacing w:after="0" w:line="197"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December 31, 2020, the Total Amount Outstanding Exclusive of Treasury Securities consisted of 6.125% Notes Due 2022 of $76,726, Revolving Credit Facilities of $49,321 and 2018-2 Secured Notes of $251,863.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46" w:name="page147"/>
    <w:bookmarkEnd w:id="146"/>
    <w:p>
      <w:pPr>
        <w:ind w:left="380" w:hanging="372"/>
        <w:spacing w:after="0"/>
        <w:tabs>
          <w:tab w:leader="none" w:pos="3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121" w:lineRule="exact"/>
        <w:rPr>
          <w:sz w:val="20"/>
          <w:szCs w:val="20"/>
          <w:color w:val="auto"/>
        </w:rPr>
      </w:pPr>
    </w:p>
    <w:p>
      <w:pPr>
        <w:ind w:right="60" w:firstLine="37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2020).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69"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 xml:space="preserve">Book and tax basis differences relating to stockholder dividends and distributions and other permanent book and tax differences are typically reclassified among the Company’s capital accounts. In addition, the character of income and gains to be distributed is determined in accordance with income tax regulations that may differ from GAAP; accordingly at calendar years ended December 31, 2020 and 2019, the Company reclassified for book purposes amounts arising from permanent book/tax differences related to the tax treatment of return of capital distributions, non-deductible expenses, </w:t>
      </w:r>
      <w:r>
        <w:rPr>
          <w:rFonts w:ascii="Arial" w:cs="Arial" w:eastAsia="Arial" w:hAnsi="Arial"/>
          <w:sz w:val="17"/>
          <w:szCs w:val="17"/>
          <w:color w:val="231F20"/>
        </w:rPr>
        <w:t>investments on non-accrual status</w:t>
      </w:r>
      <w:r>
        <w:rPr>
          <w:rFonts w:ascii="Arial" w:cs="Arial" w:eastAsia="Arial" w:hAnsi="Arial"/>
          <w:sz w:val="17"/>
          <w:szCs w:val="17"/>
          <w:color w:val="000000"/>
        </w:rPr>
        <w:t>, and capital loss carryforwards acquired as the result of the merger,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0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144,223,230</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137,501,521</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distributable (loss) earnings</w:t>
            </w:r>
          </w:p>
        </w:tc>
        <w:tc>
          <w:tcPr>
            <w:tcW w:w="30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(144,223,230)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4"/>
              </w:rPr>
              <w:t>(137,501,521)</w:t>
            </w: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reconciles net increase in net assets resulting from operations to taxable income for the year ended December 31, 2020 and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4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31,572,678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(12,499,961)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w w:val="94"/>
              </w:rPr>
              <w:t>Net change in unrealized depreciation (appreciation) from investments</w:t>
            </w: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(6,813,063)</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(1,121,364)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2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(7,759,269)</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16,695,014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(3,526,614)</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(3,927,076)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Book/tax differences related to mergers</w:t>
            </w:r>
          </w:p>
        </w:tc>
        <w:tc>
          <w:tcPr>
            <w:tcW w:w="2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(5,829,345)</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book/tax differences</w:t>
            </w:r>
          </w:p>
        </w:tc>
        <w:tc>
          <w:tcPr>
            <w:tcW w:w="24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3,134,538</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1,318,364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Taxable income before deductions for distributions</w:t>
            </w:r>
          </w:p>
        </w:tc>
        <w:tc>
          <w:tcPr>
            <w:tcW w:w="24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10,778,925</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464,977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Taxable income before deductions for distributions per weighted</w:t>
            </w:r>
          </w:p>
        </w:tc>
        <w:tc>
          <w:tcPr>
            <w:tcW w:w="2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average basic shares for the period</w:t>
            </w:r>
          </w:p>
        </w:tc>
        <w:tc>
          <w:tcPr>
            <w:tcW w:w="2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Taxable income before deductions for distributions per weighted</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diluted shares for the period</w:t>
            </w:r>
          </w:p>
        </w:tc>
        <w:tc>
          <w:tcPr>
            <w:tcW w:w="28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5280" w:type="dxa"/>
            <w:vAlign w:val="bottom"/>
          </w:tcPr>
          <w:p>
            <w:pPr>
              <w:spacing w:after="0"/>
              <w:rPr>
                <w:sz w:val="24"/>
                <w:szCs w:val="24"/>
                <w:color w:val="auto"/>
              </w:rPr>
            </w:pPr>
          </w:p>
        </w:tc>
        <w:tc>
          <w:tcPr>
            <w:tcW w:w="2800" w:type="dxa"/>
            <w:vAlign w:val="bottom"/>
            <w:gridSpan w:val="2"/>
          </w:tcPr>
          <w:p>
            <w:pPr>
              <w:jc w:val="right"/>
              <w:ind w:right="2190"/>
              <w:spacing w:after="0"/>
              <w:rPr>
                <w:sz w:val="20"/>
                <w:szCs w:val="20"/>
                <w:color w:val="auto"/>
              </w:rPr>
            </w:pPr>
            <w:r>
              <w:rPr>
                <w:rFonts w:ascii="Arial" w:cs="Arial" w:eastAsia="Arial" w:hAnsi="Arial"/>
                <w:sz w:val="18"/>
                <w:szCs w:val="18"/>
                <w:color w:val="auto"/>
              </w:rPr>
              <w:t>F-65</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47" w:name="page148"/>
    <w:bookmarkEnd w:id="147"/>
    <w:p>
      <w:pPr>
        <w:ind w:firstLine="374"/>
        <w:spacing w:after="0" w:line="270" w:lineRule="auto"/>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year ended December 31, 2018, the Asset Manager Affiliates declared a cash distribution of $36.0 million to the Company. The Company recognized $1.2 million of dividends from the Asset Manager Affiliates, as reflected in the Company’s statement of operations for the year ended December 31, 2018. For the year ended December 31, 2018, the difference of $34.8 million between cash distributions received and the tax-basis earnings and profits of the distributing affiliate, are recorded as an adjustment to the cost basis in the Asset Manager Affiliate (i.e. tax-basis return of capital). During year ended December 31, 2020 and 2019, the Company did not receive a cash distribution from the Affiliated Manager Affiliates, nor did we recognize any dividends.</w:t>
      </w:r>
    </w:p>
    <w:p>
      <w:pPr>
        <w:spacing w:after="0" w:line="73"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ind w:left="96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i w:val="1"/>
                <w:iCs w:val="1"/>
                <w:color w:val="auto"/>
              </w:rPr>
              <w:t>Distributions paid from:</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Ordinary Income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10,693,670</w:t>
            </w:r>
          </w:p>
        </w:tc>
        <w:tc>
          <w:tcPr>
            <w:tcW w:w="4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464,977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9,192,977</w:t>
            </w:r>
          </w:p>
        </w:tc>
        <w:tc>
          <w:tcPr>
            <w:tcW w:w="6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Return of Capital</w:t>
            </w: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11,485,293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5,688,770</w:t>
            </w:r>
          </w:p>
        </w:tc>
        <w:tc>
          <w:tcPr>
            <w:tcW w:w="6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10,693,670</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11,950,270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14,881,747</w:t>
            </w:r>
          </w:p>
        </w:tc>
        <w:tc>
          <w:tcPr>
            <w:tcW w:w="6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and 2019, the components of accumulated earnings on tax basis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5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7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Capital loss carryforward</w:t>
            </w:r>
          </w:p>
        </w:tc>
        <w:tc>
          <w:tcPr>
            <w:tcW w:w="1560" w:type="dxa"/>
            <w:vAlign w:val="bottom"/>
          </w:tcPr>
          <w:p>
            <w:pPr>
              <w:jc w:val="right"/>
              <w:spacing w:after="0"/>
              <w:rPr>
                <w:sz w:val="20"/>
                <w:szCs w:val="20"/>
                <w:color w:val="auto"/>
              </w:rPr>
            </w:pPr>
            <w:r>
              <w:rPr>
                <w:rFonts w:ascii="Arial" w:cs="Arial" w:eastAsia="Arial" w:hAnsi="Arial"/>
                <w:sz w:val="18"/>
                <w:szCs w:val="18"/>
                <w:color w:val="auto"/>
              </w:rPr>
              <w:t>(339,584,413)</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(230,821,193)</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temporary differences</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(369,500)</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(892,590)</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Net unrealized depreciation</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(82,993,414)</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(67,889,323)</w:t>
            </w:r>
          </w:p>
        </w:tc>
      </w:tr>
    </w:tbl>
    <w:p>
      <w:pPr>
        <w:spacing w:after="0" w:line="201" w:lineRule="exact"/>
        <w:rPr>
          <w:sz w:val="20"/>
          <w:szCs w:val="20"/>
          <w:color w:val="auto"/>
        </w:rPr>
      </w:pPr>
    </w:p>
    <w:p>
      <w:pPr>
        <w:ind w:right="360" w:firstLine="374"/>
        <w:spacing w:after="0" w:line="263" w:lineRule="auto"/>
        <w:rPr>
          <w:sz w:val="20"/>
          <w:szCs w:val="20"/>
          <w:color w:val="auto"/>
        </w:rPr>
      </w:pPr>
      <w:r>
        <w:rPr>
          <w:rFonts w:ascii="Arial" w:cs="Arial" w:eastAsia="Arial" w:hAnsi="Arial"/>
          <w:sz w:val="18"/>
          <w:szCs w:val="18"/>
          <w:color w:val="auto"/>
        </w:rPr>
        <w:t>At December 31, 2020, the Company had a net capital loss carryforward of $339.6 million to offset net capital gains. This net capital loss carryforward is not subject to expiration. A portion of the Company’s capital loss carryovers are subject to an annual use limitation under the Code and related regulations.</w:t>
      </w:r>
    </w:p>
    <w:p>
      <w:pPr>
        <w:spacing w:after="0" w:line="76"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The Company has certain taxable subsidiaries which have elected to be taxed as corporations for U.S. tax purposes. For the Company's tax year ended December 31, 2020, the taxable subsidiaries’ activity did not result in a material provision for income taxes. As of December 31, 2020, $158,090 of refundable AMT tax credits receivable was included as an asset on the consolidated balance sheets. The taxable subsidiaries have, in aggregate, $28.1 million of deferred tax assets (primarily due to net operating loss and capital loss carryovers) and no deferred tax liabilities. The Company has assessed the realizability of the deferred tax assets and recorded a full valuation allowance as of December 31, 2020. A portion of the taxable subsidiaries’ net operating loss and capital loss carryovers are subject to an annual use limitation under the Code and related regulations.</w:t>
      </w:r>
    </w:p>
    <w:p>
      <w:pPr>
        <w:spacing w:after="0" w:line="70"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81" w:lineRule="exact"/>
        <w:rPr>
          <w:sz w:val="20"/>
          <w:szCs w:val="20"/>
          <w:color w:val="auto"/>
        </w:rPr>
      </w:pPr>
    </w:p>
    <w:p>
      <w:pPr>
        <w:ind w:left="380" w:hanging="372"/>
        <w:spacing w:after="0"/>
        <w:tabs>
          <w:tab w:leader="none" w:pos="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2020 and 2019, the Company had $32.9 million and $31.9 million unfunded commitments,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8" w:name="page149"/>
    <w:bookmarkEnd w:id="148"/>
    <w:p>
      <w:pPr>
        <w:ind w:right="100" w:firstLine="374"/>
        <w:spacing w:after="0" w:line="257" w:lineRule="auto"/>
        <w:rPr>
          <w:sz w:val="20"/>
          <w:szCs w:val="20"/>
          <w:color w:val="auto"/>
        </w:rPr>
      </w:pPr>
      <w:r>
        <w:rPr>
          <w:rFonts w:ascii="Arial" w:cs="Arial" w:eastAsia="Arial" w:hAnsi="Arial"/>
          <w:sz w:val="18"/>
          <w:szCs w:val="18"/>
          <w:color w:val="auto"/>
        </w:rPr>
        <w:t>The Company has made an aggregate commitment to the BCP Great Lakes Fund of $50 million, subject to certain limitations (including that the Company is not obligated to fund capital calls if such funding would cause the Company to be out of compliance with certain provisions of the 1940 Act). As of December 31, 2020 and 2019, the Company had a $20.0 million and $26.3 million, respectively unfunded commitment to the BCP Great Lakes Fund, subject to the limitations noted above. However, at December 31, 2020 and 2019 our funding commitment was limited to approximately $15.0 million and $11.9 million pursuant to the limitations described above.</w:t>
      </w:r>
    </w:p>
    <w:p>
      <w:pPr>
        <w:spacing w:after="0" w:line="80"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office space. Such obligation was previously with Katonah Debt Advisors. During 2018, the Company and the Asset Manager Affiliates shared the cost of such lease pursuant to an Overhead Allocation agreement. The Company’s portion of rent expense was approximately $0 thousand and $491 thousand for the years ended December 31, 2020 and 2019, respectively.</w:t>
      </w:r>
    </w:p>
    <w:p>
      <w:pPr>
        <w:spacing w:after="0" w:line="79"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The Company is involved in litigation in the normal course of its operations and does not expect that the outcome of those litigations to have a material adverse impact to the Company’s financial position or results of operations.</w:t>
      </w:r>
    </w:p>
    <w:p>
      <w:pPr>
        <w:spacing w:after="0" w:line="62"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Effective January 1, 2019, the Company adopted ASU 2016-02, “Leases (Topic 842)”. The right-of-use asset of $3.3 million and lease liability of $3.6 million related to the Company’s office lease were recognized on January 1, 2019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$626 thousand.</w:t>
      </w:r>
    </w:p>
    <w:p>
      <w:pPr>
        <w:spacing w:after="0" w:line="79" w:lineRule="exact"/>
        <w:rPr>
          <w:sz w:val="20"/>
          <w:szCs w:val="20"/>
          <w:color w:val="auto"/>
        </w:rPr>
      </w:pPr>
    </w:p>
    <w:p>
      <w:pPr>
        <w:jc w:val="both"/>
        <w:ind w:right="60" w:firstLine="374"/>
        <w:spacing w:after="0" w:line="311" w:lineRule="auto"/>
        <w:rPr>
          <w:sz w:val="20"/>
          <w:szCs w:val="20"/>
          <w:color w:val="auto"/>
        </w:rPr>
      </w:pPr>
      <w:r>
        <w:rPr>
          <w:rFonts w:ascii="Arial" w:cs="Arial" w:eastAsia="Arial" w:hAnsi="Arial"/>
          <w:sz w:val="16"/>
          <w:szCs w:val="16"/>
          <w:color w:val="auto"/>
        </w:rPr>
        <w:t>During the second quarter of 2019, the Company recognized an impairment to the operating lease right-of-use asset of approximately $1.4 million to reduce the right-of-use asset to its estimated fair market value. The impairment charge was measured using a discounted cash flow analysis and recognized in the statement of operations during the second quarter of 2019 as a result of the Company’s estimated impact of entering into a sublease.</w:t>
      </w:r>
    </w:p>
    <w:p>
      <w:pPr>
        <w:spacing w:after="0" w:line="41"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color w:val="auto"/>
        </w:rPr>
        <w:t>On November 1, 2019, the Company terminated the lease agreement. Excluding the impairment charge, the total operating lease costs were approximately $491 thousand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02" w:lineRule="exact"/>
        <w:rPr>
          <w:sz w:val="20"/>
          <w:szCs w:val="20"/>
          <w:color w:val="auto"/>
        </w:rPr>
      </w:pPr>
    </w:p>
    <w:p>
      <w:pPr>
        <w:ind w:right="420" w:firstLine="374"/>
        <w:spacing w:after="0" w:line="301" w:lineRule="auto"/>
        <w:rPr>
          <w:sz w:val="20"/>
          <w:szCs w:val="20"/>
          <w:color w:val="auto"/>
        </w:rPr>
      </w:pPr>
      <w:r>
        <w:rPr>
          <w:rFonts w:ascii="Arial" w:cs="Arial" w:eastAsia="Arial" w:hAnsi="Arial"/>
          <w:sz w:val="16"/>
          <w:szCs w:val="16"/>
          <w:color w:val="auto"/>
        </w:rPr>
        <w:t>During the year ended December 31, 2020 and 2019, the Company issued 98,609, and 73,842 shares, respectively, of common stock under its dividend reinvestment plan. For the year ended December 31, 2020, there were no grants of restricted stock activity. For the year ended December 31, 2019, there were no grants of restricted stock, 10,571 shares were forfeited, and 113,382 shares vested. The total number of shares of the Company’s common stock outstanding as of December 31, 2020 and December 31, 2019 was 75,164,230 and 44,829,676, respectively.</w:t>
      </w:r>
    </w:p>
    <w:p>
      <w:pPr>
        <w:spacing w:after="0" w:line="15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92" w:lineRule="exact"/>
        <w:rPr>
          <w:sz w:val="20"/>
          <w:szCs w:val="20"/>
          <w:color w:val="auto"/>
        </w:rPr>
      </w:pPr>
    </w:p>
    <w:p>
      <w:pPr>
        <w:ind w:right="780" w:firstLine="374"/>
        <w:spacing w:after="0" w:line="277" w:lineRule="auto"/>
        <w:rPr>
          <w:sz w:val="20"/>
          <w:szCs w:val="20"/>
          <w:color w:val="auto"/>
        </w:rPr>
      </w:pPr>
      <w:r>
        <w:rPr>
          <w:rFonts w:ascii="Arial" w:cs="Arial" w:eastAsia="Arial" w:hAnsi="Arial"/>
          <w:sz w:val="18"/>
          <w:szCs w:val="18"/>
          <w:color w:val="auto"/>
        </w:rPr>
        <w:t>During the year ended December 31, 2020, the Company repurchased 734,403 shares, under the Stock Repurchase Program in open market transactions at an aggregate cost of approximately $863 thousand.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COMPENSATION PLANS</w:t>
      </w:r>
    </w:p>
    <w:p>
      <w:pPr>
        <w:spacing w:after="0" w:line="121"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Prior to March 31, 2019, 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49" w:name="page150"/>
    <w:bookmarkEnd w:id="149"/>
    <w:p>
      <w:pPr>
        <w:ind w:right="100" w:firstLine="374"/>
        <w:spacing w:after="0" w:line="263"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76"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2019 through March 31,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5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6"/>
              </w:rPr>
              <w:t>Shares</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January 1, 2019</w:t>
            </w:r>
          </w:p>
        </w:tc>
        <w:tc>
          <w:tcPr>
            <w:tcW w:w="1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123,953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(113,382)</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Outstanding at March 31, 2019</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8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 Share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Value</w:t>
            </w:r>
            <w:r>
              <w:rPr>
                <w:rFonts w:ascii="Arial" w:cs="Arial" w:eastAsia="Arial" w:hAnsi="Arial"/>
                <w:sz w:val="15"/>
                <w:szCs w:val="15"/>
                <w:b w:val="1"/>
                <w:bCs w:val="1"/>
                <w:color w:val="auto"/>
                <w:w w:val="88"/>
              </w:rPr>
              <w:t>1</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gridSpan w:val="3"/>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 vested at March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116"/>
        </w:numPr>
        <w:rPr>
          <w:rFonts w:ascii="Arial" w:cs="Arial" w:eastAsia="Arial" w:hAnsi="Arial"/>
          <w:sz w:val="15"/>
          <w:szCs w:val="15"/>
          <w:color w:val="auto"/>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117"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The Company uses a Binary Option Pricing Model (American, call option) to establish the expected value of all stock option grants. For the three and twelve months ended December 31, 2020 and 2019, the Company did not recognize any non-cash compensation expense related to stock options. At December 31, 2020, the Company had no remaining compensation costs related to unvested stock based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Awards of restricted stock granted under the Non-Employee Director Plan vest as follows: 50% of the shares vest on the grant date and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of the shares vest on the earlier of:</w:t>
      </w:r>
    </w:p>
    <w:p>
      <w:pPr>
        <w:spacing w:after="0" w:line="103" w:lineRule="exact"/>
        <w:rPr>
          <w:sz w:val="20"/>
          <w:szCs w:val="20"/>
          <w:color w:val="auto"/>
        </w:rPr>
      </w:pPr>
    </w:p>
    <w:p>
      <w:pPr>
        <w:ind w:left="740" w:hanging="368"/>
        <w:spacing w:after="0"/>
        <w:tabs>
          <w:tab w:leader="none" w:pos="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11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76"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Immediately prior to the Closing, 110,382 shares of restricted stock outstanding and not previously forfeited under the Equity Incentive Plan and the</w:t>
      </w:r>
    </w:p>
    <w:p>
      <w:pPr>
        <w:spacing w:after="0" w:line="46"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0" w:name="page151"/>
    <w:bookmarkEnd w:id="150"/>
    <w:p>
      <w:pPr>
        <w:ind w:right="180" w:firstLine="37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2019 through March 31,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898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r>
      <w:tr>
        <w:trPr>
          <w:trHeight w:val="234"/>
        </w:trPr>
        <w:tc>
          <w:tcPr>
            <w:tcW w:w="89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23"/>
        </w:trPr>
        <w:tc>
          <w:tcPr>
            <w:tcW w:w="8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shares outstanding at January 1, 2019</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(113,382)</w:t>
            </w: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(10,571)</w:t>
            </w:r>
          </w:p>
        </w:tc>
      </w:tr>
      <w:tr>
        <w:trPr>
          <w:trHeight w:val="223"/>
        </w:trPr>
        <w:tc>
          <w:tcPr>
            <w:tcW w:w="8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Outstanding at March 31, 2019</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For the year ended December 31, 2019, non-cash compensation expense related to restricted stock was approximately $259,000; all of which was expensed by the Company. For the year ended December 31, 2018, non-cash compensation expense related to restricted stock was approximately $548,000; of this amount approximately $248,000 was expensed by the Company, and approximately $300,000 was a reimbursable expense allocated to the Asset Manager Affiliates.</w:t>
      </w:r>
    </w:p>
    <w:p>
      <w:pPr>
        <w:spacing w:after="0" w:line="79"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Distributions were paid on all outstanding shares of restricted stock, whether or not vested. In general, shares of unvested restricted stock were forfeited upon the recipient’s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EMPLOYEE COMPENSATION</w:t>
      </w:r>
    </w:p>
    <w:p>
      <w:pPr>
        <w:spacing w:after="0" w:line="121"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The Company adopted a 401(k) plan (“401K Plan”) effective January 1, 2007. The 401K Plan was open to all full-time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Approximately $0, $9,000 and $44,000 was expensed during the years ended December 31, 2020, 2019 and 2018, respectively, related to the 401K Plan. This Plan was terminated effective March 31, 2019.</w:t>
      </w:r>
    </w:p>
    <w:p>
      <w:pPr>
        <w:spacing w:after="0" w:line="68" w:lineRule="exact"/>
        <w:rPr>
          <w:sz w:val="20"/>
          <w:szCs w:val="20"/>
          <w:color w:val="auto"/>
        </w:rPr>
      </w:pPr>
    </w:p>
    <w:p>
      <w:pPr>
        <w:ind w:right="60" w:firstLine="374"/>
        <w:spacing w:after="0" w:line="291"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$127,000 was expensed during the year ended December 31, 2018, related to the Profit-Sharing Plan. This Plan was terminated effective March 31, 2019, and no expense was recognized during the year ended December 31, 2019.</w:t>
      </w:r>
    </w:p>
    <w:p>
      <w:pPr>
        <w:spacing w:after="0" w:line="203" w:lineRule="exact"/>
        <w:rPr>
          <w:sz w:val="20"/>
          <w:szCs w:val="20"/>
          <w:color w:val="auto"/>
        </w:rPr>
      </w:pPr>
    </w:p>
    <w:p>
      <w:pPr>
        <w:ind w:left="380" w:right="5260" w:hanging="372"/>
        <w:spacing w:after="0" w:line="378" w:lineRule="auto"/>
        <w:tabs>
          <w:tab w:leader="none" w:pos="37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OF OHA INVESTMENT CORPORATION AND GARS </w:t>
      </w:r>
      <w:r>
        <w:rPr>
          <w:rFonts w:ascii="Arial" w:cs="Arial" w:eastAsia="Arial" w:hAnsi="Arial"/>
          <w:sz w:val="18"/>
          <w:szCs w:val="18"/>
          <w:i w:val="1"/>
          <w:iCs w:val="1"/>
          <w:color w:val="auto"/>
        </w:rPr>
        <w:t>OHAI acquisition</w:t>
      </w:r>
    </w:p>
    <w:p>
      <w:pPr>
        <w:ind w:right="60" w:firstLine="374"/>
        <w:spacing w:after="0" w:line="254"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our common stock is trading at a price below 75% of its net asset value, we will initiate a share buyback program of up to $10 million to support the trading price of the combined entity for up to one year from the date such program is announced.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1" w:name="page152"/>
    <w:bookmarkEnd w:id="151"/>
    <w:p>
      <w:pPr>
        <w:ind w:right="20"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the Adviser,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360" w:hanging="372"/>
        <w:spacing w:after="0" w:line="293"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3" w:lineRule="exact"/>
        <w:rPr>
          <w:rFonts w:ascii="Arial" w:cs="Arial" w:eastAsia="Arial" w:hAnsi="Arial"/>
          <w:sz w:val="16"/>
          <w:szCs w:val="16"/>
          <w:color w:val="auto"/>
        </w:rPr>
      </w:pPr>
    </w:p>
    <w:p>
      <w:pPr>
        <w:ind w:left="380" w:right="540" w:hanging="372"/>
        <w:spacing w:after="0" w:line="293" w:lineRule="auto"/>
        <w:tabs>
          <w:tab w:leader="none" w:pos="3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the Adviser.</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GARS acquisition</w:t>
      </w:r>
    </w:p>
    <w:p>
      <w:pPr>
        <w:spacing w:after="0" w:line="185"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2" w:name="page153"/>
    <w:bookmarkEnd w:id="152"/>
    <w:p>
      <w:pPr>
        <w:ind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$5.0 million of cash payment (deemed capital contribution) paid at closing directly to shareholders of GARS from the Adviser, was allocated to the GARS investments acquired, based on their relative fair values as of the date of acquisition. The fair value of the purchase consideration paid by the Company below the fair value of net assets acquired is considered the purchase discount. Immediately following the acquisition of GARS, the Company recorded GARS net assets at their respective fair values and, as a result, the purchase discount was allocated to the cost basis of the GARS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GARS investments acquired through their maturity. Upon the sale of any of the GARS acquired investments, the Company will recognize a realized gain or a reduction in realized losses with a corresponding reversal of the unrealized losses.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38,764,706</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Cash consideration to GARS shareholders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24,100,000</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$432,339)</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1,167,661</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64,032,367</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$277,380,492)</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317,802,548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35,360,820</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1,871,232</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2,087,550</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357,122,150</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251,213,342</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1,454,384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252,667,726</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104,454,424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(40,422,057)</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420" w:hanging="372"/>
        <w:spacing w:after="0" w:line="293"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the market price at closing of $1.26 as of October 28, 2020 and the 30,765,640 shares of common stock issued by the Company in conjunction with the merger.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color w:val="231F20"/>
        </w:rPr>
        <w:t>SELECTED QUARTERLY DATA (Unaudited)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and related portfolio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7,754,207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7,313,895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7,787,362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19,908,723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2,765,790</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2,599,908</w:t>
            </w:r>
          </w:p>
        </w:tc>
        <w:tc>
          <w:tcPr>
            <w:tcW w:w="160" w:type="dxa"/>
            <w:vAlign w:val="bottom"/>
          </w:tcPr>
          <w:p>
            <w:pPr>
              <w:spacing w:after="0"/>
              <w:rPr>
                <w:sz w:val="19"/>
                <w:szCs w:val="19"/>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2,697,050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8,937,599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(29,052,931)</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3,283,697</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8,318,674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49,023,240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share –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20"/>
                <w:szCs w:val="20"/>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 – diluted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(0.65)</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Net investment income per share –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 – diluted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1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71"/>
        </w:trPr>
        <w:tc>
          <w:tcPr>
            <w:tcW w:w="4940" w:type="dxa"/>
            <w:vAlign w:val="bottom"/>
            <w:vMerge w:val="restart"/>
          </w:tcPr>
          <w:p>
            <w:pPr>
              <w:spacing w:after="0"/>
              <w:rPr>
                <w:sz w:val="20"/>
                <w:szCs w:val="20"/>
                <w:color w:val="auto"/>
              </w:rPr>
            </w:pPr>
            <w:r>
              <w:rPr>
                <w:rFonts w:ascii="Arial" w:cs="Arial" w:eastAsia="Arial" w:hAnsi="Arial"/>
                <w:sz w:val="18"/>
                <w:szCs w:val="18"/>
                <w:color w:val="auto"/>
              </w:rPr>
              <w:t>Total interest and related portfolio income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5,799,410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6,914,169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7,076,196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6,705,361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(2,195,187)</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879,740</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2,242,433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(10,917,572)</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(848,322)</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(4,250,782)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3,516,714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share – basic</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(0.29)</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2"/>
              </w:rPr>
              <w:t>Net increase (decrease) in net assets resulting from operations per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 – basic</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investment income per 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80" w:hanging="372"/>
        <w:spacing w:after="0"/>
        <w:tabs>
          <w:tab w:leader="none" w:pos="3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In January 2021, the Company sold $10.1 million par value of the subordinated notes of Catamaran CLO 2016-1 for $3.5 million.</w:t>
      </w:r>
    </w:p>
    <w:p>
      <w:pPr>
        <w:spacing w:after="0" w:line="117"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On February 12, 2021 our Board declared a distribution to shareholders of $0.06 per share for a total of $4.5 million. The record date was February 22, 2021 and the distribution was paid on March 2, 2021.</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February 2021, the Company repaid $88 million of the 2018-2 Secured Notes.</w:t>
      </w:r>
    </w:p>
    <w:p>
      <w:pPr>
        <w:spacing w:after="0" w:line="117" w:lineRule="exact"/>
        <w:rPr>
          <w:sz w:val="20"/>
          <w:szCs w:val="20"/>
          <w:color w:val="auto"/>
        </w:rPr>
      </w:pPr>
    </w:p>
    <w:p>
      <w:pPr>
        <w:ind w:right="340" w:firstLine="374"/>
        <w:spacing w:after="0" w:line="296" w:lineRule="auto"/>
        <w:rPr>
          <w:sz w:val="20"/>
          <w:szCs w:val="20"/>
          <w:color w:val="auto"/>
        </w:rPr>
      </w:pPr>
      <w:r>
        <w:rPr>
          <w:rFonts w:ascii="Arial" w:cs="Arial" w:eastAsia="Arial" w:hAnsi="Arial"/>
          <w:sz w:val="16"/>
          <w:szCs w:val="16"/>
          <w:color w:val="auto"/>
        </w:rPr>
        <w:t>On March 11, 2021, the Board authorized a renewed stock repurchase program of up to $10 million (the "Renewed Stock Repurchase Program"), effective March 11, 2021 and terminating on March 31, 2022. Under the Renewed Stock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repurchase program may be suspended or discontinued at any time.</w:t>
      </w:r>
    </w:p>
    <w:p>
      <w:pPr>
        <w:spacing w:after="0" w:line="53" w:lineRule="exact"/>
        <w:rPr>
          <w:sz w:val="20"/>
          <w:szCs w:val="20"/>
          <w:color w:val="auto"/>
        </w:rPr>
      </w:pPr>
    </w:p>
    <w:p>
      <w:pPr>
        <w:jc w:val="both"/>
        <w:ind w:right="300" w:firstLine="374"/>
        <w:spacing w:after="0" w:line="381" w:lineRule="auto"/>
        <w:rPr>
          <w:sz w:val="20"/>
          <w:szCs w:val="20"/>
          <w:color w:val="auto"/>
        </w:rPr>
      </w:pPr>
      <w:r>
        <w:rPr>
          <w:rFonts w:ascii="Arial" w:cs="Arial" w:eastAsia="Arial" w:hAnsi="Arial"/>
          <w:sz w:val="15"/>
          <w:szCs w:val="15"/>
          <w:color w:val="auto"/>
        </w:rPr>
        <w:t>The Company has evaluated events and transactions occurring subsequent to December 31, 2020. Other than as described above, management has determined that there are no other material subsequent events that would require adjustment to, or disclosure in,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jc w:val="center"/>
        <w:ind w:right="80"/>
        <w:spacing w:after="0"/>
        <w:rPr>
          <w:sz w:val="20"/>
          <w:szCs w:val="20"/>
          <w:color w:val="auto"/>
        </w:rPr>
      </w:pPr>
      <w:r>
        <w:rPr>
          <w:rFonts w:ascii="Arial" w:cs="Arial" w:eastAsia="Arial" w:hAnsi="Arial"/>
          <w:sz w:val="18"/>
          <w:szCs w:val="18"/>
          <w:b w:val="1"/>
          <w:bCs w:val="1"/>
          <w:color w:val="231F20"/>
        </w:rPr>
        <w:t>EXHIBIT INDEX</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231F20"/>
        </w:rPr>
        <w:t>The following exhibits are filed as part of this report or hereby incorporated by reference to exhibits previously filed with the SEC:</w:t>
      </w:r>
    </w:p>
    <w:tbl>
      <w:tblPr>
        <w:tblLayout w:type="fixed"/>
        <w:tblInd w:w="0" w:type="dxa"/>
        <w:tblCellMar>
          <w:top w:w="0" w:type="dxa"/>
          <w:left w:w="0" w:type="dxa"/>
          <w:bottom w:w="0" w:type="dxa"/>
          <w:right w:w="0" w:type="dxa"/>
        </w:tblCellMar>
      </w:tblPr>
      <w:tr>
        <w:trPr>
          <w:trHeight w:val="149"/>
        </w:trPr>
        <w:tc>
          <w:tcPr>
            <w:tcW w:w="3060" w:type="dxa"/>
            <w:vAlign w:val="bottom"/>
          </w:tcPr>
          <w:p>
            <w:pPr>
              <w:jc w:val="center"/>
              <w:ind w:right="2448"/>
              <w:spacing w:after="0" w:line="149" w:lineRule="exact"/>
              <w:rPr>
                <w:sz w:val="20"/>
                <w:szCs w:val="20"/>
                <w:color w:val="auto"/>
              </w:rPr>
            </w:pPr>
            <w:r>
              <w:rPr>
                <w:rFonts w:ascii="Arial" w:cs="Arial" w:eastAsia="Arial" w:hAnsi="Arial"/>
                <w:sz w:val="14"/>
                <w:szCs w:val="14"/>
                <w:b w:val="1"/>
                <w:bCs w:val="1"/>
                <w:color w:val="231F20"/>
                <w:w w:val="98"/>
              </w:rPr>
              <w:t>Exhibit</w:t>
            </w:r>
          </w:p>
        </w:tc>
        <w:tc>
          <w:tcPr>
            <w:tcW w:w="3240" w:type="dxa"/>
            <w:vAlign w:val="bottom"/>
            <w:vMerge w:val="restart"/>
          </w:tcPr>
          <w:p>
            <w:pPr>
              <w:ind w:left="2520"/>
              <w:spacing w:after="0"/>
              <w:rPr>
                <w:sz w:val="20"/>
                <w:szCs w:val="20"/>
                <w:color w:val="auto"/>
              </w:rPr>
            </w:pPr>
            <w:r>
              <w:rPr>
                <w:rFonts w:ascii="Arial" w:cs="Arial" w:eastAsia="Arial" w:hAnsi="Arial"/>
                <w:sz w:val="14"/>
                <w:szCs w:val="14"/>
                <w:b w:val="1"/>
                <w:bCs w:val="1"/>
                <w:color w:val="231F20"/>
                <w:w w:val="90"/>
              </w:rPr>
              <w:t>Description</w:t>
            </w:r>
          </w:p>
        </w:tc>
        <w:tc>
          <w:tcPr>
            <w:tcW w:w="0" w:type="dxa"/>
            <w:vAlign w:val="bottom"/>
          </w:tcPr>
          <w:p>
            <w:pPr>
              <w:spacing w:after="0"/>
              <w:rPr>
                <w:sz w:val="1"/>
                <w:szCs w:val="1"/>
                <w:color w:val="auto"/>
              </w:rPr>
            </w:pPr>
          </w:p>
        </w:tc>
      </w:tr>
      <w:tr>
        <w:trPr>
          <w:trHeight w:val="186"/>
        </w:trPr>
        <w:tc>
          <w:tcPr>
            <w:tcW w:w="3060" w:type="dxa"/>
            <w:vAlign w:val="bottom"/>
          </w:tcPr>
          <w:p>
            <w:pPr>
              <w:jc w:val="center"/>
              <w:ind w:right="2468"/>
              <w:spacing w:after="0"/>
              <w:rPr>
                <w:sz w:val="20"/>
                <w:szCs w:val="20"/>
                <w:color w:val="auto"/>
              </w:rPr>
            </w:pPr>
            <w:r>
              <w:rPr>
                <w:rFonts w:ascii="Arial" w:cs="Arial" w:eastAsia="Arial" w:hAnsi="Arial"/>
                <w:sz w:val="14"/>
                <w:szCs w:val="14"/>
                <w:b w:val="1"/>
                <w:bCs w:val="1"/>
                <w:color w:val="231F20"/>
                <w:w w:val="98"/>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16510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jc w:val="both"/>
        <w:ind w:left="720" w:right="20" w:hanging="345"/>
        <w:spacing w:after="0" w:line="255"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2.1 </w:t>
      </w:r>
      <w:hyperlink r:id="rId232">
        <w:r>
          <w:rPr>
            <w:rFonts w:ascii="Arial" w:cs="Arial" w:eastAsia="Arial" w:hAnsi="Arial"/>
            <w:sz w:val="18"/>
            <w:szCs w:val="18"/>
            <w:u w:val="single" w:color="auto"/>
            <w:color w:val="0000EE"/>
          </w:rPr>
          <w:t>Agreement and Plan of Merger, dated as of July 31, 2019 by and among Portman Ridge Finance Corporation, Storm Acquisition Sub Inc., OHA</w:t>
        </w:r>
      </w:hyperlink>
      <w:r>
        <w:rPr>
          <w:rFonts w:ascii="Arial" w:cs="Arial" w:eastAsia="Arial" w:hAnsi="Arial"/>
          <w:sz w:val="18"/>
          <w:szCs w:val="18"/>
          <w:color w:val="231F20"/>
        </w:rPr>
        <w:t xml:space="preserve"> </w:t>
      </w:r>
      <w:hyperlink r:id="rId232">
        <w:r>
          <w:rPr>
            <w:rFonts w:ascii="Arial" w:cs="Arial" w:eastAsia="Arial" w:hAnsi="Arial"/>
            <w:sz w:val="18"/>
            <w:szCs w:val="18"/>
            <w:u w:val="single" w:color="auto"/>
            <w:color w:val="0000EE"/>
          </w:rPr>
          <w:t>Investment Corporation, and Sierra Crest Investment Management LLC (incorporated by reference to Exhibit 2.1 of the Current Report on Form</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8-K filed August 1, 2019).</w:t>
        </w:r>
      </w:hyperlink>
    </w:p>
    <w:p>
      <w:pPr>
        <w:spacing w:after="0" w:line="3" w:lineRule="exact"/>
        <w:rPr>
          <w:rFonts w:ascii="Arial" w:cs="Arial" w:eastAsia="Arial" w:hAnsi="Arial"/>
          <w:sz w:val="18"/>
          <w:szCs w:val="18"/>
          <w:color w:val="231F20"/>
        </w:rPr>
      </w:pPr>
    </w:p>
    <w:p>
      <w:pPr>
        <w:ind w:left="720" w:right="80" w:hanging="345"/>
        <w:spacing w:after="0" w:line="250"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2.2 </w:t>
      </w:r>
      <w:hyperlink r:id="rId233">
        <w:r>
          <w:rPr>
            <w:rFonts w:ascii="Arial" w:cs="Arial" w:eastAsia="Arial" w:hAnsi="Arial"/>
            <w:sz w:val="18"/>
            <w:szCs w:val="18"/>
            <w:u w:val="single" w:color="auto"/>
            <w:color w:val="0000EE"/>
          </w:rPr>
          <w:t>Agreement and Plan of Merger, dated as of June 24, 2020 by and among Portman Ridge Finance Corporation, Citadel Acquisition Sub Inc.,</w:t>
        </w:r>
      </w:hyperlink>
      <w:r>
        <w:rPr>
          <w:rFonts w:ascii="Arial" w:cs="Arial" w:eastAsia="Arial" w:hAnsi="Arial"/>
          <w:sz w:val="18"/>
          <w:szCs w:val="18"/>
          <w:color w:val="231F20"/>
        </w:rPr>
        <w:t xml:space="preserve"> </w:t>
      </w:r>
      <w:hyperlink r:id="rId233">
        <w:r>
          <w:rPr>
            <w:rFonts w:ascii="Arial" w:cs="Arial" w:eastAsia="Arial" w:hAnsi="Arial"/>
            <w:sz w:val="18"/>
            <w:szCs w:val="18"/>
            <w:u w:val="single" w:color="auto"/>
            <w:color w:val="0000EE"/>
          </w:rPr>
          <w:t>Garrison Capital Inc. and Sierra Crest Investment Management LLC (incorporated by reference to Exhibit 2.1 of the Current Report on Form 8-</w:t>
        </w:r>
      </w:hyperlink>
      <w:hyperlink r:id="rId233">
        <w:r>
          <w:rPr>
            <w:rFonts w:ascii="Arial" w:cs="Arial" w:eastAsia="Arial" w:hAnsi="Arial"/>
            <w:sz w:val="18"/>
            <w:szCs w:val="18"/>
            <w:u w:val="single" w:color="auto"/>
            <w:color w:val="0000EE"/>
          </w:rPr>
          <w:t>K filed June 25, 2020).</w:t>
        </w:r>
      </w:hyperlink>
    </w:p>
    <w:p>
      <w:pPr>
        <w:spacing w:after="0" w:line="1" w:lineRule="exact"/>
        <w:rPr>
          <w:rFonts w:ascii="Arial" w:cs="Arial" w:eastAsia="Arial" w:hAnsi="Arial"/>
          <w:sz w:val="18"/>
          <w:szCs w:val="18"/>
          <w:color w:val="231F20"/>
        </w:rPr>
      </w:pPr>
    </w:p>
    <w:p>
      <w:pPr>
        <w:ind w:left="720" w:right="200" w:hanging="345"/>
        <w:spacing w:after="0" w:line="250"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2.3 </w:t>
      </w:r>
      <w:hyperlink r:id="rId234">
        <w:r>
          <w:rPr>
            <w:rFonts w:ascii="Arial" w:cs="Arial" w:eastAsia="Arial" w:hAnsi="Arial"/>
            <w:sz w:val="18"/>
            <w:szCs w:val="18"/>
            <w:u w:val="single" w:color="auto"/>
            <w:color w:val="0000EE"/>
          </w:rPr>
          <w:t>Agreement and Plan of Merger, dated as of December 23, 2020 by and among Portman Ridge Finance Corporation, Rye Acquisition Sub Inc.,</w:t>
        </w:r>
      </w:hyperlink>
      <w:r>
        <w:rPr>
          <w:rFonts w:ascii="Arial" w:cs="Arial" w:eastAsia="Arial" w:hAnsi="Arial"/>
          <w:sz w:val="18"/>
          <w:szCs w:val="18"/>
          <w:color w:val="231F20"/>
        </w:rPr>
        <w:t xml:space="preserve"> </w:t>
      </w:r>
      <w:hyperlink r:id="rId234">
        <w:r>
          <w:rPr>
            <w:rFonts w:ascii="Arial" w:cs="Arial" w:eastAsia="Arial" w:hAnsi="Arial"/>
            <w:sz w:val="18"/>
            <w:szCs w:val="18"/>
            <w:u w:val="single" w:color="auto"/>
            <w:color w:val="0000EE"/>
          </w:rPr>
          <w:t>Harvest Capital Credit Corporation, and Sierra Crest Investment Management LLC (incorporated by reference to Exhibit 2.1 of the Current</w:t>
        </w:r>
      </w:hyperlink>
      <w:r>
        <w:rPr>
          <w:rFonts w:ascii="Arial" w:cs="Arial" w:eastAsia="Arial" w:hAnsi="Arial"/>
          <w:sz w:val="18"/>
          <w:szCs w:val="18"/>
          <w:u w:val="single" w:color="auto"/>
          <w:color w:val="0000EE"/>
        </w:rPr>
        <w:t xml:space="preserve"> </w:t>
      </w:r>
      <w:hyperlink r:id="rId234">
        <w:r>
          <w:rPr>
            <w:rFonts w:ascii="Arial" w:cs="Arial" w:eastAsia="Arial" w:hAnsi="Arial"/>
            <w:sz w:val="18"/>
            <w:szCs w:val="18"/>
            <w:u w:val="single" w:color="auto"/>
            <w:color w:val="0000EE"/>
          </w:rPr>
          <w:t>Report on Form 8-K filed December 28, 2020).</w:t>
        </w:r>
      </w:hyperlink>
    </w:p>
    <w:p>
      <w:pPr>
        <w:spacing w:after="0" w:line="1" w:lineRule="exact"/>
        <w:rPr>
          <w:rFonts w:ascii="Arial" w:cs="Arial" w:eastAsia="Arial" w:hAnsi="Arial"/>
          <w:sz w:val="18"/>
          <w:szCs w:val="18"/>
          <w:color w:val="231F20"/>
        </w:rPr>
      </w:pPr>
    </w:p>
    <w:p>
      <w:pPr>
        <w:ind w:left="380"/>
        <w:spacing w:after="0"/>
        <w:rPr>
          <w:rFonts w:ascii="Arial" w:cs="Arial" w:eastAsia="Arial" w:hAnsi="Arial"/>
          <w:sz w:val="16"/>
          <w:szCs w:val="16"/>
          <w:color w:val="231F20"/>
        </w:rPr>
      </w:pPr>
      <w:r>
        <w:rPr>
          <w:rFonts w:ascii="Arial" w:cs="Arial" w:eastAsia="Arial" w:hAnsi="Arial"/>
          <w:sz w:val="16"/>
          <w:szCs w:val="16"/>
          <w:color w:val="231F20"/>
        </w:rPr>
        <w:t xml:space="preserve">3.1  </w:t>
      </w:r>
      <w:hyperlink r:id="rId235">
        <w:r>
          <w:rPr>
            <w:rFonts w:ascii="Arial" w:cs="Arial" w:eastAsia="Arial" w:hAnsi="Arial"/>
            <w:sz w:val="16"/>
            <w:szCs w:val="16"/>
            <w:u w:val="single" w:color="auto"/>
            <w:color w:val="0000EE"/>
          </w:rPr>
          <w:t>Form of Certificate of Incorporation of the Company (incorporated by reference to Exhibit A of the Pre-Effective Amendment No. 1 on Form N-</w:t>
        </w:r>
      </w:hyperlink>
    </w:p>
    <w:p>
      <w:pPr>
        <w:spacing w:after="0" w:line="32" w:lineRule="exact"/>
        <w:rPr>
          <w:rFonts w:ascii="Arial" w:cs="Arial" w:eastAsia="Arial" w:hAnsi="Arial"/>
          <w:sz w:val="18"/>
          <w:szCs w:val="18"/>
          <w:color w:val="231F20"/>
        </w:rPr>
      </w:pPr>
    </w:p>
    <w:p>
      <w:pPr>
        <w:ind w:left="720"/>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2 filed on October 6, 2006).</w:t>
        </w:r>
      </w:hyperlink>
    </w:p>
    <w:p>
      <w:pPr>
        <w:spacing w:after="0" w:line="9" w:lineRule="exact"/>
        <w:rPr>
          <w:rFonts w:ascii="Arial" w:cs="Arial" w:eastAsia="Arial" w:hAnsi="Arial"/>
          <w:sz w:val="18"/>
          <w:szCs w:val="18"/>
          <w:color w:val="231F20"/>
        </w:rPr>
      </w:pPr>
    </w:p>
    <w:p>
      <w:pPr>
        <w:ind w:left="240"/>
        <w:spacing w:after="0"/>
        <w:rPr>
          <w:rFonts w:ascii="Arial" w:cs="Arial" w:eastAsia="Arial" w:hAnsi="Arial"/>
          <w:sz w:val="18"/>
          <w:szCs w:val="18"/>
          <w:color w:val="231F20"/>
        </w:rPr>
      </w:pPr>
      <w:r>
        <w:rPr>
          <w:rFonts w:ascii="Arial" w:cs="Arial" w:eastAsia="Arial" w:hAnsi="Arial"/>
          <w:sz w:val="18"/>
          <w:szCs w:val="18"/>
          <w:color w:val="231F20"/>
        </w:rPr>
        <w:t xml:space="preserve">3.1.1  </w:t>
      </w:r>
      <w:hyperlink r:id="rId236">
        <w:r>
          <w:rPr>
            <w:rFonts w:ascii="Arial" w:cs="Arial" w:eastAsia="Arial" w:hAnsi="Arial"/>
            <w:sz w:val="18"/>
            <w:szCs w:val="18"/>
            <w:u w:val="single" w:color="auto"/>
            <w:color w:val="0000EE"/>
          </w:rPr>
          <w:t>Certificate of Amendment (incorporated by reference to Exhibit 3.1 of the Current Report on Form 8-K filed April 2, 2019).</w:t>
        </w:r>
      </w:hyperlink>
    </w:p>
    <w:p>
      <w:pPr>
        <w:spacing w:after="0" w:line="49" w:lineRule="exact"/>
        <w:rPr>
          <w:rFonts w:ascii="Arial" w:cs="Arial" w:eastAsia="Arial" w:hAnsi="Arial"/>
          <w:sz w:val="18"/>
          <w:szCs w:val="18"/>
          <w:color w:val="231F20"/>
        </w:rPr>
      </w:pPr>
    </w:p>
    <w:p>
      <w:pPr>
        <w:ind w:left="720" w:right="40" w:hanging="34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3.2 </w:t>
      </w:r>
      <w:hyperlink r:id="rId237">
        <w:r>
          <w:rPr>
            <w:rFonts w:ascii="Arial" w:cs="Arial" w:eastAsia="Arial" w:hAnsi="Arial"/>
            <w:sz w:val="18"/>
            <w:szCs w:val="18"/>
            <w:u w:val="single" w:color="auto"/>
            <w:color w:val="0000EE"/>
          </w:rPr>
          <w:t>Second Amended and Restated Bylaws of KCAP Financial, Inc., dated as of December 12, 2018 (incorporated by reference to Exhibit 3.1 of the</w:t>
        </w:r>
      </w:hyperlink>
      <w:r>
        <w:rPr>
          <w:rFonts w:ascii="Arial" w:cs="Arial" w:eastAsia="Arial" w:hAnsi="Arial"/>
          <w:sz w:val="18"/>
          <w:szCs w:val="18"/>
          <w:color w:val="231F20"/>
        </w:rPr>
        <w:t xml:space="preserve"> </w:t>
      </w:r>
      <w:hyperlink r:id="rId237">
        <w:r>
          <w:rPr>
            <w:rFonts w:ascii="Arial" w:cs="Arial" w:eastAsia="Arial" w:hAnsi="Arial"/>
            <w:sz w:val="18"/>
            <w:szCs w:val="18"/>
            <w:u w:val="single" w:color="auto"/>
            <w:color w:val="0000EE"/>
          </w:rPr>
          <w:t>Current Report on Form 8-K filed on December 14, 2018).</w:t>
        </w:r>
      </w:hyperlink>
    </w:p>
    <w:p>
      <w:pPr>
        <w:spacing w:after="0" w:line="8" w:lineRule="exact"/>
        <w:rPr>
          <w:sz w:val="20"/>
          <w:szCs w:val="20"/>
          <w:color w:val="auto"/>
        </w:rPr>
      </w:pPr>
    </w:p>
    <w:p>
      <w:pPr>
        <w:ind w:left="720" w:right="220" w:hanging="480"/>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3.2.1 </w:t>
      </w:r>
      <w:hyperlink r:id="rId238">
        <w:r>
          <w:rPr>
            <w:rFonts w:ascii="Arial" w:cs="Arial" w:eastAsia="Arial" w:hAnsi="Arial"/>
            <w:sz w:val="18"/>
            <w:szCs w:val="18"/>
            <w:u w:val="single" w:color="auto"/>
            <w:color w:val="0000EE"/>
          </w:rPr>
          <w:t>Amendment No. 1 to the Second Amended and Restated Bylaws (incorporated by reference to Exhibit 3.2 of the Current Report on Form 8-K</w:t>
        </w:r>
      </w:hyperlink>
      <w:r>
        <w:rPr>
          <w:rFonts w:ascii="Arial" w:cs="Arial" w:eastAsia="Arial" w:hAnsi="Arial"/>
          <w:sz w:val="18"/>
          <w:szCs w:val="18"/>
          <w:color w:val="231F20"/>
        </w:rPr>
        <w:t xml:space="preserve"> </w:t>
      </w:r>
      <w:hyperlink r:id="rId238">
        <w:r>
          <w:rPr>
            <w:rFonts w:ascii="Arial" w:cs="Arial" w:eastAsia="Arial" w:hAnsi="Arial"/>
            <w:sz w:val="18"/>
            <w:szCs w:val="18"/>
            <w:u w:val="single" w:color="auto"/>
            <w:color w:val="0000EE"/>
          </w:rPr>
          <w:t>filed on April 2, 2019).</w:t>
        </w:r>
      </w:hyperlink>
    </w:p>
    <w:p>
      <w:pPr>
        <w:spacing w:after="0" w:line="8" w:lineRule="exact"/>
        <w:rPr>
          <w:sz w:val="20"/>
          <w:szCs w:val="20"/>
          <w:color w:val="auto"/>
        </w:rPr>
      </w:pPr>
    </w:p>
    <w:p>
      <w:pPr>
        <w:ind w:left="720" w:right="160" w:hanging="34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4.1 </w:t>
      </w:r>
      <w:hyperlink r:id="rId239">
        <w:r>
          <w:rPr>
            <w:rFonts w:ascii="Arial" w:cs="Arial" w:eastAsia="Arial" w:hAnsi="Arial"/>
            <w:sz w:val="18"/>
            <w:szCs w:val="18"/>
            <w:u w:val="single" w:color="auto"/>
            <w:color w:val="0000EE"/>
          </w:rPr>
          <w:t>Specimen certificate of the Company’s common stock, par value $0.01 per share (incorporated by reference to Exhibit D.1 of the Pre-Effective</w:t>
        </w:r>
      </w:hyperlink>
      <w:r>
        <w:rPr>
          <w:rFonts w:ascii="Arial" w:cs="Arial" w:eastAsia="Arial" w:hAnsi="Arial"/>
          <w:sz w:val="18"/>
          <w:szCs w:val="18"/>
          <w:color w:val="231F20"/>
        </w:rPr>
        <w:t xml:space="preserve"> </w:t>
      </w:r>
      <w:hyperlink r:id="rId239">
        <w:r>
          <w:rPr>
            <w:rFonts w:ascii="Arial" w:cs="Arial" w:eastAsia="Arial" w:hAnsi="Arial"/>
            <w:sz w:val="18"/>
            <w:szCs w:val="18"/>
            <w:u w:val="single" w:color="auto"/>
            <w:color w:val="0000EE"/>
          </w:rPr>
          <w:t>Amendment No. 1 on Form N-2 filed on October 6, 2006).</w:t>
        </w:r>
      </w:hyperlink>
    </w:p>
    <w:p>
      <w:pPr>
        <w:spacing w:after="0" w:line="8" w:lineRule="exact"/>
        <w:rPr>
          <w:sz w:val="20"/>
          <w:szCs w:val="20"/>
          <w:color w:val="auto"/>
        </w:rPr>
      </w:pPr>
    </w:p>
    <w:p>
      <w:pPr>
        <w:ind w:left="720" w:right="640" w:hanging="34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4.2 </w:t>
      </w:r>
      <w:hyperlink r:id="rId240">
        <w:r>
          <w:rPr>
            <w:rFonts w:ascii="Arial" w:cs="Arial" w:eastAsia="Arial" w:hAnsi="Arial"/>
            <w:sz w:val="18"/>
            <w:szCs w:val="18"/>
            <w:u w:val="single" w:color="auto"/>
            <w:color w:val="0000EE"/>
          </w:rPr>
          <w:t>Form of Dividend Reinvestment Plan (incorporated by reference to Exhibit E of the Pre-Effective Amendment No. 2 of the Registration</w:t>
        </w:r>
      </w:hyperlink>
      <w:r>
        <w:rPr>
          <w:rFonts w:ascii="Arial" w:cs="Arial" w:eastAsia="Arial" w:hAnsi="Arial"/>
          <w:sz w:val="18"/>
          <w:szCs w:val="18"/>
          <w:color w:val="231F20"/>
        </w:rPr>
        <w:t xml:space="preserve"> </w:t>
      </w:r>
      <w:hyperlink r:id="rId240">
        <w:r>
          <w:rPr>
            <w:rFonts w:ascii="Arial" w:cs="Arial" w:eastAsia="Arial" w:hAnsi="Arial"/>
            <w:sz w:val="18"/>
            <w:szCs w:val="18"/>
            <w:u w:val="single" w:color="auto"/>
            <w:color w:val="0000EE"/>
          </w:rPr>
          <w:t>Statement on Form N-2 filed on November 20, 2006).</w:t>
        </w:r>
      </w:hyperlink>
    </w:p>
    <w:p>
      <w:pPr>
        <w:spacing w:after="0" w:line="8" w:lineRule="exact"/>
        <w:rPr>
          <w:sz w:val="20"/>
          <w:szCs w:val="20"/>
          <w:color w:val="auto"/>
        </w:rPr>
      </w:pPr>
    </w:p>
    <w:p>
      <w:pPr>
        <w:ind w:left="720" w:hanging="34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4.3 </w:t>
      </w:r>
      <w:hyperlink r:id="rId241">
        <w:r>
          <w:rPr>
            <w:rFonts w:ascii="Arial" w:cs="Arial" w:eastAsia="Arial" w:hAnsi="Arial"/>
            <w:sz w:val="18"/>
            <w:szCs w:val="18"/>
            <w:u w:val="single" w:color="auto"/>
            <w:color w:val="0000EE"/>
          </w:rPr>
          <w:t>Form of Base Indenture between the Company and U.S. Bank National Association (incorporated by reference to Exhibit D.2 of the Registration</w:t>
        </w:r>
      </w:hyperlink>
      <w:r>
        <w:rPr>
          <w:rFonts w:ascii="Arial" w:cs="Arial" w:eastAsia="Arial" w:hAnsi="Arial"/>
          <w:sz w:val="18"/>
          <w:szCs w:val="18"/>
          <w:color w:val="231F20"/>
        </w:rPr>
        <w:t xml:space="preserve"> </w:t>
      </w:r>
      <w:hyperlink r:id="rId241">
        <w:r>
          <w:rPr>
            <w:rFonts w:ascii="Arial" w:cs="Arial" w:eastAsia="Arial" w:hAnsi="Arial"/>
            <w:sz w:val="18"/>
            <w:szCs w:val="18"/>
            <w:u w:val="single" w:color="auto"/>
            <w:color w:val="0000EE"/>
          </w:rPr>
          <w:t>Statement in Form N-2 filed on October 3, 2012).</w:t>
        </w:r>
      </w:hyperlink>
    </w:p>
    <w:p>
      <w:pPr>
        <w:spacing w:after="0" w:line="8" w:lineRule="exact"/>
        <w:rPr>
          <w:sz w:val="20"/>
          <w:szCs w:val="20"/>
          <w:color w:val="auto"/>
        </w:rPr>
      </w:pPr>
    </w:p>
    <w:p>
      <w:pPr>
        <w:ind w:left="720" w:right="40" w:hanging="345"/>
        <w:spacing w:after="0" w:line="263"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4.4 </w:t>
      </w:r>
      <w:hyperlink r:id="rId242">
        <w:r>
          <w:rPr>
            <w:rFonts w:ascii="Arial" w:cs="Arial" w:eastAsia="Arial" w:hAnsi="Arial"/>
            <w:sz w:val="18"/>
            <w:szCs w:val="18"/>
            <w:u w:val="single" w:color="auto"/>
            <w:color w:val="0000EE"/>
          </w:rPr>
          <w:t>Second Supplemental Indenture between the Company and U.S. Bank National Association relating to the 6.125% Notes Due 2022</w:t>
        </w:r>
      </w:hyperlink>
      <w:r>
        <w:rPr>
          <w:rFonts w:ascii="Arial" w:cs="Arial" w:eastAsia="Arial" w:hAnsi="Arial"/>
          <w:sz w:val="18"/>
          <w:szCs w:val="18"/>
          <w:color w:val="231F20"/>
        </w:rPr>
        <w:t xml:space="preserve"> </w:t>
      </w:r>
      <w:hyperlink r:id="rId242">
        <w:r>
          <w:rPr>
            <w:rFonts w:ascii="Arial" w:cs="Arial" w:eastAsia="Arial" w:hAnsi="Arial"/>
            <w:sz w:val="18"/>
            <w:szCs w:val="18"/>
            <w:u w:val="single" w:color="auto"/>
            <w:color w:val="0000EE"/>
          </w:rPr>
          <w:t>(incorporated by reference to Exhibit D.6 of the Post-Effective Amendment No. 1 to the Registration Statement in Form N-2 filed on August 14,</w:t>
        </w:r>
      </w:hyperlink>
      <w:r>
        <w:rPr>
          <w:rFonts w:ascii="Arial" w:cs="Arial" w:eastAsia="Arial" w:hAnsi="Arial"/>
          <w:sz w:val="18"/>
          <w:szCs w:val="18"/>
          <w:u w:val="single" w:color="auto"/>
          <w:color w:val="0000EE"/>
        </w:rPr>
        <w:t xml:space="preserve"> </w:t>
      </w:r>
      <w:hyperlink r:id="rId242">
        <w:r>
          <w:rPr>
            <w:rFonts w:ascii="Arial" w:cs="Arial" w:eastAsia="Arial" w:hAnsi="Arial"/>
            <w:sz w:val="18"/>
            <w:szCs w:val="18"/>
            <w:u w:val="single" w:color="auto"/>
            <w:color w:val="0000EE"/>
          </w:rPr>
          <w:t>2017).</w:t>
        </w:r>
      </w:hyperlink>
    </w:p>
    <w:p>
      <w:pPr>
        <w:spacing w:after="0" w:line="22" w:lineRule="exact"/>
        <w:rPr>
          <w:rFonts w:ascii="Arial" w:cs="Arial" w:eastAsia="Arial" w:hAnsi="Arial"/>
          <w:sz w:val="18"/>
          <w:szCs w:val="18"/>
          <w:color w:val="231F20"/>
        </w:rPr>
      </w:pPr>
    </w:p>
    <w:p>
      <w:pPr>
        <w:ind w:left="720" w:right="760" w:hanging="34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4.5 </w:t>
      </w:r>
      <w:hyperlink r:id="rId243">
        <w:r>
          <w:rPr>
            <w:rFonts w:ascii="Arial" w:cs="Arial" w:eastAsia="Arial" w:hAnsi="Arial"/>
            <w:sz w:val="18"/>
            <w:szCs w:val="18"/>
            <w:u w:val="single" w:color="auto"/>
            <w:color w:val="0000EE"/>
          </w:rPr>
          <w:t>Form of 6.125% Notes Due 2022 (Incorporated by reference to Exhibit 4.6 of the Post-Effective Amendment No. 1 to the Registration</w:t>
        </w:r>
      </w:hyperlink>
      <w:r>
        <w:rPr>
          <w:rFonts w:ascii="Arial" w:cs="Arial" w:eastAsia="Arial" w:hAnsi="Arial"/>
          <w:sz w:val="18"/>
          <w:szCs w:val="18"/>
          <w:color w:val="231F20"/>
        </w:rPr>
        <w:t xml:space="preserve"> </w:t>
      </w:r>
      <w:hyperlink r:id="rId243">
        <w:r>
          <w:rPr>
            <w:rFonts w:ascii="Arial" w:cs="Arial" w:eastAsia="Arial" w:hAnsi="Arial"/>
            <w:sz w:val="18"/>
            <w:szCs w:val="18"/>
            <w:u w:val="single" w:color="auto"/>
            <w:color w:val="0000EE"/>
          </w:rPr>
          <w:t>Statement in Form N-2 filed on August 14, 2017).</w:t>
        </w:r>
      </w:hyperlink>
    </w:p>
    <w:p>
      <w:pPr>
        <w:spacing w:after="0" w:line="8" w:lineRule="exact"/>
        <w:rPr>
          <w:sz w:val="20"/>
          <w:szCs w:val="20"/>
          <w:color w:val="auto"/>
        </w:rPr>
      </w:pPr>
    </w:p>
    <w:p>
      <w:pPr>
        <w:ind w:left="380"/>
        <w:spacing w:after="0"/>
        <w:rPr>
          <w:rFonts w:ascii="Arial" w:cs="Arial" w:eastAsia="Arial" w:hAnsi="Arial"/>
          <w:sz w:val="18"/>
          <w:szCs w:val="18"/>
          <w:color w:val="231F20"/>
        </w:rPr>
      </w:pPr>
      <w:r>
        <w:rPr>
          <w:rFonts w:ascii="Arial" w:cs="Arial" w:eastAsia="Arial" w:hAnsi="Arial"/>
          <w:sz w:val="18"/>
          <w:szCs w:val="18"/>
          <w:color w:val="231F20"/>
        </w:rPr>
        <w:t xml:space="preserve">4.6  </w:t>
      </w:r>
      <w:hyperlink w:anchor="page158">
        <w:r>
          <w:rPr>
            <w:rFonts w:ascii="Arial" w:cs="Arial" w:eastAsia="Arial" w:hAnsi="Arial"/>
            <w:sz w:val="18"/>
            <w:szCs w:val="18"/>
            <w:u w:val="single" w:color="auto"/>
            <w:color w:val="0000EE"/>
          </w:rPr>
          <w:t>Description of Portman Ridge Finance Corporation’s Registered Securities.**</w:t>
        </w:r>
      </w:hyperlink>
    </w:p>
    <w:p>
      <w:pPr>
        <w:spacing w:after="0" w:line="63" w:lineRule="exact"/>
        <w:rPr>
          <w:sz w:val="20"/>
          <w:szCs w:val="20"/>
          <w:color w:val="auto"/>
        </w:rPr>
      </w:pPr>
    </w:p>
    <w:p>
      <w:pPr>
        <w:ind w:left="280"/>
        <w:spacing w:after="0"/>
        <w:rPr>
          <w:rFonts w:ascii="Arial" w:cs="Arial" w:eastAsia="Arial" w:hAnsi="Arial"/>
          <w:sz w:val="16"/>
          <w:szCs w:val="16"/>
          <w:color w:val="231F20"/>
        </w:rPr>
      </w:pPr>
      <w:r>
        <w:rPr>
          <w:rFonts w:ascii="Arial" w:cs="Arial" w:eastAsia="Arial" w:hAnsi="Arial"/>
          <w:sz w:val="16"/>
          <w:szCs w:val="16"/>
          <w:color w:val="231F20"/>
        </w:rPr>
        <w:t xml:space="preserve">10.1  </w:t>
      </w:r>
      <w:hyperlink r:id="rId244">
        <w:r>
          <w:rPr>
            <w:rFonts w:ascii="Arial" w:cs="Arial" w:eastAsia="Arial" w:hAnsi="Arial"/>
            <w:sz w:val="16"/>
            <w:szCs w:val="16"/>
            <w:u w:val="single" w:color="auto"/>
            <w:color w:val="0000EE"/>
          </w:rPr>
          <w:t>Stock Purchase and Transaction Agreement, dated December 14, 2018, by and between KCAP Financial, Inc. and BC Partners Advisors L.P.</w:t>
        </w:r>
      </w:hyperlink>
    </w:p>
    <w:p>
      <w:pPr>
        <w:spacing w:after="0" w:line="46" w:lineRule="exact"/>
        <w:rPr>
          <w:sz w:val="20"/>
          <w:szCs w:val="20"/>
          <w:color w:val="auto"/>
        </w:rPr>
      </w:pPr>
    </w:p>
    <w:p>
      <w:pPr>
        <w:ind w:left="720"/>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(incorporated by reference to Exhibit 10.1 of the Current Report on Form 8-K filed on December 20, 2018).</w:t>
        </w:r>
      </w:hyperlink>
    </w:p>
    <w:p>
      <w:pPr>
        <w:spacing w:after="0" w:line="49" w:lineRule="exact"/>
        <w:rPr>
          <w:sz w:val="20"/>
          <w:szCs w:val="20"/>
          <w:color w:val="auto"/>
        </w:rPr>
      </w:pPr>
    </w:p>
    <w:p>
      <w:pPr>
        <w:ind w:left="720" w:right="80" w:hanging="435"/>
        <w:spacing w:after="0" w:line="316" w:lineRule="auto"/>
        <w:rPr>
          <w:rFonts w:ascii="Arial" w:cs="Arial" w:eastAsia="Arial" w:hAnsi="Arial"/>
          <w:sz w:val="16"/>
          <w:szCs w:val="16"/>
          <w:u w:val="single" w:color="auto"/>
          <w:color w:val="0000EE"/>
        </w:rPr>
      </w:pPr>
      <w:r>
        <w:rPr>
          <w:rFonts w:ascii="Arial" w:cs="Arial" w:eastAsia="Arial" w:hAnsi="Arial"/>
          <w:sz w:val="16"/>
          <w:szCs w:val="16"/>
          <w:color w:val="231F20"/>
        </w:rPr>
        <w:t xml:space="preserve">10.2 </w:t>
      </w:r>
      <w:hyperlink r:id="rId245">
        <w:r>
          <w:rPr>
            <w:rFonts w:ascii="Arial" w:cs="Arial" w:eastAsia="Arial" w:hAnsi="Arial"/>
            <w:sz w:val="16"/>
            <w:szCs w:val="16"/>
            <w:u w:val="single" w:color="auto"/>
            <w:color w:val="0000EE"/>
          </w:rPr>
          <w:t>Form of Voting and Support Agreement, dated December 14, 2018, by and between BC Partners Advisors L.P. and the members of the board of</w:t>
        </w:r>
      </w:hyperlink>
      <w:r>
        <w:rPr>
          <w:rFonts w:ascii="Arial" w:cs="Arial" w:eastAsia="Arial" w:hAnsi="Arial"/>
          <w:sz w:val="16"/>
          <w:szCs w:val="16"/>
          <w:color w:val="231F20"/>
        </w:rPr>
        <w:t xml:space="preserve"> </w:t>
      </w:r>
      <w:hyperlink r:id="rId245">
        <w:r>
          <w:rPr>
            <w:rFonts w:ascii="Arial" w:cs="Arial" w:eastAsia="Arial" w:hAnsi="Arial"/>
            <w:sz w:val="16"/>
            <w:szCs w:val="16"/>
            <w:u w:val="single" w:color="auto"/>
            <w:color w:val="0000EE"/>
          </w:rPr>
          <w:t>directors of KCAP Financial, Inc. (incorporated by reference to Exhibit 10.1 of the Current Report on Form 8-K filed on December 20, 2018).</w:t>
        </w:r>
      </w:hyperlink>
    </w:p>
    <w:p>
      <w:pPr>
        <w:spacing w:after="0" w:line="2" w:lineRule="exact"/>
        <w:rPr>
          <w:sz w:val="20"/>
          <w:szCs w:val="20"/>
          <w:color w:val="auto"/>
        </w:rPr>
      </w:pPr>
    </w:p>
    <w:p>
      <w:pPr>
        <w:ind w:left="720" w:right="94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10.3 </w:t>
      </w:r>
      <w:hyperlink r:id="rId246">
        <w:r>
          <w:rPr>
            <w:rFonts w:ascii="Arial" w:cs="Arial" w:eastAsia="Arial" w:hAnsi="Arial"/>
            <w:sz w:val="18"/>
            <w:szCs w:val="18"/>
            <w:u w:val="single" w:color="auto"/>
            <w:color w:val="0000EE"/>
          </w:rPr>
          <w:t>Investment Advisory Agreement, dated April 1, 2019, by and between the Company and Sierra Crest Investment Management LLC</w:t>
        </w:r>
      </w:hyperlink>
      <w:r>
        <w:rPr>
          <w:rFonts w:ascii="Arial" w:cs="Arial" w:eastAsia="Arial" w:hAnsi="Arial"/>
          <w:sz w:val="18"/>
          <w:szCs w:val="18"/>
          <w:color w:val="231F20"/>
        </w:rPr>
        <w:t xml:space="preserve"> </w:t>
      </w:r>
      <w:hyperlink r:id="rId246">
        <w:r>
          <w:rPr>
            <w:rFonts w:ascii="Arial" w:cs="Arial" w:eastAsia="Arial" w:hAnsi="Arial"/>
            <w:sz w:val="18"/>
            <w:szCs w:val="18"/>
            <w:u w:val="single" w:color="auto"/>
            <w:color w:val="0000EE"/>
          </w:rPr>
          <w:t>(incorporated by reference to Exhibit 10.1 of the Current Report on Form 8-K filed on April 2, 2019).</w:t>
        </w:r>
      </w:hyperlink>
    </w:p>
    <w:p>
      <w:pPr>
        <w:spacing w:after="0" w:line="8" w:lineRule="exact"/>
        <w:rPr>
          <w:sz w:val="20"/>
          <w:szCs w:val="20"/>
          <w:color w:val="auto"/>
        </w:rPr>
      </w:pPr>
    </w:p>
    <w:p>
      <w:pPr>
        <w:ind w:left="720" w:right="60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10.4 </w:t>
      </w:r>
      <w:hyperlink r:id="rId247">
        <w:r>
          <w:rPr>
            <w:rFonts w:ascii="Arial" w:cs="Arial" w:eastAsia="Arial" w:hAnsi="Arial"/>
            <w:sz w:val="18"/>
            <w:szCs w:val="18"/>
            <w:u w:val="single" w:color="auto"/>
            <w:color w:val="0000EE"/>
          </w:rPr>
          <w:t>Incentive Fee Letter Agreement, dated April 1, 2019, by and between the Company and BC Partners Management LLC (incorporated by</w:t>
        </w:r>
      </w:hyperlink>
      <w:r>
        <w:rPr>
          <w:rFonts w:ascii="Arial" w:cs="Arial" w:eastAsia="Arial" w:hAnsi="Arial"/>
          <w:sz w:val="18"/>
          <w:szCs w:val="18"/>
          <w:color w:val="231F20"/>
        </w:rPr>
        <w:t xml:space="preserve"> </w:t>
      </w:r>
      <w:hyperlink r:id="rId247">
        <w:r>
          <w:rPr>
            <w:rFonts w:ascii="Arial" w:cs="Arial" w:eastAsia="Arial" w:hAnsi="Arial"/>
            <w:sz w:val="18"/>
            <w:szCs w:val="18"/>
            <w:u w:val="single" w:color="auto"/>
            <w:color w:val="0000EE"/>
          </w:rPr>
          <w:t>reference to Exhibit 10.2 of the Current Report on Form 8-K filed on April 2, 2019).</w:t>
        </w:r>
      </w:hyperlink>
    </w:p>
    <w:p>
      <w:pPr>
        <w:spacing w:after="0" w:line="8" w:lineRule="exact"/>
        <w:rPr>
          <w:sz w:val="20"/>
          <w:szCs w:val="20"/>
          <w:color w:val="auto"/>
        </w:rPr>
      </w:pPr>
    </w:p>
    <w:p>
      <w:pPr>
        <w:ind w:left="720" w:right="6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10.5 </w:t>
      </w:r>
      <w:hyperlink r:id="rId248">
        <w:r>
          <w:rPr>
            <w:rFonts w:ascii="Arial" w:cs="Arial" w:eastAsia="Arial" w:hAnsi="Arial"/>
            <w:sz w:val="18"/>
            <w:szCs w:val="18"/>
            <w:u w:val="single" w:color="auto"/>
            <w:color w:val="0000EE"/>
          </w:rPr>
          <w:t>Administration Agreement, dated April 1, 2019, by and between the Company and BC Partners Management LLC (incorporated by reference to</w:t>
        </w:r>
      </w:hyperlink>
      <w:r>
        <w:rPr>
          <w:rFonts w:ascii="Arial" w:cs="Arial" w:eastAsia="Arial" w:hAnsi="Arial"/>
          <w:sz w:val="18"/>
          <w:szCs w:val="18"/>
          <w:color w:val="231F20"/>
        </w:rPr>
        <w:t xml:space="preserve"> </w:t>
      </w:r>
      <w:hyperlink r:id="rId248">
        <w:r>
          <w:rPr>
            <w:rFonts w:ascii="Arial" w:cs="Arial" w:eastAsia="Arial" w:hAnsi="Arial"/>
            <w:sz w:val="18"/>
            <w:szCs w:val="18"/>
            <w:u w:val="single" w:color="auto"/>
            <w:color w:val="0000EE"/>
          </w:rPr>
          <w:t>Exhibit 10.3 of the Current Report on Form 8-K filed on April 2, 2019).</w:t>
        </w:r>
      </w:hyperlink>
    </w:p>
    <w:p>
      <w:pPr>
        <w:spacing w:after="0" w:line="8" w:lineRule="exact"/>
        <w:rPr>
          <w:sz w:val="20"/>
          <w:szCs w:val="20"/>
          <w:color w:val="auto"/>
        </w:rPr>
      </w:pPr>
    </w:p>
    <w:p>
      <w:pPr>
        <w:ind w:left="720" w:right="60" w:hanging="435"/>
        <w:spacing w:after="0" w:line="259"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10.6 </w:t>
      </w:r>
      <w:hyperlink r:id="rId249">
        <w:r>
          <w:rPr>
            <w:rFonts w:ascii="Arial" w:cs="Arial" w:eastAsia="Arial" w:hAnsi="Arial"/>
            <w:sz w:val="18"/>
            <w:szCs w:val="18"/>
            <w:u w:val="single" w:color="auto"/>
            <w:color w:val="0000EE"/>
          </w:rPr>
          <w:t>Loan and Security Agreement dated as of December 18, 2019 among Great Lakes Portman Ridge Funding LLC, The Lenders Party Hereto, The</w:t>
        </w:r>
      </w:hyperlink>
      <w:r>
        <w:rPr>
          <w:rFonts w:ascii="Arial" w:cs="Arial" w:eastAsia="Arial" w:hAnsi="Arial"/>
          <w:sz w:val="18"/>
          <w:szCs w:val="18"/>
          <w:color w:val="231F20"/>
        </w:rPr>
        <w:t xml:space="preserve"> </w:t>
      </w:r>
      <w:hyperlink r:id="rId249">
        <w:r>
          <w:rPr>
            <w:rFonts w:ascii="Arial" w:cs="Arial" w:eastAsia="Arial" w:hAnsi="Arial"/>
            <w:sz w:val="18"/>
            <w:szCs w:val="18"/>
            <w:u w:val="single" w:color="auto"/>
            <w:color w:val="0000EE"/>
          </w:rPr>
          <w:t>Collateral Administrator, Collateral Agent ad Securities Intermediary Party Hereto, JPMorgan Chase Bank, National Association, as</w:t>
        </w:r>
      </w:hyperlink>
      <w:r>
        <w:rPr>
          <w:rFonts w:ascii="Arial" w:cs="Arial" w:eastAsia="Arial" w:hAnsi="Arial"/>
          <w:sz w:val="18"/>
          <w:szCs w:val="18"/>
          <w:u w:val="single" w:color="auto"/>
          <w:color w:val="0000EE"/>
        </w:rPr>
        <w:t xml:space="preserve"> </w:t>
      </w:r>
      <w:hyperlink r:id="rId249">
        <w:r>
          <w:rPr>
            <w:rFonts w:ascii="Arial" w:cs="Arial" w:eastAsia="Arial" w:hAnsi="Arial"/>
            <w:sz w:val="18"/>
            <w:szCs w:val="18"/>
            <w:u w:val="single" w:color="auto"/>
            <w:color w:val="0000EE"/>
          </w:rPr>
          <w:t>Administrative Agent and Portman Ridge Finance Corporation, as Portfolio Manager (incorporated by reference to Exhibit 10.1 of the Current</w:t>
        </w:r>
      </w:hyperlink>
      <w:r>
        <w:rPr>
          <w:rFonts w:ascii="Arial" w:cs="Arial" w:eastAsia="Arial" w:hAnsi="Arial"/>
          <w:sz w:val="18"/>
          <w:szCs w:val="18"/>
          <w:u w:val="single" w:color="auto"/>
          <w:color w:val="0000EE"/>
        </w:rPr>
        <w:t xml:space="preserve"> </w:t>
      </w:r>
      <w:hyperlink r:id="rId249">
        <w:r>
          <w:rPr>
            <w:rFonts w:ascii="Arial" w:cs="Arial" w:eastAsia="Arial" w:hAnsi="Arial"/>
            <w:sz w:val="18"/>
            <w:szCs w:val="18"/>
            <w:u w:val="single" w:color="auto"/>
            <w:color w:val="0000EE"/>
          </w:rPr>
          <w:t>Report on Form 8-K filed on December 23, 2019).</w:t>
        </w:r>
      </w:hyperlink>
    </w:p>
    <w:p>
      <w:pPr>
        <w:spacing w:after="0" w:line="187" w:lineRule="exact"/>
        <w:rPr>
          <w:rFonts w:ascii="Arial" w:cs="Arial" w:eastAsia="Arial" w:hAnsi="Arial"/>
          <w:sz w:val="18"/>
          <w:szCs w:val="18"/>
          <w:u w:val="single" w:color="auto"/>
          <w:color w:val="0000EE"/>
        </w:rPr>
      </w:pPr>
    </w:p>
    <w:p>
      <w:pPr>
        <w:jc w:val="center"/>
        <w:ind w:right="80"/>
        <w:spacing w:after="0"/>
        <w:rPr>
          <w:sz w:val="20"/>
          <w:szCs w:val="20"/>
          <w:color w:val="auto"/>
        </w:rPr>
      </w:pPr>
      <w:r>
        <w:rPr>
          <w:rFonts w:ascii="Arial" w:cs="Arial" w:eastAsia="Arial" w:hAnsi="Arial"/>
          <w:sz w:val="18"/>
          <w:szCs w:val="18"/>
          <w:color w:val="auto"/>
        </w:rPr>
        <w:t>E-1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580" w:right="339" w:bottom="1440" w:gutter="0" w:footer="0" w:header="0"/>
        </w:sectPr>
      </w:pPr>
    </w:p>
    <w:bookmarkStart w:id="155" w:name="page156"/>
    <w:bookmarkEnd w:id="155"/>
    <w:p>
      <w:pPr>
        <w:ind w:left="372"/>
        <w:spacing w:after="0"/>
        <w:rPr>
          <w:rFonts w:ascii="Arial" w:cs="Arial" w:eastAsia="Arial" w:hAnsi="Arial"/>
          <w:sz w:val="18"/>
          <w:szCs w:val="18"/>
          <w:color w:val="231F20"/>
        </w:rPr>
      </w:pPr>
      <w:r>
        <w:rPr>
          <w:rFonts w:ascii="Arial" w:cs="Arial" w:eastAsia="Arial" w:hAnsi="Arial"/>
          <w:sz w:val="18"/>
          <w:szCs w:val="18"/>
          <w:color w:val="231F20"/>
        </w:rPr>
        <w:t xml:space="preserve">11.1  </w:t>
      </w:r>
      <w:hyperlink w:anchor="page124">
        <w:r>
          <w:rPr>
            <w:rFonts w:ascii="Arial" w:cs="Arial" w:eastAsia="Arial" w:hAnsi="Arial"/>
            <w:sz w:val="18"/>
            <w:szCs w:val="18"/>
            <w:u w:val="single" w:color="auto"/>
            <w:color w:val="0000EE"/>
          </w:rPr>
          <w:t>Computation of Per Share Earnings (included in the notes to the audited financial statements contained in this report).</w:t>
        </w:r>
      </w:hyperlink>
    </w:p>
    <w:p>
      <w:pPr>
        <w:spacing w:after="0" w:line="63" w:lineRule="exact"/>
        <w:rPr>
          <w:sz w:val="20"/>
          <w:szCs w:val="20"/>
          <w:color w:val="auto"/>
        </w:rPr>
      </w:pPr>
    </w:p>
    <w:p>
      <w:pPr>
        <w:ind w:left="352"/>
        <w:spacing w:after="0"/>
        <w:rPr>
          <w:rFonts w:ascii="Arial" w:cs="Arial" w:eastAsia="Arial" w:hAnsi="Arial"/>
          <w:sz w:val="18"/>
          <w:szCs w:val="18"/>
          <w:color w:val="231F20"/>
        </w:rPr>
      </w:pPr>
      <w:r>
        <w:rPr>
          <w:rFonts w:ascii="Arial" w:cs="Arial" w:eastAsia="Arial" w:hAnsi="Arial"/>
          <w:sz w:val="18"/>
          <w:szCs w:val="18"/>
          <w:color w:val="231F20"/>
        </w:rPr>
        <w:t xml:space="preserve">21.1  </w:t>
      </w:r>
      <w:hyperlink w:anchor="page170">
        <w:r>
          <w:rPr>
            <w:rFonts w:ascii="Arial" w:cs="Arial" w:eastAsia="Arial" w:hAnsi="Arial"/>
            <w:sz w:val="18"/>
            <w:szCs w:val="18"/>
            <w:u w:val="single" w:color="auto"/>
            <w:color w:val="0000EE"/>
          </w:rPr>
          <w:t>List of Subsidiaries.**</w:t>
        </w:r>
      </w:hyperlink>
    </w:p>
    <w:p>
      <w:pPr>
        <w:spacing w:after="0" w:line="63" w:lineRule="exact"/>
        <w:rPr>
          <w:sz w:val="20"/>
          <w:szCs w:val="20"/>
          <w:color w:val="auto"/>
        </w:rPr>
      </w:pPr>
    </w:p>
    <w:p>
      <w:pPr>
        <w:ind w:left="792" w:right="4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31.1 </w:t>
      </w:r>
      <w:hyperlink w:anchor="page171">
        <w:r>
          <w:rPr>
            <w:rFonts w:ascii="Arial" w:cs="Arial" w:eastAsia="Arial" w:hAnsi="Arial"/>
            <w:sz w:val="18"/>
            <w:szCs w:val="18"/>
            <w:u w:val="single" w:color="auto"/>
            <w:color w:val="0000EE"/>
          </w:rPr>
          <w:t>Chief Executive Officer Certification Pursuant to Rule 13a-14 of the Securities Exchange Act of 1934, as adopted pursuant to Section 302 of the</w:t>
        </w:r>
      </w:hyperlink>
      <w:r>
        <w:rPr>
          <w:rFonts w:ascii="Arial" w:cs="Arial" w:eastAsia="Arial" w:hAnsi="Arial"/>
          <w:sz w:val="18"/>
          <w:szCs w:val="18"/>
          <w:color w:val="231F20"/>
        </w:rPr>
        <w:t xml:space="preserve"> </w:t>
      </w:r>
      <w:hyperlink w:anchor="page171">
        <w:r>
          <w:rPr>
            <w:rFonts w:ascii="Arial" w:cs="Arial" w:eastAsia="Arial" w:hAnsi="Arial"/>
            <w:sz w:val="18"/>
            <w:szCs w:val="18"/>
            <w:u w:val="single" w:color="auto"/>
            <w:color w:val="0000EE"/>
          </w:rPr>
          <w:t>Sarbanes-Oxley Act of 2002.**</w:t>
        </w:r>
      </w:hyperlink>
    </w:p>
    <w:p>
      <w:pPr>
        <w:spacing w:after="0" w:line="8" w:lineRule="exact"/>
        <w:rPr>
          <w:sz w:val="20"/>
          <w:szCs w:val="20"/>
          <w:color w:val="auto"/>
        </w:rPr>
      </w:pPr>
    </w:p>
    <w:p>
      <w:pPr>
        <w:ind w:left="792" w:right="8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31.2 </w:t>
      </w:r>
      <w:hyperlink w:anchor="page172">
        <w:r>
          <w:rPr>
            <w:rFonts w:ascii="Arial" w:cs="Arial" w:eastAsia="Arial" w:hAnsi="Arial"/>
            <w:sz w:val="18"/>
            <w:szCs w:val="18"/>
            <w:u w:val="single" w:color="auto"/>
            <w:color w:val="0000EE"/>
          </w:rPr>
          <w:t>Chief Financial Officer Certification Pursuant to Rule 13a-14 of the Securities Act of 1934, as adopted pursuant to Section 302 of the Sarbanes-</w:t>
        </w:r>
      </w:hyperlink>
      <w:hyperlink w:anchor="page172">
        <w:r>
          <w:rPr>
            <w:rFonts w:ascii="Arial" w:cs="Arial" w:eastAsia="Arial" w:hAnsi="Arial"/>
            <w:sz w:val="18"/>
            <w:szCs w:val="18"/>
            <w:u w:val="single" w:color="auto"/>
            <w:color w:val="0000EE"/>
          </w:rPr>
          <w:t>Oxley Act of 2002. **</w:t>
        </w:r>
      </w:hyperlink>
    </w:p>
    <w:p>
      <w:pPr>
        <w:spacing w:after="0" w:line="8" w:lineRule="exact"/>
        <w:rPr>
          <w:sz w:val="20"/>
          <w:szCs w:val="20"/>
          <w:color w:val="auto"/>
        </w:rPr>
      </w:pPr>
    </w:p>
    <w:p>
      <w:pPr>
        <w:ind w:left="792" w:right="160"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32.1 </w:t>
      </w:r>
      <w:hyperlink w:anchor="page173">
        <w:r>
          <w:rPr>
            <w:rFonts w:ascii="Arial" w:cs="Arial" w:eastAsia="Arial" w:hAnsi="Arial"/>
            <w:sz w:val="18"/>
            <w:szCs w:val="18"/>
            <w:u w:val="single" w:color="auto"/>
            <w:color w:val="0000EE"/>
          </w:rPr>
          <w:t>Chief Executive Officer Certification pursuant to Section 1350, Chapter 63 of Title 18, United States Code, as adopted pursuant to Section 906</w:t>
        </w:r>
      </w:hyperlink>
      <w:r>
        <w:rPr>
          <w:rFonts w:ascii="Arial" w:cs="Arial" w:eastAsia="Arial" w:hAnsi="Arial"/>
          <w:sz w:val="18"/>
          <w:szCs w:val="18"/>
          <w:color w:val="231F20"/>
        </w:rPr>
        <w:t xml:space="preserve"> </w:t>
      </w:r>
      <w:hyperlink w:anchor="page173">
        <w:r>
          <w:rPr>
            <w:rFonts w:ascii="Arial" w:cs="Arial" w:eastAsia="Arial" w:hAnsi="Arial"/>
            <w:sz w:val="18"/>
            <w:szCs w:val="18"/>
            <w:u w:val="single" w:color="auto"/>
            <w:color w:val="0000EE"/>
          </w:rPr>
          <w:t>of the Sarbanes-Oxley Act of 2002. **</w:t>
        </w:r>
      </w:hyperlink>
    </w:p>
    <w:p>
      <w:pPr>
        <w:spacing w:after="0" w:line="8" w:lineRule="exact"/>
        <w:rPr>
          <w:sz w:val="20"/>
          <w:szCs w:val="20"/>
          <w:color w:val="auto"/>
        </w:rPr>
      </w:pPr>
    </w:p>
    <w:p>
      <w:pPr>
        <w:ind w:left="792" w:hanging="435"/>
        <w:spacing w:after="0" w:line="277" w:lineRule="auto"/>
        <w:rPr>
          <w:rFonts w:ascii="Arial" w:cs="Arial" w:eastAsia="Arial" w:hAnsi="Arial"/>
          <w:sz w:val="18"/>
          <w:szCs w:val="18"/>
          <w:u w:val="single" w:color="auto"/>
          <w:color w:val="0000EE"/>
        </w:rPr>
      </w:pPr>
      <w:r>
        <w:rPr>
          <w:rFonts w:ascii="Arial" w:cs="Arial" w:eastAsia="Arial" w:hAnsi="Arial"/>
          <w:sz w:val="18"/>
          <w:szCs w:val="18"/>
          <w:color w:val="231F20"/>
        </w:rPr>
        <w:t xml:space="preserve">32.2 </w:t>
      </w:r>
      <w:hyperlink w:anchor="page174">
        <w:r>
          <w:rPr>
            <w:rFonts w:ascii="Arial" w:cs="Arial" w:eastAsia="Arial" w:hAnsi="Arial"/>
            <w:sz w:val="18"/>
            <w:szCs w:val="18"/>
            <w:u w:val="single" w:color="auto"/>
            <w:color w:val="0000EE"/>
          </w:rPr>
          <w:t>Chief Financial Officer Certification pursuant to Section 1350, Chapter 63 of Title 18, United States Code, as adopted pursuant to Section 906 of</w:t>
        </w:r>
      </w:hyperlink>
      <w:r>
        <w:rPr>
          <w:rFonts w:ascii="Arial" w:cs="Arial" w:eastAsia="Arial" w:hAnsi="Arial"/>
          <w:sz w:val="18"/>
          <w:szCs w:val="18"/>
          <w:color w:val="231F20"/>
        </w:rPr>
        <w:t xml:space="preserve"> </w:t>
      </w:r>
      <w:hyperlink w:anchor="page174">
        <w:r>
          <w:rPr>
            <w:rFonts w:ascii="Arial" w:cs="Arial" w:eastAsia="Arial" w:hAnsi="Arial"/>
            <w:sz w:val="18"/>
            <w:szCs w:val="18"/>
            <w:u w:val="single" w:color="auto"/>
            <w:color w:val="0000EE"/>
          </w:rPr>
          <w:t>the Sarbanes-Oxley Act of 2002.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2" w:hanging="412"/>
        <w:spacing w:after="0"/>
        <w:tabs>
          <w:tab w:leader="none" w:pos="412" w:val="left"/>
        </w:tabs>
        <w:numPr>
          <w:ilvl w:val="0"/>
          <w:numId w:val="122"/>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14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409"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680" w:type="dxa"/>
            <w:vAlign w:val="bottom"/>
            <w:gridSpan w:val="2"/>
          </w:tcPr>
          <w:p>
            <w:pPr>
              <w:ind w:left="3220"/>
              <w:spacing w:after="0"/>
              <w:rPr>
                <w:sz w:val="20"/>
                <w:szCs w:val="20"/>
                <w:color w:val="auto"/>
              </w:rPr>
            </w:pPr>
            <w:r>
              <w:rPr>
                <w:rFonts w:ascii="Arial" w:cs="Arial" w:eastAsia="Arial" w:hAnsi="Arial"/>
                <w:sz w:val="18"/>
                <w:szCs w:val="18"/>
                <w:color w:val="auto"/>
              </w:rPr>
              <w:t>PORTMAN RIDGE FINANCE CORPORATION</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March 11, 2021</w:t>
            </w:r>
          </w:p>
        </w:tc>
        <w:tc>
          <w:tcPr>
            <w:tcW w:w="7680" w:type="dxa"/>
            <w:vAlign w:val="bottom"/>
            <w:gridSpan w:val="2"/>
          </w:tcPr>
          <w:p>
            <w:pPr>
              <w:ind w:left="3220"/>
              <w:spacing w:after="0"/>
              <w:rPr>
                <w:sz w:val="20"/>
                <w:szCs w:val="20"/>
                <w:color w:val="auto"/>
              </w:rPr>
            </w:pPr>
            <w:r>
              <w:rPr>
                <w:rFonts w:ascii="Arial" w:cs="Arial" w:eastAsia="Arial" w:hAnsi="Arial"/>
                <w:sz w:val="18"/>
                <w:szCs w:val="18"/>
                <w:color w:val="231F20"/>
              </w:rPr>
              <w:t xml:space="preserve">By </w:t>
            </w:r>
            <w:r>
              <w:rPr>
                <w:rFonts w:ascii="Arial" w:cs="Arial" w:eastAsia="Arial" w:hAnsi="Arial"/>
                <w:sz w:val="16"/>
                <w:szCs w:val="16"/>
                <w:color w:val="000000"/>
              </w:rPr>
              <w:t>/s/ EDWARD GOLDTHORPE</w:t>
            </w:r>
          </w:p>
        </w:tc>
      </w:tr>
      <w:tr>
        <w:trPr>
          <w:trHeight w:val="196"/>
        </w:trPr>
        <w:tc>
          <w:tcPr>
            <w:tcW w:w="35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EDWARD GOLDTHORPE</w:t>
            </w:r>
          </w:p>
        </w:tc>
      </w:tr>
      <w:tr>
        <w:trPr>
          <w:trHeight w:val="210"/>
        </w:trPr>
        <w:tc>
          <w:tcPr>
            <w:tcW w:w="3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6"/>
                <w:szCs w:val="16"/>
                <w:b w:val="1"/>
                <w:bCs w:val="1"/>
                <w:color w:val="auto"/>
              </w:rPr>
              <w:t>President and Chief Executive Officer</w:t>
            </w:r>
          </w:p>
        </w:tc>
      </w:tr>
      <w:tr>
        <w:trPr>
          <w:trHeight w:val="492"/>
        </w:trPr>
        <w:tc>
          <w:tcPr>
            <w:tcW w:w="3560" w:type="dxa"/>
            <w:vAlign w:val="bottom"/>
          </w:tcPr>
          <w:p>
            <w:pPr>
              <w:spacing w:after="0"/>
              <w:rPr>
                <w:sz w:val="24"/>
                <w:szCs w:val="24"/>
                <w:color w:val="auto"/>
              </w:rPr>
            </w:pPr>
          </w:p>
        </w:tc>
        <w:tc>
          <w:tcPr>
            <w:tcW w:w="35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24"/>
                <w:szCs w:val="24"/>
                <w:color w:val="auto"/>
              </w:rPr>
            </w:pPr>
          </w:p>
        </w:tc>
      </w:tr>
    </w:tbl>
    <w:p>
      <w:pPr>
        <w:spacing w:after="0" w:line="202"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24" w:lineRule="exact"/>
        <w:rPr>
          <w:sz w:val="20"/>
          <w:szCs w:val="20"/>
          <w:color w:val="auto"/>
        </w:rPr>
      </w:pPr>
    </w:p>
    <w:p>
      <w:pPr>
        <w:ind w:right="980"/>
        <w:spacing w:after="0" w:line="420" w:lineRule="auto"/>
        <w:rPr>
          <w:sz w:val="20"/>
          <w:szCs w:val="20"/>
          <w:color w:val="auto"/>
        </w:rPr>
      </w:pPr>
      <w:r>
        <w:rPr>
          <w:rFonts w:ascii="Arial" w:cs="Arial" w:eastAsia="Arial" w:hAnsi="Arial"/>
          <w:sz w:val="13"/>
          <w:szCs w:val="13"/>
          <w:color w:val="auto"/>
        </w:rPr>
        <w:t xml:space="preserve">/s/ EDWARD GOLDTHORPE </w:t>
      </w:r>
      <w:r>
        <w:rPr>
          <w:rFonts w:ascii="Arial" w:cs="Arial" w:eastAsia="Arial" w:hAnsi="Arial"/>
          <w:sz w:val="13"/>
          <w:szCs w:val="13"/>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2143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/s/ JASON ROOS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GRAEME DELL</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GRAEME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GEORGE GRUNEBAUM</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GEORGE GRUNEBAUM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ROBERT WARSHAUER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ROBERT WARSHAUER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 ALEXANDER DUKA</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ALEXANDER DUKA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51" w:lineRule="exact"/>
        <w:rPr>
          <w:sz w:val="20"/>
          <w:szCs w:val="20"/>
          <w:color w:val="auto"/>
        </w:rPr>
      </w:pPr>
    </w:p>
    <w:p>
      <w:pPr>
        <w:ind w:right="700"/>
        <w:spacing w:after="0" w:line="324" w:lineRule="auto"/>
        <w:rPr>
          <w:sz w:val="20"/>
          <w:szCs w:val="20"/>
          <w:color w:val="auto"/>
        </w:rPr>
      </w:pPr>
      <w:r>
        <w:rPr>
          <w:rFonts w:ascii="Arial" w:cs="Arial" w:eastAsia="Arial" w:hAnsi="Arial"/>
          <w:sz w:val="17"/>
          <w:szCs w:val="17"/>
          <w:color w:val="auto"/>
        </w:rPr>
        <w:t>/s/ C</w:t>
      </w:r>
      <w:r>
        <w:rPr>
          <w:rFonts w:ascii="Arial" w:cs="Arial" w:eastAsia="Arial" w:hAnsi="Arial"/>
          <w:sz w:val="13"/>
          <w:szCs w:val="13"/>
          <w:color w:val="auto"/>
        </w:rPr>
        <w:t>HRISTOPHER</w:t>
      </w:r>
      <w:r>
        <w:rPr>
          <w:rFonts w:ascii="Arial" w:cs="Arial" w:eastAsia="Arial" w:hAnsi="Arial"/>
          <w:sz w:val="17"/>
          <w:szCs w:val="17"/>
          <w:color w:val="auto"/>
        </w:rPr>
        <w:t xml:space="preserve"> L</w:t>
      </w:r>
      <w:r>
        <w:rPr>
          <w:rFonts w:ascii="Arial" w:cs="Arial" w:eastAsia="Arial" w:hAnsi="Arial"/>
          <w:sz w:val="13"/>
          <w:szCs w:val="13"/>
          <w:color w:val="auto"/>
        </w:rPr>
        <w:t>ACOVARA</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3"/>
          <w:szCs w:val="13"/>
          <w:b w:val="1"/>
          <w:bCs w:val="1"/>
          <w:color w:val="auto"/>
        </w:rPr>
        <w:t>HRISTOPHER</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ACOVARA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1431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 DEAN C. KEHLER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9" w:lineRule="exact"/>
        <w:rPr>
          <w:sz w:val="20"/>
          <w:szCs w:val="20"/>
          <w:color w:val="auto"/>
        </w:rPr>
      </w:pPr>
    </w:p>
    <w:p>
      <w:pPr>
        <w:ind w:right="1000"/>
        <w:spacing w:after="0" w:line="420" w:lineRule="auto"/>
        <w:rPr>
          <w:sz w:val="20"/>
          <w:szCs w:val="20"/>
          <w:color w:val="auto"/>
        </w:rPr>
      </w:pPr>
      <w:r>
        <w:rPr>
          <w:rFonts w:ascii="Arial" w:cs="Arial" w:eastAsia="Arial" w:hAnsi="Arial"/>
          <w:sz w:val="13"/>
          <w:szCs w:val="13"/>
          <w:color w:val="auto"/>
        </w:rPr>
        <w:t xml:space="preserve">/s/ MATTHEW WESTWOOD </w:t>
      </w:r>
      <w:r>
        <w:rPr>
          <w:rFonts w:ascii="Arial" w:cs="Arial" w:eastAsia="Arial" w:hAnsi="Arial"/>
          <w:sz w:val="13"/>
          <w:szCs w:val="13"/>
          <w:b w:val="1"/>
          <w:bCs w:val="1"/>
          <w:color w:val="auto"/>
        </w:rPr>
        <w:t>MATTHEW WESTWOOD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21431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 JOSEPH MOREA</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JOSEPH MOREA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2143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2143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17"/>
        </w:trPr>
        <w:tc>
          <w:tcPr>
            <w:tcW w:w="5500" w:type="dxa"/>
            <w:vAlign w:val="bottom"/>
            <w:gridSpan w:val="2"/>
          </w:tcPr>
          <w:p>
            <w:pPr>
              <w:spacing w:after="0"/>
              <w:rPr>
                <w:sz w:val="20"/>
                <w:szCs w:val="20"/>
                <w:color w:val="auto"/>
              </w:rPr>
            </w:pPr>
            <w:r>
              <w:rPr>
                <w:rFonts w:ascii="Arial" w:cs="Arial" w:eastAsia="Arial" w:hAnsi="Arial"/>
                <w:sz w:val="18"/>
                <w:szCs w:val="18"/>
                <w:color w:val="auto"/>
                <w:w w:val="99"/>
              </w:rPr>
              <w:t>President and Chief Executive Officer (principal executive officer) and</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spacing w:after="0"/>
              <w:rPr>
                <w:sz w:val="20"/>
                <w:szCs w:val="20"/>
                <w:color w:val="auto"/>
              </w:rPr>
            </w:pPr>
          </w:p>
        </w:tc>
      </w:tr>
      <w:tr>
        <w:trPr>
          <w:trHeight w:val="337"/>
        </w:trPr>
        <w:tc>
          <w:tcPr>
            <w:tcW w:w="5500" w:type="dxa"/>
            <w:vAlign w:val="bottom"/>
            <w:gridSpan w:val="2"/>
          </w:tcPr>
          <w:p>
            <w:pPr>
              <w:spacing w:after="0"/>
              <w:rPr>
                <w:sz w:val="20"/>
                <w:szCs w:val="20"/>
                <w:color w:val="auto"/>
              </w:rPr>
            </w:pPr>
            <w:r>
              <w:rPr>
                <w:rFonts w:ascii="Arial" w:cs="Arial" w:eastAsia="Arial" w:hAnsi="Arial"/>
                <w:sz w:val="18"/>
                <w:szCs w:val="18"/>
                <w:color w:val="auto"/>
                <w:w w:val="96"/>
              </w:rPr>
              <w:t>Chief Financial Officer, Secretary and Treasurer (principal financial and</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240" w:type="dxa"/>
            <w:vAlign w:val="bottom"/>
          </w:tcPr>
          <w:p>
            <w:pPr>
              <w:spacing w:after="0"/>
              <w:rPr>
                <w:sz w:val="20"/>
                <w:szCs w:val="20"/>
                <w:color w:val="auto"/>
              </w:rPr>
            </w:pPr>
          </w:p>
        </w:tc>
      </w:tr>
      <w:tr>
        <w:trPr>
          <w:trHeight w:val="351"/>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553"/>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567"/>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675"/>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r>
        <w:trPr>
          <w:trHeight w:val="661"/>
        </w:trPr>
        <w:tc>
          <w:tcPr>
            <w:tcW w:w="5500" w:type="dxa"/>
            <w:vAlign w:val="bottom"/>
            <w:gridSpan w:val="2"/>
          </w:tcPr>
          <w:p>
            <w:pPr>
              <w:spacing w:after="0"/>
              <w:rPr>
                <w:sz w:val="20"/>
                <w:szCs w:val="20"/>
                <w:color w:val="auto"/>
              </w:rPr>
            </w:pPr>
            <w:r>
              <w:rPr>
                <w:rFonts w:ascii="Arial" w:cs="Arial" w:eastAsia="Arial" w:hAnsi="Arial"/>
                <w:sz w:val="18"/>
                <w:szCs w:val="18"/>
                <w:color w:val="auto"/>
              </w:rPr>
              <w:t>Member of the Board of Directors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r>
    </w:tbl>
    <w:p>
      <w:pPr>
        <w:sectPr>
          <w:pgSz w:w="11900" w:h="16838" w:orient="portrait"/>
          <w:cols w:equalWidth="0" w:num="2">
            <w:col w:w="2780" w:space="720"/>
            <w:col w:w="7740"/>
          </w:cols>
          <w:pgMar w:left="320" w:top="580" w:right="339" w:bottom="1440" w:gutter="0" w:footer="0" w:header="0"/>
          <w:type w:val="continuous"/>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Description of Portman Ridge Finance Corporation’s Registered Securities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References herein to “we,” “us,” “our” and “Company” refer to Portman Ridge Finance Corporation and not to any of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Certificate of Incorporation, as amended (the “certificate of incorporation”), and our Second Amended and Restated Bylaws, as amended (the “Bylaws”), each of which is incorporated by reference as an exhibit to the Annual Report on Form 10-K of which this Exhibit is a part. We encourage you to read the Certificate of Incorporation, Bylaws and the applicable provisions of the Delaware General Corporation Law (the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$0.01 per share, and 5,000,000 shares of preferred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80" w:firstLine="360"/>
        <w:spacing w:after="0" w:line="275" w:lineRule="auto"/>
        <w:rPr>
          <w:sz w:val="20"/>
          <w:szCs w:val="20"/>
          <w:color w:val="auto"/>
        </w:rPr>
      </w:pPr>
      <w:r>
        <w:rPr>
          <w:rFonts w:ascii="Arial" w:cs="Arial" w:eastAsia="Arial" w:hAnsi="Arial"/>
          <w:sz w:val="17"/>
          <w:szCs w:val="17"/>
          <w:color w:val="auto"/>
        </w:rPr>
        <w:t>Each share of our common stock is entitled to one vote on all matters submitted to a vote of stockholders, including the election of directors. The holders of common stock possess exclusive voting power except (i) as provided with respect to any other class or series of capital stock or (ii) as may be required by the Investment Company Act of 1940 (the “1940 Act”) if we fail to meet certain asset coverage requirements. There is no cumulative voting in the election of directors, or any other matter, which means that holders of a majority of the outstanding shares of common stock are able elect all of our directors, and holders of less than a majority of such shares are unable to elect any director.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Under the terms of our certificate of incorporation, all shares of our common stock have equal rights as to earnings, assets and dividends.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is subject to the discretion of our board of directors (“Board of Directors”).</w:t>
      </w:r>
    </w:p>
    <w:p>
      <w:pPr>
        <w:spacing w:after="0" w:line="19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Shares of our common stock have no preemptive, exchange, conversion or redemption rights and are freely transferable, except where their transfer is restricted by U.S. federal and state securities laws or by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8"/>
          <w:szCs w:val="18"/>
          <w:color w:val="auto"/>
        </w:rPr>
        <w:t>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any series preferred stock that might be outstanding at that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29"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our Company. Pursuant to the DGCL, stockholders who properly request and perfect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ind w:right="20"/>
        <w:spacing w:after="0" w:line="277" w:lineRule="auto"/>
        <w:rPr>
          <w:sz w:val="20"/>
          <w:szCs w:val="20"/>
          <w:color w:val="auto"/>
        </w:rPr>
      </w:pPr>
      <w:r>
        <w:rPr>
          <w:rFonts w:ascii="Arial" w:cs="Arial" w:eastAsia="Arial" w:hAnsi="Arial"/>
          <w:sz w:val="18"/>
          <w:szCs w:val="18"/>
          <w:color w:val="auto"/>
        </w:rPr>
        <w:t>appraisal rights in connection with such merger or consolidation will have the right to receive payment of the fair value of their shares as determined by the Delaware Court of Chancery.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229" w:lineRule="exact"/>
        <w:rPr>
          <w:sz w:val="20"/>
          <w:szCs w:val="20"/>
          <w:color w:val="auto"/>
        </w:rPr>
      </w:pPr>
    </w:p>
    <w:p>
      <w:pPr>
        <w:jc w:val="both"/>
        <w:ind w:right="320" w:firstLine="432"/>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w:t>
      </w:r>
    </w:p>
    <w:p>
      <w:pPr>
        <w:spacing w:after="0" w:line="229"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Under our certificate of incorporation, we will fully indemnify any person who was or is involved in any actual or threatened action, suit or proceeding (whether civil, criminal, administrative or investigative) by reason of the fact that such person is or was one of our directors or officers or is or was serving at our request as a director or officer of another corporation, partnership, limited liability company, joint venture, trust or other enterprise, including service with respect to an employee benefit plan, against all expense, liability and loss (including attorneys’ fees and related disbursements), judgments, fines, excise taxes or penalties under the Employee Retirement Income Security Act of 1974, as amended, penalties and amounts paid or to be paid in settlement, actually and reasonably incurred by such person in connection with such action, suit or proceeding, except with respect to any matter as to which such person shall have been finally adjudicated in a decision on the merits in any such action, suit or other proceeding not to have acted in good faith in the reasonable belief that such person’s action was in our best interests or to be liable to us or our stockholders by reason of willful misfeasance, bad faith, gross negligence or reckless disregard of the duties involved in the conduct of such person’s office. Our certificate of incorporation also provides that our directors will not be personally liable for monetary damages to us for breaches of their fiduciary duty as directors, except for a breach of their duty of loyalty to us or our stockholders, for acts or omissions not in good faith in the reasonable belief that the action was in the best interests of the Company or which involve intentional misconduct or a knowing violation of law, for authorization of illegal dividends or redemptions or for any transaction from which the director derived an improper personal benefit. So long as we are regulated under the 1940 Act, the above indemnification and limitation of liability will be limited by the 1940 Act or by any valid rule, regulation or order of the SEC thereunder. The 1940 Act provides, among other things, that a company may not indemnify any director or officer against liability to it or its stockholders to which he or she might otherwise be subject by reason of his or her willful misfeasance, bad faith, gross negligence or reckless disregard of the duties involved in the conduct of his or her office.</w:t>
      </w:r>
    </w:p>
    <w:p>
      <w:pPr>
        <w:spacing w:after="0" w:line="176" w:lineRule="exact"/>
        <w:rPr>
          <w:sz w:val="20"/>
          <w:szCs w:val="20"/>
          <w:color w:val="auto"/>
        </w:rPr>
      </w:pPr>
    </w:p>
    <w:p>
      <w:pPr>
        <w:jc w:val="both"/>
        <w:ind w:right="120" w:firstLine="360"/>
        <w:spacing w:after="0" w:line="277" w:lineRule="auto"/>
        <w:rPr>
          <w:sz w:val="20"/>
          <w:szCs w:val="20"/>
          <w:color w:val="auto"/>
        </w:rPr>
      </w:pPr>
      <w:r>
        <w:rPr>
          <w:rFonts w:ascii="Arial" w:cs="Arial" w:eastAsia="Arial" w:hAnsi="Arial"/>
          <w:sz w:val="18"/>
          <w:szCs w:val="18"/>
          <w:color w:val="auto"/>
        </w:rPr>
        <w:t>Delaware law also provides that indemnification permitted under the law shall not be deemed exclusive of any other rights to which the directors and officers may be entitled under the corporation’s bylaws, any agreement, a vote of stockholders or otherwise.</w:t>
      </w:r>
    </w:p>
    <w:p>
      <w:pPr>
        <w:spacing w:after="0" w:line="170" w:lineRule="exact"/>
        <w:rPr>
          <w:sz w:val="20"/>
          <w:szCs w:val="20"/>
          <w:color w:val="auto"/>
        </w:rPr>
      </w:pPr>
    </w:p>
    <w:p>
      <w:pPr>
        <w:jc w:val="both"/>
        <w:ind w:right="120" w:firstLine="360"/>
        <w:spacing w:after="0" w:line="311" w:lineRule="auto"/>
        <w:rPr>
          <w:sz w:val="20"/>
          <w:szCs w:val="20"/>
          <w:color w:val="auto"/>
        </w:rPr>
      </w:pPr>
      <w:r>
        <w:rPr>
          <w:rFonts w:ascii="Arial" w:cs="Arial" w:eastAsia="Arial" w:hAnsi="Arial"/>
          <w:sz w:val="16"/>
          <w:szCs w:val="16"/>
          <w:color w:val="auto"/>
        </w:rPr>
        <w:t>Our certificate of incorporation permits us to secure insurance on behalf of any person who is or was or has agreed to become a director or officer of our Company or is or was serving at our request as a director or officer of another enterprise for any liability arising out of his or her actions, regardless of whether the Delaware General Corporation Law would permit indemnification. We have obtained liability insurance for our officers and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Certificate of Incorporation and Bylaw Provisions; Anti-Takeover Measures</w:t>
      </w:r>
    </w:p>
    <w:p>
      <w:pPr>
        <w:spacing w:after="0" w:line="22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an “interested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9" w:name="page160"/>
    <w:bookmarkEnd w:id="159"/>
    <w:p>
      <w:pPr>
        <w:ind w:right="160"/>
        <w:spacing w:after="0" w:line="277" w:lineRule="auto"/>
        <w:rPr>
          <w:sz w:val="20"/>
          <w:szCs w:val="20"/>
          <w:color w:val="auto"/>
        </w:rPr>
      </w:pPr>
      <w:r>
        <w:rPr>
          <w:rFonts w:ascii="Arial" w:cs="Arial" w:eastAsia="Arial" w:hAnsi="Arial"/>
          <w:sz w:val="18"/>
          <w:szCs w:val="18"/>
          <w:color w:val="auto"/>
        </w:rPr>
        <w:t>stockholder” is a person who, together with his, her or its affiliates and associates, owns, or within three years did own, 15% or more of the corporation’s voting stock. Our certificate of incorporation and bylaws provide that:</w:t>
      </w:r>
    </w:p>
    <w:p>
      <w:pPr>
        <w:spacing w:after="0" w:line="170" w:lineRule="exact"/>
        <w:rPr>
          <w:sz w:val="20"/>
          <w:szCs w:val="20"/>
          <w:color w:val="auto"/>
        </w:rPr>
      </w:pPr>
    </w:p>
    <w:p>
      <w:pPr>
        <w:ind w:left="820" w:hanging="434"/>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Board of Directors is divided into three classes, as nearly equal in size as possible, with staggered three-year terms;</w:t>
      </w:r>
    </w:p>
    <w:p>
      <w:pPr>
        <w:spacing w:after="0" w:line="225" w:lineRule="exact"/>
        <w:rPr>
          <w:rFonts w:ascii="Arial" w:cs="Arial" w:eastAsia="Arial" w:hAnsi="Arial"/>
          <w:sz w:val="18"/>
          <w:szCs w:val="18"/>
          <w:color w:val="auto"/>
        </w:rPr>
      </w:pPr>
    </w:p>
    <w:p>
      <w:pPr>
        <w:ind w:left="820" w:right="20" w:hanging="434"/>
        <w:spacing w:after="0" w:line="277" w:lineRule="auto"/>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directors may be removed only for cause, at a meeting called for that purpose, by the affirmative vote of the holders of 75% of the shares of our capital stock entitled to vote; and</w:t>
      </w:r>
    </w:p>
    <w:p>
      <w:pPr>
        <w:spacing w:after="0" w:line="170" w:lineRule="exact"/>
        <w:rPr>
          <w:rFonts w:ascii="Arial" w:cs="Arial" w:eastAsia="Arial" w:hAnsi="Arial"/>
          <w:sz w:val="18"/>
          <w:szCs w:val="18"/>
          <w:color w:val="auto"/>
        </w:rPr>
      </w:pPr>
    </w:p>
    <w:p>
      <w:pPr>
        <w:ind w:left="820" w:right="20" w:hanging="434"/>
        <w:spacing w:after="0" w:line="277" w:lineRule="auto"/>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subject to the requirements of the 1940 Act, any vacancy on the Board of Directors, however the vacancy occurs, including a vacancy due to an enlargement of the Board of Directors, may only be filled by vote of the directors then in office.</w:t>
      </w:r>
    </w:p>
    <w:p>
      <w:pPr>
        <w:spacing w:after="0" w:line="17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classification of our Board of Directors and the limitations on removal of directors and filling of vacancies could have the effect of making it more difficult for a third party to acquire us, or of discouraging a third party from acquiring us.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certificate of incorporation and bylaws also provide that:</w:t>
      </w:r>
    </w:p>
    <w:p>
      <w:pPr>
        <w:spacing w:after="0" w:line="225" w:lineRule="exact"/>
        <w:rPr>
          <w:sz w:val="20"/>
          <w:szCs w:val="20"/>
          <w:color w:val="auto"/>
        </w:rPr>
      </w:pPr>
    </w:p>
    <w:p>
      <w:pPr>
        <w:ind w:left="820" w:right="40" w:hanging="434"/>
        <w:spacing w:after="0" w:line="277" w:lineRule="auto"/>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170" w:lineRule="exact"/>
        <w:rPr>
          <w:rFonts w:ascii="Arial" w:cs="Arial" w:eastAsia="Arial" w:hAnsi="Arial"/>
          <w:sz w:val="18"/>
          <w:szCs w:val="18"/>
          <w:color w:val="auto"/>
        </w:rPr>
      </w:pPr>
    </w:p>
    <w:p>
      <w:pPr>
        <w:ind w:left="820" w:hanging="434"/>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of Directors, chairman or CEO.</w:t>
      </w:r>
    </w:p>
    <w:p>
      <w:pPr>
        <w:spacing w:after="0" w:line="225" w:lineRule="exact"/>
        <w:rPr>
          <w:sz w:val="20"/>
          <w:szCs w:val="20"/>
          <w:color w:val="auto"/>
        </w:rPr>
      </w:pPr>
    </w:p>
    <w:p>
      <w:pPr>
        <w:jc w:val="both"/>
        <w:ind w:right="20" w:firstLine="360"/>
        <w:spacing w:after="0" w:line="296" w:lineRule="auto"/>
        <w:rPr>
          <w:sz w:val="20"/>
          <w:szCs w:val="20"/>
          <w:color w:val="auto"/>
        </w:rPr>
      </w:pPr>
      <w:r>
        <w:rPr>
          <w:rFonts w:ascii="Arial" w:cs="Arial" w:eastAsia="Arial" w:hAnsi="Arial"/>
          <w:sz w:val="16"/>
          <w:szCs w:val="16"/>
          <w:color w:val="auto"/>
        </w:rPr>
        <w:t>Our bylaws provide that, in order for any matter to be considered “properly brought” before a meeting, a stockholder must comply with requirements regarding advance notice to us.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Delaware’s law generally provides that the affirmative vote of a majority of the shares entitled to vote on any matter is required to amend a corporation’s certificate of incorporation or bylaws, unless a corporation’s certificate of incorporation or bylaws requires a greater percentage. Under our certificate of incorporation and bylaws, the affirmative vote of the holders of at least 75% of the shares of our capital stock entitled to vote is required to amend or repeal any of the provisions of our bylaws. Moreover, our bylaws provide that generally, a majority of the shares of our capital stock issued and outstanding and entitled to vote may amend our certificate of incorporation. However, the vote of at least 75% of the shares of our capital stock then outstanding and entitled to vote in the election of directors, voting together as a single class, is required to amend or repeal any provision of the certificate of incorporation pertaining to the Board of Directors, limitation of liability, indemnification, stockholder action or amendments to the certificate of incorporation, to approve a proposal to convert, whether by merger or otherwise, from a closed-end company to an open-end company or to approve a proposal to effect our liquidation or dissolution. However, if such amendment or proposal is approved by at least 75% of our continuing directors (in addition to approval by our Board of Directors), such amendment or proposal may be approved by the stockholders entitled to cast a majority of the votes entitled to be cast on such matter. The “continuing directors” is defined in our certificate of incorporation as our directors at the time of the completion of our initial public offering as well as those directors whose nomination for election by the stockholders or whose election by the directors to fill vacancies is approved by a majority of the continuing directors then on our Board of Directors. The stockholder vote with respect to our certificate of incorporation or bylaws would be in addition to any separate class vote that might in the future be required under the terms of any series preferred stock that might be outstanding at the time any such changes are submitted to stockholders. In addition, our certificate of incorporation permits our Board of Directors to amend or repeal our bylaws by a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transfer agent and registrar for common stock is American Stock Transfer &amp; Trust Company, LLC. The transfer agent and registrar’s address is 59 Maiden Lane, New York, New York 10038, and its telephone number is (718) 921-8124 or (800) 937-5449.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traded on The NASDAQ Global Select Market under the symbol “PTMN.”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6.125% NOTES DUE 2022</w:t>
      </w:r>
    </w:p>
    <w:p>
      <w:pPr>
        <w:spacing w:after="0" w:line="18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following description of the Company’s 6.125% Notes due 2022 is a summary and not complete. The summary is qualified in its entirety by the specific terms and provisions of the base indenture, dated October 10, 2012, and a second supplemental indenture thereto, dated as of August 14, 2017, between us and U.S. Bank National Association, as trustee. We refer to the indenture and the second supplemental indenture collectively as the “indenture” and to U.S. Bank National Association as the “trustee.”</w:t>
      </w:r>
    </w:p>
    <w:p>
      <w:pPr>
        <w:spacing w:after="0" w:line="18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We are permitted, under specified conditions, to issue multiple classes of indebtedness if our asset coverage, as defined in the 1940 Act, is at least equal to 150% immediately after each such issuance. In addition, while any indebtedness and senior securities remain outstanding, we must make provisions to prohibit the distribution to our stockholders or the repurchase of such securities or shares unless we meet the applicable asset coverage ratios at the time of the distribution or repurchase. We may also borrow amounts up to 5% of the value of our total assets for temporary purposes without regard to asset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We issued $77,400,000 aggregate principal amount of 6.125% Notes due 2022 (the “Notes”), maturing September 30, 2022. The principal payable at maturity will be 100% of the aggregate principal amount. The interest rate of the Notes is 6.125% per year and will be paid every March 30, June 30, September 30 and December 30, beginning on September 30, 2017, and the regular record dates for interest payments will be every March 15, June 15, September 15 and December 15. If an interest payment date falls on a non-business day, the applicable interest payment will be made on the next business day and no additional interest will accrue as a result of such delayed payment. As of March 5, 2021, $76,725,975 aggregate principal amount of the Notes was outstanding.</w:t>
      </w:r>
    </w:p>
    <w:p>
      <w:pPr>
        <w:spacing w:after="0" w:line="192"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Notes were issued in denominations of $25 and integral multiples of $25 in excess thereof. The Notes are not subject to any sinking fund and holders of the Notes do not have the option to have the Notes repaid prior to the stated maturity date.</w:t>
      </w:r>
    </w:p>
    <w:p>
      <w:pPr>
        <w:spacing w:after="0" w:line="17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indenture generally does not contain any provisions that gives holders protection in the event we issue a large amount of debt or we are acquired by another entity.</w:t>
      </w:r>
    </w:p>
    <w:p>
      <w:pPr>
        <w:spacing w:after="0" w:line="17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We have the ability to issue indenture securities with terms different from the Notes and, without the consent of the holders thereof, to reopen the Notes and issue additional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Notes may be redeemed in whole or in part at any time or from time to time at our option on or after September 30, 2019, upon not less than 30 days nor more than 60 days written notice by mail prior to the date fixed for redemption thereof, at a redemption price of 100% of the outstanding principal amount of the Notes to be redeemed plus accrued and unpaid interest payments otherwise payable thereon for the then-current quarterly interest period accrued to the date fixed for redemption.</w:t>
      </w:r>
    </w:p>
    <w:p>
      <w:pPr>
        <w:spacing w:after="0" w:line="187"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Holders may be prevented from exchanging or transferring the Notes when they are subject to redemption. In case any Notes are to be redeemed in part only, the redemption notice will provide that, upon surrender of such Note, the holder will receive, without a charge, a new Note or Notes of authorized denominations representing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ind w:right="200"/>
        <w:spacing w:after="0" w:line="277" w:lineRule="auto"/>
        <w:rPr>
          <w:sz w:val="20"/>
          <w:szCs w:val="20"/>
          <w:color w:val="auto"/>
        </w:rPr>
      </w:pPr>
      <w:r>
        <w:rPr>
          <w:rFonts w:ascii="Arial" w:cs="Arial" w:eastAsia="Arial" w:hAnsi="Arial"/>
          <w:sz w:val="18"/>
          <w:szCs w:val="18"/>
          <w:color w:val="auto"/>
        </w:rPr>
        <w:t>principal amount of the holder’s remaining unredeemed Notes. Any exercise of our option to redeem the Notes will be done in compliance with the 1940 Act.</w:t>
      </w:r>
    </w:p>
    <w:p>
      <w:pPr>
        <w:spacing w:after="0" w:line="170" w:lineRule="exact"/>
        <w:rPr>
          <w:sz w:val="20"/>
          <w:szCs w:val="20"/>
          <w:color w:val="auto"/>
        </w:rPr>
      </w:pPr>
    </w:p>
    <w:p>
      <w:pPr>
        <w:jc w:val="both"/>
        <w:ind w:right="180" w:firstLine="360"/>
        <w:spacing w:after="0" w:line="311" w:lineRule="auto"/>
        <w:rPr>
          <w:sz w:val="20"/>
          <w:szCs w:val="20"/>
          <w:color w:val="auto"/>
        </w:rPr>
      </w:pPr>
      <w:r>
        <w:rPr>
          <w:rFonts w:ascii="Arial" w:cs="Arial" w:eastAsia="Arial" w:hAnsi="Arial"/>
          <w:sz w:val="16"/>
          <w:szCs w:val="16"/>
          <w:color w:val="auto"/>
        </w:rPr>
        <w:t>If we redeem only some of the Notes, the trustee will determine the method for selection of the particular Notes to be redeemed, in accordance with the 1940 Act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Each Note was issued in book-entry form and is represented by a global security that we deposited with and register in the name of The Depository Trust Company, New York, New York, known as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a Global Security</w:t>
      </w:r>
    </w:p>
    <w:p>
      <w:pPr>
        <w:spacing w:after="0" w:line="225" w:lineRule="exact"/>
        <w:rPr>
          <w:sz w:val="20"/>
          <w:szCs w:val="20"/>
          <w:color w:val="auto"/>
        </w:rPr>
      </w:pPr>
    </w:p>
    <w:p>
      <w:pPr>
        <w:ind w:right="60" w:firstLine="360"/>
        <w:spacing w:after="0" w:line="311" w:lineRule="auto"/>
        <w:rPr>
          <w:sz w:val="20"/>
          <w:szCs w:val="20"/>
          <w:color w:val="auto"/>
        </w:rPr>
      </w:pPr>
      <w:r>
        <w:rPr>
          <w:rFonts w:ascii="Arial" w:cs="Arial" w:eastAsia="Arial" w:hAnsi="Arial"/>
          <w:sz w:val="16"/>
          <w:szCs w:val="16"/>
          <w:color w:val="auto"/>
        </w:rPr>
        <w:t>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22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make payments on the Notes so long as they are represented by a global security in accordance with the applicable policies of the depositary as in effect from time to time. Under those policies, we make payments directly to the depositary, or its nominee, and not to any indirect holders who own beneficial interests in the global security. An indirect holder’s right to those payments is governed by the rules and practices of the depositary and its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225"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at our office in New York, New York. We will make all payments of principal and premium, if any, by check at the office of the applicable trustee in New York, New York and/or at other offices that may be specified in a notice to holders against surrender of the Note.</w:t>
      </w:r>
    </w:p>
    <w:p>
      <w:pPr>
        <w:spacing w:after="0" w:line="171" w:lineRule="exact"/>
        <w:rPr>
          <w:sz w:val="20"/>
          <w:szCs w:val="20"/>
          <w:color w:val="auto"/>
        </w:rPr>
      </w:pPr>
    </w:p>
    <w:p>
      <w:pPr>
        <w:jc w:val="both"/>
        <w:ind w:right="340" w:firstLine="360"/>
        <w:spacing w:after="0" w:line="263" w:lineRule="auto"/>
        <w:rPr>
          <w:sz w:val="20"/>
          <w:szCs w:val="20"/>
          <w:color w:val="auto"/>
        </w:rPr>
      </w:pPr>
      <w:r>
        <w:rPr>
          <w:rFonts w:ascii="Arial" w:cs="Arial" w:eastAsia="Arial" w:hAnsi="Arial"/>
          <w:sz w:val="18"/>
          <w:szCs w:val="18"/>
          <w:color w:val="auto"/>
        </w:rPr>
        <w:t>Alternatively, at our option, we may pay any cash interest that becomes due on the Notes by mailing a check to the holder at his, her or its address shown on the trustee’s records as of the close of business on the regular record date or by transfer to an account at a bank in the United States, in either case, on the due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2" w:name="page163"/>
    <w:bookmarkEnd w:id="162"/>
    <w:p>
      <w:pPr>
        <w:jc w:val="both"/>
        <w:ind w:firstLine="360"/>
        <w:spacing w:after="0" w:line="311" w:lineRule="auto"/>
        <w:rPr>
          <w:sz w:val="20"/>
          <w:szCs w:val="20"/>
          <w:color w:val="auto"/>
        </w:rPr>
      </w:pPr>
      <w:r>
        <w:rPr>
          <w:rFonts w:ascii="Arial" w:cs="Arial" w:eastAsia="Arial" w:hAnsi="Arial"/>
          <w:sz w:val="16"/>
          <w:szCs w:val="16"/>
          <w:color w:val="auto"/>
        </w:rPr>
        <w:t>If any payment is due on the Notes on a day that is not a business day, we make the payment on the next day that is a business day. Payments made on the next business day in this situation are treated under the indenture as if they were made on the original due date. Such payment do not result in a default under the Notes or the indenture, and no interest will accrue on the payment amount from the original due date to the next day that is a business day.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have certain rights if an Event of Default occurs in respect of the Notes and is not cured, as described later in this subsection.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“Event of Default” in respect of the Notes means any of the following:</w:t>
      </w:r>
    </w:p>
    <w:p>
      <w:pPr>
        <w:spacing w:after="0" w:line="225" w:lineRule="exact"/>
        <w:rPr>
          <w:sz w:val="20"/>
          <w:szCs w:val="20"/>
          <w:color w:val="auto"/>
        </w:rPr>
      </w:pPr>
    </w:p>
    <w:p>
      <w:pPr>
        <w:ind w:left="820" w:hanging="434"/>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do not pay the principal of any Note on its due date;</w:t>
      </w:r>
    </w:p>
    <w:p>
      <w:pPr>
        <w:spacing w:after="0" w:line="225" w:lineRule="exact"/>
        <w:rPr>
          <w:rFonts w:ascii="Arial" w:cs="Arial" w:eastAsia="Arial" w:hAnsi="Arial"/>
          <w:sz w:val="18"/>
          <w:szCs w:val="18"/>
          <w:color w:val="auto"/>
        </w:rPr>
      </w:pPr>
    </w:p>
    <w:p>
      <w:pPr>
        <w:ind w:left="820" w:hanging="434"/>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do not pay interest on any Note within 30 days of its due date;</w:t>
      </w:r>
    </w:p>
    <w:p>
      <w:pPr>
        <w:spacing w:after="0" w:line="252" w:lineRule="exact"/>
        <w:rPr>
          <w:rFonts w:ascii="Arial" w:cs="Arial" w:eastAsia="Arial" w:hAnsi="Arial"/>
          <w:sz w:val="18"/>
          <w:szCs w:val="18"/>
          <w:color w:val="auto"/>
        </w:rPr>
      </w:pPr>
    </w:p>
    <w:p>
      <w:pPr>
        <w:ind w:left="820" w:right="200" w:hanging="434"/>
        <w:spacing w:after="0" w:line="277" w:lineRule="auto"/>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for 60 days after we receive a written notice of default stating we are in breach (the notice must be sent by either the trustee or holders of at least 25% of the principal amount of the Notes);</w:t>
      </w:r>
    </w:p>
    <w:p>
      <w:pPr>
        <w:spacing w:after="0" w:line="170" w:lineRule="exact"/>
        <w:rPr>
          <w:rFonts w:ascii="Arial" w:cs="Arial" w:eastAsia="Arial" w:hAnsi="Arial"/>
          <w:sz w:val="18"/>
          <w:szCs w:val="18"/>
          <w:color w:val="auto"/>
        </w:rPr>
      </w:pPr>
    </w:p>
    <w:p>
      <w:pPr>
        <w:ind w:left="820" w:right="40" w:hanging="434"/>
        <w:spacing w:after="0" w:line="301" w:lineRule="auto"/>
        <w:tabs>
          <w:tab w:leader="none" w:pos="8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default by us with respect to any mortgage, agreement or other instrument under which there may be outstanding, or by which there may be secured or evidenced, any indebtedness for money borrowed in excess of $10 million in the aggregate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default is not cured within 30 days;</w:t>
      </w:r>
    </w:p>
    <w:p>
      <w:pPr>
        <w:spacing w:after="0" w:line="157" w:lineRule="exact"/>
        <w:rPr>
          <w:rFonts w:ascii="Arial" w:cs="Arial" w:eastAsia="Arial" w:hAnsi="Arial"/>
          <w:sz w:val="16"/>
          <w:szCs w:val="16"/>
          <w:color w:val="auto"/>
        </w:rPr>
      </w:pPr>
    </w:p>
    <w:p>
      <w:pPr>
        <w:ind w:left="820" w:right="60" w:hanging="434"/>
        <w:spacing w:after="0" w:line="263" w:lineRule="auto"/>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final judgment for the payment of $15 million or more (excluding any amounts covered by insurance) rendered against us, which judgment is not discharged or stayed within 60 days after (i) the date on which the right to appeal thereof has expired if no such appeal has commenced, or (ii) the date on which all rights to appeal have been extinguished;</w:t>
      </w:r>
    </w:p>
    <w:p>
      <w:pPr>
        <w:spacing w:after="0" w:line="183" w:lineRule="exact"/>
        <w:rPr>
          <w:rFonts w:ascii="Arial" w:cs="Arial" w:eastAsia="Arial" w:hAnsi="Arial"/>
          <w:sz w:val="18"/>
          <w:szCs w:val="18"/>
          <w:color w:val="auto"/>
        </w:rPr>
      </w:pPr>
    </w:p>
    <w:p>
      <w:pPr>
        <w:ind w:left="820" w:right="380" w:hanging="434"/>
        <w:spacing w:after="0" w:line="277" w:lineRule="auto"/>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 or</w:t>
      </w:r>
    </w:p>
    <w:p>
      <w:pPr>
        <w:spacing w:after="0" w:line="170" w:lineRule="exact"/>
        <w:rPr>
          <w:rFonts w:ascii="Arial" w:cs="Arial" w:eastAsia="Arial" w:hAnsi="Arial"/>
          <w:sz w:val="18"/>
          <w:szCs w:val="18"/>
          <w:color w:val="auto"/>
        </w:rPr>
      </w:pPr>
    </w:p>
    <w:p>
      <w:pPr>
        <w:ind w:left="820" w:hanging="434"/>
        <w:spacing w:after="0"/>
        <w:tabs>
          <w:tab w:leader="none" w:pos="8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Notes have an asset coverage of less than 100% on the last business day of each of twenty-four consecutive calendar months.</w:t>
      </w:r>
    </w:p>
    <w:p>
      <w:pPr>
        <w:spacing w:after="0" w:line="264" w:lineRule="exact"/>
        <w:rPr>
          <w:sz w:val="20"/>
          <w:szCs w:val="20"/>
          <w:color w:val="auto"/>
        </w:rPr>
      </w:pPr>
    </w:p>
    <w:p>
      <w:pPr>
        <w:jc w:val="both"/>
        <w:ind w:right="60" w:firstLine="360"/>
        <w:spacing w:after="0" w:line="263" w:lineRule="auto"/>
        <w:rPr>
          <w:sz w:val="20"/>
          <w:szCs w:val="20"/>
          <w:color w:val="auto"/>
        </w:rPr>
      </w:pPr>
      <w:r>
        <w:rPr>
          <w:rFonts w:ascii="Arial" w:cs="Arial" w:eastAsia="Arial" w:hAnsi="Arial"/>
          <w:sz w:val="18"/>
          <w:szCs w:val="18"/>
          <w:color w:val="auto"/>
        </w:rPr>
        <w:t>An Event of Default for the Notes may, but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22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If an Event of Default has occurred and is continuing, the trustee or the holders of not less than 25% in principal amount of the Notes may declare the entire principal amount of all the Notes to be due and immediately payable. If an Event of Default referred to in the second to last bullet point above with respect to us has occurred, the entire principal amount of all the Notes will automatically become due and immediately payable.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that has become due solely by reason of such acceleration) and certain other amounts, and (2) any other Events of Default have been cured or waived.</w:t>
      </w:r>
    </w:p>
    <w:p>
      <w:pPr>
        <w:spacing w:after="0" w:line="164" w:lineRule="exact"/>
        <w:rPr>
          <w:sz w:val="20"/>
          <w:szCs w:val="20"/>
          <w:color w:val="auto"/>
        </w:rPr>
      </w:pPr>
    </w:p>
    <w:p>
      <w:pPr>
        <w:ind w:right="40" w:firstLine="360"/>
        <w:spacing w:after="0" w:line="311"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Notes may direct the time, method and place of conducting any lawsuit or other formal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63" w:name="page164"/>
    <w:bookmarkEnd w:id="163"/>
    <w:p>
      <w:pPr>
        <w:ind w:right="280"/>
        <w:spacing w:after="0" w:line="277" w:lineRule="auto"/>
        <w:rPr>
          <w:sz w:val="20"/>
          <w:szCs w:val="20"/>
          <w:color w:val="auto"/>
        </w:rPr>
      </w:pPr>
      <w:r>
        <w:rPr>
          <w:rFonts w:ascii="Arial" w:cs="Arial" w:eastAsia="Arial" w:hAnsi="Arial"/>
          <w:sz w:val="18"/>
          <w:szCs w:val="18"/>
          <w:color w:val="auto"/>
        </w:rPr>
        <w:t>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such holder’s rights or protect such holder’s interests relating to the Notes, the following must occur:</w:t>
      </w:r>
    </w:p>
    <w:p>
      <w:pPr>
        <w:spacing w:after="0" w:line="170" w:lineRule="exact"/>
        <w:rPr>
          <w:sz w:val="20"/>
          <w:szCs w:val="20"/>
          <w:color w:val="auto"/>
        </w:rPr>
      </w:pPr>
    </w:p>
    <w:p>
      <w:pPr>
        <w:ind w:left="820" w:hanging="434"/>
        <w:spacing w:after="0"/>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225" w:lineRule="exact"/>
        <w:rPr>
          <w:rFonts w:ascii="Arial" w:cs="Arial" w:eastAsia="Arial" w:hAnsi="Arial"/>
          <w:sz w:val="18"/>
          <w:szCs w:val="18"/>
          <w:color w:val="auto"/>
        </w:rPr>
      </w:pPr>
    </w:p>
    <w:p>
      <w:pPr>
        <w:ind w:left="820" w:right="140" w:hanging="434"/>
        <w:spacing w:after="0" w:line="308" w:lineRule="auto"/>
        <w:tabs>
          <w:tab w:leader="none" w:pos="8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all the Notes must make a written request that the trustee take action because of the default and must offer reasonable indemnity to the trustee against the cost and other liabilities of taking that action;</w:t>
      </w:r>
    </w:p>
    <w:p>
      <w:pPr>
        <w:spacing w:after="0" w:line="146" w:lineRule="exact"/>
        <w:rPr>
          <w:rFonts w:ascii="Arial" w:cs="Arial" w:eastAsia="Arial" w:hAnsi="Arial"/>
          <w:sz w:val="17"/>
          <w:szCs w:val="17"/>
          <w:color w:val="auto"/>
        </w:rPr>
      </w:pPr>
    </w:p>
    <w:p>
      <w:pPr>
        <w:ind w:left="820" w:hanging="434"/>
        <w:spacing w:after="0"/>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52" w:lineRule="exact"/>
        <w:rPr>
          <w:rFonts w:ascii="Arial" w:cs="Arial" w:eastAsia="Arial" w:hAnsi="Arial"/>
          <w:sz w:val="18"/>
          <w:szCs w:val="18"/>
          <w:color w:val="auto"/>
        </w:rPr>
      </w:pPr>
    </w:p>
    <w:p>
      <w:pPr>
        <w:ind w:left="820" w:right="20" w:hanging="434"/>
        <w:spacing w:after="0" w:line="277" w:lineRule="auto"/>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Notes must not have given the trustee a direction inconsistent with the above notice during that 60-day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holders are entitled at any time to bring a lawsuit for the payment of money due on the Notes on or after the due date.</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a majority in principal amount of the Notes may waive may waive any past defaults other than:</w:t>
      </w:r>
    </w:p>
    <w:p>
      <w:pPr>
        <w:spacing w:after="0" w:line="225" w:lineRule="exact"/>
        <w:rPr>
          <w:sz w:val="20"/>
          <w:szCs w:val="20"/>
          <w:color w:val="auto"/>
        </w:rPr>
      </w:pPr>
    </w:p>
    <w:p>
      <w:pPr>
        <w:ind w:left="820" w:hanging="434"/>
        <w:spacing w:after="0"/>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payment of principal or interest; or</w:t>
      </w:r>
    </w:p>
    <w:p>
      <w:pPr>
        <w:spacing w:after="0" w:line="225" w:lineRule="exact"/>
        <w:rPr>
          <w:rFonts w:ascii="Arial" w:cs="Arial" w:eastAsia="Arial" w:hAnsi="Arial"/>
          <w:sz w:val="18"/>
          <w:szCs w:val="18"/>
          <w:color w:val="auto"/>
        </w:rPr>
      </w:pPr>
    </w:p>
    <w:p>
      <w:pPr>
        <w:ind w:left="820" w:hanging="434"/>
        <w:spacing w:after="0"/>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Merger or Consolidation</w:t>
      </w:r>
    </w:p>
    <w:p>
      <w:pPr>
        <w:spacing w:after="0" w:line="229" w:lineRule="exact"/>
        <w:rPr>
          <w:sz w:val="20"/>
          <w:szCs w:val="20"/>
          <w:color w:val="auto"/>
        </w:rPr>
      </w:pPr>
    </w:p>
    <w:p>
      <w:pPr>
        <w:ind w:right="680" w:firstLine="36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24" w:lineRule="exact"/>
        <w:rPr>
          <w:sz w:val="20"/>
          <w:szCs w:val="20"/>
          <w:color w:val="auto"/>
        </w:rPr>
      </w:pPr>
    </w:p>
    <w:p>
      <w:pPr>
        <w:ind w:left="820" w:right="460" w:hanging="434"/>
        <w:spacing w:after="0" w:line="277" w:lineRule="auto"/>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we merge out of existence or convey or transfer our assets substantially as an entirety, the resulting entity must agree to be legally responsible for our obligations under the Notes;</w:t>
      </w:r>
    </w:p>
    <w:p>
      <w:pPr>
        <w:spacing w:after="0" w:line="170" w:lineRule="exact"/>
        <w:rPr>
          <w:rFonts w:ascii="Arial" w:cs="Arial" w:eastAsia="Arial" w:hAnsi="Arial"/>
          <w:sz w:val="18"/>
          <w:szCs w:val="18"/>
          <w:color w:val="auto"/>
        </w:rPr>
      </w:pPr>
    </w:p>
    <w:p>
      <w:pPr>
        <w:ind w:left="820" w:right="100" w:hanging="434"/>
        <w:spacing w:after="0" w:line="301" w:lineRule="auto"/>
        <w:tabs>
          <w:tab w:leader="none" w:pos="8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157" w:lineRule="exact"/>
        <w:rPr>
          <w:rFonts w:ascii="Arial" w:cs="Arial" w:eastAsia="Arial" w:hAnsi="Arial"/>
          <w:sz w:val="16"/>
          <w:szCs w:val="16"/>
          <w:color w:val="auto"/>
        </w:rPr>
      </w:pPr>
    </w:p>
    <w:p>
      <w:pPr>
        <w:ind w:left="820" w:hanging="434"/>
        <w:spacing w:after="0"/>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64" w:name="page165"/>
    <w:bookmarkEnd w:id="164"/>
    <w:p>
      <w:pPr>
        <w:ind w:left="360"/>
        <w:spacing w:after="0"/>
        <w:rPr>
          <w:sz w:val="20"/>
          <w:szCs w:val="20"/>
          <w:color w:val="auto"/>
        </w:rPr>
      </w:pPr>
      <w:r>
        <w:rPr>
          <w:rFonts w:ascii="Arial" w:cs="Arial" w:eastAsia="Arial" w:hAnsi="Arial"/>
          <w:sz w:val="18"/>
          <w:szCs w:val="18"/>
          <w:color w:val="auto"/>
        </w:rPr>
        <w:t>First, there are changes that we cannot make to the Notes without holder approval. The following is a list of those types of changes:</w:t>
      </w:r>
    </w:p>
    <w:p>
      <w:pPr>
        <w:spacing w:after="0" w:line="225" w:lineRule="exact"/>
        <w:rPr>
          <w:sz w:val="20"/>
          <w:szCs w:val="20"/>
          <w:color w:val="auto"/>
        </w:rPr>
      </w:pPr>
    </w:p>
    <w:p>
      <w:pPr>
        <w:ind w:left="820" w:hanging="434"/>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Note following a default;</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impair a holder’s right to sue for payment;</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 and</w:t>
      </w:r>
    </w:p>
    <w:p>
      <w:pPr>
        <w:spacing w:after="0" w:line="252" w:lineRule="exact"/>
        <w:rPr>
          <w:rFonts w:ascii="Arial" w:cs="Arial" w:eastAsia="Arial" w:hAnsi="Arial"/>
          <w:sz w:val="18"/>
          <w:szCs w:val="18"/>
          <w:color w:val="auto"/>
        </w:rPr>
      </w:pPr>
    </w:p>
    <w:p>
      <w:pPr>
        <w:ind w:left="820" w:right="280" w:hanging="434"/>
        <w:spacing w:after="0" w:line="277" w:lineRule="auto"/>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225"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25" w:lineRule="exact"/>
        <w:rPr>
          <w:sz w:val="20"/>
          <w:szCs w:val="20"/>
          <w:color w:val="auto"/>
        </w:rPr>
      </w:pPr>
    </w:p>
    <w:p>
      <w:pPr>
        <w:ind w:left="820" w:hanging="434"/>
        <w:spacing w:after="0"/>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 change affects only the Notes, it must be approved by the holders of a majority in principal amount of the Notes; and</w:t>
      </w:r>
    </w:p>
    <w:p>
      <w:pPr>
        <w:spacing w:after="0" w:line="225" w:lineRule="exact"/>
        <w:rPr>
          <w:rFonts w:ascii="Arial" w:cs="Arial" w:eastAsia="Arial" w:hAnsi="Arial"/>
          <w:sz w:val="18"/>
          <w:szCs w:val="18"/>
          <w:color w:val="auto"/>
        </w:rPr>
      </w:pPr>
    </w:p>
    <w:p>
      <w:pPr>
        <w:ind w:left="820" w:right="20" w:hanging="434"/>
        <w:spacing w:after="0" w:line="342" w:lineRule="auto"/>
        <w:tabs>
          <w:tab w:leader="none" w:pos="8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80" w:firstLine="360"/>
        <w:spacing w:after="0" w:line="263"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 Changes Requiring Holder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 — Defeasance — Full Defeasance.”</w:t>
      </w:r>
    </w:p>
    <w:p>
      <w:pPr>
        <w:spacing w:after="0" w:line="124"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will generally be entitled to set any day as a record date for the purpose of determining the holders of the Notes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the Notes, that vote or action may be taken only by persons who are holders of the Notes on the record date and must be taken within eleven months following the record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provisions will be applicable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i w:val="1"/>
          <w:iCs w:val="1"/>
          <w:color w:val="auto"/>
        </w:rPr>
        <w:t>Covenant Defeasance</w:t>
      </w:r>
    </w:p>
    <w:p>
      <w:pPr>
        <w:spacing w:after="0" w:line="22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current U.S. federal tax law and the indenture, we can make the deposit described below and be released from some of the restrictive covenants in the indenture under which the Notes were issued. This is called “covenant defeasance.” In that event, holders would lose the protection of those restrictive covenants but would gain the protection of having money and government securities set aside in trust to repay the Notes. In order to achieve covenant defeasance, we must do the following:</w:t>
      </w:r>
    </w:p>
    <w:p>
      <w:pPr>
        <w:spacing w:after="0" w:line="187" w:lineRule="exact"/>
        <w:rPr>
          <w:sz w:val="20"/>
          <w:szCs w:val="20"/>
          <w:color w:val="auto"/>
        </w:rPr>
      </w:pPr>
    </w:p>
    <w:p>
      <w:pPr>
        <w:ind w:left="820" w:right="140" w:hanging="434"/>
        <w:spacing w:after="0" w:line="263" w:lineRule="auto"/>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spacing w:after="0" w:line="183" w:lineRule="exact"/>
        <w:rPr>
          <w:rFonts w:ascii="Arial" w:cs="Arial" w:eastAsia="Arial" w:hAnsi="Arial"/>
          <w:sz w:val="18"/>
          <w:szCs w:val="18"/>
          <w:color w:val="auto"/>
        </w:rPr>
      </w:pPr>
    </w:p>
    <w:p>
      <w:pPr>
        <w:ind w:left="820" w:hanging="434"/>
        <w:spacing w:after="0" w:line="277" w:lineRule="auto"/>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holders to be taxed on the Notes any differently than if we did not make the deposit;</w:t>
      </w:r>
    </w:p>
    <w:p>
      <w:pPr>
        <w:spacing w:after="0" w:line="170" w:lineRule="exact"/>
        <w:rPr>
          <w:rFonts w:ascii="Arial" w:cs="Arial" w:eastAsia="Arial" w:hAnsi="Arial"/>
          <w:sz w:val="18"/>
          <w:szCs w:val="18"/>
          <w:color w:val="auto"/>
        </w:rPr>
      </w:pPr>
    </w:p>
    <w:p>
      <w:pPr>
        <w:ind w:left="820" w:right="320" w:hanging="434"/>
        <w:spacing w:after="0" w:line="342" w:lineRule="auto"/>
        <w:tabs>
          <w:tab w:leader="none" w:pos="8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23" w:lineRule="exact"/>
        <w:rPr>
          <w:rFonts w:ascii="Arial" w:cs="Arial" w:eastAsia="Arial" w:hAnsi="Arial"/>
          <w:sz w:val="16"/>
          <w:szCs w:val="16"/>
          <w:color w:val="auto"/>
        </w:rPr>
      </w:pPr>
    </w:p>
    <w:p>
      <w:pPr>
        <w:ind w:left="820" w:right="280" w:hanging="434"/>
        <w:spacing w:after="0" w:line="277" w:lineRule="auto"/>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of the indenture or any of our other material agreements or instruments; and</w:t>
      </w:r>
    </w:p>
    <w:p>
      <w:pPr>
        <w:spacing w:after="0" w:line="170" w:lineRule="exact"/>
        <w:rPr>
          <w:rFonts w:ascii="Arial" w:cs="Arial" w:eastAsia="Arial" w:hAnsi="Arial"/>
          <w:sz w:val="18"/>
          <w:szCs w:val="18"/>
          <w:color w:val="auto"/>
        </w:rPr>
      </w:pPr>
    </w:p>
    <w:p>
      <w:pPr>
        <w:ind w:left="820" w:right="400" w:hanging="434"/>
        <w:spacing w:after="0" w:line="277" w:lineRule="auto"/>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70" w:lineRule="exact"/>
        <w:rPr>
          <w:sz w:val="20"/>
          <w:szCs w:val="20"/>
          <w:color w:val="auto"/>
        </w:rPr>
      </w:pPr>
    </w:p>
    <w:p>
      <w:pPr>
        <w:jc w:val="both"/>
        <w:ind w:right="20" w:firstLine="360"/>
        <w:spacing w:after="0" w:line="311" w:lineRule="auto"/>
        <w:rPr>
          <w:sz w:val="20"/>
          <w:szCs w:val="20"/>
          <w:color w:val="auto"/>
        </w:rPr>
      </w:pPr>
      <w:r>
        <w:rPr>
          <w:rFonts w:ascii="Arial" w:cs="Arial" w:eastAsia="Arial" w:hAnsi="Arial"/>
          <w:sz w:val="16"/>
          <w:szCs w:val="16"/>
          <w:color w:val="auto"/>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holders may not be able to obtain payment of the shortfall.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225"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If there is a change in U.S. federal tax law, as described below, we can legally release ourselves from all payment and other obligations on the Notes (called “full defeasance”) if we put in place the following other arrangements for holders to be repaid:</w:t>
      </w:r>
    </w:p>
    <w:p>
      <w:pPr>
        <w:spacing w:after="0" w:line="170" w:lineRule="exact"/>
        <w:rPr>
          <w:sz w:val="20"/>
          <w:szCs w:val="20"/>
          <w:color w:val="auto"/>
        </w:rPr>
      </w:pPr>
    </w:p>
    <w:p>
      <w:pPr>
        <w:ind w:left="820" w:right="60" w:hanging="434"/>
        <w:spacing w:after="0" w:line="263" w:lineRule="auto"/>
        <w:tabs>
          <w:tab w:leader="none" w:pos="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p>
      <w:pPr>
        <w:spacing w:after="0" w:line="210" w:lineRule="exact"/>
        <w:rPr>
          <w:rFonts w:ascii="Arial" w:cs="Arial" w:eastAsia="Arial" w:hAnsi="Arial"/>
          <w:sz w:val="18"/>
          <w:szCs w:val="18"/>
          <w:color w:val="auto"/>
        </w:rPr>
      </w:pPr>
    </w:p>
    <w:p>
      <w:pPr>
        <w:ind w:left="820" w:right="20" w:hanging="434"/>
        <w:spacing w:after="0" w:line="263" w:lineRule="auto"/>
        <w:tabs>
          <w:tab w:leader="none" w:pos="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Internal Revenue Service ruling that allows us to make the above deposit without causing holders to be taxed on the Notes any differently than if we did not make the deposit;</w:t>
      </w:r>
    </w:p>
    <w:p>
      <w:pPr>
        <w:spacing w:after="0" w:line="210" w:lineRule="exact"/>
        <w:rPr>
          <w:rFonts w:ascii="Arial" w:cs="Arial" w:eastAsia="Arial" w:hAnsi="Arial"/>
          <w:sz w:val="18"/>
          <w:szCs w:val="18"/>
          <w:color w:val="auto"/>
        </w:rPr>
      </w:pPr>
    </w:p>
    <w:p>
      <w:pPr>
        <w:ind w:left="820" w:right="320" w:hanging="434"/>
        <w:spacing w:after="0" w:line="308" w:lineRule="auto"/>
        <w:tabs>
          <w:tab w:leader="none" w:pos="8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73" w:lineRule="exact"/>
        <w:rPr>
          <w:rFonts w:ascii="Arial" w:cs="Arial" w:eastAsia="Arial" w:hAnsi="Arial"/>
          <w:sz w:val="17"/>
          <w:szCs w:val="17"/>
          <w:color w:val="auto"/>
        </w:rPr>
      </w:pPr>
    </w:p>
    <w:p>
      <w:pPr>
        <w:ind w:left="820" w:right="180" w:hanging="434"/>
        <w:spacing w:after="0" w:line="277" w:lineRule="auto"/>
        <w:tabs>
          <w:tab w:leader="none" w:pos="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of the indenture or any of our other material agreements or instruments; and</w:t>
      </w:r>
    </w:p>
    <w:p>
      <w:pPr>
        <w:spacing w:after="0" w:line="197" w:lineRule="exact"/>
        <w:rPr>
          <w:rFonts w:ascii="Arial" w:cs="Arial" w:eastAsia="Arial" w:hAnsi="Arial"/>
          <w:sz w:val="18"/>
          <w:szCs w:val="18"/>
          <w:color w:val="auto"/>
        </w:rPr>
      </w:pPr>
    </w:p>
    <w:p>
      <w:pPr>
        <w:ind w:left="820" w:right="400" w:hanging="434"/>
        <w:spacing w:after="0" w:line="277" w:lineRule="auto"/>
        <w:tabs>
          <w:tab w:leader="none" w:pos="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6" w:name="page167"/>
    <w:bookmarkEnd w:id="166"/>
    <w:p>
      <w:pPr>
        <w:ind w:right="60" w:firstLine="360"/>
        <w:spacing w:after="0" w:line="263" w:lineRule="auto"/>
        <w:rPr>
          <w:sz w:val="20"/>
          <w:szCs w:val="20"/>
          <w:color w:val="auto"/>
        </w:rPr>
      </w:pPr>
      <w:r>
        <w:rPr>
          <w:rFonts w:ascii="Arial" w:cs="Arial" w:eastAsia="Arial" w:hAnsi="Arial"/>
          <w:sz w:val="18"/>
          <w:szCs w:val="18"/>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w:t>
      </w:r>
    </w:p>
    <w:p>
      <w:pPr>
        <w:spacing w:after="0" w:line="22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In addition to any other covenants described in this prospectus supplement and the accompanying prospectus, the following covenants shall apply to the Notes:</w:t>
      </w:r>
    </w:p>
    <w:p>
      <w:pPr>
        <w:spacing w:after="0" w:line="170" w:lineRule="exact"/>
        <w:rPr>
          <w:sz w:val="20"/>
          <w:szCs w:val="20"/>
          <w:color w:val="auto"/>
        </w:rPr>
      </w:pPr>
    </w:p>
    <w:p>
      <w:pPr>
        <w:ind w:left="820" w:right="120" w:hanging="434"/>
        <w:spacing w:after="0" w:line="257" w:lineRule="auto"/>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(regardless of whether we are subject to) Section 18(a)(1)(A) as modified by Section 61(a)(1) of the 1940 Act or any successor provisions, whether or not we continue to be subject to such provisions of the 1940 Act, but giving effect, in either case, to any exemptive relief granted to us by the SEC. These provisions generally prohibit us from making additional borrowings, including through the issuance of additional debt securities, unless our asset coverage, as defined in the 1940 Act, equals at least 150% after such borrowings.</w:t>
      </w:r>
    </w:p>
    <w:p>
      <w:pPr>
        <w:spacing w:after="0" w:line="187" w:lineRule="exact"/>
        <w:rPr>
          <w:rFonts w:ascii="Arial" w:cs="Arial" w:eastAsia="Arial" w:hAnsi="Arial"/>
          <w:sz w:val="18"/>
          <w:szCs w:val="18"/>
          <w:color w:val="auto"/>
        </w:rPr>
      </w:pPr>
    </w:p>
    <w:p>
      <w:pPr>
        <w:ind w:left="820" w:hanging="434"/>
        <w:spacing w:after="0" w:line="290" w:lineRule="auto"/>
        <w:tabs>
          <w:tab w:leader="none" w:pos="8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We agree that for the period of time during which the Notes are outstanding, we will not violate (regardless of whether we are subject to) Section 18(a)(1)(B) as modified by Section 61(a)(1) of the 1940 Act or any successor provisions,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These provisions generally prohibit us from declaring any cash dividend or distribution upon any class of our capital stock, or purchasing any such capital stock if our asset coverage, as defined in the 1940 Act, is below 150% at the time of the declaration of the dividend or distribution or the purchase and after deducting the amount of such dividend, distribution or purchase.</w:t>
      </w:r>
    </w:p>
    <w:p>
      <w:pPr>
        <w:spacing w:after="0" w:line="165" w:lineRule="exact"/>
        <w:rPr>
          <w:rFonts w:ascii="Arial" w:cs="Arial" w:eastAsia="Arial" w:hAnsi="Arial"/>
          <w:sz w:val="16"/>
          <w:szCs w:val="16"/>
          <w:color w:val="auto"/>
        </w:rPr>
      </w:pPr>
    </w:p>
    <w:p>
      <w:pPr>
        <w:ind w:left="820" w:hanging="434"/>
        <w:spacing w:after="0" w:line="257" w:lineRule="auto"/>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registered Notes cease to be issued in book-entry form, they will be issued:</w:t>
      </w:r>
    </w:p>
    <w:p>
      <w:pPr>
        <w:spacing w:after="0" w:line="225" w:lineRule="exact"/>
        <w:rPr>
          <w:sz w:val="20"/>
          <w:szCs w:val="20"/>
          <w:color w:val="auto"/>
        </w:rPr>
      </w:pPr>
    </w:p>
    <w:p>
      <w:pPr>
        <w:ind w:left="820" w:hanging="434"/>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252" w:lineRule="exact"/>
        <w:rPr>
          <w:rFonts w:ascii="Arial" w:cs="Arial" w:eastAsia="Arial" w:hAnsi="Arial"/>
          <w:sz w:val="18"/>
          <w:szCs w:val="18"/>
          <w:color w:val="auto"/>
        </w:rPr>
      </w:pPr>
    </w:p>
    <w:p>
      <w:pPr>
        <w:ind w:left="820" w:hanging="434"/>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279" w:lineRule="exact"/>
        <w:rPr>
          <w:rFonts w:ascii="Arial" w:cs="Arial" w:eastAsia="Arial" w:hAnsi="Arial"/>
          <w:sz w:val="18"/>
          <w:szCs w:val="18"/>
          <w:color w:val="auto"/>
        </w:rPr>
      </w:pPr>
    </w:p>
    <w:p>
      <w:pPr>
        <w:ind w:left="820" w:hanging="434"/>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unless we indicate otherwise, in denominations of $25 and amounts that are multiples of $25.</w:t>
      </w:r>
    </w:p>
    <w:p>
      <w:pPr>
        <w:spacing w:after="0" w:line="25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0" w:lineRule="exact"/>
        <w:rPr>
          <w:sz w:val="20"/>
          <w:szCs w:val="20"/>
          <w:color w:val="auto"/>
        </w:rPr>
      </w:pPr>
    </w:p>
    <w:p>
      <w:pPr>
        <w:jc w:val="both"/>
        <w:ind w:right="600" w:firstLine="360"/>
        <w:spacing w:after="0" w:line="342" w:lineRule="auto"/>
        <w:rPr>
          <w:sz w:val="20"/>
          <w:szCs w:val="20"/>
          <w:color w:val="auto"/>
        </w:rPr>
      </w:pPr>
      <w:r>
        <w:rPr>
          <w:rFonts w:ascii="Arial" w:cs="Arial" w:eastAsia="Arial" w:hAnsi="Arial"/>
          <w:sz w:val="16"/>
          <w:szCs w:val="16"/>
          <w:color w:val="auto"/>
        </w:rPr>
        <w:t>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787" w:right="419" w:bottom="1440" w:gutter="0" w:footer="0" w:header="0"/>
        </w:sectPr>
      </w:pPr>
    </w:p>
    <w:bookmarkStart w:id="167" w:name="page168"/>
    <w:bookmarkEnd w:id="167"/>
    <w:p>
      <w:pPr>
        <w:ind w:right="240" w:firstLine="36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We may appoint additional transfer agents or cancel the appointment of any particular transfer agent. We may also approve a change in the office through which any transfer agent acts.</w:t>
      </w:r>
    </w:p>
    <w:p>
      <w:pPr>
        <w:spacing w:after="0" w:line="17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29"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 — Ranking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our direct unsecured obligations and will rank:</w:t>
      </w:r>
    </w:p>
    <w:p>
      <w:pPr>
        <w:spacing w:after="0" w:line="225" w:lineRule="exact"/>
        <w:rPr>
          <w:sz w:val="20"/>
          <w:szCs w:val="20"/>
          <w:color w:val="auto"/>
        </w:rPr>
      </w:pPr>
    </w:p>
    <w:p>
      <w:pPr>
        <w:ind w:left="820" w:hanging="434"/>
        <w:spacing w:after="0"/>
        <w:tabs>
          <w:tab w:leader="none" w:pos="8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our existing and future senior unsecured indebtedness;</w:t>
      </w:r>
    </w:p>
    <w:p>
      <w:pPr>
        <w:spacing w:after="0" w:line="225" w:lineRule="exact"/>
        <w:rPr>
          <w:rFonts w:ascii="Arial" w:cs="Arial" w:eastAsia="Arial" w:hAnsi="Arial"/>
          <w:sz w:val="18"/>
          <w:szCs w:val="18"/>
          <w:color w:val="auto"/>
        </w:rPr>
      </w:pPr>
    </w:p>
    <w:p>
      <w:pPr>
        <w:ind w:left="820" w:hanging="434"/>
        <w:spacing w:after="0"/>
        <w:tabs>
          <w:tab w:leader="none" w:pos="8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provides it is subordinated to the Notes; and</w:t>
      </w:r>
    </w:p>
    <w:p>
      <w:pPr>
        <w:spacing w:after="0" w:line="292" w:lineRule="exact"/>
        <w:rPr>
          <w:rFonts w:ascii="Arial" w:cs="Arial" w:eastAsia="Arial" w:hAnsi="Arial"/>
          <w:sz w:val="18"/>
          <w:szCs w:val="18"/>
          <w:color w:val="auto"/>
        </w:rPr>
      </w:pPr>
    </w:p>
    <w:p>
      <w:pPr>
        <w:ind w:left="820" w:right="280" w:hanging="434"/>
        <w:spacing w:after="0" w:line="277" w:lineRule="auto"/>
        <w:tabs>
          <w:tab w:leader="none" w:pos="8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secured indebtedness (including indebtedness that is initially unsecured to which we subsequently grant security), to the extent of the value of the assets securing such indebtedness; and</w:t>
      </w:r>
    </w:p>
    <w:p>
      <w:pPr>
        <w:spacing w:after="0" w:line="170" w:lineRule="exact"/>
        <w:rPr>
          <w:rFonts w:ascii="Arial" w:cs="Arial" w:eastAsia="Arial" w:hAnsi="Arial"/>
          <w:sz w:val="18"/>
          <w:szCs w:val="18"/>
          <w:color w:val="auto"/>
        </w:rPr>
      </w:pPr>
    </w:p>
    <w:p>
      <w:pPr>
        <w:ind w:left="820" w:right="260" w:hanging="434"/>
        <w:spacing w:after="0" w:line="263" w:lineRule="auto"/>
        <w:tabs>
          <w:tab w:leader="none" w:pos="8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 and portfolio companies with respect to which we hold equity investments, including, without limitation, the indebtedness of Great Lakes KCAP Funding I LLC and the Asset Manager Affiliates.</w:t>
      </w:r>
    </w:p>
    <w:p>
      <w:pPr>
        <w:spacing w:after="0" w:line="18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Designated Senior Indebtedness (as defined below). In addition, no payment on account of principal (or premium, if any), sinking fund or interest, if any, may be made on such subordinated debt securities at any time unless full payment of all amounts due in respect of the principal (and premium, if any), sinking fund and interest on Designated Senior Indebtedness has been made or duly provided for in money or money’s worth.</w:t>
      </w:r>
    </w:p>
    <w:p>
      <w:pPr>
        <w:spacing w:after="0" w:line="192"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Designated Senior Indebtedness is paid in full, the payment or distribution must be paid over to the holders of the Designated Senior Indebtedness or on their behalf for application to the payment of all the Designated Senior Indebtedness remaining unpaid until all the Designated Senior Indebtedness has been paid in full, after giving effect to any concurrent payment or distribution to the holders of the Designated Senior Indebtedness. Subject to the payment in full of all Designated Senior Indebtedness upon this distribution by us, the holders of such subordinated debt securities will be subrogated to the rights of the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8" w:name="page169"/>
    <w:bookmarkEnd w:id="168"/>
    <w:p>
      <w:pPr>
        <w:spacing w:after="0" w:line="277" w:lineRule="auto"/>
        <w:rPr>
          <w:sz w:val="20"/>
          <w:szCs w:val="20"/>
          <w:color w:val="auto"/>
        </w:rPr>
      </w:pPr>
      <w:r>
        <w:rPr>
          <w:rFonts w:ascii="Arial" w:cs="Arial" w:eastAsia="Arial" w:hAnsi="Arial"/>
          <w:sz w:val="18"/>
          <w:szCs w:val="18"/>
          <w:color w:val="auto"/>
        </w:rPr>
        <w:t>the Designated Senior Indebtedness to the extent of payments made to the holders of the Designated Senior Indebtedness out of the distributive share of such subordinated debt securities.</w:t>
      </w:r>
    </w:p>
    <w:p>
      <w:pPr>
        <w:sectPr>
          <w:pgSz w:w="11900" w:h="16838" w:orient="portrait"/>
          <w:cols w:equalWidth="0" w:num="1">
            <w:col w:w="10940"/>
          </w:cols>
          <w:pgMar w:left="320" w:top="341" w:right="6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21.1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660" w:type="dxa"/>
            <w:vAlign w:val="bottom"/>
            <w:gridSpan w:val="3"/>
          </w:tcPr>
          <w:p>
            <w:pPr>
              <w:ind w:left="320"/>
              <w:spacing w:after="0"/>
              <w:rPr>
                <w:sz w:val="20"/>
                <w:szCs w:val="20"/>
                <w:color w:val="auto"/>
              </w:rPr>
            </w:pPr>
            <w:r>
              <w:rPr>
                <w:rFonts w:ascii="Arial" w:cs="Arial" w:eastAsia="Arial" w:hAnsi="Arial"/>
                <w:sz w:val="18"/>
                <w:szCs w:val="18"/>
                <w:b w:val="1"/>
                <w:bCs w:val="1"/>
                <w:color w:val="auto"/>
              </w:rPr>
              <w:t>List of Subsidiaries</w:t>
            </w:r>
          </w:p>
        </w:tc>
      </w:tr>
      <w:tr>
        <w:trPr>
          <w:trHeight w:val="621"/>
        </w:trPr>
        <w:tc>
          <w:tcPr>
            <w:tcW w:w="35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4"/>
              </w:rPr>
              <w:t>Jurisdiction</w:t>
            </w:r>
          </w:p>
        </w:tc>
      </w:tr>
      <w:tr>
        <w:trPr>
          <w:trHeight w:val="175"/>
        </w:trPr>
        <w:tc>
          <w:tcPr>
            <w:tcW w:w="35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Katonah Management Holdings LLC</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77"/>
        </w:trPr>
        <w:tc>
          <w:tcPr>
            <w:tcW w:w="3520" w:type="dxa"/>
            <w:vAlign w:val="bottom"/>
          </w:tcPr>
          <w:p>
            <w:pPr>
              <w:spacing w:after="0"/>
              <w:rPr>
                <w:sz w:val="20"/>
                <w:szCs w:val="20"/>
                <w:color w:val="auto"/>
              </w:rPr>
            </w:pPr>
            <w:r>
              <w:rPr>
                <w:rFonts w:ascii="Arial" w:cs="Arial" w:eastAsia="Arial" w:hAnsi="Arial"/>
                <w:sz w:val="18"/>
                <w:szCs w:val="18"/>
                <w:color w:val="auto"/>
              </w:rPr>
              <w:t>Katonah X Management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1"/>
        </w:trPr>
        <w:tc>
          <w:tcPr>
            <w:tcW w:w="3520" w:type="dxa"/>
            <w:vAlign w:val="bottom"/>
          </w:tcPr>
          <w:p>
            <w:pPr>
              <w:spacing w:after="0"/>
              <w:rPr>
                <w:sz w:val="20"/>
                <w:szCs w:val="20"/>
                <w:color w:val="auto"/>
              </w:rPr>
            </w:pPr>
            <w:r>
              <w:rPr>
                <w:rFonts w:ascii="Arial" w:cs="Arial" w:eastAsia="Arial" w:hAnsi="Arial"/>
                <w:sz w:val="18"/>
                <w:szCs w:val="18"/>
                <w:color w:val="auto"/>
              </w:rPr>
              <w:t>Katonah 2007-I Management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KCAP Management,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Commodore Holdings,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KCAP Coastal,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1"/>
        </w:trPr>
        <w:tc>
          <w:tcPr>
            <w:tcW w:w="3520" w:type="dxa"/>
            <w:vAlign w:val="bottom"/>
          </w:tcPr>
          <w:p>
            <w:pPr>
              <w:spacing w:after="0"/>
              <w:rPr>
                <w:sz w:val="20"/>
                <w:szCs w:val="20"/>
                <w:color w:val="auto"/>
              </w:rPr>
            </w:pPr>
            <w:r>
              <w:rPr>
                <w:rFonts w:ascii="Arial" w:cs="Arial" w:eastAsia="Arial" w:hAnsi="Arial"/>
                <w:sz w:val="18"/>
                <w:szCs w:val="18"/>
                <w:color w:val="auto"/>
              </w:rPr>
              <w:t>Great Lakes KCAP Funding 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PTMN Sub Holdings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Great Lakes Portman Ridge Funding 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Kohlberg Capital Funding LLC I</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1"/>
        </w:trPr>
        <w:tc>
          <w:tcPr>
            <w:tcW w:w="3520" w:type="dxa"/>
            <w:vAlign w:val="bottom"/>
          </w:tcPr>
          <w:p>
            <w:pPr>
              <w:spacing w:after="0"/>
              <w:rPr>
                <w:sz w:val="20"/>
                <w:szCs w:val="20"/>
                <w:color w:val="auto"/>
              </w:rPr>
            </w:pPr>
            <w:r>
              <w:rPr>
                <w:rFonts w:ascii="Arial" w:cs="Arial" w:eastAsia="Arial" w:hAnsi="Arial"/>
                <w:sz w:val="18"/>
                <w:szCs w:val="18"/>
                <w:color w:val="auto"/>
              </w:rPr>
              <w:t>OHA Funding GP,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OHA Nevada,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OHA Funding, LP</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391"/>
        </w:trPr>
        <w:tc>
          <w:tcPr>
            <w:tcW w:w="3520" w:type="dxa"/>
            <w:vAlign w:val="bottom"/>
          </w:tcPr>
          <w:p>
            <w:pPr>
              <w:spacing w:after="0"/>
              <w:rPr>
                <w:sz w:val="20"/>
                <w:szCs w:val="20"/>
                <w:color w:val="auto"/>
              </w:rPr>
            </w:pPr>
            <w:r>
              <w:rPr>
                <w:rFonts w:ascii="Arial" w:cs="Arial" w:eastAsia="Arial" w:hAnsi="Arial"/>
                <w:sz w:val="18"/>
                <w:szCs w:val="18"/>
                <w:color w:val="auto"/>
              </w:rPr>
              <w:t>OHA Asset Holdings GP,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OHA Asset Holdings II, LP</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391"/>
        </w:trPr>
        <w:tc>
          <w:tcPr>
            <w:tcW w:w="3520" w:type="dxa"/>
            <w:vAlign w:val="bottom"/>
          </w:tcPr>
          <w:p>
            <w:pPr>
              <w:spacing w:after="0"/>
              <w:rPr>
                <w:sz w:val="20"/>
                <w:szCs w:val="20"/>
                <w:color w:val="auto"/>
              </w:rPr>
            </w:pPr>
            <w:r>
              <w:rPr>
                <w:rFonts w:ascii="Arial" w:cs="Arial" w:eastAsia="Arial" w:hAnsi="Arial"/>
                <w:sz w:val="18"/>
                <w:szCs w:val="18"/>
                <w:color w:val="auto"/>
              </w:rPr>
              <w:t>OHA/OCI Investments,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OHA Investment Corporation Sub,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Garrison Capital Equity Holdings 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1"/>
        </w:trPr>
        <w:tc>
          <w:tcPr>
            <w:tcW w:w="3520" w:type="dxa"/>
            <w:vAlign w:val="bottom"/>
          </w:tcPr>
          <w:p>
            <w:pPr>
              <w:spacing w:after="0"/>
              <w:rPr>
                <w:sz w:val="20"/>
                <w:szCs w:val="20"/>
                <w:color w:val="auto"/>
              </w:rPr>
            </w:pPr>
            <w:r>
              <w:rPr>
                <w:rFonts w:ascii="Arial" w:cs="Arial" w:eastAsia="Arial" w:hAnsi="Arial"/>
                <w:sz w:val="18"/>
                <w:szCs w:val="18"/>
                <w:color w:val="auto"/>
              </w:rPr>
              <w:t>Garrison Capital Equity Holdings II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GIG Rooster Holdings I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91"/>
        </w:trPr>
        <w:tc>
          <w:tcPr>
            <w:tcW w:w="3520" w:type="dxa"/>
            <w:vAlign w:val="bottom"/>
          </w:tcPr>
          <w:p>
            <w:pPr>
              <w:spacing w:after="0"/>
              <w:rPr>
                <w:sz w:val="20"/>
                <w:szCs w:val="20"/>
                <w:color w:val="auto"/>
              </w:rPr>
            </w:pPr>
            <w:r>
              <w:rPr>
                <w:rFonts w:ascii="Arial" w:cs="Arial" w:eastAsia="Arial" w:hAnsi="Arial"/>
                <w:sz w:val="18"/>
                <w:szCs w:val="18"/>
                <w:color w:val="auto"/>
              </w:rPr>
              <w:t>Garrison Funding 2018-2 Ltd.</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392"/>
        </w:trPr>
        <w:tc>
          <w:tcPr>
            <w:tcW w:w="3520" w:type="dxa"/>
            <w:vAlign w:val="bottom"/>
          </w:tcPr>
          <w:p>
            <w:pPr>
              <w:spacing w:after="0"/>
              <w:rPr>
                <w:sz w:val="20"/>
                <w:szCs w:val="20"/>
                <w:color w:val="auto"/>
              </w:rPr>
            </w:pPr>
            <w:r>
              <w:rPr>
                <w:rFonts w:ascii="Arial" w:cs="Arial" w:eastAsia="Arial" w:hAnsi="Arial"/>
                <w:sz w:val="18"/>
                <w:szCs w:val="18"/>
                <w:color w:val="auto"/>
              </w:rPr>
              <w:t>Garrison Funding 2018-2 LLC</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200"/>
          </w:cols>
          <w:pgMar w:left="136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Edward Goldthorpe, certify that:</w:t>
      </w:r>
    </w:p>
    <w:p>
      <w:pPr>
        <w:spacing w:after="0" w:line="185" w:lineRule="exact"/>
        <w:rPr>
          <w:sz w:val="20"/>
          <w:szCs w:val="20"/>
          <w:color w:val="auto"/>
        </w:rPr>
      </w:pPr>
    </w:p>
    <w:p>
      <w:pPr>
        <w:ind w:left="1000" w:hanging="493"/>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Portman Ridge Finance Corporation (the “registrant”);</w:t>
      </w:r>
    </w:p>
    <w:p>
      <w:pPr>
        <w:spacing w:after="0" w:line="184"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000" w:right="360" w:hanging="493"/>
        <w:spacing w:after="0" w:line="291" w:lineRule="auto"/>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520" w:right="80" w:hanging="500"/>
        <w:spacing w:after="0" w:line="286" w:lineRule="auto"/>
        <w:tabs>
          <w:tab w:leader="none" w:pos="15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000" w:right="360" w:hanging="493"/>
        <w:spacing w:after="0" w:line="263"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Jason Roos, certify that:</w:t>
      </w:r>
    </w:p>
    <w:p>
      <w:pPr>
        <w:spacing w:after="0" w:line="185" w:lineRule="exact"/>
        <w:rPr>
          <w:sz w:val="20"/>
          <w:szCs w:val="20"/>
          <w:color w:val="auto"/>
        </w:rPr>
      </w:pPr>
    </w:p>
    <w:p>
      <w:pPr>
        <w:ind w:left="1000" w:hanging="493"/>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Portman Ridge Finance Corporation (the “registrant”);</w:t>
      </w:r>
    </w:p>
    <w:p>
      <w:pPr>
        <w:spacing w:after="0" w:line="198"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000" w:right="360" w:hanging="493"/>
        <w:spacing w:after="0" w:line="291"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520" w:right="80" w:hanging="500"/>
        <w:spacing w:after="0" w:line="286" w:lineRule="auto"/>
        <w:tabs>
          <w:tab w:leader="none" w:pos="152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000" w:right="360" w:hanging="493"/>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ROOS</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connection with the accompanying Annual Report of Portman Ridge Finance Corporation (the “Company”) on Form 10-K for the year ended December 31, 2020 (the “Report”), I, Edward Goldthorpe, President and Chief Executive Officer of the Company, certify, pursuant to 18 U.S.C. §1350, as adopted pursuant to §906 of the Sarbanes-Oxley Act of 2002, that:</w:t>
      </w:r>
    </w:p>
    <w:p>
      <w:pPr>
        <w:spacing w:after="0" w:line="143" w:lineRule="exact"/>
        <w:rPr>
          <w:sz w:val="20"/>
          <w:szCs w:val="20"/>
          <w:color w:val="auto"/>
        </w:rPr>
      </w:pPr>
    </w:p>
    <w:p>
      <w:pPr>
        <w:ind w:left="1000" w:hanging="493"/>
        <w:spacing w:after="0"/>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0" w:val="left"/>
          <w:tab w:leader="none" w:pos="60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connection with the accompanying Annual Report of Portman Ridge Finance Corporation, (the “Company”) on Form 10-K for the year ended December 31, 2020 (the “Report”), I, Jason Roos, Chief Financial Officer of the Company, certify, pursuant to 18 U.S.C. §1350, as adopted pursuant to §906 of the Sarbanes-Oxley Act of 2002, that:</w:t>
      </w:r>
    </w:p>
    <w:p>
      <w:pPr>
        <w:spacing w:after="0" w:line="143" w:lineRule="exact"/>
        <w:rPr>
          <w:sz w:val="20"/>
          <w:szCs w:val="20"/>
          <w:color w:val="auto"/>
        </w:rPr>
      </w:pPr>
    </w:p>
    <w:p>
      <w:pPr>
        <w:ind w:left="1000" w:hanging="493"/>
        <w:spacing w:after="0"/>
        <w:tabs>
          <w:tab w:leader="none" w:pos="1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1000" w:right="440" w:hanging="493"/>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ROOS</w:t>
      </w:r>
    </w:p>
    <w:p>
      <w:pPr>
        <w:spacing w:after="0" w:line="23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1)"/>
      <w:numFmt w:val="lowerRoman"/>
      <w:start w:val="2"/>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8">
    <w:nsid w:val="1A32234B"/>
    <w:multiLevelType w:val="hybridMultilevel"/>
    <w:lvl w:ilvl="0">
      <w:lvlJc w:val="left"/>
      <w:lvlText w:val="•"/>
      <w:numFmt w:val="bullet"/>
      <w:start w:val="1"/>
    </w:lvl>
    <w:lvl w:ilvl="1">
      <w:lvlJc w:val="left"/>
      <w:lvlText w:val="°"/>
      <w:numFmt w:val="bullet"/>
      <w:start w:val="1"/>
    </w:lvl>
  </w:abstractNum>
  <w:abstractNum w:abstractNumId="19">
    <w:nsid w:val="3B0FD379"/>
    <w:multiLevelType w:val="hybridMultilevel"/>
    <w:lvl w:ilvl="0">
      <w:lvlJc w:val="left"/>
      <w:lvlText w:val="(%1)"/>
      <w:numFmt w:val="lowerLetter"/>
      <w:start w:val="7"/>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decimal"/>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1)"/>
      <w:numFmt w:val="decimal"/>
      <w:start w:val="1"/>
    </w:lvl>
  </w:abstractNum>
  <w:abstractNum w:abstractNumId="34">
    <w:nsid w:val="76272110"/>
    <w:multiLevelType w:val="hybridMultilevel"/>
    <w:lvl w:ilvl="0">
      <w:lvlJc w:val="left"/>
      <w:lvlText w:val="(%1)"/>
      <w:numFmt w:val="lowerLetter"/>
      <w:start w:val="1"/>
    </w:lvl>
  </w:abstractNum>
  <w:abstractNum w:abstractNumId="35">
    <w:nsid w:val="4C04A8AF"/>
    <w:multiLevelType w:val="hybridMultilevel"/>
    <w:lvl w:ilvl="0">
      <w:lvlJc w:val="left"/>
      <w:lvlText w:val="(%1)"/>
      <w:numFmt w:val="decimal"/>
      <w:start w:val="1"/>
    </w:lvl>
  </w:abstractNum>
  <w:abstractNum w:abstractNumId="36">
    <w:nsid w:val="1716703B"/>
    <w:multiLevelType w:val="hybridMultilevel"/>
    <w:lvl w:ilvl="0">
      <w:lvlJc w:val="left"/>
      <w:lvlText w:val="(%1)"/>
      <w:numFmt w:val="decimal"/>
      <w:start w:val="1"/>
    </w:lvl>
  </w:abstractNum>
  <w:abstractNum w:abstractNumId="37">
    <w:nsid w:val="14E17E33"/>
    <w:multiLevelType w:val="hybridMultilevel"/>
    <w:lvl w:ilvl="0">
      <w:lvlJc w:val="left"/>
      <w:lvlText w:val="(%1)"/>
      <w:numFmt w:val="decimal"/>
      <w:start w:val="1"/>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1)"/>
      <w:numFmt w:val="decimal"/>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1)"/>
      <w:numFmt w:val="lowerRoman"/>
      <w:start w:val="1"/>
    </w:lvl>
    <w:lvl w:ilvl="1">
      <w:lvlJc w:val="left"/>
      <w:lvlText w:val="•"/>
      <w:numFmt w:val="bullet"/>
      <w:start w:val="1"/>
    </w:lvl>
  </w:abstractNum>
  <w:abstractNum w:abstractNumId="43">
    <w:nsid w:val="4A2AC315"/>
    <w:multiLevelType w:val="hybridMultilevel"/>
    <w:lvl w:ilvl="0">
      <w:lvlJc w:val="left"/>
      <w:lvlText w:val="(%1)"/>
      <w:numFmt w:val="lowerRoman"/>
      <w:start w:val="3"/>
    </w:lvl>
    <w:lvl w:ilvl="1">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1)"/>
      <w:numFmt w:val="decimal"/>
      <w:start w:val="1"/>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2"/>
    </w:lvl>
  </w:abstractNum>
  <w:abstractNum w:abstractNumId="52">
    <w:nsid w:val="7055A5F5"/>
    <w:multiLevelType w:val="hybridMultilevel"/>
    <w:lvl w:ilvl="0">
      <w:lvlJc w:val="left"/>
      <w:lvlText w:val="(%1)"/>
      <w:numFmt w:val="lowerLetter"/>
      <w:start w:val="1"/>
    </w:lvl>
    <w:lvl w:ilvl="1">
      <w:lvlJc w:val="left"/>
      <w:lvlText w:val="%2."/>
      <w:numFmt w:val="decimal"/>
      <w:start w:val="1"/>
    </w:lvl>
  </w:abstractNum>
  <w:abstractNum w:abstractNumId="53">
    <w:nsid w:val="5FB8370B"/>
    <w:multiLevelType w:val="hybridMultilevel"/>
    <w:lvl w:ilvl="0">
      <w:lvlJc w:val="left"/>
      <w:lvlText w:val="1"/>
      <w:numFmt w:val="bullet"/>
      <w:start w:val="1"/>
    </w:lvl>
  </w:abstractNum>
  <w:abstractNum w:abstractNumId="54">
    <w:nsid w:val="50801EE1"/>
    <w:multiLevelType w:val="hybridMultilevel"/>
    <w:lvl w:ilvl="0">
      <w:lvlJc w:val="left"/>
      <w:lvlText w:val="2"/>
      <w:numFmt w:val="bullet"/>
      <w:start w:val="1"/>
    </w:lvl>
  </w:abstractNum>
  <w:abstractNum w:abstractNumId="55">
    <w:nsid w:val="488AC1A"/>
    <w:multiLevelType w:val="hybridMultilevel"/>
    <w:lvl w:ilvl="0">
      <w:lvlJc w:val="left"/>
      <w:lvlText w:val="7"/>
      <w:numFmt w:val="bullet"/>
      <w:start w:val="1"/>
    </w:lvl>
  </w:abstractNum>
  <w:abstractNum w:abstractNumId="56">
    <w:nsid w:val="5FB8011C"/>
    <w:multiLevelType w:val="hybridMultilevel"/>
    <w:lvl w:ilvl="0">
      <w:lvlJc w:val="left"/>
      <w:lvlText w:val="8"/>
      <w:numFmt w:val="bullet"/>
      <w:start w:val="1"/>
    </w:lvl>
  </w:abstractNum>
  <w:abstractNum w:abstractNumId="57">
    <w:nsid w:val="6AA78F7F"/>
    <w:multiLevelType w:val="hybridMultilevel"/>
    <w:lvl w:ilvl="0">
      <w:lvlJc w:val="left"/>
      <w:lvlText w:val="9"/>
      <w:numFmt w:val="bullet"/>
      <w:start w:val="1"/>
    </w:lvl>
  </w:abstractNum>
  <w:abstractNum w:abstractNumId="58">
    <w:nsid w:val="7672BD23"/>
    <w:multiLevelType w:val="hybridMultilevel"/>
    <w:lvl w:ilvl="0">
      <w:lvlJc w:val="left"/>
      <w:lvlText w:val="%1"/>
      <w:numFmt w:val="decimal"/>
      <w:start w:val="10"/>
    </w:lvl>
  </w:abstractNum>
  <w:abstractNum w:abstractNumId="59">
    <w:nsid w:val="6FC75AF8"/>
    <w:multiLevelType w:val="hybridMultilevel"/>
    <w:lvl w:ilvl="0">
      <w:lvlJc w:val="left"/>
      <w:lvlText w:val="%1"/>
      <w:numFmt w:val="decimal"/>
      <w:start w:val="18"/>
    </w:lvl>
  </w:abstractNum>
  <w:abstractNum w:abstractNumId="60">
    <w:nsid w:val="6A5F7029"/>
    <w:multiLevelType w:val="hybridMultilevel"/>
    <w:lvl w:ilvl="0">
      <w:lvlJc w:val="left"/>
      <w:lvlText w:val="1"/>
      <w:numFmt w:val="bullet"/>
      <w:start w:val="1"/>
    </w:lvl>
  </w:abstractNum>
  <w:abstractNum w:abstractNumId="61">
    <w:nsid w:val="7D5E18F8"/>
    <w:multiLevelType w:val="hybridMultilevel"/>
    <w:lvl w:ilvl="0">
      <w:lvlJc w:val="left"/>
      <w:lvlText w:val="2"/>
      <w:numFmt w:val="bullet"/>
      <w:start w:val="1"/>
    </w:lvl>
  </w:abstractNum>
  <w:abstractNum w:abstractNumId="62">
    <w:nsid w:val="5F3534A4"/>
    <w:multiLevelType w:val="hybridMultilevel"/>
    <w:lvl w:ilvl="0">
      <w:lvlJc w:val="left"/>
      <w:lvlText w:val="%1"/>
      <w:numFmt w:val="decimal"/>
      <w:start w:val="18"/>
    </w:lvl>
  </w:abstractNum>
  <w:abstractNum w:abstractNumId="63">
    <w:nsid w:val="73A1821B"/>
    <w:multiLevelType w:val="hybridMultilevel"/>
    <w:lvl w:ilvl="0">
      <w:lvlJc w:val="left"/>
      <w:lvlText w:val="(%1)"/>
      <w:numFmt w:val="decimal"/>
      <w:start w:val="1"/>
    </w:lvl>
  </w:abstractNum>
  <w:abstractNum w:abstractNumId="64">
    <w:nsid w:val="7DE67713"/>
    <w:multiLevelType w:val="hybridMultilevel"/>
    <w:lvl w:ilvl="0">
      <w:lvlJc w:val="left"/>
      <w:lvlText w:val="%1."/>
      <w:numFmt w:val="decimal"/>
      <w:start w:val="1"/>
    </w:lvl>
  </w:abstractNum>
  <w:abstractNum w:abstractNumId="65">
    <w:nsid w:val="555C55B5"/>
    <w:multiLevelType w:val="hybridMultilevel"/>
    <w:lvl w:ilvl="0">
      <w:lvlJc w:val="left"/>
      <w:lvlText w:val="%1."/>
      <w:numFmt w:val="decimal"/>
      <w:start w:val="2"/>
    </w:lvl>
  </w:abstractNum>
  <w:abstractNum w:abstractNumId="66">
    <w:nsid w:val="3FA62ACA"/>
    <w:multiLevelType w:val="hybridMultilevel"/>
    <w:lvl w:ilvl="0">
      <w:lvlJc w:val="left"/>
      <w:lvlText w:val="%1:"/>
      <w:numFmt w:val="decimal"/>
      <w:start w:val="820"/>
    </w:lvl>
  </w:abstractNum>
  <w:abstractNum w:abstractNumId="67">
    <w:nsid w:val="14FCE74E"/>
    <w:multiLevelType w:val="hybridMultilevel"/>
    <w:lvl w:ilvl="0">
      <w:lvlJc w:val="left"/>
      <w:lvlText w:val="%1."/>
      <w:numFmt w:val="decimal"/>
      <w:start w:val="3"/>
    </w:lvl>
  </w:abstractNum>
  <w:abstractNum w:abstractNumId="68">
    <w:nsid w:val="6A3DD3E8"/>
    <w:multiLevelType w:val="hybridMultilevel"/>
    <w:lvl w:ilvl="0">
      <w:lvlJc w:val="left"/>
      <w:lvlText w:val="%1."/>
      <w:numFmt w:val="decimal"/>
      <w:start w:val="4"/>
    </w:lvl>
  </w:abstractNum>
  <w:abstractNum w:abstractNumId="69">
    <w:nsid w:val="71C91298"/>
    <w:multiLevelType w:val="hybridMultilevel"/>
    <w:lvl w:ilvl="0">
      <w:lvlJc w:val="left"/>
      <w:lvlText w:val="1"/>
      <w:numFmt w:val="bullet"/>
      <w:start w:val="1"/>
    </w:lvl>
  </w:abstractNum>
  <w:abstractNum w:abstractNumId="70">
    <w:nsid w:val="9DAF632"/>
    <w:multiLevelType w:val="hybridMultilevel"/>
    <w:lvl w:ilvl="0">
      <w:lvlJc w:val="left"/>
      <w:lvlText w:val="2"/>
      <w:numFmt w:val="bullet"/>
      <w:start w:val="1"/>
    </w:lvl>
  </w:abstractNum>
  <w:abstractNum w:abstractNumId="71">
    <w:nsid w:val="53299938"/>
    <w:multiLevelType w:val="hybridMultilevel"/>
    <w:lvl w:ilvl="0">
      <w:lvlJc w:val="left"/>
      <w:lvlText w:val="1"/>
      <w:numFmt w:val="bullet"/>
      <w:start w:val="1"/>
    </w:lvl>
  </w:abstractNum>
  <w:abstractNum w:abstractNumId="72">
    <w:nsid w:val="1FBFE8E0"/>
    <w:multiLevelType w:val="hybridMultilevel"/>
    <w:lvl w:ilvl="0">
      <w:lvlJc w:val="left"/>
      <w:lvlText w:val="2"/>
      <w:numFmt w:val="bullet"/>
      <w:start w:val="1"/>
    </w:lvl>
  </w:abstractNum>
  <w:abstractNum w:abstractNumId="73">
    <w:nsid w:val="5092CA79"/>
    <w:multiLevelType w:val="hybridMultilevel"/>
    <w:lvl w:ilvl="0">
      <w:lvlJc w:val="left"/>
      <w:lvlText w:val="1"/>
      <w:numFmt w:val="bullet"/>
      <w:start w:val="1"/>
    </w:lvl>
  </w:abstractNum>
  <w:abstractNum w:abstractNumId="74">
    <w:nsid w:val="1D545C4D"/>
    <w:multiLevelType w:val="hybridMultilevel"/>
    <w:lvl w:ilvl="0">
      <w:lvlJc w:val="left"/>
      <w:lvlText w:val="2"/>
      <w:numFmt w:val="bullet"/>
      <w:start w:val="1"/>
    </w:lvl>
  </w:abstractNum>
  <w:abstractNum w:abstractNumId="75">
    <w:nsid w:val="59ADEA3D"/>
    <w:multiLevelType w:val="hybridMultilevel"/>
    <w:lvl w:ilvl="0">
      <w:lvlJc w:val="left"/>
      <w:lvlText w:val="3"/>
      <w:numFmt w:val="bullet"/>
      <w:start w:val="1"/>
    </w:lvl>
  </w:abstractNum>
  <w:abstractNum w:abstractNumId="76">
    <w:nsid w:val="288F1A34"/>
    <w:multiLevelType w:val="hybridMultilevel"/>
    <w:lvl w:ilvl="0">
      <w:lvlJc w:val="left"/>
      <w:lvlText w:val="4"/>
      <w:numFmt w:val="bullet"/>
      <w:start w:val="1"/>
    </w:lvl>
  </w:abstractNum>
  <w:abstractNum w:abstractNumId="77">
    <w:nsid w:val="2A155DBC"/>
    <w:multiLevelType w:val="hybridMultilevel"/>
    <w:lvl w:ilvl="0">
      <w:lvlJc w:val="left"/>
      <w:lvlText w:val="5"/>
      <w:numFmt w:val="bullet"/>
      <w:start w:val="1"/>
    </w:lvl>
  </w:abstractNum>
  <w:abstractNum w:abstractNumId="78">
    <w:nsid w:val="1D9F6E5F"/>
    <w:multiLevelType w:val="hybridMultilevel"/>
    <w:lvl w:ilvl="0">
      <w:lvlJc w:val="left"/>
      <w:lvlText w:val="6"/>
      <w:numFmt w:val="bullet"/>
      <w:start w:val="1"/>
    </w:lvl>
  </w:abstractNum>
  <w:abstractNum w:abstractNumId="79">
    <w:nsid w:val="97E1B4E"/>
    <w:multiLevelType w:val="hybridMultilevel"/>
    <w:lvl w:ilvl="0">
      <w:lvlJc w:val="left"/>
      <w:lvlText w:val="7"/>
      <w:numFmt w:val="bullet"/>
      <w:start w:val="1"/>
    </w:lvl>
  </w:abstractNum>
  <w:abstractNum w:abstractNumId="80">
    <w:nsid w:val="51088277"/>
    <w:multiLevelType w:val="hybridMultilevel"/>
    <w:lvl w:ilvl="0">
      <w:lvlJc w:val="left"/>
      <w:lvlText w:val="8"/>
      <w:numFmt w:val="bullet"/>
      <w:start w:val="1"/>
    </w:lvl>
  </w:abstractNum>
  <w:abstractNum w:abstractNumId="81">
    <w:nsid w:val="1CA0C5FA"/>
    <w:multiLevelType w:val="hybridMultilevel"/>
    <w:lvl w:ilvl="0">
      <w:lvlJc w:val="left"/>
      <w:lvlText w:val="9"/>
      <w:numFmt w:val="bullet"/>
      <w:start w:val="1"/>
    </w:lvl>
  </w:abstractNum>
  <w:abstractNum w:abstractNumId="82">
    <w:nsid w:val="53584BCB"/>
    <w:multiLevelType w:val="hybridMultilevel"/>
    <w:lvl w:ilvl="0">
      <w:lvlJc w:val="left"/>
      <w:lvlText w:val="%1"/>
      <w:numFmt w:val="decimal"/>
      <w:start w:val="10"/>
    </w:lvl>
  </w:abstractNum>
  <w:abstractNum w:abstractNumId="83">
    <w:nsid w:val="415E286C"/>
    <w:multiLevelType w:val="hybridMultilevel"/>
    <w:lvl w:ilvl="0">
      <w:lvlJc w:val="left"/>
      <w:lvlText w:val="1"/>
      <w:numFmt w:val="bullet"/>
      <w:start w:val="1"/>
    </w:lvl>
  </w:abstractNum>
  <w:abstractNum w:abstractNumId="84">
    <w:nsid w:val="7C58FD05"/>
    <w:multiLevelType w:val="hybridMultilevel"/>
    <w:lvl w:ilvl="0">
      <w:lvlJc w:val="left"/>
      <w:lvlText w:val="2"/>
      <w:numFmt w:val="bullet"/>
      <w:start w:val="1"/>
    </w:lvl>
  </w:abstractNum>
  <w:abstractNum w:abstractNumId="85">
    <w:nsid w:val="23D86AAC"/>
    <w:multiLevelType w:val="hybridMultilevel"/>
    <w:lvl w:ilvl="0">
      <w:lvlJc w:val="left"/>
      <w:lvlText w:val="3"/>
      <w:numFmt w:val="bullet"/>
      <w:start w:val="1"/>
    </w:lvl>
  </w:abstractNum>
  <w:abstractNum w:abstractNumId="86">
    <w:nsid w:val="45E6D486"/>
    <w:multiLevelType w:val="hybridMultilevel"/>
    <w:lvl w:ilvl="0">
      <w:lvlJc w:val="left"/>
      <w:lvlText w:val="4"/>
      <w:numFmt w:val="bullet"/>
      <w:start w:val="1"/>
    </w:lvl>
  </w:abstractNum>
  <w:abstractNum w:abstractNumId="87">
    <w:nsid w:val="5C10FE21"/>
    <w:multiLevelType w:val="hybridMultilevel"/>
    <w:lvl w:ilvl="0">
      <w:lvlJc w:val="left"/>
      <w:lvlText w:val="5"/>
      <w:numFmt w:val="bullet"/>
      <w:start w:val="1"/>
    </w:lvl>
  </w:abstractNum>
  <w:abstractNum w:abstractNumId="88">
    <w:nsid w:val="E7FFA2B"/>
    <w:multiLevelType w:val="hybridMultilevel"/>
    <w:lvl w:ilvl="0">
      <w:lvlJc w:val="left"/>
      <w:lvlText w:val="6"/>
      <w:numFmt w:val="bullet"/>
      <w:start w:val="1"/>
    </w:lvl>
  </w:abstractNum>
  <w:abstractNum w:abstractNumId="89">
    <w:nsid w:val="3C5991AA"/>
    <w:multiLevelType w:val="hybridMultilevel"/>
    <w:lvl w:ilvl="0">
      <w:lvlJc w:val="left"/>
      <w:lvlText w:val="7"/>
      <w:numFmt w:val="bullet"/>
      <w:start w:val="1"/>
    </w:lvl>
  </w:abstractNum>
  <w:abstractNum w:abstractNumId="90">
    <w:nsid w:val="4BD8591A"/>
    <w:multiLevelType w:val="hybridMultilevel"/>
    <w:lvl w:ilvl="0">
      <w:lvlJc w:val="left"/>
      <w:lvlText w:val="8"/>
      <w:numFmt w:val="bullet"/>
      <w:start w:val="1"/>
    </w:lvl>
  </w:abstractNum>
  <w:abstractNum w:abstractNumId="91">
    <w:nsid w:val="78DF6A55"/>
    <w:multiLevelType w:val="hybridMultilevel"/>
    <w:lvl w:ilvl="0">
      <w:lvlJc w:val="left"/>
      <w:lvlText w:val="9"/>
      <w:numFmt w:val="bullet"/>
      <w:start w:val="1"/>
    </w:lvl>
  </w:abstractNum>
  <w:abstractNum w:abstractNumId="92">
    <w:nsid w:val="39B7AAA2"/>
    <w:multiLevelType w:val="hybridMultilevel"/>
    <w:lvl w:ilvl="0">
      <w:lvlJc w:val="left"/>
      <w:lvlText w:val="\emdash "/>
      <w:numFmt w:val="bullet"/>
      <w:start w:val="1"/>
    </w:lvl>
  </w:abstractNum>
  <w:abstractNum w:abstractNumId="93">
    <w:nsid w:val="2B0D8DBE"/>
    <w:multiLevelType w:val="hybridMultilevel"/>
    <w:lvl w:ilvl="0">
      <w:lvlJc w:val="left"/>
      <w:lvlText w:val="(%1)"/>
      <w:numFmt w:val="decimal"/>
      <w:start w:val="1"/>
    </w:lvl>
  </w:abstractNum>
  <w:abstractNum w:abstractNumId="94">
    <w:nsid w:val="6C80EC70"/>
    <w:multiLevelType w:val="hybridMultilevel"/>
    <w:lvl w:ilvl="0">
      <w:lvlJc w:val="left"/>
      <w:lvlText w:val="(%1)"/>
      <w:numFmt w:val="decimal"/>
      <w:start w:val="1"/>
    </w:lvl>
  </w:abstractNum>
  <w:abstractNum w:abstractNumId="95">
    <w:nsid w:val="379E21B5"/>
    <w:multiLevelType w:val="hybridMultilevel"/>
    <w:lvl w:ilvl="0">
      <w:lvlJc w:val="left"/>
      <w:lvlText w:val="(%1)"/>
      <w:numFmt w:val="decimal"/>
      <w:start w:val="2"/>
    </w:lvl>
  </w:abstractNum>
  <w:abstractNum w:abstractNumId="96">
    <w:nsid w:val="69E373"/>
    <w:multiLevelType w:val="hybridMultilevel"/>
    <w:lvl w:ilvl="0">
      <w:lvlJc w:val="left"/>
      <w:lvlText w:val="%1:"/>
      <w:numFmt w:val="decimal"/>
      <w:start w:val="820"/>
    </w:lvl>
  </w:abstractNum>
  <w:abstractNum w:abstractNumId="97">
    <w:nsid w:val="2C27173B"/>
    <w:multiLevelType w:val="hybridMultilevel"/>
    <w:lvl w:ilvl="0">
      <w:lvlJc w:val="left"/>
      <w:lvlText w:val="1"/>
      <w:numFmt w:val="bullet"/>
      <w:start w:val="1"/>
    </w:lvl>
  </w:abstractNum>
  <w:abstractNum w:abstractNumId="98">
    <w:nsid w:val="4C9B0904"/>
    <w:multiLevelType w:val="hybridMultilevel"/>
    <w:lvl w:ilvl="0">
      <w:lvlJc w:val="left"/>
      <w:lvlText w:val="2"/>
      <w:numFmt w:val="bullet"/>
      <w:start w:val="1"/>
    </w:lvl>
  </w:abstractNum>
  <w:abstractNum w:abstractNumId="99">
    <w:nsid w:val="6AA7B75C"/>
    <w:multiLevelType w:val="hybridMultilevel"/>
    <w:lvl w:ilvl="0">
      <w:lvlJc w:val="left"/>
      <w:lvlText w:val="1"/>
      <w:numFmt w:val="bullet"/>
      <w:start w:val="1"/>
    </w:lvl>
  </w:abstractNum>
  <w:abstractNum w:abstractNumId="100">
    <w:nsid w:val="1DF029D3"/>
    <w:multiLevelType w:val="hybridMultilevel"/>
    <w:lvl w:ilvl="0">
      <w:lvlJc w:val="left"/>
      <w:lvlText w:val="2"/>
      <w:numFmt w:val="bullet"/>
      <w:start w:val="1"/>
    </w:lvl>
  </w:abstractNum>
  <w:abstractNum w:abstractNumId="101">
    <w:nsid w:val="5675FF36"/>
    <w:multiLevelType w:val="hybridMultilevel"/>
    <w:lvl w:ilvl="0">
      <w:lvlJc w:val="left"/>
      <w:lvlText w:val="1"/>
      <w:numFmt w:val="bullet"/>
      <w:start w:val="1"/>
    </w:lvl>
  </w:abstractNum>
  <w:abstractNum w:abstractNumId="102">
    <w:nsid w:val="3DD15094"/>
    <w:multiLevelType w:val="hybridMultilevel"/>
    <w:lvl w:ilvl="0">
      <w:lvlJc w:val="left"/>
      <w:lvlText w:val="2"/>
      <w:numFmt w:val="bullet"/>
      <w:start w:val="1"/>
    </w:lvl>
  </w:abstractNum>
  <w:abstractNum w:abstractNumId="103">
    <w:nsid w:val="3DB012B3"/>
    <w:multiLevelType w:val="hybridMultilevel"/>
    <w:lvl w:ilvl="0">
      <w:lvlJc w:val="left"/>
      <w:lvlText w:val="1"/>
      <w:numFmt w:val="bullet"/>
      <w:start w:val="1"/>
    </w:lvl>
  </w:abstractNum>
  <w:abstractNum w:abstractNumId="104">
    <w:nsid w:val="2708C9AF"/>
    <w:multiLevelType w:val="hybridMultilevel"/>
    <w:lvl w:ilvl="0">
      <w:lvlJc w:val="left"/>
      <w:lvlText w:val="2"/>
      <w:numFmt w:val="bullet"/>
      <w:start w:val="1"/>
    </w:lvl>
  </w:abstractNum>
  <w:abstractNum w:abstractNumId="105">
    <w:nsid w:val="5B25ACE2"/>
    <w:multiLevelType w:val="hybridMultilevel"/>
    <w:lvl w:ilvl="0">
      <w:lvlJc w:val="left"/>
      <w:lvlText w:val="%1."/>
      <w:numFmt w:val="decimal"/>
      <w:start w:val="5"/>
    </w:lvl>
  </w:abstractNum>
  <w:abstractNum w:abstractNumId="106">
    <w:nsid w:val="175DFCF0"/>
    <w:multiLevelType w:val="hybridMultilevel"/>
    <w:lvl w:ilvl="0">
      <w:lvlJc w:val="left"/>
      <w:lvlText w:val="%1."/>
      <w:numFmt w:val="decimal"/>
      <w:start w:val="6"/>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1)"/>
      <w:numFmt w:val="decimal"/>
      <w:start w:val="1"/>
    </w:lvl>
  </w:abstractNum>
  <w:abstractNum w:abstractNumId="112">
    <w:nsid w:val="519E3149"/>
    <w:multiLevelType w:val="hybridMultilevel"/>
    <w:lvl w:ilvl="0">
      <w:lvlJc w:val="left"/>
      <w:lvlText w:val="(%1)"/>
      <w:numFmt w:val="decimal"/>
      <w:start w:val="1"/>
    </w:lvl>
  </w:abstractNum>
  <w:abstractNum w:abstractNumId="113">
    <w:nsid w:val="2C6E4AFD"/>
    <w:multiLevelType w:val="hybridMultilevel"/>
    <w:lvl w:ilvl="0">
      <w:lvlJc w:val="left"/>
      <w:lvlText w:val="%1."/>
      <w:numFmt w:val="decimal"/>
      <w:start w:val="8"/>
    </w:lvl>
  </w:abstractNum>
  <w:abstractNum w:abstractNumId="114">
    <w:nsid w:val="17A1B582"/>
    <w:multiLevelType w:val="hybridMultilevel"/>
    <w:lvl w:ilvl="0">
      <w:lvlJc w:val="left"/>
      <w:lvlText w:val="%1."/>
      <w:numFmt w:val="decimal"/>
      <w:start w:val="9"/>
    </w:lvl>
  </w:abstractNum>
  <w:abstractNum w:abstractNumId="115">
    <w:nsid w:val="4DF72E4E"/>
    <w:multiLevelType w:val="hybridMultilevel"/>
    <w:lvl w:ilvl="0">
      <w:lvlJc w:val="left"/>
      <w:lvlText w:val="1"/>
      <w:numFmt w:val="bullet"/>
      <w:start w:val="1"/>
    </w:lvl>
  </w:abstractNum>
  <w:abstractNum w:abstractNumId="116">
    <w:nsid w:val="5046B5A9"/>
    <w:multiLevelType w:val="hybridMultilevel"/>
    <w:lvl w:ilvl="0">
      <w:lvlJc w:val="left"/>
      <w:lvlText w:val="(%1)"/>
      <w:numFmt w:val="lowerRoman"/>
      <w:start w:val="1"/>
    </w:lvl>
  </w:abstractNum>
  <w:abstractNum w:abstractNumId="117">
    <w:nsid w:val="5D888A08"/>
    <w:multiLevelType w:val="hybridMultilevel"/>
    <w:lvl w:ilvl="0">
      <w:lvlJc w:val="left"/>
      <w:lvlText w:val="%1."/>
      <w:numFmt w:val="decimal"/>
      <w:start w:val="13"/>
    </w:lvl>
  </w:abstractNum>
  <w:abstractNum w:abstractNumId="118">
    <w:nsid w:val="2A082C70"/>
    <w:multiLevelType w:val="hybridMultilevel"/>
    <w:lvl w:ilvl="0">
      <w:lvlJc w:val="left"/>
      <w:lvlText w:val="(%1)"/>
      <w:numFmt w:val="decimal"/>
      <w:start w:val="1"/>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decimal"/>
      <w:start w:val="15"/>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
      <w:numFmt w:val="bullet"/>
      <w:start w:val="1"/>
    </w:lvl>
  </w:abstractNum>
  <w:abstractNum w:abstractNumId="131">
    <w:nsid w:val="E3E47A8"/>
    <w:multiLevelType w:val="hybridMultilevel"/>
    <w:lvl w:ilvl="0">
      <w:lvlJc w:val="left"/>
      <w:lvlText w:val="•"/>
      <w:numFmt w:val="bullet"/>
      <w:start w:val="1"/>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32" Type="http://schemas.openxmlformats.org/officeDocument/2006/relationships/hyperlink" Target="http://www.sec.gov/Archives/edgar/data/1372807/000119312519211034/d640383dex21.htm" TargetMode="External"/><Relationship Id="rId233" Type="http://schemas.openxmlformats.org/officeDocument/2006/relationships/hyperlink" Target="http://www.sec.gov/Archives/edgar/data/1372807/000119312520178041/d948145dex21.htm" TargetMode="External"/><Relationship Id="rId234" Type="http://schemas.openxmlformats.org/officeDocument/2006/relationships/hyperlink" Target="http://www.sec.gov/Archives/edgar/data/1372807/000119312520326734/d89977dex21.htm" TargetMode="External"/><Relationship Id="rId235" Type="http://schemas.openxmlformats.org/officeDocument/2006/relationships/hyperlink" Target="http://www.sec.gov/Archives/edgar/data/1372807/000119312506204545/dex99a.htm" TargetMode="External"/><Relationship Id="rId236" Type="http://schemas.openxmlformats.org/officeDocument/2006/relationships/hyperlink" Target="http://www.sec.gov/Archives/edgar/data/1372807/000114420419017514/tv517653_ex3-1.htm" TargetMode="External"/><Relationship Id="rId237" Type="http://schemas.openxmlformats.org/officeDocument/2006/relationships/hyperlink" Target="http://www.sec.gov/Archives/edgar/data/1372807/000114420418064543/tv509148_ex3-1.htm" TargetMode="External"/><Relationship Id="rId238" Type="http://schemas.openxmlformats.org/officeDocument/2006/relationships/hyperlink" Target="http://www.sec.gov/Archives/edgar/data/1372807/000114420419017514/tv517653_ex3-2.htm" TargetMode="External"/><Relationship Id="rId239" Type="http://schemas.openxmlformats.org/officeDocument/2006/relationships/hyperlink" Target="http://www.sec.gov/Archives/edgar/data/1372807/000119312506204545/dex99d1.htm" TargetMode="External"/><Relationship Id="rId240" Type="http://schemas.openxmlformats.org/officeDocument/2006/relationships/hyperlink" Target="http://www.sec.gov/Archives/edgar/data/1372807/000119312506238694/dex99e.htm" TargetMode="External"/><Relationship Id="rId241" Type="http://schemas.openxmlformats.org/officeDocument/2006/relationships/hyperlink" Target="http://www.sec.gov/Archives/edgar/data/1372807/000114420412054349/v323537_ex99d3.htm" TargetMode="External"/><Relationship Id="rId242" Type="http://schemas.openxmlformats.org/officeDocument/2006/relationships/hyperlink" Target="http://www.sec.gov/Archives/edgar/data/1372807/000114420417042730/v473026_ex99-d6.htm" TargetMode="External"/><Relationship Id="rId243" Type="http://schemas.openxmlformats.org/officeDocument/2006/relationships/hyperlink" Target="http://www.sec.gov/Archives/edgar/data/1372807/000114420417042730/v473026_ex99-h1.htm" TargetMode="External"/><Relationship Id="rId244" Type="http://schemas.openxmlformats.org/officeDocument/2006/relationships/hyperlink" Target="http://www.sec.gov/Archives/edgar/data/1372807/000114420418065744/tv509583_ex10-1.htm" TargetMode="External"/><Relationship Id="rId245" Type="http://schemas.openxmlformats.org/officeDocument/2006/relationships/hyperlink" Target="http://www.sec.gov/Archives/edgar/data/1372807/000114420418065744/tv509583_ex10-2.htm" TargetMode="External"/><Relationship Id="rId246" Type="http://schemas.openxmlformats.org/officeDocument/2006/relationships/hyperlink" Target="http://www.sec.gov/Archives/edgar/data/1372807/000114420419017514/tv517653_ex10-1.htm" TargetMode="External"/><Relationship Id="rId247" Type="http://schemas.openxmlformats.org/officeDocument/2006/relationships/hyperlink" Target="http://www.sec.gov/Archives/edgar/data/1372807/000114420419017514/tv517653_ex10-2.htm" TargetMode="External"/><Relationship Id="rId248" Type="http://schemas.openxmlformats.org/officeDocument/2006/relationships/hyperlink" Target="http://www.sec.gov/Archives/edgar/data/1372807/000114420419017514/tv517653_ex10-3.htm" TargetMode="External"/><Relationship Id="rId249" Type="http://schemas.openxmlformats.org/officeDocument/2006/relationships/hyperlink" Target="http://www.sec.gov/Archives/edgar/data/1372807/000119312519322650/d1038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2021-03-11T15:27:56Z</dcterms:created>
  <dcterms:modified xsi:type="dcterms:W3CDTF">2021-03-11T15:27:56Z</dcterms:modified>
</cp:coreProperties>
</file>